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احکام و حقوق کودکان در اسلام برگرفته از موسوعة احکام الاطفال و ادلتها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9312_1468164448">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259314_1468164448">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259316_1468164448">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259318_1468164448">
            <w:r>
              <w:rPr>
                <w:webHidden/>
                <w:rStyle w:val="IndexLink"/>
                <w:rtl w:val="true"/>
              </w:rPr>
              <w:t>فصل نهم</w:t>
            </w:r>
            <w:r>
              <w:rPr>
                <w:rStyle w:val="IndexLink"/>
                <w:rtl w:val="true"/>
              </w:rPr>
              <w:t xml:space="preserve">: </w:t>
            </w:r>
            <w:r>
              <w:rPr>
                <w:rStyle w:val="IndexLink"/>
                <w:rtl w:val="true"/>
              </w:rPr>
              <w:t xml:space="preserve">ولایت بر اموال کودک </w:t>
            </w:r>
            <w:r>
              <w:rPr>
                <w:rStyle w:val="IndexLink"/>
                <w:rtl w:val="true"/>
              </w:rPr>
              <w:t>(</w:t>
            </w:r>
            <w:r>
              <w:rPr>
                <w:rStyle w:val="IndexLink"/>
                <w:rtl w:val="true"/>
              </w:rPr>
              <w:t>اداره اموال کودک توسط اولیا</w:t>
            </w:r>
            <w:r>
              <w:rPr>
                <w:rStyle w:val="IndexLink"/>
                <w:rtl w:val="true"/>
              </w:rPr>
              <w:t>)</w:t>
              <w:tab/>
            </w:r>
            <w:r>
              <w:rPr>
                <w:rStyle w:val="IndexLink"/>
              </w:rPr>
              <w:t>32</w:t>
            </w:r>
          </w:hyperlink>
        </w:p>
        <w:p>
          <w:pPr>
            <w:pStyle w:val="Contents3"/>
            <w:tabs>
              <w:tab w:val="clear" w:pos="8459"/>
              <w:tab w:val="right" w:pos="9026" w:leader="dot"/>
            </w:tabs>
            <w:rPr/>
          </w:pPr>
          <w:hyperlink w:anchor="__RefHeading___Toc1259320_1468164448">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259322_1468164448">
            <w:r>
              <w:rPr>
                <w:webHidden/>
                <w:rStyle w:val="IndexLink"/>
                <w:rtl w:val="true"/>
              </w:rPr>
              <w:t>گفتار اوّل</w:t>
            </w:r>
            <w:r>
              <w:rPr>
                <w:rStyle w:val="IndexLink"/>
                <w:rtl w:val="true"/>
              </w:rPr>
              <w:t xml:space="preserve">: </w:t>
            </w:r>
            <w:r>
              <w:rPr>
                <w:rStyle w:val="IndexLink"/>
                <w:rtl w:val="true"/>
              </w:rPr>
              <w:t>ولایت پدر، جدّ پدری، وصی، قیّم و حاکم</w:t>
            </w:r>
            <w:r>
              <w:rPr>
                <w:rStyle w:val="IndexLink"/>
                <w:rtl w:val="true"/>
              </w:rPr>
              <w:tab/>
            </w:r>
            <w:r>
              <w:rPr>
                <w:rStyle w:val="IndexLink"/>
              </w:rPr>
              <w:t>33</w:t>
            </w:r>
          </w:hyperlink>
        </w:p>
        <w:p>
          <w:pPr>
            <w:pStyle w:val="Contents4"/>
            <w:tabs>
              <w:tab w:val="clear" w:pos="8176"/>
              <w:tab w:val="right" w:pos="9026" w:leader="dot"/>
            </w:tabs>
            <w:rPr/>
          </w:pPr>
          <w:hyperlink w:anchor="__RefHeading___Toc1259324_1468164448">
            <w:r>
              <w:rPr>
                <w:webHidden/>
                <w:rStyle w:val="IndexLink"/>
              </w:rPr>
              <w:t>1</w:t>
            </w:r>
            <w:r>
              <w:rPr>
                <w:rStyle w:val="IndexLink"/>
                <w:rtl w:val="true"/>
              </w:rPr>
              <w:t xml:space="preserve">- </w:t>
            </w:r>
            <w:r>
              <w:rPr>
                <w:rStyle w:val="IndexLink"/>
                <w:rtl w:val="true"/>
              </w:rPr>
              <w:t>ولایت پدر و جدّ پدری</w:t>
            </w:r>
            <w:r>
              <w:rPr>
                <w:rStyle w:val="IndexLink"/>
                <w:rtl w:val="true"/>
              </w:rPr>
              <w:tab/>
            </w:r>
            <w:r>
              <w:rPr>
                <w:rStyle w:val="IndexLink"/>
              </w:rPr>
              <w:t>33</w:t>
            </w:r>
          </w:hyperlink>
        </w:p>
        <w:p>
          <w:pPr>
            <w:pStyle w:val="Contents4"/>
            <w:tabs>
              <w:tab w:val="clear" w:pos="8176"/>
              <w:tab w:val="right" w:pos="9026" w:leader="dot"/>
            </w:tabs>
            <w:rPr/>
          </w:pPr>
          <w:hyperlink w:anchor="__RefHeading___Toc1259326_1468164448">
            <w:r>
              <w:rPr>
                <w:webHidden/>
                <w:rStyle w:val="IndexLink"/>
              </w:rPr>
              <w:t>2</w:t>
            </w:r>
            <w:r>
              <w:rPr>
                <w:rStyle w:val="IndexLink"/>
                <w:rtl w:val="true"/>
              </w:rPr>
              <w:t xml:space="preserve">- </w:t>
            </w:r>
            <w:r>
              <w:rPr>
                <w:rStyle w:val="IndexLink"/>
                <w:rtl w:val="true"/>
              </w:rPr>
              <w:t>ادلّه فقهی ولایت بر اموال صغار</w:t>
            </w:r>
            <w:r>
              <w:rPr>
                <w:rStyle w:val="IndexLink"/>
                <w:rtl w:val="true"/>
              </w:rPr>
              <w:tab/>
            </w:r>
            <w:r>
              <w:rPr>
                <w:rStyle w:val="IndexLink"/>
              </w:rPr>
              <w:t>34</w:t>
            </w:r>
          </w:hyperlink>
        </w:p>
        <w:p>
          <w:pPr>
            <w:pStyle w:val="Contents4"/>
            <w:tabs>
              <w:tab w:val="clear" w:pos="8176"/>
              <w:tab w:val="right" w:pos="9026" w:leader="dot"/>
            </w:tabs>
            <w:rPr/>
          </w:pPr>
          <w:hyperlink w:anchor="__RefHeading___Toc1259328_1468164448">
            <w:r>
              <w:rPr>
                <w:webHidden/>
                <w:rStyle w:val="IndexLink"/>
              </w:rPr>
              <w:t>3</w:t>
            </w:r>
            <w:r>
              <w:rPr>
                <w:rStyle w:val="IndexLink"/>
                <w:rtl w:val="true"/>
              </w:rPr>
              <w:t xml:space="preserve">- </w:t>
            </w:r>
            <w:r>
              <w:rPr>
                <w:rStyle w:val="IndexLink"/>
                <w:rtl w:val="true"/>
              </w:rPr>
              <w:t>تذکّر چند مطلب</w:t>
            </w:r>
            <w:r>
              <w:rPr>
                <w:rStyle w:val="IndexLink"/>
                <w:rtl w:val="true"/>
              </w:rPr>
              <w:tab/>
            </w:r>
            <w:r>
              <w:rPr>
                <w:rStyle w:val="IndexLink"/>
              </w:rPr>
              <w:t>38</w:t>
            </w:r>
          </w:hyperlink>
        </w:p>
        <w:p>
          <w:pPr>
            <w:pStyle w:val="Contents4"/>
            <w:tabs>
              <w:tab w:val="clear" w:pos="8176"/>
              <w:tab w:val="right" w:pos="9026" w:leader="dot"/>
            </w:tabs>
            <w:rPr/>
          </w:pPr>
          <w:hyperlink w:anchor="__RefHeading___Toc1259330_1468164448">
            <w:r>
              <w:rPr>
                <w:webHidden/>
                <w:rStyle w:val="IndexLink"/>
              </w:rPr>
              <w:t>4</w:t>
            </w:r>
            <w:r>
              <w:rPr>
                <w:rStyle w:val="IndexLink"/>
                <w:rtl w:val="true"/>
              </w:rPr>
              <w:t xml:space="preserve">- </w:t>
            </w:r>
            <w:r>
              <w:rPr>
                <w:rStyle w:val="IndexLink"/>
                <w:rtl w:val="true"/>
              </w:rPr>
              <w:t>ولایت پدر و جدّ پدری بر اموال کودک در حقوق مدنی</w:t>
            </w:r>
            <w:r>
              <w:rPr>
                <w:rStyle w:val="IndexLink"/>
                <w:rtl w:val="true"/>
              </w:rPr>
              <w:tab/>
            </w:r>
            <w:r>
              <w:rPr>
                <w:rStyle w:val="IndexLink"/>
              </w:rPr>
              <w:t>40</w:t>
            </w:r>
          </w:hyperlink>
        </w:p>
        <w:p>
          <w:pPr>
            <w:pStyle w:val="Contents4"/>
            <w:tabs>
              <w:tab w:val="clear" w:pos="8176"/>
              <w:tab w:val="right" w:pos="9026" w:leader="dot"/>
            </w:tabs>
            <w:rPr/>
          </w:pPr>
          <w:hyperlink w:anchor="__RefHeading___Toc1259332_1468164448">
            <w:r>
              <w:rPr>
                <w:webHidden/>
                <w:rStyle w:val="IndexLink"/>
              </w:rPr>
              <w:t>5</w:t>
            </w:r>
            <w:r>
              <w:rPr>
                <w:rStyle w:val="IndexLink"/>
                <w:rtl w:val="true"/>
              </w:rPr>
              <w:t xml:space="preserve">- </w:t>
            </w:r>
            <w:r>
              <w:rPr>
                <w:rStyle w:val="IndexLink"/>
                <w:rtl w:val="true"/>
              </w:rPr>
              <w:t>ولایت وصی</w:t>
            </w:r>
            <w:r>
              <w:rPr>
                <w:rStyle w:val="IndexLink"/>
                <w:rtl w:val="true"/>
              </w:rPr>
              <w:tab/>
            </w:r>
            <w:r>
              <w:rPr>
                <w:rStyle w:val="IndexLink"/>
              </w:rPr>
              <w:t>40</w:t>
            </w:r>
          </w:hyperlink>
        </w:p>
        <w:p>
          <w:pPr>
            <w:pStyle w:val="Contents4"/>
            <w:tabs>
              <w:tab w:val="clear" w:pos="8176"/>
              <w:tab w:val="right" w:pos="9026" w:leader="dot"/>
            </w:tabs>
            <w:rPr/>
          </w:pPr>
          <w:hyperlink w:anchor="__RefHeading___Toc1259334_1468164448">
            <w:r>
              <w:rPr>
                <w:webHidden/>
                <w:rStyle w:val="IndexLink"/>
              </w:rPr>
              <w:t>6</w:t>
            </w:r>
            <w:r>
              <w:rPr>
                <w:rStyle w:val="IndexLink"/>
                <w:rtl w:val="true"/>
              </w:rPr>
              <w:t xml:space="preserve">- </w:t>
            </w:r>
            <w:r>
              <w:rPr>
                <w:rStyle w:val="IndexLink"/>
                <w:rtl w:val="true"/>
              </w:rPr>
              <w:t>ادلّه فقهی ولایت وصی بر اموال صغار</w:t>
            </w:r>
            <w:r>
              <w:rPr>
                <w:rStyle w:val="IndexLink"/>
                <w:rtl w:val="true"/>
              </w:rPr>
              <w:tab/>
            </w:r>
            <w:r>
              <w:rPr>
                <w:rStyle w:val="IndexLink"/>
              </w:rPr>
              <w:t>41</w:t>
            </w:r>
          </w:hyperlink>
        </w:p>
        <w:p>
          <w:pPr>
            <w:pStyle w:val="Contents4"/>
            <w:tabs>
              <w:tab w:val="clear" w:pos="8176"/>
              <w:tab w:val="right" w:pos="9026" w:leader="dot"/>
            </w:tabs>
            <w:rPr/>
          </w:pPr>
          <w:hyperlink w:anchor="__RefHeading___Toc1259336_1468164448">
            <w:r>
              <w:rPr>
                <w:webHidden/>
                <w:rStyle w:val="IndexLink"/>
              </w:rPr>
              <w:t>7</w:t>
            </w:r>
            <w:r>
              <w:rPr>
                <w:rStyle w:val="IndexLink"/>
                <w:rtl w:val="true"/>
              </w:rPr>
              <w:t xml:space="preserve">- </w:t>
            </w:r>
            <w:r>
              <w:rPr>
                <w:rStyle w:val="IndexLink"/>
                <w:rtl w:val="true"/>
              </w:rPr>
              <w:t>ولایت وصی بر اموال صغار در حقوق مدنی</w:t>
            </w:r>
            <w:r>
              <w:rPr>
                <w:rStyle w:val="IndexLink"/>
                <w:rtl w:val="true"/>
              </w:rPr>
              <w:tab/>
            </w:r>
            <w:r>
              <w:rPr>
                <w:rStyle w:val="IndexLink"/>
              </w:rPr>
              <w:t>43</w:t>
            </w:r>
          </w:hyperlink>
        </w:p>
        <w:p>
          <w:pPr>
            <w:pStyle w:val="Contents4"/>
            <w:tabs>
              <w:tab w:val="clear" w:pos="8176"/>
              <w:tab w:val="right" w:pos="9026" w:leader="dot"/>
            </w:tabs>
            <w:rPr/>
          </w:pPr>
          <w:hyperlink w:anchor="__RefHeading___Toc1259338_1468164448">
            <w:r>
              <w:rPr>
                <w:webHidden/>
                <w:rStyle w:val="IndexLink"/>
              </w:rPr>
              <w:t>8</w:t>
            </w:r>
            <w:r>
              <w:rPr>
                <w:rStyle w:val="IndexLink"/>
                <w:rtl w:val="true"/>
              </w:rPr>
              <w:t xml:space="preserve">- </w:t>
            </w:r>
            <w:r>
              <w:rPr>
                <w:rStyle w:val="IndexLink"/>
                <w:rtl w:val="true"/>
              </w:rPr>
              <w:t>ولایت وکیل پدر، و یا جدّ پدری</w:t>
            </w:r>
            <w:r>
              <w:rPr>
                <w:rStyle w:val="IndexLink"/>
                <w:rtl w:val="true"/>
              </w:rPr>
              <w:tab/>
            </w:r>
            <w:r>
              <w:rPr>
                <w:rStyle w:val="IndexLink"/>
              </w:rPr>
              <w:t>43</w:t>
            </w:r>
          </w:hyperlink>
        </w:p>
        <w:p>
          <w:pPr>
            <w:pStyle w:val="Contents4"/>
            <w:tabs>
              <w:tab w:val="clear" w:pos="8176"/>
              <w:tab w:val="right" w:pos="9026" w:leader="dot"/>
            </w:tabs>
            <w:rPr/>
          </w:pPr>
          <w:hyperlink w:anchor="__RefHeading___Toc1259340_1468164448">
            <w:r>
              <w:rPr>
                <w:webHidden/>
                <w:rStyle w:val="IndexLink"/>
              </w:rPr>
              <w:t>9</w:t>
            </w:r>
            <w:r>
              <w:rPr>
                <w:rStyle w:val="IndexLink"/>
                <w:rtl w:val="true"/>
              </w:rPr>
              <w:t xml:space="preserve">- </w:t>
            </w:r>
            <w:r>
              <w:rPr>
                <w:rStyle w:val="IndexLink"/>
                <w:rtl w:val="true"/>
              </w:rPr>
              <w:t>ولایت حاکم</w:t>
            </w:r>
            <w:r>
              <w:rPr>
                <w:rStyle w:val="IndexLink"/>
                <w:rtl w:val="true"/>
              </w:rPr>
              <w:tab/>
            </w:r>
            <w:r>
              <w:rPr>
                <w:rStyle w:val="IndexLink"/>
              </w:rPr>
              <w:t>44</w:t>
            </w:r>
          </w:hyperlink>
        </w:p>
        <w:p>
          <w:pPr>
            <w:pStyle w:val="Contents4"/>
            <w:tabs>
              <w:tab w:val="clear" w:pos="8176"/>
              <w:tab w:val="right" w:pos="9026" w:leader="dot"/>
            </w:tabs>
            <w:rPr/>
          </w:pPr>
          <w:hyperlink w:anchor="__RefHeading___Toc1259342_1468164448">
            <w:r>
              <w:rPr>
                <w:webHidden/>
                <w:rStyle w:val="IndexLink"/>
              </w:rPr>
              <w:t>10</w:t>
            </w:r>
            <w:r>
              <w:rPr>
                <w:rStyle w:val="IndexLink"/>
                <w:rtl w:val="true"/>
              </w:rPr>
              <w:t xml:space="preserve">- </w:t>
            </w:r>
            <w:r>
              <w:rPr>
                <w:rStyle w:val="IndexLink"/>
                <w:rtl w:val="true"/>
              </w:rPr>
              <w:t>ادلّه ولایت حاکم بر اموال ایتام</w:t>
            </w:r>
            <w:r>
              <w:rPr>
                <w:rStyle w:val="IndexLink"/>
                <w:rtl w:val="true"/>
              </w:rPr>
              <w:tab/>
            </w:r>
            <w:r>
              <w:rPr>
                <w:rStyle w:val="IndexLink"/>
              </w:rPr>
              <w:t>45</w:t>
            </w:r>
          </w:hyperlink>
        </w:p>
        <w:p>
          <w:pPr>
            <w:pStyle w:val="Contents4"/>
            <w:tabs>
              <w:tab w:val="clear" w:pos="8176"/>
              <w:tab w:val="right" w:pos="9026" w:leader="dot"/>
            </w:tabs>
            <w:rPr/>
          </w:pPr>
          <w:hyperlink w:anchor="__RefHeading___Toc1259344_1468164448">
            <w:r>
              <w:rPr>
                <w:webHidden/>
                <w:rStyle w:val="IndexLink"/>
              </w:rPr>
              <w:t>11</w:t>
            </w:r>
            <w:r>
              <w:rPr>
                <w:rStyle w:val="IndexLink"/>
                <w:rtl w:val="true"/>
              </w:rPr>
              <w:t xml:space="preserve">- </w:t>
            </w:r>
            <w:r>
              <w:rPr>
                <w:rStyle w:val="IndexLink"/>
                <w:rtl w:val="true"/>
              </w:rPr>
              <w:t>ولایت قضات و مؤمنین عادل بر اموال ایتام</w:t>
            </w:r>
            <w:r>
              <w:rPr>
                <w:rStyle w:val="IndexLink"/>
                <w:rtl w:val="true"/>
              </w:rPr>
              <w:tab/>
            </w:r>
            <w:r>
              <w:rPr>
                <w:rStyle w:val="IndexLink"/>
              </w:rPr>
              <w:t>45</w:t>
            </w:r>
          </w:hyperlink>
        </w:p>
        <w:p>
          <w:pPr>
            <w:pStyle w:val="Contents4"/>
            <w:tabs>
              <w:tab w:val="clear" w:pos="8176"/>
              <w:tab w:val="right" w:pos="9026" w:leader="dot"/>
            </w:tabs>
            <w:rPr/>
          </w:pPr>
          <w:hyperlink w:anchor="__RefHeading___Toc1259346_1468164448">
            <w:r>
              <w:rPr>
                <w:webHidden/>
                <w:rStyle w:val="IndexLink"/>
              </w:rPr>
              <w:t>12</w:t>
            </w:r>
            <w:r>
              <w:rPr>
                <w:rStyle w:val="IndexLink"/>
                <w:rtl w:val="true"/>
              </w:rPr>
              <w:t xml:space="preserve">- </w:t>
            </w:r>
            <w:r>
              <w:rPr>
                <w:rStyle w:val="IndexLink"/>
                <w:rtl w:val="true"/>
              </w:rPr>
              <w:t>ولایت حاکم و قضات در حقوق مدنی</w:t>
            </w:r>
            <w:r>
              <w:rPr>
                <w:rStyle w:val="IndexLink"/>
                <w:rtl w:val="true"/>
              </w:rPr>
              <w:tab/>
            </w:r>
            <w:r>
              <w:rPr>
                <w:rStyle w:val="IndexLink"/>
              </w:rPr>
              <w:t>45</w:t>
            </w:r>
          </w:hyperlink>
        </w:p>
        <w:p>
          <w:pPr>
            <w:pStyle w:val="Contents4"/>
            <w:tabs>
              <w:tab w:val="clear" w:pos="8176"/>
              <w:tab w:val="right" w:pos="9026" w:leader="dot"/>
            </w:tabs>
            <w:rPr/>
          </w:pPr>
          <w:hyperlink w:anchor="__RefHeading___Toc1259348_1468164448">
            <w:r>
              <w:rPr>
                <w:webHidden/>
                <w:rStyle w:val="IndexLink"/>
              </w:rPr>
              <w:t>13</w:t>
            </w:r>
            <w:r>
              <w:rPr>
                <w:rStyle w:val="IndexLink"/>
                <w:rtl w:val="true"/>
              </w:rPr>
              <w:t xml:space="preserve">- </w:t>
            </w:r>
            <w:r>
              <w:rPr>
                <w:rStyle w:val="IndexLink"/>
                <w:rtl w:val="true"/>
              </w:rPr>
              <w:t>شرایط ولایتِ اولیا بر اموال صغار</w:t>
            </w:r>
            <w:r>
              <w:rPr>
                <w:rStyle w:val="IndexLink"/>
                <w:rtl w:val="true"/>
              </w:rPr>
              <w:tab/>
            </w:r>
            <w:r>
              <w:rPr>
                <w:rStyle w:val="IndexLink"/>
              </w:rPr>
              <w:t>46</w:t>
            </w:r>
          </w:hyperlink>
        </w:p>
        <w:p>
          <w:pPr>
            <w:pStyle w:val="Contents4"/>
            <w:tabs>
              <w:tab w:val="clear" w:pos="8176"/>
              <w:tab w:val="right" w:pos="9026" w:leader="dot"/>
            </w:tabs>
            <w:rPr/>
          </w:pPr>
          <w:hyperlink w:anchor="__RefHeading___Toc1259350_1468164448">
            <w:r>
              <w:rPr>
                <w:webHidden/>
                <w:rStyle w:val="IndexLink"/>
              </w:rPr>
              <w:t>14</w:t>
            </w:r>
            <w:r>
              <w:rPr>
                <w:rStyle w:val="IndexLink"/>
                <w:rtl w:val="true"/>
              </w:rPr>
              <w:t xml:space="preserve">- </w:t>
            </w:r>
            <w:r>
              <w:rPr>
                <w:rStyle w:val="IndexLink"/>
                <w:rtl w:val="true"/>
              </w:rPr>
              <w:t>احراز مصلحت یا عدم مفسده</w:t>
            </w:r>
            <w:r>
              <w:rPr>
                <w:rStyle w:val="IndexLink"/>
                <w:rtl w:val="true"/>
              </w:rPr>
              <w:tab/>
            </w:r>
            <w:r>
              <w:rPr>
                <w:rStyle w:val="IndexLink"/>
              </w:rPr>
              <w:t>54</w:t>
            </w:r>
          </w:hyperlink>
        </w:p>
        <w:p>
          <w:pPr>
            <w:pStyle w:val="Contents4"/>
            <w:tabs>
              <w:tab w:val="clear" w:pos="8176"/>
              <w:tab w:val="right" w:pos="9026" w:leader="dot"/>
            </w:tabs>
            <w:rPr/>
          </w:pPr>
          <w:hyperlink w:anchor="__RefHeading___Toc1259352_1468164448">
            <w:r>
              <w:rPr>
                <w:webHidden/>
                <w:rStyle w:val="IndexLink"/>
              </w:rPr>
              <w:t>15</w:t>
            </w:r>
            <w:r>
              <w:rPr>
                <w:rStyle w:val="IndexLink"/>
                <w:rtl w:val="true"/>
              </w:rPr>
              <w:t xml:space="preserve">- </w:t>
            </w:r>
            <w:r>
              <w:rPr>
                <w:rStyle w:val="IndexLink"/>
                <w:rtl w:val="true"/>
              </w:rPr>
              <w:t>عدم نفوذ تصرّفات خالی از مصلحت</w:t>
            </w:r>
            <w:r>
              <w:rPr>
                <w:rStyle w:val="IndexLink"/>
                <w:rtl w:val="true"/>
              </w:rPr>
              <w:tab/>
            </w:r>
            <w:r>
              <w:rPr>
                <w:rStyle w:val="IndexLink"/>
              </w:rPr>
              <w:t>55</w:t>
            </w:r>
          </w:hyperlink>
        </w:p>
        <w:p>
          <w:pPr>
            <w:pStyle w:val="Contents4"/>
            <w:tabs>
              <w:tab w:val="clear" w:pos="8176"/>
              <w:tab w:val="right" w:pos="9026" w:leader="dot"/>
            </w:tabs>
            <w:rPr/>
          </w:pPr>
          <w:hyperlink w:anchor="__RefHeading___Toc1259354_1468164448">
            <w:r>
              <w:rPr>
                <w:webHidden/>
                <w:rStyle w:val="IndexLink"/>
              </w:rPr>
              <w:t>16</w:t>
            </w:r>
            <w:r>
              <w:rPr>
                <w:rStyle w:val="IndexLink"/>
                <w:rtl w:val="true"/>
              </w:rPr>
              <w:t xml:space="preserve">- </w:t>
            </w:r>
            <w:r>
              <w:rPr>
                <w:rStyle w:val="IndexLink"/>
                <w:rtl w:val="true"/>
              </w:rPr>
              <w:t xml:space="preserve">رعایت مصلحت طفل </w:t>
            </w:r>
            <w:r>
              <w:rPr>
                <w:rStyle w:val="IndexLink"/>
                <w:rtl w:val="true"/>
              </w:rPr>
              <w:t>(</w:t>
            </w:r>
            <w:r>
              <w:rPr>
                <w:rStyle w:val="IndexLink"/>
                <w:rtl w:val="true"/>
              </w:rPr>
              <w:t>مولی علیه</w:t>
            </w:r>
            <w:r>
              <w:rPr>
                <w:rStyle w:val="IndexLink"/>
                <w:rtl w:val="true"/>
              </w:rPr>
              <w:t xml:space="preserve">) </w:t>
            </w:r>
            <w:r>
              <w:rPr>
                <w:rStyle w:val="IndexLink"/>
                <w:rtl w:val="true"/>
              </w:rPr>
              <w:t>در حقوق مدنی</w:t>
            </w:r>
            <w:r>
              <w:rPr>
                <w:rStyle w:val="IndexLink"/>
                <w:rtl w:val="true"/>
              </w:rPr>
              <w:tab/>
            </w:r>
            <w:r>
              <w:rPr>
                <w:rStyle w:val="IndexLink"/>
              </w:rPr>
              <w:t>55</w:t>
            </w:r>
          </w:hyperlink>
        </w:p>
        <w:p>
          <w:pPr>
            <w:pStyle w:val="Contents3"/>
            <w:tabs>
              <w:tab w:val="clear" w:pos="8459"/>
              <w:tab w:val="right" w:pos="9026" w:leader="dot"/>
            </w:tabs>
            <w:rPr/>
          </w:pPr>
          <w:hyperlink w:anchor="__RefHeading___Toc1259356_1468164448">
            <w:r>
              <w:rPr>
                <w:webHidden/>
                <w:rStyle w:val="IndexLink"/>
                <w:rtl w:val="true"/>
              </w:rPr>
              <w:t>گفتار دوّم</w:t>
            </w:r>
            <w:r>
              <w:rPr>
                <w:rStyle w:val="IndexLink"/>
                <w:rtl w:val="true"/>
              </w:rPr>
              <w:t xml:space="preserve">: </w:t>
            </w:r>
            <w:r>
              <w:rPr>
                <w:rStyle w:val="IndexLink"/>
                <w:rtl w:val="true"/>
              </w:rPr>
              <w:t>موارد تصرّف اولیا در اموال صغار</w:t>
            </w:r>
            <w:r>
              <w:rPr>
                <w:rStyle w:val="IndexLink"/>
                <w:rtl w:val="true"/>
              </w:rPr>
              <w:tab/>
            </w:r>
            <w:r>
              <w:rPr>
                <w:rStyle w:val="IndexLink"/>
              </w:rPr>
              <w:t>57</w:t>
            </w:r>
          </w:hyperlink>
        </w:p>
        <w:p>
          <w:pPr>
            <w:pStyle w:val="Contents4"/>
            <w:tabs>
              <w:tab w:val="clear" w:pos="8176"/>
              <w:tab w:val="right" w:pos="9026" w:leader="dot"/>
            </w:tabs>
            <w:rPr/>
          </w:pPr>
          <w:hyperlink w:anchor="__RefHeading___Toc1259358_1468164448">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259360_1468164448">
            <w:r>
              <w:rPr>
                <w:webHidden/>
                <w:rStyle w:val="IndexLink"/>
              </w:rPr>
              <w:t>1</w:t>
            </w:r>
            <w:r>
              <w:rPr>
                <w:rStyle w:val="IndexLink"/>
                <w:rtl w:val="true"/>
              </w:rPr>
              <w:t xml:space="preserve">- </w:t>
            </w:r>
            <w:r>
              <w:rPr>
                <w:rStyle w:val="IndexLink"/>
                <w:rtl w:val="true"/>
              </w:rPr>
              <w:t>خرید و فروش و تجارت</w:t>
            </w:r>
            <w:r>
              <w:rPr>
                <w:rStyle w:val="IndexLink"/>
                <w:rtl w:val="true"/>
              </w:rPr>
              <w:tab/>
            </w:r>
            <w:r>
              <w:rPr>
                <w:rStyle w:val="IndexLink"/>
              </w:rPr>
              <w:t>57</w:t>
            </w:r>
          </w:hyperlink>
        </w:p>
        <w:p>
          <w:pPr>
            <w:pStyle w:val="Contents4"/>
            <w:tabs>
              <w:tab w:val="clear" w:pos="8176"/>
              <w:tab w:val="right" w:pos="9026" w:leader="dot"/>
            </w:tabs>
            <w:rPr/>
          </w:pPr>
          <w:hyperlink w:anchor="__RefHeading___Toc1259362_1468164448">
            <w:r>
              <w:rPr>
                <w:webHidden/>
                <w:rStyle w:val="IndexLink"/>
              </w:rPr>
              <w:t>2</w:t>
            </w:r>
            <w:r>
              <w:rPr>
                <w:rStyle w:val="IndexLink"/>
                <w:rtl w:val="true"/>
              </w:rPr>
              <w:t xml:space="preserve">- </w:t>
            </w:r>
            <w:r>
              <w:rPr>
                <w:rStyle w:val="IndexLink"/>
                <w:rtl w:val="true"/>
              </w:rPr>
              <w:t>مصالحه در اموال کودک</w:t>
            </w:r>
            <w:r>
              <w:rPr>
                <w:rStyle w:val="IndexLink"/>
                <w:rtl w:val="true"/>
              </w:rPr>
              <w:tab/>
            </w:r>
            <w:r>
              <w:rPr>
                <w:rStyle w:val="IndexLink"/>
              </w:rPr>
              <w:t>58</w:t>
            </w:r>
          </w:hyperlink>
        </w:p>
        <w:p>
          <w:pPr>
            <w:pStyle w:val="Contents4"/>
            <w:tabs>
              <w:tab w:val="clear" w:pos="8176"/>
              <w:tab w:val="right" w:pos="9026" w:leader="dot"/>
            </w:tabs>
            <w:rPr/>
          </w:pPr>
          <w:hyperlink w:anchor="__RefHeading___Toc1259364_1468164448">
            <w:r>
              <w:rPr>
                <w:webHidden/>
                <w:rStyle w:val="IndexLink"/>
              </w:rPr>
              <w:t>3</w:t>
            </w:r>
            <w:r>
              <w:rPr>
                <w:rStyle w:val="IndexLink"/>
                <w:rtl w:val="true"/>
              </w:rPr>
              <w:t xml:space="preserve">- </w:t>
            </w:r>
            <w:r>
              <w:rPr>
                <w:rStyle w:val="IndexLink"/>
                <w:rtl w:val="true"/>
              </w:rPr>
              <w:t>مضاربه در اموال کودک</w:t>
            </w:r>
            <w:r>
              <w:rPr>
                <w:rStyle w:val="IndexLink"/>
                <w:rtl w:val="true"/>
              </w:rPr>
              <w:tab/>
            </w:r>
            <w:r>
              <w:rPr>
                <w:rStyle w:val="IndexLink"/>
              </w:rPr>
              <w:t>58</w:t>
            </w:r>
          </w:hyperlink>
        </w:p>
        <w:p>
          <w:pPr>
            <w:pStyle w:val="Contents4"/>
            <w:tabs>
              <w:tab w:val="clear" w:pos="8176"/>
              <w:tab w:val="right" w:pos="9026" w:leader="dot"/>
            </w:tabs>
            <w:rPr/>
          </w:pPr>
          <w:hyperlink w:anchor="__RefHeading___Toc1259366_1468164448">
            <w:r>
              <w:rPr>
                <w:webHidden/>
                <w:rStyle w:val="IndexLink"/>
              </w:rPr>
              <w:t>4</w:t>
            </w:r>
            <w:r>
              <w:rPr>
                <w:rStyle w:val="IndexLink"/>
                <w:rtl w:val="true"/>
              </w:rPr>
              <w:t xml:space="preserve">- </w:t>
            </w:r>
            <w:r>
              <w:rPr>
                <w:rStyle w:val="IndexLink"/>
                <w:rtl w:val="true"/>
              </w:rPr>
              <w:t>رهن گذاردن اموال کودک</w:t>
            </w:r>
            <w:r>
              <w:rPr>
                <w:rStyle w:val="IndexLink"/>
                <w:rtl w:val="true"/>
              </w:rPr>
              <w:tab/>
            </w:r>
            <w:r>
              <w:rPr>
                <w:rStyle w:val="IndexLink"/>
              </w:rPr>
              <w:t>59</w:t>
            </w:r>
          </w:hyperlink>
        </w:p>
        <w:p>
          <w:pPr>
            <w:pStyle w:val="Contents4"/>
            <w:tabs>
              <w:tab w:val="clear" w:pos="8176"/>
              <w:tab w:val="right" w:pos="9026" w:leader="dot"/>
            </w:tabs>
            <w:rPr/>
          </w:pPr>
          <w:hyperlink w:anchor="__RefHeading___Toc1259368_1468164448">
            <w:r>
              <w:rPr>
                <w:webHidden/>
                <w:rStyle w:val="IndexLink"/>
              </w:rPr>
              <w:t>5</w:t>
            </w:r>
            <w:r>
              <w:rPr>
                <w:rStyle w:val="IndexLink"/>
                <w:rtl w:val="true"/>
              </w:rPr>
              <w:t xml:space="preserve">- </w:t>
            </w:r>
            <w:r>
              <w:rPr>
                <w:rStyle w:val="IndexLink"/>
                <w:rtl w:val="true"/>
              </w:rPr>
              <w:t>تصرفات ولی قهری به نفع خود</w:t>
            </w:r>
            <w:r>
              <w:rPr>
                <w:rStyle w:val="IndexLink"/>
                <w:rtl w:val="true"/>
              </w:rPr>
              <w:tab/>
            </w:r>
            <w:r>
              <w:rPr>
                <w:rStyle w:val="IndexLink"/>
              </w:rPr>
              <w:t>60</w:t>
            </w:r>
          </w:hyperlink>
        </w:p>
        <w:p>
          <w:pPr>
            <w:pStyle w:val="Contents4"/>
            <w:tabs>
              <w:tab w:val="clear" w:pos="8176"/>
              <w:tab w:val="right" w:pos="9026" w:leader="dot"/>
            </w:tabs>
            <w:rPr/>
          </w:pPr>
          <w:hyperlink w:anchor="__RefHeading___Toc1259370_1468164448">
            <w:r>
              <w:rPr>
                <w:webHidden/>
                <w:rStyle w:val="IndexLink"/>
              </w:rPr>
              <w:t>6</w:t>
            </w:r>
            <w:r>
              <w:rPr>
                <w:rStyle w:val="IndexLink"/>
                <w:rtl w:val="true"/>
              </w:rPr>
              <w:t xml:space="preserve">- </w:t>
            </w:r>
            <w:r>
              <w:rPr>
                <w:rStyle w:val="IndexLink"/>
                <w:rtl w:val="true"/>
              </w:rPr>
              <w:t>اجاره اموال کودک</w:t>
            </w:r>
            <w:r>
              <w:rPr>
                <w:rStyle w:val="IndexLink"/>
                <w:rtl w:val="true"/>
              </w:rPr>
              <w:tab/>
            </w:r>
            <w:r>
              <w:rPr>
                <w:rStyle w:val="IndexLink"/>
              </w:rPr>
              <w:t>61</w:t>
            </w:r>
          </w:hyperlink>
        </w:p>
        <w:p>
          <w:pPr>
            <w:pStyle w:val="Contents4"/>
            <w:tabs>
              <w:tab w:val="clear" w:pos="8176"/>
              <w:tab w:val="right" w:pos="9026" w:leader="dot"/>
            </w:tabs>
            <w:rPr/>
          </w:pPr>
          <w:hyperlink w:anchor="__RefHeading___Toc1259372_1468164448">
            <w:r>
              <w:rPr>
                <w:webHidden/>
                <w:rStyle w:val="IndexLink"/>
              </w:rPr>
              <w:t>7</w:t>
            </w:r>
            <w:r>
              <w:rPr>
                <w:rStyle w:val="IndexLink"/>
                <w:rtl w:val="true"/>
              </w:rPr>
              <w:t xml:space="preserve">- </w:t>
            </w:r>
            <w:r>
              <w:rPr>
                <w:rStyle w:val="IndexLink"/>
                <w:rtl w:val="true"/>
              </w:rPr>
              <w:t>حق الزحمه ولی</w:t>
            </w:r>
            <w:r>
              <w:rPr>
                <w:rStyle w:val="IndexLink"/>
                <w:rtl w:val="true"/>
              </w:rPr>
              <w:tab/>
            </w:r>
            <w:r>
              <w:rPr>
                <w:rStyle w:val="IndexLink"/>
              </w:rPr>
              <w:t>63</w:t>
            </w:r>
          </w:hyperlink>
        </w:p>
        <w:p>
          <w:pPr>
            <w:pStyle w:val="Contents4"/>
            <w:tabs>
              <w:tab w:val="clear" w:pos="8176"/>
              <w:tab w:val="right" w:pos="9026" w:leader="dot"/>
            </w:tabs>
            <w:rPr/>
          </w:pPr>
          <w:hyperlink w:anchor="__RefHeading___Toc1259374_1468164448">
            <w:r>
              <w:rPr>
                <w:webHidden/>
                <w:rStyle w:val="IndexLink"/>
              </w:rPr>
              <w:t>8</w:t>
            </w:r>
            <w:r>
              <w:rPr>
                <w:rStyle w:val="IndexLink"/>
                <w:rtl w:val="true"/>
              </w:rPr>
              <w:t xml:space="preserve">- </w:t>
            </w:r>
            <w:r>
              <w:rPr>
                <w:rStyle w:val="IndexLink"/>
                <w:rtl w:val="true"/>
              </w:rPr>
              <w:t>حق‌الزحمه ولی در حقوق مدنی</w:t>
            </w:r>
            <w:r>
              <w:rPr>
                <w:rStyle w:val="IndexLink"/>
                <w:rtl w:val="true"/>
              </w:rPr>
              <w:tab/>
            </w:r>
            <w:r>
              <w:rPr>
                <w:rStyle w:val="IndexLink"/>
              </w:rPr>
              <w:t>66</w:t>
            </w:r>
          </w:hyperlink>
        </w:p>
        <w:p>
          <w:pPr>
            <w:pStyle w:val="Contents4"/>
            <w:tabs>
              <w:tab w:val="clear" w:pos="8176"/>
              <w:tab w:val="right" w:pos="9026" w:leader="dot"/>
            </w:tabs>
            <w:rPr/>
          </w:pPr>
          <w:hyperlink w:anchor="__RefHeading___Toc1259376_1468164448">
            <w:r>
              <w:rPr>
                <w:webHidden/>
                <w:rStyle w:val="IndexLink"/>
              </w:rPr>
              <w:t>9</w:t>
            </w:r>
            <w:r>
              <w:rPr>
                <w:rStyle w:val="IndexLink"/>
                <w:rtl w:val="true"/>
              </w:rPr>
              <w:t xml:space="preserve">- </w:t>
            </w:r>
            <w:r>
              <w:rPr>
                <w:rStyle w:val="IndexLink"/>
                <w:rtl w:val="true"/>
              </w:rPr>
              <w:t>استیفای حقوق مختلف کودک</w:t>
            </w:r>
            <w:r>
              <w:rPr>
                <w:rStyle w:val="IndexLink"/>
                <w:rtl w:val="true"/>
              </w:rPr>
              <w:tab/>
            </w:r>
            <w:r>
              <w:rPr>
                <w:rStyle w:val="IndexLink"/>
              </w:rPr>
              <w:t>67</w:t>
            </w:r>
          </w:hyperlink>
        </w:p>
        <w:p>
          <w:pPr>
            <w:pStyle w:val="Contents4"/>
            <w:tabs>
              <w:tab w:val="clear" w:pos="8176"/>
              <w:tab w:val="right" w:pos="9026" w:leader="dot"/>
            </w:tabs>
            <w:rPr/>
          </w:pPr>
          <w:hyperlink w:anchor="__RefHeading___Toc1259378_1468164448">
            <w:r>
              <w:rPr>
                <w:webHidden/>
                <w:rStyle w:val="IndexLink"/>
              </w:rPr>
              <w:t>10</w:t>
            </w:r>
            <w:r>
              <w:rPr>
                <w:rStyle w:val="IndexLink"/>
                <w:rtl w:val="true"/>
              </w:rPr>
              <w:t xml:space="preserve">- </w:t>
            </w:r>
            <w:r>
              <w:rPr>
                <w:rStyle w:val="IndexLink"/>
                <w:rtl w:val="true"/>
              </w:rPr>
              <w:t>موارد سقوط ولایت اولیا بر اموال صغار</w:t>
            </w:r>
            <w:r>
              <w:rPr>
                <w:rStyle w:val="IndexLink"/>
                <w:rtl w:val="true"/>
              </w:rPr>
              <w:tab/>
            </w:r>
            <w:r>
              <w:rPr>
                <w:rStyle w:val="IndexLink"/>
              </w:rPr>
              <w:t>71</w:t>
            </w:r>
          </w:hyperlink>
        </w:p>
        <w:p>
          <w:pPr>
            <w:pStyle w:val="Contents2"/>
            <w:tabs>
              <w:tab w:val="clear" w:pos="8743"/>
              <w:tab w:val="right" w:pos="9026" w:leader="dot"/>
            </w:tabs>
            <w:rPr/>
          </w:pPr>
          <w:hyperlink w:anchor="__RefHeading___Toc1259380_1468164448">
            <w:r>
              <w:rPr>
                <w:webHidden/>
                <w:rStyle w:val="IndexLink"/>
                <w:rtl w:val="true"/>
              </w:rPr>
              <w:t>فصل دهم</w:t>
            </w:r>
            <w:r>
              <w:rPr>
                <w:rStyle w:val="IndexLink"/>
                <w:rtl w:val="true"/>
              </w:rPr>
              <w:t xml:space="preserve">: </w:t>
            </w:r>
            <w:r>
              <w:rPr>
                <w:rStyle w:val="IndexLink"/>
                <w:rtl w:val="true"/>
              </w:rPr>
              <w:t>ولایت بر نکاح صغار</w:t>
            </w:r>
            <w:r>
              <w:rPr>
                <w:rStyle w:val="IndexLink"/>
                <w:rtl w:val="true"/>
              </w:rPr>
              <w:tab/>
            </w:r>
            <w:r>
              <w:rPr>
                <w:rStyle w:val="IndexLink"/>
              </w:rPr>
              <w:t>73</w:t>
            </w:r>
          </w:hyperlink>
        </w:p>
        <w:p>
          <w:pPr>
            <w:pStyle w:val="Contents3"/>
            <w:tabs>
              <w:tab w:val="clear" w:pos="8459"/>
              <w:tab w:val="right" w:pos="9026" w:leader="dot"/>
            </w:tabs>
            <w:rPr/>
          </w:pPr>
          <w:hyperlink w:anchor="__RefHeading___Toc1259382_1468164448">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259384_1468164448">
            <w:r>
              <w:rPr>
                <w:webHidden/>
                <w:rStyle w:val="IndexLink"/>
                <w:rtl w:val="true"/>
              </w:rPr>
              <w:t>گفتار اوّل</w:t>
            </w:r>
            <w:r>
              <w:rPr>
                <w:rStyle w:val="IndexLink"/>
                <w:rtl w:val="true"/>
              </w:rPr>
              <w:t xml:space="preserve">: </w:t>
            </w:r>
            <w:r>
              <w:rPr>
                <w:rStyle w:val="IndexLink"/>
                <w:rtl w:val="true"/>
              </w:rPr>
              <w:t>ولایت پدر، جدّ پدری، وصی و حاکم بر نکاح صغار</w:t>
            </w:r>
            <w:r>
              <w:rPr>
                <w:rStyle w:val="IndexLink"/>
                <w:rtl w:val="true"/>
              </w:rPr>
              <w:tab/>
            </w:r>
            <w:r>
              <w:rPr>
                <w:rStyle w:val="IndexLink"/>
              </w:rPr>
              <w:t>74</w:t>
            </w:r>
          </w:hyperlink>
        </w:p>
        <w:p>
          <w:pPr>
            <w:pStyle w:val="Contents4"/>
            <w:tabs>
              <w:tab w:val="clear" w:pos="8176"/>
              <w:tab w:val="right" w:pos="9026" w:leader="dot"/>
            </w:tabs>
            <w:rPr/>
          </w:pPr>
          <w:hyperlink w:anchor="__RefHeading___Toc1259386_1468164448">
            <w:r>
              <w:rPr>
                <w:webHidden/>
                <w:rStyle w:val="IndexLink"/>
              </w:rPr>
              <w:t>1</w:t>
            </w:r>
            <w:r>
              <w:rPr>
                <w:rStyle w:val="IndexLink"/>
                <w:rtl w:val="true"/>
              </w:rPr>
              <w:t xml:space="preserve">- </w:t>
            </w:r>
            <w:r>
              <w:rPr>
                <w:rStyle w:val="IndexLink"/>
                <w:rtl w:val="true"/>
              </w:rPr>
              <w:t>ولایت پدر و جدّ پدری</w:t>
            </w:r>
            <w:r>
              <w:rPr>
                <w:rStyle w:val="IndexLink"/>
                <w:rtl w:val="true"/>
              </w:rPr>
              <w:tab/>
            </w:r>
            <w:r>
              <w:rPr>
                <w:rStyle w:val="IndexLink"/>
              </w:rPr>
              <w:t>74</w:t>
            </w:r>
          </w:hyperlink>
        </w:p>
        <w:p>
          <w:pPr>
            <w:pStyle w:val="Contents4"/>
            <w:tabs>
              <w:tab w:val="clear" w:pos="8176"/>
              <w:tab w:val="right" w:pos="9026" w:leader="dot"/>
            </w:tabs>
            <w:rPr/>
          </w:pPr>
          <w:hyperlink w:anchor="__RefHeading___Toc1259388_1468164448">
            <w:r>
              <w:rPr>
                <w:webHidden/>
                <w:rStyle w:val="IndexLink"/>
              </w:rPr>
              <w:t>2</w:t>
            </w:r>
            <w:r>
              <w:rPr>
                <w:rStyle w:val="IndexLink"/>
                <w:rtl w:val="true"/>
              </w:rPr>
              <w:t xml:space="preserve">- </w:t>
            </w:r>
            <w:r>
              <w:rPr>
                <w:rStyle w:val="IndexLink"/>
                <w:rtl w:val="true"/>
              </w:rPr>
              <w:t>ادلّه ولایت پدر و جدّ پدری بر تزویج صغار</w:t>
            </w:r>
            <w:r>
              <w:rPr>
                <w:rStyle w:val="IndexLink"/>
                <w:rtl w:val="true"/>
              </w:rPr>
              <w:tab/>
            </w:r>
            <w:r>
              <w:rPr>
                <w:rStyle w:val="IndexLink"/>
              </w:rPr>
              <w:t>74</w:t>
            </w:r>
          </w:hyperlink>
        </w:p>
        <w:p>
          <w:pPr>
            <w:pStyle w:val="Contents4"/>
            <w:tabs>
              <w:tab w:val="clear" w:pos="8176"/>
              <w:tab w:val="right" w:pos="9026" w:leader="dot"/>
            </w:tabs>
            <w:rPr/>
          </w:pPr>
          <w:hyperlink w:anchor="__RefHeading___Toc1259390_1468164448">
            <w:r>
              <w:rPr>
                <w:webHidden/>
                <w:rStyle w:val="IndexLink"/>
              </w:rPr>
              <w:t>3</w:t>
            </w:r>
            <w:r>
              <w:rPr>
                <w:rStyle w:val="IndexLink"/>
                <w:rtl w:val="true"/>
              </w:rPr>
              <w:t xml:space="preserve">- </w:t>
            </w:r>
            <w:r>
              <w:rPr>
                <w:rStyle w:val="IndexLink"/>
                <w:rtl w:val="true"/>
              </w:rPr>
              <w:t>تذکّر چند مطلب</w:t>
            </w:r>
            <w:r>
              <w:rPr>
                <w:rStyle w:val="IndexLink"/>
                <w:rtl w:val="true"/>
              </w:rPr>
              <w:tab/>
            </w:r>
            <w:r>
              <w:rPr>
                <w:rStyle w:val="IndexLink"/>
              </w:rPr>
              <w:t>77</w:t>
            </w:r>
          </w:hyperlink>
        </w:p>
        <w:p>
          <w:pPr>
            <w:pStyle w:val="Contents4"/>
            <w:tabs>
              <w:tab w:val="clear" w:pos="8176"/>
              <w:tab w:val="right" w:pos="9026" w:leader="dot"/>
            </w:tabs>
            <w:rPr/>
          </w:pPr>
          <w:hyperlink w:anchor="__RefHeading___Toc1259392_1468164448">
            <w:r>
              <w:rPr>
                <w:webHidden/>
                <w:rStyle w:val="IndexLink"/>
              </w:rPr>
              <w:t>4</w:t>
            </w:r>
            <w:r>
              <w:rPr>
                <w:rStyle w:val="IndexLink"/>
                <w:rtl w:val="true"/>
              </w:rPr>
              <w:t xml:space="preserve">- </w:t>
            </w:r>
            <w:r>
              <w:rPr>
                <w:rStyle w:val="IndexLink"/>
                <w:rtl w:val="true"/>
              </w:rPr>
              <w:t>ولایت پدر و جدّ پدری بر تزویج صغار در حقوق مدنی</w:t>
            </w:r>
            <w:r>
              <w:rPr>
                <w:rStyle w:val="IndexLink"/>
                <w:rtl w:val="true"/>
              </w:rPr>
              <w:tab/>
            </w:r>
            <w:r>
              <w:rPr>
                <w:rStyle w:val="IndexLink"/>
              </w:rPr>
              <w:t>77</w:t>
            </w:r>
          </w:hyperlink>
        </w:p>
        <w:p>
          <w:pPr>
            <w:pStyle w:val="Contents4"/>
            <w:tabs>
              <w:tab w:val="clear" w:pos="8176"/>
              <w:tab w:val="right" w:pos="9026" w:leader="dot"/>
            </w:tabs>
            <w:rPr/>
          </w:pPr>
          <w:hyperlink w:anchor="__RefHeading___Toc1259394_1468164448">
            <w:r>
              <w:rPr>
                <w:webHidden/>
                <w:rStyle w:val="IndexLink"/>
              </w:rPr>
              <w:t>5</w:t>
            </w:r>
            <w:r>
              <w:rPr>
                <w:rStyle w:val="IndexLink"/>
                <w:rtl w:val="true"/>
              </w:rPr>
              <w:t xml:space="preserve">- </w:t>
            </w:r>
            <w:r>
              <w:rPr>
                <w:rStyle w:val="IndexLink"/>
                <w:rtl w:val="true"/>
              </w:rPr>
              <w:t>ولایت وصی بر نکاح صغار</w:t>
            </w:r>
            <w:r>
              <w:rPr>
                <w:rStyle w:val="IndexLink"/>
                <w:rtl w:val="true"/>
              </w:rPr>
              <w:tab/>
            </w:r>
            <w:r>
              <w:rPr>
                <w:rStyle w:val="IndexLink"/>
              </w:rPr>
              <w:t>78</w:t>
            </w:r>
          </w:hyperlink>
        </w:p>
        <w:p>
          <w:pPr>
            <w:pStyle w:val="Contents4"/>
            <w:tabs>
              <w:tab w:val="clear" w:pos="8176"/>
              <w:tab w:val="right" w:pos="9026" w:leader="dot"/>
            </w:tabs>
            <w:rPr/>
          </w:pPr>
          <w:hyperlink w:anchor="__RefHeading___Toc1259396_1468164448">
            <w:r>
              <w:rPr>
                <w:webHidden/>
                <w:rStyle w:val="IndexLink"/>
              </w:rPr>
              <w:t>6</w:t>
            </w:r>
            <w:r>
              <w:rPr>
                <w:rStyle w:val="IndexLink"/>
                <w:rtl w:val="true"/>
              </w:rPr>
              <w:t xml:space="preserve">- </w:t>
            </w:r>
            <w:r>
              <w:rPr>
                <w:rStyle w:val="IndexLink"/>
                <w:rtl w:val="true"/>
              </w:rPr>
              <w:t>ولایت حاکم بر نکاح صغار</w:t>
            </w:r>
            <w:r>
              <w:rPr>
                <w:rStyle w:val="IndexLink"/>
                <w:rtl w:val="true"/>
              </w:rPr>
              <w:tab/>
            </w:r>
            <w:r>
              <w:rPr>
                <w:rStyle w:val="IndexLink"/>
              </w:rPr>
              <w:t>80</w:t>
            </w:r>
          </w:hyperlink>
        </w:p>
        <w:p>
          <w:pPr>
            <w:pStyle w:val="Contents4"/>
            <w:tabs>
              <w:tab w:val="clear" w:pos="8176"/>
              <w:tab w:val="right" w:pos="9026" w:leader="dot"/>
            </w:tabs>
            <w:rPr/>
          </w:pPr>
          <w:hyperlink w:anchor="__RefHeading___Toc1259398_1468164448">
            <w:r>
              <w:rPr>
                <w:webHidden/>
                <w:rStyle w:val="IndexLink"/>
              </w:rPr>
              <w:t>7</w:t>
            </w:r>
            <w:r>
              <w:rPr>
                <w:rStyle w:val="IndexLink"/>
                <w:rtl w:val="true"/>
              </w:rPr>
              <w:t xml:space="preserve">- </w:t>
            </w:r>
            <w:r>
              <w:rPr>
                <w:rStyle w:val="IndexLink"/>
                <w:rtl w:val="true"/>
              </w:rPr>
              <w:t>شرایط ولی در اعمال ولایت بر نکاح صغار</w:t>
            </w:r>
            <w:r>
              <w:rPr>
                <w:rStyle w:val="IndexLink"/>
                <w:rtl w:val="true"/>
              </w:rPr>
              <w:tab/>
            </w:r>
            <w:r>
              <w:rPr>
                <w:rStyle w:val="IndexLink"/>
              </w:rPr>
              <w:t>82</w:t>
            </w:r>
          </w:hyperlink>
        </w:p>
        <w:p>
          <w:pPr>
            <w:pStyle w:val="Contents4"/>
            <w:tabs>
              <w:tab w:val="clear" w:pos="8176"/>
              <w:tab w:val="right" w:pos="9026" w:leader="dot"/>
            </w:tabs>
            <w:rPr/>
          </w:pPr>
          <w:hyperlink w:anchor="__RefHeading___Toc1259400_1468164448">
            <w:r>
              <w:rPr>
                <w:webHidden/>
                <w:rStyle w:val="IndexLink"/>
              </w:rPr>
              <w:t>8</w:t>
            </w:r>
            <w:r>
              <w:rPr>
                <w:rStyle w:val="IndexLink"/>
                <w:rtl w:val="true"/>
              </w:rPr>
              <w:t xml:space="preserve">- </w:t>
            </w:r>
            <w:r>
              <w:rPr>
                <w:rStyle w:val="IndexLink"/>
                <w:rtl w:val="true"/>
              </w:rPr>
              <w:t>رعایت مصلحت در نکاح صغار از دیدگاه قانون مدنی</w:t>
            </w:r>
            <w:r>
              <w:rPr>
                <w:rStyle w:val="IndexLink"/>
                <w:rtl w:val="true"/>
              </w:rPr>
              <w:tab/>
            </w:r>
            <w:r>
              <w:rPr>
                <w:rStyle w:val="IndexLink"/>
              </w:rPr>
              <w:t>85</w:t>
            </w:r>
          </w:hyperlink>
        </w:p>
        <w:p>
          <w:pPr>
            <w:pStyle w:val="Contents3"/>
            <w:tabs>
              <w:tab w:val="clear" w:pos="8459"/>
              <w:tab w:val="right" w:pos="9026" w:leader="dot"/>
            </w:tabs>
            <w:rPr/>
          </w:pPr>
          <w:hyperlink w:anchor="__RefHeading___Toc1259402_1468164448">
            <w:r>
              <w:rPr>
                <w:webHidden/>
                <w:rStyle w:val="IndexLink"/>
                <w:rtl w:val="true"/>
              </w:rPr>
              <w:t>گفتار دوّم</w:t>
            </w:r>
            <w:r>
              <w:rPr>
                <w:rStyle w:val="IndexLink"/>
                <w:rtl w:val="true"/>
              </w:rPr>
              <w:t xml:space="preserve">: </w:t>
            </w:r>
            <w:r>
              <w:rPr>
                <w:rStyle w:val="IndexLink"/>
                <w:rtl w:val="true"/>
              </w:rPr>
              <w:t>احکام وآثار نکاح صغار</w:t>
            </w:r>
            <w:r>
              <w:rPr>
                <w:rStyle w:val="IndexLink"/>
                <w:rtl w:val="true"/>
              </w:rPr>
              <w:tab/>
            </w:r>
            <w:r>
              <w:rPr>
                <w:rStyle w:val="IndexLink"/>
              </w:rPr>
              <w:t>87</w:t>
            </w:r>
          </w:hyperlink>
        </w:p>
        <w:p>
          <w:pPr>
            <w:pStyle w:val="Contents4"/>
            <w:tabs>
              <w:tab w:val="clear" w:pos="8176"/>
              <w:tab w:val="right" w:pos="9026" w:leader="dot"/>
            </w:tabs>
            <w:rPr/>
          </w:pPr>
          <w:hyperlink w:anchor="__RefHeading___Toc1259404_1468164448">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259406_1468164448">
            <w:r>
              <w:rPr>
                <w:webHidden/>
                <w:rStyle w:val="IndexLink"/>
                <w:rtl w:val="true"/>
              </w:rPr>
              <w:t>الف</w:t>
            </w:r>
            <w:r>
              <w:rPr>
                <w:rStyle w:val="IndexLink"/>
                <w:rtl w:val="true"/>
              </w:rPr>
              <w:t xml:space="preserve">: </w:t>
            </w:r>
            <w:r>
              <w:rPr>
                <w:rStyle w:val="IndexLink"/>
                <w:rtl w:val="true"/>
              </w:rPr>
              <w:t>تضمین مهریّه</w:t>
            </w:r>
            <w:r>
              <w:rPr>
                <w:rStyle w:val="IndexLink"/>
                <w:rtl w:val="true"/>
              </w:rPr>
              <w:tab/>
            </w:r>
            <w:r>
              <w:rPr>
                <w:rStyle w:val="IndexLink"/>
              </w:rPr>
              <w:t>87</w:t>
            </w:r>
          </w:hyperlink>
        </w:p>
        <w:p>
          <w:pPr>
            <w:pStyle w:val="Contents4"/>
            <w:tabs>
              <w:tab w:val="clear" w:pos="8176"/>
              <w:tab w:val="right" w:pos="9026" w:leader="dot"/>
            </w:tabs>
            <w:rPr/>
          </w:pPr>
          <w:hyperlink w:anchor="__RefHeading___Toc1259408_1468164448">
            <w:r>
              <w:rPr>
                <w:webHidden/>
                <w:rStyle w:val="IndexLink"/>
                <w:rtl w:val="true"/>
              </w:rPr>
              <w:t>ب</w:t>
            </w:r>
            <w:r>
              <w:rPr>
                <w:rStyle w:val="IndexLink"/>
                <w:rtl w:val="true"/>
              </w:rPr>
              <w:t xml:space="preserve">: </w:t>
            </w:r>
            <w:r>
              <w:rPr>
                <w:rStyle w:val="IndexLink"/>
                <w:rtl w:val="true"/>
              </w:rPr>
              <w:t>حرمت ازدواج</w:t>
            </w:r>
            <w:r>
              <w:rPr>
                <w:rStyle w:val="IndexLink"/>
                <w:rtl w:val="true"/>
              </w:rPr>
              <w:tab/>
            </w:r>
            <w:r>
              <w:rPr>
                <w:rStyle w:val="IndexLink"/>
              </w:rPr>
              <w:t>87</w:t>
            </w:r>
          </w:hyperlink>
        </w:p>
        <w:p>
          <w:pPr>
            <w:pStyle w:val="Contents4"/>
            <w:tabs>
              <w:tab w:val="clear" w:pos="8176"/>
              <w:tab w:val="right" w:pos="9026" w:leader="dot"/>
            </w:tabs>
            <w:rPr/>
          </w:pPr>
          <w:hyperlink w:anchor="__RefHeading___Toc1259410_1468164448">
            <w:r>
              <w:rPr>
                <w:webHidden/>
                <w:rStyle w:val="IndexLink"/>
                <w:rtl w:val="true"/>
              </w:rPr>
              <w:t>ج</w:t>
            </w:r>
            <w:r>
              <w:rPr>
                <w:rStyle w:val="IndexLink"/>
                <w:rtl w:val="true"/>
              </w:rPr>
              <w:t xml:space="preserve">: </w:t>
            </w:r>
            <w:r>
              <w:rPr>
                <w:rStyle w:val="IndexLink"/>
                <w:rtl w:val="true"/>
              </w:rPr>
              <w:t>عدم اختیار بر فسخ نکاح بعد از بلوغ</w:t>
            </w:r>
            <w:r>
              <w:rPr>
                <w:rStyle w:val="IndexLink"/>
                <w:rtl w:val="true"/>
              </w:rPr>
              <w:tab/>
            </w:r>
            <w:r>
              <w:rPr>
                <w:rStyle w:val="IndexLink"/>
              </w:rPr>
              <w:t>88</w:t>
            </w:r>
          </w:hyperlink>
        </w:p>
        <w:p>
          <w:pPr>
            <w:pStyle w:val="Contents4"/>
            <w:tabs>
              <w:tab w:val="clear" w:pos="8176"/>
              <w:tab w:val="right" w:pos="9026" w:leader="dot"/>
            </w:tabs>
            <w:rPr/>
          </w:pPr>
          <w:hyperlink w:anchor="__RefHeading___Toc1259412_1468164448">
            <w:r>
              <w:rPr>
                <w:webHidden/>
                <w:rStyle w:val="IndexLink"/>
                <w:rtl w:val="true"/>
              </w:rPr>
              <w:t>د</w:t>
            </w:r>
            <w:r>
              <w:rPr>
                <w:rStyle w:val="IndexLink"/>
                <w:rtl w:val="true"/>
              </w:rPr>
              <w:t xml:space="preserve">: </w:t>
            </w:r>
            <w:r>
              <w:rPr>
                <w:rStyle w:val="IndexLink"/>
                <w:rtl w:val="true"/>
              </w:rPr>
              <w:t>حرمت نزدیکی با زوجه صغیره</w:t>
            </w:r>
            <w:r>
              <w:rPr>
                <w:rStyle w:val="IndexLink"/>
                <w:rtl w:val="true"/>
              </w:rPr>
              <w:tab/>
            </w:r>
            <w:r>
              <w:rPr>
                <w:rStyle w:val="IndexLink"/>
              </w:rPr>
              <w:t>89</w:t>
            </w:r>
          </w:hyperlink>
        </w:p>
        <w:p>
          <w:pPr>
            <w:pStyle w:val="Contents4"/>
            <w:tabs>
              <w:tab w:val="clear" w:pos="8176"/>
              <w:tab w:val="right" w:pos="9026" w:leader="dot"/>
            </w:tabs>
            <w:rPr/>
          </w:pPr>
          <w:hyperlink w:anchor="__RefHeading___Toc1259414_1468164448">
            <w:r>
              <w:rPr>
                <w:webHidden/>
                <w:rStyle w:val="IndexLink"/>
                <w:rtl w:val="true"/>
              </w:rPr>
              <w:t xml:space="preserve">ه </w:t>
            </w:r>
            <w:r>
              <w:rPr>
                <w:rStyle w:val="IndexLink"/>
                <w:rtl w:val="true"/>
              </w:rPr>
              <w:t xml:space="preserve">-: </w:t>
            </w:r>
            <w:r>
              <w:rPr>
                <w:rStyle w:val="IndexLink"/>
                <w:rtl w:val="true"/>
              </w:rPr>
              <w:t>مجازات نزدیکی با زوجه صغیره</w:t>
            </w:r>
            <w:r>
              <w:rPr>
                <w:rStyle w:val="IndexLink"/>
                <w:rtl w:val="true"/>
              </w:rPr>
              <w:tab/>
            </w:r>
            <w:r>
              <w:rPr>
                <w:rStyle w:val="IndexLink"/>
              </w:rPr>
              <w:t>89</w:t>
            </w:r>
          </w:hyperlink>
        </w:p>
        <w:p>
          <w:pPr>
            <w:pStyle w:val="Contents4"/>
            <w:tabs>
              <w:tab w:val="clear" w:pos="8176"/>
              <w:tab w:val="right" w:pos="9026" w:leader="dot"/>
            </w:tabs>
            <w:rPr/>
          </w:pPr>
          <w:hyperlink w:anchor="__RefHeading___Toc1259416_1468164448">
            <w:r>
              <w:rPr>
                <w:webHidden/>
                <w:rStyle w:val="IndexLink"/>
                <w:rtl w:val="true"/>
              </w:rPr>
              <w:t>و</w:t>
            </w:r>
            <w:r>
              <w:rPr>
                <w:rStyle w:val="IndexLink"/>
                <w:rtl w:val="true"/>
              </w:rPr>
              <w:t xml:space="preserve">: </w:t>
            </w:r>
            <w:r>
              <w:rPr>
                <w:rStyle w:val="IndexLink"/>
                <w:rtl w:val="true"/>
              </w:rPr>
              <w:t>وجوب پرداخت نفقه زوجه صغیره</w:t>
            </w:r>
            <w:r>
              <w:rPr>
                <w:rStyle w:val="IndexLink"/>
                <w:rtl w:val="true"/>
              </w:rPr>
              <w:tab/>
            </w:r>
            <w:r>
              <w:rPr>
                <w:rStyle w:val="IndexLink"/>
              </w:rPr>
              <w:t>90</w:t>
            </w:r>
          </w:hyperlink>
        </w:p>
        <w:p>
          <w:pPr>
            <w:pStyle w:val="Contents4"/>
            <w:tabs>
              <w:tab w:val="clear" w:pos="8176"/>
              <w:tab w:val="right" w:pos="9026" w:leader="dot"/>
            </w:tabs>
            <w:rPr/>
          </w:pPr>
          <w:hyperlink w:anchor="__RefHeading___Toc1259418_1468164448">
            <w:r>
              <w:rPr>
                <w:webHidden/>
                <w:rStyle w:val="IndexLink"/>
                <w:rtl w:val="true"/>
              </w:rPr>
              <w:t>ز</w:t>
            </w:r>
            <w:r>
              <w:rPr>
                <w:rStyle w:val="IndexLink"/>
                <w:rtl w:val="true"/>
              </w:rPr>
              <w:t xml:space="preserve">: </w:t>
            </w:r>
            <w:r>
              <w:rPr>
                <w:rStyle w:val="IndexLink"/>
                <w:rtl w:val="true"/>
              </w:rPr>
              <w:t>عدم رعایت مصلحت در نکاح صغار</w:t>
            </w:r>
            <w:r>
              <w:rPr>
                <w:rStyle w:val="IndexLink"/>
                <w:rtl w:val="true"/>
              </w:rPr>
              <w:tab/>
            </w:r>
            <w:r>
              <w:rPr>
                <w:rStyle w:val="IndexLink"/>
              </w:rPr>
              <w:t>91</w:t>
            </w:r>
          </w:hyperlink>
        </w:p>
        <w:p>
          <w:pPr>
            <w:pStyle w:val="Contents4"/>
            <w:tabs>
              <w:tab w:val="clear" w:pos="8176"/>
              <w:tab w:val="right" w:pos="9026" w:leader="dot"/>
            </w:tabs>
            <w:rPr/>
          </w:pPr>
          <w:hyperlink w:anchor="__RefHeading___Toc1259420_1468164448">
            <w:r>
              <w:rPr>
                <w:webHidden/>
                <w:rStyle w:val="IndexLink"/>
                <w:rtl w:val="true"/>
              </w:rPr>
              <w:t>ح</w:t>
            </w:r>
            <w:r>
              <w:rPr>
                <w:rStyle w:val="IndexLink"/>
                <w:rtl w:val="true"/>
              </w:rPr>
              <w:t xml:space="preserve">: </w:t>
            </w:r>
            <w:r>
              <w:rPr>
                <w:rStyle w:val="IndexLink"/>
                <w:rtl w:val="true"/>
              </w:rPr>
              <w:t>توارث بین صغیرین</w:t>
            </w:r>
            <w:r>
              <w:rPr>
                <w:rStyle w:val="IndexLink"/>
                <w:rtl w:val="true"/>
              </w:rPr>
              <w:tab/>
            </w:r>
            <w:r>
              <w:rPr>
                <w:rStyle w:val="IndexLink"/>
              </w:rPr>
              <w:t>92</w:t>
            </w:r>
          </w:hyperlink>
        </w:p>
        <w:p>
          <w:pPr>
            <w:pStyle w:val="Contents3"/>
            <w:tabs>
              <w:tab w:val="clear" w:pos="8459"/>
              <w:tab w:val="right" w:pos="9026" w:leader="dot"/>
            </w:tabs>
            <w:rPr/>
          </w:pPr>
          <w:hyperlink w:anchor="__RefHeading___Toc1259422_1468164448">
            <w:r>
              <w:rPr>
                <w:webHidden/>
                <w:rStyle w:val="IndexLink"/>
                <w:rtl w:val="true"/>
              </w:rPr>
              <w:t>گفتار سوم</w:t>
            </w:r>
            <w:r>
              <w:rPr>
                <w:rStyle w:val="IndexLink"/>
                <w:rtl w:val="true"/>
              </w:rPr>
              <w:t xml:space="preserve">: </w:t>
            </w:r>
            <w:r>
              <w:rPr>
                <w:rStyle w:val="IndexLink"/>
                <w:rtl w:val="true"/>
              </w:rPr>
              <w:t>تحقیق در مسأله ولایت بر ازدواج</w:t>
            </w:r>
            <w:r>
              <w:rPr>
                <w:rStyle w:val="IndexLink"/>
                <w:rtl w:val="true"/>
              </w:rPr>
              <w:tab/>
            </w:r>
            <w:r>
              <w:rPr>
                <w:rStyle w:val="IndexLink"/>
              </w:rPr>
              <w:t>93</w:t>
            </w:r>
          </w:hyperlink>
        </w:p>
        <w:p>
          <w:pPr>
            <w:pStyle w:val="Contents4"/>
            <w:tabs>
              <w:tab w:val="clear" w:pos="8176"/>
              <w:tab w:val="right" w:pos="9026" w:leader="dot"/>
            </w:tabs>
            <w:rPr/>
          </w:pPr>
          <w:hyperlink w:anchor="__RefHeading___Toc1259424_1468164448">
            <w:r>
              <w:rPr>
                <w:webHidden/>
                <w:rStyle w:val="IndexLink"/>
              </w:rPr>
              <w:t>1</w:t>
            </w:r>
            <w:r>
              <w:rPr>
                <w:rStyle w:val="IndexLink"/>
                <w:rtl w:val="true"/>
              </w:rPr>
              <w:t xml:space="preserve">- </w:t>
            </w:r>
            <w:r>
              <w:rPr>
                <w:rStyle w:val="IndexLink"/>
                <w:rtl w:val="true"/>
              </w:rPr>
              <w:t>ایراد بر ولایت بر ازدواج صغار</w:t>
            </w:r>
            <w:r>
              <w:rPr>
                <w:rStyle w:val="IndexLink"/>
                <w:rtl w:val="true"/>
              </w:rPr>
              <w:tab/>
            </w:r>
            <w:r>
              <w:rPr>
                <w:rStyle w:val="IndexLink"/>
              </w:rPr>
              <w:t>93</w:t>
            </w:r>
          </w:hyperlink>
        </w:p>
        <w:p>
          <w:pPr>
            <w:pStyle w:val="Contents4"/>
            <w:tabs>
              <w:tab w:val="clear" w:pos="8176"/>
              <w:tab w:val="right" w:pos="9026" w:leader="dot"/>
            </w:tabs>
            <w:rPr/>
          </w:pPr>
          <w:hyperlink w:anchor="__RefHeading___Toc1259426_1468164448">
            <w:r>
              <w:rPr>
                <w:webHidden/>
                <w:rStyle w:val="IndexLink"/>
              </w:rPr>
              <w:t>2</w:t>
            </w:r>
            <w:r>
              <w:rPr>
                <w:rStyle w:val="IndexLink"/>
                <w:rtl w:val="true"/>
              </w:rPr>
              <w:t xml:space="preserve">- </w:t>
            </w:r>
            <w:r>
              <w:rPr>
                <w:rStyle w:val="IndexLink"/>
                <w:rtl w:val="true"/>
              </w:rPr>
              <w:t>مترقّی بودن حکم ولایت بر نکاح صغار</w:t>
            </w:r>
            <w:r>
              <w:rPr>
                <w:rStyle w:val="IndexLink"/>
                <w:rtl w:val="true"/>
              </w:rPr>
              <w:tab/>
            </w:r>
            <w:r>
              <w:rPr>
                <w:rStyle w:val="IndexLink"/>
              </w:rPr>
              <w:t>94</w:t>
            </w:r>
          </w:hyperlink>
        </w:p>
        <w:p>
          <w:pPr>
            <w:pStyle w:val="Contents4"/>
            <w:tabs>
              <w:tab w:val="clear" w:pos="8176"/>
              <w:tab w:val="right" w:pos="9026" w:leader="dot"/>
            </w:tabs>
            <w:rPr/>
          </w:pPr>
          <w:hyperlink w:anchor="__RefHeading___Toc1259428_1468164448">
            <w:r>
              <w:rPr>
                <w:webHidden/>
                <w:rStyle w:val="IndexLink"/>
              </w:rPr>
              <w:t>3</w:t>
            </w:r>
            <w:r>
              <w:rPr>
                <w:rStyle w:val="IndexLink"/>
                <w:rtl w:val="true"/>
              </w:rPr>
              <w:t xml:space="preserve">- </w:t>
            </w:r>
            <w:r>
              <w:rPr>
                <w:rStyle w:val="IndexLink"/>
                <w:rtl w:val="true"/>
              </w:rPr>
              <w:t>اسلام و مسأله ازدواج جوانان</w:t>
            </w:r>
            <w:r>
              <w:rPr>
                <w:rStyle w:val="IndexLink"/>
                <w:rtl w:val="true"/>
              </w:rPr>
              <w:tab/>
            </w:r>
            <w:r>
              <w:rPr>
                <w:rStyle w:val="IndexLink"/>
              </w:rPr>
              <w:t>101</w:t>
            </w:r>
          </w:hyperlink>
        </w:p>
        <w:p>
          <w:pPr>
            <w:pStyle w:val="Contents2"/>
            <w:tabs>
              <w:tab w:val="clear" w:pos="8743"/>
              <w:tab w:val="right" w:pos="9026" w:leader="dot"/>
            </w:tabs>
            <w:rPr/>
          </w:pPr>
          <w:hyperlink w:anchor="__RefHeading___Toc1259430_1468164448">
            <w:r>
              <w:rPr>
                <w:webHidden/>
                <w:rStyle w:val="IndexLink"/>
                <w:rtl w:val="true"/>
              </w:rPr>
              <w:t>فصل یازدهم</w:t>
            </w:r>
            <w:r>
              <w:rPr>
                <w:rStyle w:val="IndexLink"/>
                <w:rtl w:val="true"/>
              </w:rPr>
              <w:t xml:space="preserve">: </w:t>
            </w:r>
            <w:r>
              <w:rPr>
                <w:rStyle w:val="IndexLink"/>
                <w:rtl w:val="true"/>
              </w:rPr>
              <w:t>اعتقادات کودک</w:t>
            </w:r>
            <w:r>
              <w:rPr>
                <w:rStyle w:val="IndexLink"/>
                <w:rtl w:val="true"/>
              </w:rPr>
              <w:tab/>
            </w:r>
            <w:r>
              <w:rPr>
                <w:rStyle w:val="IndexLink"/>
              </w:rPr>
              <w:t>105</w:t>
            </w:r>
          </w:hyperlink>
        </w:p>
        <w:p>
          <w:pPr>
            <w:pStyle w:val="Contents3"/>
            <w:tabs>
              <w:tab w:val="clear" w:pos="8459"/>
              <w:tab w:val="right" w:pos="9026" w:leader="dot"/>
            </w:tabs>
            <w:rPr/>
          </w:pPr>
          <w:hyperlink w:anchor="__RefHeading___Toc1259432_1468164448">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259434_1468164448">
            <w:r>
              <w:rPr>
                <w:webHidden/>
                <w:rStyle w:val="IndexLink"/>
                <w:rtl w:val="true"/>
              </w:rPr>
              <w:t>گفتار اوّل</w:t>
            </w:r>
            <w:r>
              <w:rPr>
                <w:rStyle w:val="IndexLink"/>
                <w:rtl w:val="true"/>
              </w:rPr>
              <w:t xml:space="preserve">: </w:t>
            </w:r>
            <w:r>
              <w:rPr>
                <w:rStyle w:val="IndexLink"/>
                <w:rtl w:val="true"/>
              </w:rPr>
              <w:t>پاکی و طهارت روحی کودک</w:t>
            </w:r>
            <w:r>
              <w:rPr>
                <w:rStyle w:val="IndexLink"/>
                <w:rtl w:val="true"/>
              </w:rPr>
              <w:tab/>
            </w:r>
            <w:r>
              <w:rPr>
                <w:rStyle w:val="IndexLink"/>
              </w:rPr>
              <w:t>106</w:t>
            </w:r>
          </w:hyperlink>
        </w:p>
        <w:p>
          <w:pPr>
            <w:pStyle w:val="Contents4"/>
            <w:tabs>
              <w:tab w:val="clear" w:pos="8176"/>
              <w:tab w:val="right" w:pos="9026" w:leader="dot"/>
            </w:tabs>
            <w:rPr/>
          </w:pPr>
          <w:hyperlink w:anchor="__RefHeading___Toc1259436_1468164448">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1259438_1468164448">
            <w:r>
              <w:rPr>
                <w:webHidden/>
                <w:rStyle w:val="IndexLink"/>
              </w:rPr>
              <w:t>1</w:t>
            </w:r>
            <w:r>
              <w:rPr>
                <w:rStyle w:val="IndexLink"/>
                <w:rtl w:val="true"/>
              </w:rPr>
              <w:t xml:space="preserve">- </w:t>
            </w:r>
            <w:r>
              <w:rPr>
                <w:rStyle w:val="IndexLink"/>
                <w:rtl w:val="true"/>
              </w:rPr>
              <w:t xml:space="preserve">طهارت روحی کودک </w:t>
            </w:r>
            <w:r>
              <w:rPr>
                <w:rStyle w:val="IndexLink"/>
                <w:rtl w:val="true"/>
              </w:rPr>
              <w:t>(</w:t>
            </w:r>
            <w:r>
              <w:rPr>
                <w:rStyle w:val="IndexLink"/>
                <w:rtl w:val="true"/>
              </w:rPr>
              <w:t>فطرت توحیدی</w:t>
            </w:r>
            <w:r>
              <w:rPr>
                <w:rStyle w:val="IndexLink"/>
                <w:rtl w:val="true"/>
              </w:rPr>
              <w:t>)</w:t>
              <w:tab/>
            </w:r>
            <w:r>
              <w:rPr>
                <w:rStyle w:val="IndexLink"/>
              </w:rPr>
              <w:t>106</w:t>
            </w:r>
          </w:hyperlink>
        </w:p>
        <w:p>
          <w:pPr>
            <w:pStyle w:val="Contents4"/>
            <w:tabs>
              <w:tab w:val="clear" w:pos="8176"/>
              <w:tab w:val="right" w:pos="9026" w:leader="dot"/>
            </w:tabs>
            <w:rPr/>
          </w:pPr>
          <w:hyperlink w:anchor="__RefHeading___Toc1259440_1468164448">
            <w:r>
              <w:rPr>
                <w:webHidden/>
                <w:rStyle w:val="IndexLink"/>
              </w:rPr>
              <w:t>2</w:t>
            </w:r>
            <w:r>
              <w:rPr>
                <w:rStyle w:val="IndexLink"/>
                <w:rtl w:val="true"/>
              </w:rPr>
              <w:t xml:space="preserve">- </w:t>
            </w:r>
            <w:r>
              <w:rPr>
                <w:rStyle w:val="IndexLink"/>
                <w:rtl w:val="true"/>
              </w:rPr>
              <w:t>فطرت توحیدی در قرآن و احادیث</w:t>
            </w:r>
            <w:r>
              <w:rPr>
                <w:rStyle w:val="IndexLink"/>
                <w:rtl w:val="true"/>
              </w:rPr>
              <w:tab/>
            </w:r>
            <w:r>
              <w:rPr>
                <w:rStyle w:val="IndexLink"/>
              </w:rPr>
              <w:t>107</w:t>
            </w:r>
          </w:hyperlink>
        </w:p>
        <w:p>
          <w:pPr>
            <w:pStyle w:val="Contents4"/>
            <w:tabs>
              <w:tab w:val="clear" w:pos="8176"/>
              <w:tab w:val="right" w:pos="9026" w:leader="dot"/>
            </w:tabs>
            <w:rPr/>
          </w:pPr>
          <w:hyperlink w:anchor="__RefHeading___Toc1259442_1468164448">
            <w:r>
              <w:rPr>
                <w:webHidden/>
                <w:rStyle w:val="IndexLink"/>
              </w:rPr>
              <w:t>3</w:t>
            </w:r>
            <w:r>
              <w:rPr>
                <w:rStyle w:val="IndexLink"/>
                <w:rtl w:val="true"/>
              </w:rPr>
              <w:t xml:space="preserve">- </w:t>
            </w:r>
            <w:r>
              <w:rPr>
                <w:rStyle w:val="IndexLink"/>
                <w:rtl w:val="true"/>
              </w:rPr>
              <w:t>فطرت توحیدی جاذبه‌ای نیرومند</w:t>
            </w:r>
            <w:r>
              <w:rPr>
                <w:rStyle w:val="IndexLink"/>
                <w:rtl w:val="true"/>
              </w:rPr>
              <w:tab/>
            </w:r>
            <w:r>
              <w:rPr>
                <w:rStyle w:val="IndexLink"/>
              </w:rPr>
              <w:t>110</w:t>
            </w:r>
          </w:hyperlink>
        </w:p>
        <w:p>
          <w:pPr>
            <w:pStyle w:val="Contents4"/>
            <w:tabs>
              <w:tab w:val="clear" w:pos="8176"/>
              <w:tab w:val="right" w:pos="9026" w:leader="dot"/>
            </w:tabs>
            <w:rPr/>
          </w:pPr>
          <w:hyperlink w:anchor="__RefHeading___Toc1259444_1468164448">
            <w:r>
              <w:rPr>
                <w:webHidden/>
                <w:rStyle w:val="IndexLink"/>
              </w:rPr>
              <w:t>4</w:t>
            </w:r>
            <w:r>
              <w:rPr>
                <w:rStyle w:val="IndexLink"/>
                <w:rtl w:val="true"/>
              </w:rPr>
              <w:t xml:space="preserve">- </w:t>
            </w:r>
            <w:r>
              <w:rPr>
                <w:rStyle w:val="IndexLink"/>
                <w:rtl w:val="true"/>
              </w:rPr>
              <w:t>فطری و واقعی بودن فطرت توحیدی</w:t>
            </w:r>
            <w:r>
              <w:rPr>
                <w:rStyle w:val="IndexLink"/>
                <w:rtl w:val="true"/>
              </w:rPr>
              <w:tab/>
            </w:r>
            <w:r>
              <w:rPr>
                <w:rStyle w:val="IndexLink"/>
              </w:rPr>
              <w:t>111</w:t>
            </w:r>
          </w:hyperlink>
        </w:p>
        <w:p>
          <w:pPr>
            <w:pStyle w:val="Contents4"/>
            <w:tabs>
              <w:tab w:val="clear" w:pos="8176"/>
              <w:tab w:val="right" w:pos="9026" w:leader="dot"/>
            </w:tabs>
            <w:rPr/>
          </w:pPr>
          <w:hyperlink w:anchor="__RefHeading___Toc1259446_1468164448">
            <w:r>
              <w:rPr>
                <w:webHidden/>
                <w:rStyle w:val="IndexLink"/>
              </w:rPr>
              <w:t>5</w:t>
            </w:r>
            <w:r>
              <w:rPr>
                <w:rStyle w:val="IndexLink"/>
                <w:rtl w:val="true"/>
              </w:rPr>
              <w:t xml:space="preserve">- </w:t>
            </w:r>
            <w:r>
              <w:rPr>
                <w:rStyle w:val="IndexLink"/>
                <w:rtl w:val="true"/>
              </w:rPr>
              <w:t>نتیجه بحث</w:t>
            </w:r>
            <w:r>
              <w:rPr>
                <w:rStyle w:val="IndexLink"/>
                <w:rtl w:val="true"/>
              </w:rPr>
              <w:tab/>
            </w:r>
            <w:r>
              <w:rPr>
                <w:rStyle w:val="IndexLink"/>
              </w:rPr>
              <w:t>113</w:t>
            </w:r>
          </w:hyperlink>
        </w:p>
        <w:p>
          <w:pPr>
            <w:pStyle w:val="Contents3"/>
            <w:tabs>
              <w:tab w:val="clear" w:pos="8459"/>
              <w:tab w:val="right" w:pos="9026" w:leader="dot"/>
            </w:tabs>
            <w:rPr/>
          </w:pPr>
          <w:hyperlink w:anchor="__RefHeading___Toc1259448_1468164448">
            <w:r>
              <w:rPr>
                <w:webHidden/>
                <w:rStyle w:val="IndexLink"/>
                <w:rtl w:val="true"/>
              </w:rPr>
              <w:t>گفتار دوّم</w:t>
            </w:r>
            <w:r>
              <w:rPr>
                <w:rStyle w:val="IndexLink"/>
                <w:rtl w:val="true"/>
              </w:rPr>
              <w:t xml:space="preserve">: </w:t>
            </w:r>
            <w:r>
              <w:rPr>
                <w:rStyle w:val="IndexLink"/>
                <w:rtl w:val="true"/>
              </w:rPr>
              <w:t>طهارت جسمی کودک</w:t>
            </w:r>
            <w:r>
              <w:rPr>
                <w:rStyle w:val="IndexLink"/>
                <w:rtl w:val="true"/>
              </w:rPr>
              <w:tab/>
            </w:r>
            <w:r>
              <w:rPr>
                <w:rStyle w:val="IndexLink"/>
              </w:rPr>
              <w:t>114</w:t>
            </w:r>
          </w:hyperlink>
        </w:p>
        <w:p>
          <w:pPr>
            <w:pStyle w:val="Contents4"/>
            <w:tabs>
              <w:tab w:val="clear" w:pos="8176"/>
              <w:tab w:val="right" w:pos="9026" w:leader="dot"/>
            </w:tabs>
            <w:rPr/>
          </w:pPr>
          <w:hyperlink w:anchor="__RefHeading___Toc1259450_1468164448">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259452_1468164448">
            <w:r>
              <w:rPr>
                <w:webHidden/>
                <w:rStyle w:val="IndexLink"/>
              </w:rPr>
              <w:t>1</w:t>
            </w:r>
            <w:r>
              <w:rPr>
                <w:rStyle w:val="IndexLink"/>
                <w:rtl w:val="true"/>
              </w:rPr>
              <w:t xml:space="preserve">- </w:t>
            </w:r>
            <w:r>
              <w:rPr>
                <w:rStyle w:val="IndexLink"/>
                <w:rtl w:val="true"/>
              </w:rPr>
              <w:t>تبعیّت کودک از پدر و مادر مسلمان خود</w:t>
            </w:r>
            <w:r>
              <w:rPr>
                <w:rStyle w:val="IndexLink"/>
                <w:rtl w:val="true"/>
              </w:rPr>
              <w:tab/>
            </w:r>
            <w:r>
              <w:rPr>
                <w:rStyle w:val="IndexLink"/>
              </w:rPr>
              <w:t>114</w:t>
            </w:r>
          </w:hyperlink>
        </w:p>
        <w:p>
          <w:pPr>
            <w:pStyle w:val="Contents4"/>
            <w:tabs>
              <w:tab w:val="clear" w:pos="8176"/>
              <w:tab w:val="right" w:pos="9026" w:leader="dot"/>
            </w:tabs>
            <w:rPr/>
          </w:pPr>
          <w:hyperlink w:anchor="__RefHeading___Toc1259454_1468164448">
            <w:r>
              <w:rPr>
                <w:webHidden/>
                <w:rStyle w:val="IndexLink"/>
              </w:rPr>
              <w:t>2</w:t>
            </w:r>
            <w:r>
              <w:rPr>
                <w:rStyle w:val="IndexLink"/>
                <w:rtl w:val="true"/>
              </w:rPr>
              <w:t xml:space="preserve">- </w:t>
            </w:r>
            <w:r>
              <w:rPr>
                <w:rStyle w:val="IndexLink"/>
                <w:rtl w:val="true"/>
              </w:rPr>
              <w:t>دلایل تبعیّت کودک از پدر و مادر</w:t>
            </w:r>
            <w:r>
              <w:rPr>
                <w:rStyle w:val="IndexLink"/>
                <w:rtl w:val="true"/>
              </w:rPr>
              <w:tab/>
            </w:r>
            <w:r>
              <w:rPr>
                <w:rStyle w:val="IndexLink"/>
              </w:rPr>
              <w:t>115</w:t>
            </w:r>
          </w:hyperlink>
        </w:p>
        <w:p>
          <w:pPr>
            <w:pStyle w:val="Contents4"/>
            <w:tabs>
              <w:tab w:val="clear" w:pos="8176"/>
              <w:tab w:val="right" w:pos="9026" w:leader="dot"/>
            </w:tabs>
            <w:rPr/>
          </w:pPr>
          <w:hyperlink w:anchor="__RefHeading___Toc1259456_1468164448">
            <w:r>
              <w:rPr>
                <w:webHidden/>
                <w:rStyle w:val="IndexLink"/>
              </w:rPr>
              <w:t>3</w:t>
            </w:r>
            <w:r>
              <w:rPr>
                <w:rStyle w:val="IndexLink"/>
                <w:rtl w:val="true"/>
              </w:rPr>
              <w:t xml:space="preserve">- </w:t>
            </w:r>
            <w:r>
              <w:rPr>
                <w:rStyle w:val="IndexLink"/>
                <w:rtl w:val="true"/>
              </w:rPr>
              <w:t>تبعیّت کودک از دار الاسلام</w:t>
            </w:r>
            <w:r>
              <w:rPr>
                <w:rStyle w:val="IndexLink"/>
                <w:rtl w:val="true"/>
              </w:rPr>
              <w:tab/>
            </w:r>
            <w:r>
              <w:rPr>
                <w:rStyle w:val="IndexLink"/>
              </w:rPr>
              <w:t>116</w:t>
            </w:r>
          </w:hyperlink>
        </w:p>
        <w:p>
          <w:pPr>
            <w:pStyle w:val="Contents4"/>
            <w:tabs>
              <w:tab w:val="clear" w:pos="8176"/>
              <w:tab w:val="right" w:pos="9026" w:leader="dot"/>
            </w:tabs>
            <w:rPr/>
          </w:pPr>
          <w:hyperlink w:anchor="__RefHeading___Toc1259458_1468164448">
            <w:r>
              <w:rPr>
                <w:webHidden/>
                <w:rStyle w:val="IndexLink"/>
              </w:rPr>
              <w:t>4</w:t>
            </w:r>
            <w:r>
              <w:rPr>
                <w:rStyle w:val="IndexLink"/>
                <w:rtl w:val="true"/>
              </w:rPr>
              <w:t xml:space="preserve">- </w:t>
            </w:r>
            <w:r>
              <w:rPr>
                <w:rStyle w:val="IndexLink"/>
                <w:rtl w:val="true"/>
              </w:rPr>
              <w:t>طهارت کودک با پذیرش اسلام</w:t>
            </w:r>
            <w:r>
              <w:rPr>
                <w:rStyle w:val="IndexLink"/>
                <w:rtl w:val="true"/>
              </w:rPr>
              <w:tab/>
            </w:r>
            <w:r>
              <w:rPr>
                <w:rStyle w:val="IndexLink"/>
              </w:rPr>
              <w:t>117</w:t>
            </w:r>
          </w:hyperlink>
        </w:p>
        <w:p>
          <w:pPr>
            <w:pStyle w:val="Contents4"/>
            <w:tabs>
              <w:tab w:val="clear" w:pos="8176"/>
              <w:tab w:val="right" w:pos="9026" w:leader="dot"/>
            </w:tabs>
            <w:rPr/>
          </w:pPr>
          <w:hyperlink w:anchor="__RefHeading___Toc1259460_1468164448">
            <w:r>
              <w:rPr>
                <w:webHidden/>
                <w:rStyle w:val="IndexLink"/>
              </w:rPr>
              <w:t>5</w:t>
            </w:r>
            <w:r>
              <w:rPr>
                <w:rStyle w:val="IndexLink"/>
                <w:rtl w:val="true"/>
              </w:rPr>
              <w:t xml:space="preserve">- </w:t>
            </w:r>
            <w:r>
              <w:rPr>
                <w:rStyle w:val="IndexLink"/>
                <w:rtl w:val="true"/>
              </w:rPr>
              <w:t>آزادی عقیده در کنوانسیون حقوق کودک</w:t>
            </w:r>
            <w:r>
              <w:rPr>
                <w:rStyle w:val="IndexLink"/>
                <w:rtl w:val="true"/>
              </w:rPr>
              <w:tab/>
            </w:r>
            <w:r>
              <w:rPr>
                <w:rStyle w:val="IndexLink"/>
              </w:rPr>
              <w:t>121</w:t>
            </w:r>
          </w:hyperlink>
        </w:p>
        <w:p>
          <w:pPr>
            <w:pStyle w:val="Contents4"/>
            <w:tabs>
              <w:tab w:val="clear" w:pos="8176"/>
              <w:tab w:val="right" w:pos="9026" w:leader="dot"/>
            </w:tabs>
            <w:rPr/>
          </w:pPr>
          <w:hyperlink w:anchor="__RefHeading___Toc1259462_1468164448">
            <w:r>
              <w:rPr>
                <w:webHidden/>
                <w:rStyle w:val="IndexLink"/>
              </w:rPr>
              <w:t>6</w:t>
            </w:r>
            <w:r>
              <w:rPr>
                <w:rStyle w:val="IndexLink"/>
                <w:rtl w:val="true"/>
              </w:rPr>
              <w:t xml:space="preserve">- </w:t>
            </w:r>
            <w:r>
              <w:rPr>
                <w:rStyle w:val="IndexLink"/>
                <w:rtl w:val="true"/>
              </w:rPr>
              <w:t>نقد و بررسی</w:t>
            </w:r>
            <w:r>
              <w:rPr>
                <w:rStyle w:val="IndexLink"/>
                <w:rtl w:val="true"/>
              </w:rPr>
              <w:tab/>
            </w:r>
            <w:r>
              <w:rPr>
                <w:rStyle w:val="IndexLink"/>
              </w:rPr>
              <w:t>122</w:t>
            </w:r>
          </w:hyperlink>
        </w:p>
        <w:p>
          <w:pPr>
            <w:pStyle w:val="Contents3"/>
            <w:tabs>
              <w:tab w:val="clear" w:pos="8459"/>
              <w:tab w:val="right" w:pos="9026" w:leader="dot"/>
            </w:tabs>
            <w:rPr/>
          </w:pPr>
          <w:hyperlink w:anchor="__RefHeading___Toc1259464_1468164448">
            <w:r>
              <w:rPr>
                <w:webHidden/>
                <w:rStyle w:val="IndexLink"/>
                <w:rtl w:val="true"/>
              </w:rPr>
              <w:t>گفتار سوّم</w:t>
            </w:r>
            <w:r>
              <w:rPr>
                <w:rStyle w:val="IndexLink"/>
                <w:rtl w:val="true"/>
              </w:rPr>
              <w:t xml:space="preserve">: </w:t>
            </w:r>
            <w:r>
              <w:rPr>
                <w:rStyle w:val="IndexLink"/>
                <w:rtl w:val="true"/>
              </w:rPr>
              <w:t>رعایت احکام مذهبی نسبت به کودک فوت شده</w:t>
            </w:r>
            <w:r>
              <w:rPr>
                <w:rStyle w:val="IndexLink"/>
                <w:rtl w:val="true"/>
              </w:rPr>
              <w:tab/>
            </w:r>
            <w:r>
              <w:rPr>
                <w:rStyle w:val="IndexLink"/>
              </w:rPr>
              <w:t>123</w:t>
            </w:r>
          </w:hyperlink>
        </w:p>
        <w:p>
          <w:pPr>
            <w:pStyle w:val="Contents4"/>
            <w:tabs>
              <w:tab w:val="clear" w:pos="8176"/>
              <w:tab w:val="right" w:pos="9026" w:leader="dot"/>
            </w:tabs>
            <w:rPr/>
          </w:pPr>
          <w:hyperlink w:anchor="__RefHeading___Toc1259466_1468164448">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259468_1468164448">
            <w:r>
              <w:rPr>
                <w:webHidden/>
                <w:rStyle w:val="IndexLink"/>
              </w:rPr>
              <w:t>1</w:t>
            </w:r>
            <w:r>
              <w:rPr>
                <w:rStyle w:val="IndexLink"/>
                <w:rtl w:val="true"/>
              </w:rPr>
              <w:t xml:space="preserve">- </w:t>
            </w:r>
            <w:r>
              <w:rPr>
                <w:rStyle w:val="IndexLink"/>
                <w:rtl w:val="true"/>
              </w:rPr>
              <w:t>تلقین محتضر</w:t>
            </w:r>
            <w:r>
              <w:rPr>
                <w:rStyle w:val="IndexLink"/>
                <w:rtl w:val="true"/>
              </w:rPr>
              <w:tab/>
            </w:r>
            <w:r>
              <w:rPr>
                <w:rStyle w:val="IndexLink"/>
              </w:rPr>
              <w:t>123</w:t>
            </w:r>
          </w:hyperlink>
        </w:p>
        <w:p>
          <w:pPr>
            <w:pStyle w:val="Contents4"/>
            <w:tabs>
              <w:tab w:val="clear" w:pos="8176"/>
              <w:tab w:val="right" w:pos="9026" w:leader="dot"/>
            </w:tabs>
            <w:rPr/>
          </w:pPr>
          <w:hyperlink w:anchor="__RefHeading___Toc1259470_1468164448">
            <w:r>
              <w:rPr>
                <w:webHidden/>
                <w:rStyle w:val="IndexLink"/>
              </w:rPr>
              <w:t>2</w:t>
            </w:r>
            <w:r>
              <w:rPr>
                <w:rStyle w:val="IndexLink"/>
                <w:rtl w:val="true"/>
              </w:rPr>
              <w:t xml:space="preserve">- </w:t>
            </w:r>
            <w:r>
              <w:rPr>
                <w:rStyle w:val="IndexLink"/>
                <w:rtl w:val="true"/>
              </w:rPr>
              <w:t>خواباندن محتضر به طرف قبله</w:t>
            </w:r>
            <w:r>
              <w:rPr>
                <w:rStyle w:val="IndexLink"/>
                <w:rtl w:val="true"/>
              </w:rPr>
              <w:tab/>
            </w:r>
            <w:r>
              <w:rPr>
                <w:rStyle w:val="IndexLink"/>
              </w:rPr>
              <w:t>123</w:t>
            </w:r>
          </w:hyperlink>
        </w:p>
        <w:p>
          <w:pPr>
            <w:pStyle w:val="Contents4"/>
            <w:tabs>
              <w:tab w:val="clear" w:pos="8176"/>
              <w:tab w:val="right" w:pos="9026" w:leader="dot"/>
            </w:tabs>
            <w:rPr/>
          </w:pPr>
          <w:hyperlink w:anchor="__RefHeading___Toc1259472_1468164448">
            <w:r>
              <w:rPr>
                <w:webHidden/>
                <w:rStyle w:val="IndexLink"/>
              </w:rPr>
              <w:t>3</w:t>
            </w:r>
            <w:r>
              <w:rPr>
                <w:rStyle w:val="IndexLink"/>
                <w:rtl w:val="true"/>
              </w:rPr>
              <w:t xml:space="preserve">- </w:t>
            </w:r>
            <w:r>
              <w:rPr>
                <w:rStyle w:val="IndexLink"/>
                <w:rtl w:val="true"/>
              </w:rPr>
              <w:t>غسل میّت</w:t>
            </w:r>
            <w:r>
              <w:rPr>
                <w:rStyle w:val="IndexLink"/>
                <w:rtl w:val="true"/>
              </w:rPr>
              <w:tab/>
            </w:r>
            <w:r>
              <w:rPr>
                <w:rStyle w:val="IndexLink"/>
              </w:rPr>
              <w:t>124</w:t>
            </w:r>
          </w:hyperlink>
        </w:p>
        <w:p>
          <w:pPr>
            <w:pStyle w:val="Contents4"/>
            <w:tabs>
              <w:tab w:val="clear" w:pos="8176"/>
              <w:tab w:val="right" w:pos="9026" w:leader="dot"/>
            </w:tabs>
            <w:rPr/>
          </w:pPr>
          <w:hyperlink w:anchor="__RefHeading___Toc1259474_1468164448">
            <w:r>
              <w:rPr>
                <w:webHidden/>
                <w:rStyle w:val="IndexLink"/>
              </w:rPr>
              <w:t>4</w:t>
            </w:r>
            <w:r>
              <w:rPr>
                <w:rStyle w:val="IndexLink"/>
                <w:rtl w:val="true"/>
              </w:rPr>
              <w:t xml:space="preserve">- </w:t>
            </w:r>
            <w:r>
              <w:rPr>
                <w:rStyle w:val="IndexLink"/>
                <w:rtl w:val="true"/>
              </w:rPr>
              <w:t>وجوب غسلِ کودکِ سقط شده</w:t>
            </w:r>
            <w:r>
              <w:rPr>
                <w:rStyle w:val="IndexLink"/>
                <w:rtl w:val="true"/>
              </w:rPr>
              <w:tab/>
            </w:r>
            <w:r>
              <w:rPr>
                <w:rStyle w:val="IndexLink"/>
              </w:rPr>
              <w:t>124</w:t>
            </w:r>
          </w:hyperlink>
        </w:p>
        <w:p>
          <w:pPr>
            <w:pStyle w:val="Contents4"/>
            <w:tabs>
              <w:tab w:val="clear" w:pos="8176"/>
              <w:tab w:val="right" w:pos="9026" w:leader="dot"/>
            </w:tabs>
            <w:rPr/>
          </w:pPr>
          <w:hyperlink w:anchor="__RefHeading___Toc1259476_1468164448">
            <w:r>
              <w:rPr>
                <w:webHidden/>
                <w:rStyle w:val="IndexLink"/>
              </w:rPr>
              <w:t>5</w:t>
            </w:r>
            <w:r>
              <w:rPr>
                <w:rStyle w:val="IndexLink"/>
                <w:rtl w:val="true"/>
              </w:rPr>
              <w:t xml:space="preserve">- </w:t>
            </w:r>
            <w:r>
              <w:rPr>
                <w:rStyle w:val="IndexLink"/>
                <w:rtl w:val="true"/>
              </w:rPr>
              <w:t>تکفین، حنوط و دفن کودک میّت</w:t>
            </w:r>
            <w:r>
              <w:rPr>
                <w:rStyle w:val="IndexLink"/>
                <w:rtl w:val="true"/>
              </w:rPr>
              <w:tab/>
            </w:r>
            <w:r>
              <w:rPr>
                <w:rStyle w:val="IndexLink"/>
              </w:rPr>
              <w:t>125</w:t>
            </w:r>
          </w:hyperlink>
        </w:p>
        <w:p>
          <w:pPr>
            <w:pStyle w:val="Contents4"/>
            <w:tabs>
              <w:tab w:val="clear" w:pos="8176"/>
              <w:tab w:val="right" w:pos="9026" w:leader="dot"/>
            </w:tabs>
            <w:rPr/>
          </w:pPr>
          <w:hyperlink w:anchor="__RefHeading___Toc1259478_1468164448">
            <w:r>
              <w:rPr>
                <w:webHidden/>
                <w:rStyle w:val="IndexLink"/>
              </w:rPr>
              <w:t>6</w:t>
            </w:r>
            <w:r>
              <w:rPr>
                <w:rStyle w:val="IndexLink"/>
                <w:rtl w:val="true"/>
              </w:rPr>
              <w:t xml:space="preserve">- </w:t>
            </w:r>
            <w:r>
              <w:rPr>
                <w:rStyle w:val="IndexLink"/>
                <w:rtl w:val="true"/>
              </w:rPr>
              <w:t>نماز میّت، بر کودک</w:t>
            </w:r>
            <w:r>
              <w:rPr>
                <w:rStyle w:val="IndexLink"/>
                <w:rtl w:val="true"/>
              </w:rPr>
              <w:tab/>
            </w:r>
            <w:r>
              <w:rPr>
                <w:rStyle w:val="IndexLink"/>
              </w:rPr>
              <w:t>126</w:t>
            </w:r>
          </w:hyperlink>
        </w:p>
        <w:p>
          <w:pPr>
            <w:pStyle w:val="Contents2"/>
            <w:tabs>
              <w:tab w:val="clear" w:pos="8743"/>
              <w:tab w:val="right" w:pos="9026" w:leader="dot"/>
            </w:tabs>
            <w:rPr/>
          </w:pPr>
          <w:hyperlink w:anchor="__RefHeading___Toc1259480_1468164448">
            <w:r>
              <w:rPr>
                <w:webHidden/>
                <w:rStyle w:val="IndexLink"/>
                <w:rtl w:val="true"/>
              </w:rPr>
              <w:t>فصل دوازدهم</w:t>
            </w:r>
            <w:r>
              <w:rPr>
                <w:rStyle w:val="IndexLink"/>
                <w:rtl w:val="true"/>
              </w:rPr>
              <w:t xml:space="preserve">: </w:t>
            </w:r>
            <w:r>
              <w:rPr>
                <w:rStyle w:val="IndexLink"/>
                <w:rtl w:val="true"/>
              </w:rPr>
              <w:t>عبادات کودک</w:t>
            </w:r>
            <w:r>
              <w:rPr>
                <w:rStyle w:val="IndexLink"/>
                <w:rtl w:val="true"/>
              </w:rPr>
              <w:tab/>
            </w:r>
            <w:r>
              <w:rPr>
                <w:rStyle w:val="IndexLink"/>
              </w:rPr>
              <w:t>128</w:t>
            </w:r>
          </w:hyperlink>
        </w:p>
        <w:p>
          <w:pPr>
            <w:pStyle w:val="Contents3"/>
            <w:tabs>
              <w:tab w:val="clear" w:pos="8459"/>
              <w:tab w:val="right" w:pos="9026" w:leader="dot"/>
            </w:tabs>
            <w:rPr/>
          </w:pPr>
          <w:hyperlink w:anchor="__RefHeading___Toc1259482_1468164448">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259484_1468164448">
            <w:r>
              <w:rPr>
                <w:webHidden/>
                <w:rStyle w:val="IndexLink"/>
                <w:rtl w:val="true"/>
              </w:rPr>
              <w:t>گفتار اوّل</w:t>
            </w:r>
            <w:r>
              <w:rPr>
                <w:rStyle w:val="IndexLink"/>
                <w:rtl w:val="true"/>
              </w:rPr>
              <w:t xml:space="preserve">: </w:t>
            </w:r>
            <w:r>
              <w:rPr>
                <w:rStyle w:val="IndexLink"/>
                <w:rtl w:val="true"/>
              </w:rPr>
              <w:t>نماز کودک</w:t>
            </w:r>
            <w:r>
              <w:rPr>
                <w:rStyle w:val="IndexLink"/>
                <w:rtl w:val="true"/>
              </w:rPr>
              <w:tab/>
            </w:r>
            <w:r>
              <w:rPr>
                <w:rStyle w:val="IndexLink"/>
              </w:rPr>
              <w:t>129</w:t>
            </w:r>
          </w:hyperlink>
        </w:p>
        <w:p>
          <w:pPr>
            <w:pStyle w:val="Contents4"/>
            <w:tabs>
              <w:tab w:val="clear" w:pos="8176"/>
              <w:tab w:val="right" w:pos="9026" w:leader="dot"/>
            </w:tabs>
            <w:rPr/>
          </w:pPr>
          <w:hyperlink w:anchor="__RefHeading___Toc1259486_1468164448">
            <w:r>
              <w:rPr>
                <w:webHidden/>
                <w:rStyle w:val="IndexLink"/>
              </w:rPr>
              <w:t>1</w:t>
            </w:r>
            <w:r>
              <w:rPr>
                <w:rStyle w:val="IndexLink"/>
                <w:rtl w:val="true"/>
              </w:rPr>
              <w:t xml:space="preserve">- </w:t>
            </w:r>
            <w:r>
              <w:rPr>
                <w:rStyle w:val="IndexLink"/>
                <w:rtl w:val="true"/>
              </w:rPr>
              <w:t>مشروعیت عبادات کودک</w:t>
            </w:r>
            <w:r>
              <w:rPr>
                <w:rStyle w:val="IndexLink"/>
                <w:rtl w:val="true"/>
              </w:rPr>
              <w:tab/>
            </w:r>
            <w:r>
              <w:rPr>
                <w:rStyle w:val="IndexLink"/>
              </w:rPr>
              <w:t>129</w:t>
            </w:r>
          </w:hyperlink>
        </w:p>
        <w:p>
          <w:pPr>
            <w:pStyle w:val="Contents4"/>
            <w:tabs>
              <w:tab w:val="clear" w:pos="8176"/>
              <w:tab w:val="right" w:pos="9026" w:leader="dot"/>
            </w:tabs>
            <w:rPr/>
          </w:pPr>
          <w:hyperlink w:anchor="__RefHeading___Toc1259488_1468164448">
            <w:r>
              <w:rPr>
                <w:webHidden/>
                <w:rStyle w:val="IndexLink"/>
              </w:rPr>
              <w:t>2</w:t>
            </w:r>
            <w:r>
              <w:rPr>
                <w:rStyle w:val="IndexLink"/>
                <w:rtl w:val="true"/>
              </w:rPr>
              <w:t xml:space="preserve">- </w:t>
            </w:r>
            <w:r>
              <w:rPr>
                <w:rStyle w:val="IndexLink"/>
                <w:rtl w:val="true"/>
              </w:rPr>
              <w:t>شرایط نماز کودک</w:t>
            </w:r>
            <w:r>
              <w:rPr>
                <w:rStyle w:val="IndexLink"/>
                <w:rtl w:val="true"/>
              </w:rPr>
              <w:tab/>
            </w:r>
            <w:r>
              <w:rPr>
                <w:rStyle w:val="IndexLink"/>
              </w:rPr>
              <w:t>132</w:t>
            </w:r>
          </w:hyperlink>
        </w:p>
        <w:p>
          <w:pPr>
            <w:pStyle w:val="Contents4"/>
            <w:tabs>
              <w:tab w:val="clear" w:pos="8176"/>
              <w:tab w:val="right" w:pos="9026" w:leader="dot"/>
            </w:tabs>
            <w:rPr/>
          </w:pPr>
          <w:hyperlink w:anchor="__RefHeading___Toc1259490_1468164448">
            <w:r>
              <w:rPr>
                <w:webHidden/>
                <w:rStyle w:val="IndexLink"/>
              </w:rPr>
              <w:t>3</w:t>
            </w:r>
            <w:r>
              <w:rPr>
                <w:rStyle w:val="IndexLink"/>
                <w:rtl w:val="true"/>
              </w:rPr>
              <w:t xml:space="preserve"> - </w:t>
            </w:r>
            <w:r>
              <w:rPr>
                <w:rStyle w:val="IndexLink"/>
                <w:rtl w:val="true"/>
              </w:rPr>
              <w:t>ادلّه لزوم رعایت شرایط در نماز کودک</w:t>
            </w:r>
            <w:r>
              <w:rPr>
                <w:rStyle w:val="IndexLink"/>
                <w:rtl w:val="true"/>
              </w:rPr>
              <w:tab/>
            </w:r>
            <w:r>
              <w:rPr>
                <w:rStyle w:val="IndexLink"/>
              </w:rPr>
              <w:t>133</w:t>
            </w:r>
          </w:hyperlink>
        </w:p>
        <w:p>
          <w:pPr>
            <w:pStyle w:val="Contents4"/>
            <w:tabs>
              <w:tab w:val="clear" w:pos="8176"/>
              <w:tab w:val="right" w:pos="9026" w:leader="dot"/>
            </w:tabs>
            <w:rPr/>
          </w:pPr>
          <w:hyperlink w:anchor="__RefHeading___Toc1259492_1468164448">
            <w:r>
              <w:rPr>
                <w:webHidden/>
                <w:rStyle w:val="IndexLink"/>
              </w:rPr>
              <w:t>4</w:t>
            </w:r>
            <w:r>
              <w:rPr>
                <w:rStyle w:val="IndexLink"/>
                <w:rtl w:val="true"/>
              </w:rPr>
              <w:t xml:space="preserve"> - </w:t>
            </w:r>
            <w:r>
              <w:rPr>
                <w:rStyle w:val="IndexLink"/>
                <w:rtl w:val="true"/>
              </w:rPr>
              <w:t>برخی از شرایط و اجزاء استثناء شده در نماز کودک</w:t>
            </w:r>
            <w:r>
              <w:rPr>
                <w:rStyle w:val="IndexLink"/>
                <w:rtl w:val="true"/>
              </w:rPr>
              <w:tab/>
            </w:r>
            <w:r>
              <w:rPr>
                <w:rStyle w:val="IndexLink"/>
              </w:rPr>
              <w:t>135</w:t>
            </w:r>
          </w:hyperlink>
        </w:p>
        <w:p>
          <w:pPr>
            <w:pStyle w:val="Contents4"/>
            <w:tabs>
              <w:tab w:val="clear" w:pos="8176"/>
              <w:tab w:val="right" w:pos="9026" w:leader="dot"/>
            </w:tabs>
            <w:rPr/>
          </w:pPr>
          <w:hyperlink w:anchor="__RefHeading___Toc1259494_1468164448">
            <w:r>
              <w:rPr>
                <w:webHidden/>
                <w:rStyle w:val="IndexLink"/>
              </w:rPr>
              <w:t>5</w:t>
            </w:r>
            <w:r>
              <w:rPr>
                <w:rStyle w:val="IndexLink"/>
                <w:rtl w:val="true"/>
              </w:rPr>
              <w:t xml:space="preserve">- </w:t>
            </w:r>
            <w:r>
              <w:rPr>
                <w:rStyle w:val="IndexLink"/>
                <w:rtl w:val="true"/>
              </w:rPr>
              <w:t>اذان و اقامه توسط کودک</w:t>
            </w:r>
            <w:r>
              <w:rPr>
                <w:rStyle w:val="IndexLink"/>
                <w:rtl w:val="true"/>
              </w:rPr>
              <w:tab/>
            </w:r>
            <w:r>
              <w:rPr>
                <w:rStyle w:val="IndexLink"/>
              </w:rPr>
              <w:t>139</w:t>
            </w:r>
          </w:hyperlink>
        </w:p>
        <w:p>
          <w:pPr>
            <w:pStyle w:val="Contents4"/>
            <w:tabs>
              <w:tab w:val="clear" w:pos="8176"/>
              <w:tab w:val="right" w:pos="9026" w:leader="dot"/>
            </w:tabs>
            <w:rPr/>
          </w:pPr>
          <w:hyperlink w:anchor="__RefHeading___Toc1259496_1468164448">
            <w:r>
              <w:rPr>
                <w:webHidden/>
                <w:rStyle w:val="IndexLink"/>
              </w:rPr>
              <w:t>6</w:t>
            </w:r>
            <w:r>
              <w:rPr>
                <w:rStyle w:val="IndexLink"/>
                <w:rtl w:val="true"/>
              </w:rPr>
              <w:t xml:space="preserve">- </w:t>
            </w:r>
            <w:r>
              <w:rPr>
                <w:rStyle w:val="IndexLink"/>
                <w:rtl w:val="true"/>
              </w:rPr>
              <w:t>انعقاد نماز جماعت با کودک</w:t>
            </w:r>
            <w:r>
              <w:rPr>
                <w:rStyle w:val="IndexLink"/>
                <w:rtl w:val="true"/>
              </w:rPr>
              <w:tab/>
            </w:r>
            <w:r>
              <w:rPr>
                <w:rStyle w:val="IndexLink"/>
              </w:rPr>
              <w:t>140</w:t>
            </w:r>
          </w:hyperlink>
        </w:p>
        <w:p>
          <w:pPr>
            <w:pStyle w:val="Contents4"/>
            <w:tabs>
              <w:tab w:val="clear" w:pos="8176"/>
              <w:tab w:val="right" w:pos="9026" w:leader="dot"/>
            </w:tabs>
            <w:rPr/>
          </w:pPr>
          <w:hyperlink w:anchor="__RefHeading___Toc1259498_1468164448">
            <w:r>
              <w:rPr>
                <w:webHidden/>
                <w:rStyle w:val="IndexLink"/>
              </w:rPr>
              <w:t>7</w:t>
            </w:r>
            <w:r>
              <w:rPr>
                <w:rStyle w:val="IndexLink"/>
                <w:rtl w:val="true"/>
              </w:rPr>
              <w:t xml:space="preserve">- </w:t>
            </w:r>
            <w:r>
              <w:rPr>
                <w:rStyle w:val="IndexLink"/>
                <w:rtl w:val="true"/>
              </w:rPr>
              <w:t>عدم انعقاد نماز جمعه با کودک</w:t>
            </w:r>
            <w:r>
              <w:rPr>
                <w:rStyle w:val="IndexLink"/>
                <w:rtl w:val="true"/>
              </w:rPr>
              <w:tab/>
            </w:r>
            <w:r>
              <w:rPr>
                <w:rStyle w:val="IndexLink"/>
              </w:rPr>
              <w:t>141</w:t>
            </w:r>
          </w:hyperlink>
        </w:p>
        <w:p>
          <w:pPr>
            <w:pStyle w:val="Contents4"/>
            <w:tabs>
              <w:tab w:val="clear" w:pos="8176"/>
              <w:tab w:val="right" w:pos="9026" w:leader="dot"/>
            </w:tabs>
            <w:rPr/>
          </w:pPr>
          <w:hyperlink w:anchor="__RefHeading___Toc1259500_1468164448">
            <w:r>
              <w:rPr>
                <w:webHidden/>
                <w:rStyle w:val="IndexLink"/>
              </w:rPr>
              <w:t>8</w:t>
            </w:r>
            <w:r>
              <w:rPr>
                <w:rStyle w:val="IndexLink"/>
                <w:rtl w:val="true"/>
              </w:rPr>
              <w:t xml:space="preserve">- </w:t>
            </w:r>
            <w:r>
              <w:rPr>
                <w:rStyle w:val="IndexLink"/>
                <w:rtl w:val="true"/>
              </w:rPr>
              <w:t>امامت کودک در نماز واجب</w:t>
            </w:r>
            <w:r>
              <w:rPr>
                <w:rStyle w:val="IndexLink"/>
                <w:rtl w:val="true"/>
              </w:rPr>
              <w:tab/>
            </w:r>
            <w:r>
              <w:rPr>
                <w:rStyle w:val="IndexLink"/>
              </w:rPr>
              <w:t>142</w:t>
            </w:r>
          </w:hyperlink>
        </w:p>
        <w:p>
          <w:pPr>
            <w:pStyle w:val="Contents4"/>
            <w:tabs>
              <w:tab w:val="clear" w:pos="8176"/>
              <w:tab w:val="right" w:pos="9026" w:leader="dot"/>
            </w:tabs>
            <w:rPr/>
          </w:pPr>
          <w:hyperlink w:anchor="__RefHeading___Toc1259502_1468164448">
            <w:r>
              <w:rPr>
                <w:webHidden/>
                <w:rStyle w:val="IndexLink"/>
              </w:rPr>
              <w:t>9</w:t>
            </w:r>
            <w:r>
              <w:rPr>
                <w:rStyle w:val="IndexLink"/>
                <w:rtl w:val="true"/>
              </w:rPr>
              <w:t xml:space="preserve">- </w:t>
            </w:r>
            <w:r>
              <w:rPr>
                <w:rStyle w:val="IndexLink"/>
                <w:rtl w:val="true"/>
              </w:rPr>
              <w:t>امامت کودک در نماز مستحب</w:t>
            </w:r>
            <w:r>
              <w:rPr>
                <w:rStyle w:val="IndexLink"/>
                <w:rtl w:val="true"/>
              </w:rPr>
              <w:tab/>
            </w:r>
            <w:r>
              <w:rPr>
                <w:rStyle w:val="IndexLink"/>
              </w:rPr>
              <w:t>144</w:t>
            </w:r>
          </w:hyperlink>
        </w:p>
        <w:p>
          <w:pPr>
            <w:pStyle w:val="Contents4"/>
            <w:tabs>
              <w:tab w:val="clear" w:pos="8176"/>
              <w:tab w:val="right" w:pos="9026" w:leader="dot"/>
            </w:tabs>
            <w:rPr/>
          </w:pPr>
          <w:hyperlink w:anchor="__RefHeading___Toc1259504_1468164448">
            <w:r>
              <w:rPr>
                <w:webHidden/>
                <w:rStyle w:val="IndexLink"/>
              </w:rPr>
              <w:t>10</w:t>
            </w:r>
            <w:r>
              <w:rPr>
                <w:rStyle w:val="IndexLink"/>
                <w:rtl w:val="true"/>
              </w:rPr>
              <w:t xml:space="preserve">- </w:t>
            </w:r>
            <w:r>
              <w:rPr>
                <w:rStyle w:val="IndexLink"/>
                <w:rtl w:val="true"/>
              </w:rPr>
              <w:t>امامت کودک در نماز مستحبی برای غیر بالغ</w:t>
            </w:r>
            <w:r>
              <w:rPr>
                <w:rStyle w:val="IndexLink"/>
                <w:rtl w:val="true"/>
              </w:rPr>
              <w:tab/>
            </w:r>
            <w:r>
              <w:rPr>
                <w:rStyle w:val="IndexLink"/>
              </w:rPr>
              <w:t>144</w:t>
            </w:r>
          </w:hyperlink>
        </w:p>
        <w:p>
          <w:pPr>
            <w:pStyle w:val="Contents4"/>
            <w:tabs>
              <w:tab w:val="clear" w:pos="8176"/>
              <w:tab w:val="right" w:pos="9026" w:leader="dot"/>
            </w:tabs>
            <w:rPr/>
          </w:pPr>
          <w:hyperlink w:anchor="__RefHeading___Toc1259506_1468164448">
            <w:r>
              <w:rPr>
                <w:webHidden/>
                <w:rStyle w:val="IndexLink"/>
              </w:rPr>
              <w:t>11</w:t>
            </w:r>
            <w:r>
              <w:rPr>
                <w:rStyle w:val="IndexLink"/>
                <w:rtl w:val="true"/>
              </w:rPr>
              <w:t xml:space="preserve">- </w:t>
            </w:r>
            <w:r>
              <w:rPr>
                <w:rStyle w:val="IndexLink"/>
                <w:rtl w:val="true"/>
              </w:rPr>
              <w:t>حکم قضای نماز میّت نسبت به کودک</w:t>
            </w:r>
            <w:r>
              <w:rPr>
                <w:rStyle w:val="IndexLink"/>
                <w:rtl w:val="true"/>
              </w:rPr>
              <w:tab/>
            </w:r>
            <w:r>
              <w:rPr>
                <w:rStyle w:val="IndexLink"/>
              </w:rPr>
              <w:t>145</w:t>
            </w:r>
          </w:hyperlink>
        </w:p>
        <w:p>
          <w:pPr>
            <w:pStyle w:val="Contents4"/>
            <w:tabs>
              <w:tab w:val="clear" w:pos="8176"/>
              <w:tab w:val="right" w:pos="9026" w:leader="dot"/>
            </w:tabs>
            <w:rPr/>
          </w:pPr>
          <w:hyperlink w:anchor="__RefHeading___Toc1259508_1468164448">
            <w:r>
              <w:rPr>
                <w:webHidden/>
                <w:rStyle w:val="IndexLink"/>
              </w:rPr>
              <w:t>12</w:t>
            </w:r>
            <w:r>
              <w:rPr>
                <w:rStyle w:val="IndexLink"/>
                <w:rtl w:val="true"/>
              </w:rPr>
              <w:t xml:space="preserve">- </w:t>
            </w:r>
            <w:r>
              <w:rPr>
                <w:rStyle w:val="IndexLink"/>
                <w:rtl w:val="true"/>
              </w:rPr>
              <w:t>ادلّه این نظریّه</w:t>
            </w:r>
            <w:r>
              <w:rPr>
                <w:rStyle w:val="IndexLink"/>
                <w:rtl w:val="true"/>
              </w:rPr>
              <w:tab/>
            </w:r>
            <w:r>
              <w:rPr>
                <w:rStyle w:val="IndexLink"/>
              </w:rPr>
              <w:t>146</w:t>
            </w:r>
          </w:hyperlink>
        </w:p>
        <w:p>
          <w:pPr>
            <w:pStyle w:val="Contents4"/>
            <w:tabs>
              <w:tab w:val="clear" w:pos="8176"/>
              <w:tab w:val="right" w:pos="9026" w:leader="dot"/>
            </w:tabs>
            <w:rPr/>
          </w:pPr>
          <w:hyperlink w:anchor="__RefHeading___Toc1259510_1468164448">
            <w:r>
              <w:rPr>
                <w:webHidden/>
                <w:rStyle w:val="IndexLink"/>
              </w:rPr>
              <w:t>13</w:t>
            </w:r>
            <w:r>
              <w:rPr>
                <w:rStyle w:val="IndexLink"/>
                <w:rtl w:val="true"/>
              </w:rPr>
              <w:t xml:space="preserve">- </w:t>
            </w:r>
            <w:r>
              <w:rPr>
                <w:rStyle w:val="IndexLink"/>
                <w:rtl w:val="true"/>
              </w:rPr>
              <w:t>نیابت نمودن کودک در نماز و روزه</w:t>
            </w:r>
            <w:r>
              <w:rPr>
                <w:rStyle w:val="IndexLink"/>
                <w:rtl w:val="true"/>
              </w:rPr>
              <w:tab/>
            </w:r>
            <w:r>
              <w:rPr>
                <w:rStyle w:val="IndexLink"/>
              </w:rPr>
              <w:t>147</w:t>
            </w:r>
          </w:hyperlink>
        </w:p>
        <w:p>
          <w:pPr>
            <w:pStyle w:val="Contents4"/>
            <w:tabs>
              <w:tab w:val="clear" w:pos="8176"/>
              <w:tab w:val="right" w:pos="9026" w:leader="dot"/>
            </w:tabs>
            <w:rPr/>
          </w:pPr>
          <w:hyperlink w:anchor="__RefHeading___Toc1259512_1468164448">
            <w:r>
              <w:rPr>
                <w:webHidden/>
                <w:rStyle w:val="IndexLink"/>
              </w:rPr>
              <w:t>14</w:t>
            </w:r>
            <w:r>
              <w:rPr>
                <w:rStyle w:val="IndexLink"/>
                <w:rtl w:val="true"/>
              </w:rPr>
              <w:t xml:space="preserve">- </w:t>
            </w:r>
            <w:r>
              <w:rPr>
                <w:rStyle w:val="IndexLink"/>
                <w:rtl w:val="true"/>
              </w:rPr>
              <w:t>استحباب انجام عبادات به نیابت از والدین</w:t>
            </w:r>
            <w:r>
              <w:rPr>
                <w:rStyle w:val="IndexLink"/>
                <w:rtl w:val="true"/>
              </w:rPr>
              <w:tab/>
            </w:r>
            <w:r>
              <w:rPr>
                <w:rStyle w:val="IndexLink"/>
              </w:rPr>
              <w:t>149</w:t>
            </w:r>
          </w:hyperlink>
        </w:p>
        <w:p>
          <w:pPr>
            <w:pStyle w:val="Contents4"/>
            <w:tabs>
              <w:tab w:val="clear" w:pos="8176"/>
              <w:tab w:val="right" w:pos="9026" w:leader="dot"/>
            </w:tabs>
            <w:rPr/>
          </w:pPr>
          <w:hyperlink w:anchor="__RefHeading___Toc1259514_1468164448">
            <w:r>
              <w:rPr>
                <w:webHidden/>
                <w:rStyle w:val="IndexLink"/>
              </w:rPr>
              <w:t>15</w:t>
            </w:r>
            <w:r>
              <w:rPr>
                <w:rStyle w:val="IndexLink"/>
                <w:rtl w:val="true"/>
              </w:rPr>
              <w:t xml:space="preserve">- </w:t>
            </w:r>
            <w:r>
              <w:rPr>
                <w:rStyle w:val="IndexLink"/>
                <w:rtl w:val="true"/>
              </w:rPr>
              <w:t>تبعیّت کودک از والدین در وطن و سفر</w:t>
            </w:r>
            <w:r>
              <w:rPr>
                <w:rStyle w:val="IndexLink"/>
                <w:rtl w:val="true"/>
              </w:rPr>
              <w:tab/>
            </w:r>
            <w:r>
              <w:rPr>
                <w:rStyle w:val="IndexLink"/>
              </w:rPr>
              <w:t>150</w:t>
            </w:r>
          </w:hyperlink>
        </w:p>
        <w:p>
          <w:pPr>
            <w:pStyle w:val="Contents4"/>
            <w:tabs>
              <w:tab w:val="clear" w:pos="8176"/>
              <w:tab w:val="right" w:pos="9026" w:leader="dot"/>
            </w:tabs>
            <w:rPr/>
          </w:pPr>
          <w:hyperlink w:anchor="__RefHeading___Toc1259516_1468164448">
            <w:r>
              <w:rPr>
                <w:webHidden/>
                <w:rStyle w:val="IndexLink"/>
              </w:rPr>
              <w:t>16</w:t>
            </w:r>
            <w:r>
              <w:rPr>
                <w:rStyle w:val="IndexLink"/>
                <w:rtl w:val="true"/>
              </w:rPr>
              <w:t xml:space="preserve">- </w:t>
            </w:r>
            <w:r>
              <w:rPr>
                <w:rStyle w:val="IndexLink"/>
                <w:rtl w:val="true"/>
              </w:rPr>
              <w:t>اعراض کودک از وطن والدین</w:t>
            </w:r>
            <w:r>
              <w:rPr>
                <w:rStyle w:val="IndexLink"/>
                <w:rtl w:val="true"/>
              </w:rPr>
              <w:tab/>
            </w:r>
            <w:r>
              <w:rPr>
                <w:rStyle w:val="IndexLink"/>
              </w:rPr>
              <w:t>151</w:t>
            </w:r>
          </w:hyperlink>
        </w:p>
        <w:p>
          <w:pPr>
            <w:pStyle w:val="Contents4"/>
            <w:tabs>
              <w:tab w:val="clear" w:pos="8176"/>
              <w:tab w:val="right" w:pos="9026" w:leader="dot"/>
            </w:tabs>
            <w:rPr/>
          </w:pPr>
          <w:hyperlink w:anchor="__RefHeading___Toc1259518_1468164448">
            <w:r>
              <w:rPr>
                <w:webHidden/>
                <w:rStyle w:val="IndexLink"/>
              </w:rPr>
              <w:t>17</w:t>
            </w:r>
            <w:r>
              <w:rPr>
                <w:rStyle w:val="IndexLink"/>
                <w:rtl w:val="true"/>
              </w:rPr>
              <w:t xml:space="preserve">- </w:t>
            </w:r>
            <w:r>
              <w:rPr>
                <w:rStyle w:val="IndexLink"/>
                <w:rtl w:val="true"/>
              </w:rPr>
              <w:t>نماز کودک در سفر</w:t>
            </w:r>
            <w:r>
              <w:rPr>
                <w:rStyle w:val="IndexLink"/>
                <w:rtl w:val="true"/>
              </w:rPr>
              <w:tab/>
            </w:r>
            <w:r>
              <w:rPr>
                <w:rStyle w:val="IndexLink"/>
              </w:rPr>
              <w:t>153</w:t>
            </w:r>
          </w:hyperlink>
        </w:p>
        <w:p>
          <w:pPr>
            <w:pStyle w:val="Contents3"/>
            <w:tabs>
              <w:tab w:val="clear" w:pos="8459"/>
              <w:tab w:val="right" w:pos="9026" w:leader="dot"/>
            </w:tabs>
            <w:rPr/>
          </w:pPr>
          <w:hyperlink w:anchor="__RefHeading___Toc1259520_1468164448">
            <w:r>
              <w:rPr>
                <w:webHidden/>
                <w:rStyle w:val="IndexLink"/>
                <w:rtl w:val="true"/>
              </w:rPr>
              <w:t>گفتار دوم</w:t>
            </w:r>
            <w:r>
              <w:rPr>
                <w:rStyle w:val="IndexLink"/>
                <w:rtl w:val="true"/>
              </w:rPr>
              <w:t xml:space="preserve">: </w:t>
            </w:r>
            <w:r>
              <w:rPr>
                <w:rStyle w:val="IndexLink"/>
                <w:rtl w:val="true"/>
              </w:rPr>
              <w:t>روزه کودک</w:t>
            </w:r>
            <w:r>
              <w:rPr>
                <w:rStyle w:val="IndexLink"/>
                <w:rtl w:val="true"/>
              </w:rPr>
              <w:tab/>
            </w:r>
            <w:r>
              <w:rPr>
                <w:rStyle w:val="IndexLink"/>
              </w:rPr>
              <w:t>155</w:t>
            </w:r>
          </w:hyperlink>
        </w:p>
        <w:p>
          <w:pPr>
            <w:pStyle w:val="Contents4"/>
            <w:tabs>
              <w:tab w:val="clear" w:pos="8176"/>
              <w:tab w:val="right" w:pos="9026" w:leader="dot"/>
            </w:tabs>
            <w:rPr/>
          </w:pPr>
          <w:hyperlink w:anchor="__RefHeading___Toc1259522_1468164448">
            <w:r>
              <w:rPr>
                <w:webHidden/>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155</w:t>
            </w:r>
          </w:hyperlink>
        </w:p>
        <w:p>
          <w:pPr>
            <w:pStyle w:val="Contents4"/>
            <w:tabs>
              <w:tab w:val="clear" w:pos="8176"/>
              <w:tab w:val="right" w:pos="9026" w:leader="dot"/>
            </w:tabs>
            <w:rPr/>
          </w:pPr>
          <w:hyperlink w:anchor="__RefHeading___Toc1259524_1468164448">
            <w:r>
              <w:rPr>
                <w:webHidden/>
                <w:rStyle w:val="IndexLink"/>
              </w:rPr>
              <w:t>2</w:t>
            </w:r>
            <w:r>
              <w:rPr>
                <w:rStyle w:val="IndexLink"/>
                <w:rtl w:val="true"/>
              </w:rPr>
              <w:t xml:space="preserve">- </w:t>
            </w:r>
            <w:r>
              <w:rPr>
                <w:rStyle w:val="IndexLink"/>
                <w:rtl w:val="true"/>
              </w:rPr>
              <w:t>ادلّه استحباب روزه برای کودک</w:t>
            </w:r>
            <w:r>
              <w:rPr>
                <w:rStyle w:val="IndexLink"/>
                <w:rtl w:val="true"/>
              </w:rPr>
              <w:tab/>
            </w:r>
            <w:r>
              <w:rPr>
                <w:rStyle w:val="IndexLink"/>
              </w:rPr>
              <w:t>156</w:t>
            </w:r>
          </w:hyperlink>
        </w:p>
        <w:p>
          <w:pPr>
            <w:pStyle w:val="Contents4"/>
            <w:tabs>
              <w:tab w:val="clear" w:pos="8176"/>
              <w:tab w:val="right" w:pos="9026" w:leader="dot"/>
            </w:tabs>
            <w:rPr/>
          </w:pPr>
          <w:hyperlink w:anchor="__RefHeading___Toc1259526_1468164448">
            <w:r>
              <w:rPr>
                <w:webHidden/>
                <w:rStyle w:val="IndexLink"/>
              </w:rPr>
              <w:t>3</w:t>
            </w:r>
            <w:r>
              <w:rPr>
                <w:rStyle w:val="IndexLink"/>
                <w:rtl w:val="true"/>
              </w:rPr>
              <w:t xml:space="preserve">- </w:t>
            </w:r>
            <w:r>
              <w:rPr>
                <w:rStyle w:val="IndexLink"/>
                <w:rtl w:val="true"/>
              </w:rPr>
              <w:t>احکام روزه کودک</w:t>
            </w:r>
            <w:r>
              <w:rPr>
                <w:rStyle w:val="IndexLink"/>
                <w:rtl w:val="true"/>
              </w:rPr>
              <w:tab/>
            </w:r>
            <w:r>
              <w:rPr>
                <w:rStyle w:val="IndexLink"/>
              </w:rPr>
              <w:t>158</w:t>
            </w:r>
          </w:hyperlink>
        </w:p>
        <w:p>
          <w:pPr>
            <w:pStyle w:val="Contents4"/>
            <w:tabs>
              <w:tab w:val="clear" w:pos="8176"/>
              <w:tab w:val="right" w:pos="9026" w:leader="dot"/>
            </w:tabs>
            <w:rPr/>
          </w:pPr>
          <w:hyperlink w:anchor="__RefHeading___Toc1259528_1468164448">
            <w:r>
              <w:rPr>
                <w:webHidden/>
                <w:rStyle w:val="IndexLink"/>
              </w:rPr>
              <w:t>4</w:t>
            </w:r>
            <w:r>
              <w:rPr>
                <w:rStyle w:val="IndexLink"/>
                <w:rtl w:val="true"/>
              </w:rPr>
              <w:t xml:space="preserve">- </w:t>
            </w:r>
            <w:r>
              <w:rPr>
                <w:rStyle w:val="IndexLink"/>
                <w:rtl w:val="true"/>
              </w:rPr>
              <w:t>عادت دادن کودک به روزه‌داری</w:t>
            </w:r>
            <w:r>
              <w:rPr>
                <w:rStyle w:val="IndexLink"/>
                <w:rtl w:val="true"/>
              </w:rPr>
              <w:tab/>
            </w:r>
            <w:r>
              <w:rPr>
                <w:rStyle w:val="IndexLink"/>
              </w:rPr>
              <w:t>159</w:t>
            </w:r>
          </w:hyperlink>
        </w:p>
        <w:p>
          <w:pPr>
            <w:pStyle w:val="Contents4"/>
            <w:tabs>
              <w:tab w:val="clear" w:pos="8176"/>
              <w:tab w:val="right" w:pos="9026" w:leader="dot"/>
            </w:tabs>
            <w:rPr/>
          </w:pPr>
          <w:hyperlink w:anchor="__RefHeading___Toc1259530_1468164448">
            <w:r>
              <w:rPr>
                <w:webHidden/>
                <w:rStyle w:val="IndexLink"/>
              </w:rPr>
              <w:t>5</w:t>
            </w:r>
            <w:r>
              <w:rPr>
                <w:rStyle w:val="IndexLink"/>
                <w:rtl w:val="true"/>
              </w:rPr>
              <w:t xml:space="preserve">- </w:t>
            </w:r>
            <w:r>
              <w:rPr>
                <w:rStyle w:val="IndexLink"/>
                <w:rtl w:val="true"/>
              </w:rPr>
              <w:t>آغاز تمرین روزه‌گیری توسط کودک</w:t>
            </w:r>
            <w:r>
              <w:rPr>
                <w:rStyle w:val="IndexLink"/>
                <w:rtl w:val="true"/>
              </w:rPr>
              <w:tab/>
            </w:r>
            <w:r>
              <w:rPr>
                <w:rStyle w:val="IndexLink"/>
              </w:rPr>
              <w:t>160</w:t>
            </w:r>
          </w:hyperlink>
        </w:p>
        <w:p>
          <w:pPr>
            <w:pStyle w:val="Contents4"/>
            <w:tabs>
              <w:tab w:val="clear" w:pos="8176"/>
              <w:tab w:val="right" w:pos="9026" w:leader="dot"/>
            </w:tabs>
            <w:rPr/>
          </w:pPr>
          <w:hyperlink w:anchor="__RefHeading___Toc1259532_1468164448">
            <w:r>
              <w:rPr>
                <w:webHidden/>
                <w:rStyle w:val="IndexLink"/>
              </w:rPr>
              <w:t>6</w:t>
            </w:r>
            <w:r>
              <w:rPr>
                <w:rStyle w:val="IndexLink"/>
                <w:rtl w:val="true"/>
              </w:rPr>
              <w:t xml:space="preserve">- </w:t>
            </w:r>
            <w:r>
              <w:rPr>
                <w:rStyle w:val="IndexLink"/>
                <w:rtl w:val="true"/>
              </w:rPr>
              <w:t>بلوغ کودک در ماه رمضان</w:t>
            </w:r>
            <w:r>
              <w:rPr>
                <w:rStyle w:val="IndexLink"/>
                <w:rtl w:val="true"/>
              </w:rPr>
              <w:tab/>
            </w:r>
            <w:r>
              <w:rPr>
                <w:rStyle w:val="IndexLink"/>
              </w:rPr>
              <w:t>161</w:t>
            </w:r>
          </w:hyperlink>
        </w:p>
        <w:p>
          <w:pPr>
            <w:pStyle w:val="Contents3"/>
            <w:tabs>
              <w:tab w:val="clear" w:pos="8459"/>
              <w:tab w:val="right" w:pos="9026" w:leader="dot"/>
            </w:tabs>
            <w:rPr/>
          </w:pPr>
          <w:hyperlink w:anchor="__RefHeading___Toc1259534_1468164448">
            <w:r>
              <w:rPr>
                <w:webHidden/>
                <w:rStyle w:val="IndexLink"/>
                <w:rtl w:val="true"/>
              </w:rPr>
              <w:t>گفتار سوّم</w:t>
            </w:r>
            <w:r>
              <w:rPr>
                <w:rStyle w:val="IndexLink"/>
                <w:rtl w:val="true"/>
              </w:rPr>
              <w:t xml:space="preserve">: </w:t>
            </w:r>
            <w:r>
              <w:rPr>
                <w:rStyle w:val="IndexLink"/>
                <w:rtl w:val="true"/>
              </w:rPr>
              <w:t>اعتکاف کودک</w:t>
            </w:r>
            <w:r>
              <w:rPr>
                <w:rStyle w:val="IndexLink"/>
                <w:rtl w:val="true"/>
              </w:rPr>
              <w:tab/>
            </w:r>
            <w:r>
              <w:rPr>
                <w:rStyle w:val="IndexLink"/>
              </w:rPr>
              <w:t>163</w:t>
            </w:r>
          </w:hyperlink>
        </w:p>
        <w:p>
          <w:pPr>
            <w:pStyle w:val="Contents4"/>
            <w:tabs>
              <w:tab w:val="clear" w:pos="8176"/>
              <w:tab w:val="right" w:pos="9026" w:leader="dot"/>
            </w:tabs>
            <w:rPr/>
          </w:pPr>
          <w:hyperlink w:anchor="__RefHeading___Toc1259536_1468164448">
            <w:r>
              <w:rPr>
                <w:webHidden/>
                <w:rStyle w:val="IndexLink"/>
              </w:rPr>
              <w:t>1</w:t>
            </w:r>
            <w:r>
              <w:rPr>
                <w:rStyle w:val="IndexLink"/>
                <w:rtl w:val="true"/>
              </w:rPr>
              <w:t xml:space="preserve">- </w:t>
            </w:r>
            <w:r>
              <w:rPr>
                <w:rStyle w:val="IndexLink"/>
                <w:rtl w:val="true"/>
              </w:rPr>
              <w:t>مفهوم اعتکاف و دلیل استحباب آن</w:t>
            </w:r>
            <w:r>
              <w:rPr>
                <w:rStyle w:val="IndexLink"/>
                <w:rtl w:val="true"/>
              </w:rPr>
              <w:tab/>
            </w:r>
            <w:r>
              <w:rPr>
                <w:rStyle w:val="IndexLink"/>
              </w:rPr>
              <w:t>163</w:t>
            </w:r>
          </w:hyperlink>
        </w:p>
        <w:p>
          <w:pPr>
            <w:pStyle w:val="Contents4"/>
            <w:tabs>
              <w:tab w:val="clear" w:pos="8176"/>
              <w:tab w:val="right" w:pos="9026" w:leader="dot"/>
            </w:tabs>
            <w:rPr/>
          </w:pPr>
          <w:hyperlink w:anchor="__RefHeading___Toc1259538_1468164448">
            <w:r>
              <w:rPr>
                <w:webHidden/>
                <w:rStyle w:val="IndexLink"/>
              </w:rPr>
              <w:t>2</w:t>
            </w:r>
            <w:r>
              <w:rPr>
                <w:rStyle w:val="IndexLink"/>
                <w:rtl w:val="true"/>
              </w:rPr>
              <w:t xml:space="preserve">- </w:t>
            </w:r>
            <w:r>
              <w:rPr>
                <w:rStyle w:val="IndexLink"/>
                <w:rtl w:val="true"/>
              </w:rPr>
              <w:t>اتمام اعتکاف در روز سوّم</w:t>
            </w:r>
            <w:r>
              <w:rPr>
                <w:rStyle w:val="IndexLink"/>
                <w:rtl w:val="true"/>
              </w:rPr>
              <w:tab/>
            </w:r>
            <w:r>
              <w:rPr>
                <w:rStyle w:val="IndexLink"/>
              </w:rPr>
              <w:t>164</w:t>
            </w:r>
          </w:hyperlink>
        </w:p>
        <w:p>
          <w:pPr>
            <w:pStyle w:val="Contents4"/>
            <w:tabs>
              <w:tab w:val="clear" w:pos="8176"/>
              <w:tab w:val="right" w:pos="9026" w:leader="dot"/>
            </w:tabs>
            <w:rPr/>
          </w:pPr>
          <w:hyperlink w:anchor="__RefHeading___Toc1259540_1468164448">
            <w:r>
              <w:rPr>
                <w:webHidden/>
                <w:rStyle w:val="IndexLink"/>
              </w:rPr>
              <w:t>3</w:t>
            </w:r>
            <w:r>
              <w:rPr>
                <w:rStyle w:val="IndexLink"/>
                <w:rtl w:val="true"/>
              </w:rPr>
              <w:t xml:space="preserve">- </w:t>
            </w:r>
            <w:r>
              <w:rPr>
                <w:rStyle w:val="IndexLink"/>
                <w:rtl w:val="true"/>
              </w:rPr>
              <w:t>محرّمات اعتکاف نسبت به کودک</w:t>
            </w:r>
            <w:r>
              <w:rPr>
                <w:rStyle w:val="IndexLink"/>
                <w:rtl w:val="true"/>
              </w:rPr>
              <w:tab/>
            </w:r>
            <w:r>
              <w:rPr>
                <w:rStyle w:val="IndexLink"/>
              </w:rPr>
              <w:t>165</w:t>
            </w:r>
          </w:hyperlink>
        </w:p>
        <w:p>
          <w:pPr>
            <w:pStyle w:val="Contents3"/>
            <w:tabs>
              <w:tab w:val="clear" w:pos="8459"/>
              <w:tab w:val="right" w:pos="9026" w:leader="dot"/>
            </w:tabs>
            <w:rPr/>
          </w:pPr>
          <w:hyperlink w:anchor="__RefHeading___Toc1259542_1468164448">
            <w:r>
              <w:rPr>
                <w:webHidden/>
                <w:rStyle w:val="IndexLink"/>
                <w:rtl w:val="true"/>
              </w:rPr>
              <w:t>گفتار چهارم</w:t>
            </w:r>
            <w:r>
              <w:rPr>
                <w:rStyle w:val="IndexLink"/>
                <w:rtl w:val="true"/>
              </w:rPr>
              <w:t xml:space="preserve">: </w:t>
            </w:r>
            <w:r>
              <w:rPr>
                <w:rStyle w:val="IndexLink"/>
                <w:rtl w:val="true"/>
              </w:rPr>
              <w:t>زکات اموال کودک</w:t>
            </w:r>
            <w:r>
              <w:rPr>
                <w:rStyle w:val="IndexLink"/>
                <w:rtl w:val="true"/>
              </w:rPr>
              <w:tab/>
            </w:r>
            <w:r>
              <w:rPr>
                <w:rStyle w:val="IndexLink"/>
              </w:rPr>
              <w:t>166</w:t>
            </w:r>
          </w:hyperlink>
        </w:p>
        <w:p>
          <w:pPr>
            <w:pStyle w:val="Contents4"/>
            <w:tabs>
              <w:tab w:val="clear" w:pos="8176"/>
              <w:tab w:val="right" w:pos="9026" w:leader="dot"/>
            </w:tabs>
            <w:rPr/>
          </w:pPr>
          <w:hyperlink w:anchor="__RefHeading___Toc1259544_1468164448">
            <w:r>
              <w:rPr>
                <w:webHidden/>
                <w:rStyle w:val="IndexLink"/>
              </w:rPr>
              <w:t>1</w:t>
            </w:r>
            <w:r>
              <w:rPr>
                <w:rStyle w:val="IndexLink"/>
                <w:rtl w:val="true"/>
              </w:rPr>
              <w:t xml:space="preserve">- </w:t>
            </w:r>
            <w:r>
              <w:rPr>
                <w:rStyle w:val="IndexLink"/>
                <w:rtl w:val="true"/>
              </w:rPr>
              <w:t>مفهوم زکات</w:t>
            </w:r>
            <w:r>
              <w:rPr>
                <w:rStyle w:val="IndexLink"/>
                <w:rtl w:val="true"/>
              </w:rPr>
              <w:tab/>
            </w:r>
            <w:r>
              <w:rPr>
                <w:rStyle w:val="IndexLink"/>
              </w:rPr>
              <w:t>166</w:t>
            </w:r>
          </w:hyperlink>
        </w:p>
        <w:p>
          <w:pPr>
            <w:pStyle w:val="Contents4"/>
            <w:tabs>
              <w:tab w:val="clear" w:pos="8176"/>
              <w:tab w:val="right" w:pos="9026" w:leader="dot"/>
            </w:tabs>
            <w:rPr/>
          </w:pPr>
          <w:hyperlink w:anchor="__RefHeading___Toc1259546_1468164448">
            <w:r>
              <w:rPr>
                <w:webHidden/>
                <w:rStyle w:val="IndexLink"/>
              </w:rPr>
              <w:t>2</w:t>
            </w:r>
            <w:r>
              <w:rPr>
                <w:rStyle w:val="IndexLink"/>
                <w:rtl w:val="true"/>
              </w:rPr>
              <w:t xml:space="preserve">- </w:t>
            </w:r>
            <w:r>
              <w:rPr>
                <w:rStyle w:val="IndexLink"/>
                <w:rtl w:val="true"/>
              </w:rPr>
              <w:t xml:space="preserve">زکات نقدین </w:t>
            </w:r>
            <w:r>
              <w:rPr>
                <w:rStyle w:val="IndexLink"/>
                <w:rtl w:val="true"/>
              </w:rPr>
              <w:t>(</w:t>
            </w:r>
            <w:r>
              <w:rPr>
                <w:rStyle w:val="IndexLink"/>
                <w:rtl w:val="true"/>
              </w:rPr>
              <w:t>طلا و نقره</w:t>
            </w:r>
            <w:r>
              <w:rPr>
                <w:rStyle w:val="IndexLink"/>
                <w:rtl w:val="true"/>
              </w:rPr>
              <w:t>)</w:t>
              <w:tab/>
            </w:r>
            <w:r>
              <w:rPr>
                <w:rStyle w:val="IndexLink"/>
              </w:rPr>
              <w:t>166</w:t>
            </w:r>
          </w:hyperlink>
        </w:p>
        <w:p>
          <w:pPr>
            <w:pStyle w:val="Contents4"/>
            <w:tabs>
              <w:tab w:val="clear" w:pos="8176"/>
              <w:tab w:val="right" w:pos="9026" w:leader="dot"/>
            </w:tabs>
            <w:rPr/>
          </w:pPr>
          <w:hyperlink w:anchor="__RefHeading___Toc1259548_1468164448">
            <w:r>
              <w:rPr>
                <w:webHidden/>
                <w:rStyle w:val="IndexLink"/>
              </w:rPr>
              <w:t>3</w:t>
            </w:r>
            <w:r>
              <w:rPr>
                <w:rStyle w:val="IndexLink"/>
                <w:rtl w:val="true"/>
              </w:rPr>
              <w:t xml:space="preserve">- </w:t>
            </w:r>
            <w:r>
              <w:rPr>
                <w:rStyle w:val="IndexLink"/>
                <w:rtl w:val="true"/>
              </w:rPr>
              <w:t>زکات غلّات و حیوان</w:t>
            </w:r>
            <w:r>
              <w:rPr>
                <w:rStyle w:val="IndexLink"/>
                <w:rtl w:val="true"/>
              </w:rPr>
              <w:tab/>
            </w:r>
            <w:r>
              <w:rPr>
                <w:rStyle w:val="IndexLink"/>
              </w:rPr>
              <w:t>167</w:t>
            </w:r>
          </w:hyperlink>
        </w:p>
        <w:p>
          <w:pPr>
            <w:pStyle w:val="Contents4"/>
            <w:tabs>
              <w:tab w:val="clear" w:pos="8176"/>
              <w:tab w:val="right" w:pos="9026" w:leader="dot"/>
            </w:tabs>
            <w:rPr/>
          </w:pPr>
          <w:hyperlink w:anchor="__RefHeading___Toc1259550_1468164448">
            <w:r>
              <w:rPr>
                <w:webHidden/>
                <w:rStyle w:val="IndexLink"/>
              </w:rPr>
              <w:t>4</w:t>
            </w:r>
            <w:r>
              <w:rPr>
                <w:rStyle w:val="IndexLink"/>
                <w:rtl w:val="true"/>
              </w:rPr>
              <w:t xml:space="preserve">- </w:t>
            </w:r>
            <w:r>
              <w:rPr>
                <w:rStyle w:val="IndexLink"/>
                <w:rtl w:val="true"/>
              </w:rPr>
              <w:t>استحباب پرداخت زکات از سرمایه تجاری کودک</w:t>
            </w:r>
            <w:r>
              <w:rPr>
                <w:rStyle w:val="IndexLink"/>
                <w:rtl w:val="true"/>
              </w:rPr>
              <w:tab/>
            </w:r>
            <w:r>
              <w:rPr>
                <w:rStyle w:val="IndexLink"/>
              </w:rPr>
              <w:t>169</w:t>
            </w:r>
          </w:hyperlink>
        </w:p>
        <w:p>
          <w:pPr>
            <w:pStyle w:val="Contents4"/>
            <w:tabs>
              <w:tab w:val="clear" w:pos="8176"/>
              <w:tab w:val="right" w:pos="9026" w:leader="dot"/>
            </w:tabs>
            <w:rPr/>
          </w:pPr>
          <w:hyperlink w:anchor="__RefHeading___Toc1259552_1468164448">
            <w:r>
              <w:rPr>
                <w:webHidden/>
                <w:rStyle w:val="IndexLink"/>
              </w:rPr>
              <w:t>5</w:t>
            </w:r>
            <w:r>
              <w:rPr>
                <w:rStyle w:val="IndexLink"/>
                <w:rtl w:val="true"/>
              </w:rPr>
              <w:t xml:space="preserve">- </w:t>
            </w:r>
            <w:r>
              <w:rPr>
                <w:rStyle w:val="IndexLink"/>
                <w:rtl w:val="true"/>
              </w:rPr>
              <w:t>استحباب زکات در دیگر اموال کودک</w:t>
            </w:r>
            <w:r>
              <w:rPr>
                <w:rStyle w:val="IndexLink"/>
                <w:rtl w:val="true"/>
              </w:rPr>
              <w:tab/>
            </w:r>
            <w:r>
              <w:rPr>
                <w:rStyle w:val="IndexLink"/>
              </w:rPr>
              <w:t>171</w:t>
            </w:r>
          </w:hyperlink>
        </w:p>
        <w:p>
          <w:pPr>
            <w:pStyle w:val="Contents4"/>
            <w:tabs>
              <w:tab w:val="clear" w:pos="8176"/>
              <w:tab w:val="right" w:pos="9026" w:leader="dot"/>
            </w:tabs>
            <w:rPr/>
          </w:pPr>
          <w:hyperlink w:anchor="__RefHeading___Toc1259554_1468164448">
            <w:r>
              <w:rPr>
                <w:webHidden/>
                <w:rStyle w:val="IndexLink"/>
              </w:rPr>
              <w:t>6</w:t>
            </w:r>
            <w:r>
              <w:rPr>
                <w:rStyle w:val="IndexLink"/>
                <w:rtl w:val="true"/>
              </w:rPr>
              <w:t xml:space="preserve">- </w:t>
            </w:r>
            <w:r>
              <w:rPr>
                <w:rStyle w:val="IndexLink"/>
                <w:rtl w:val="true"/>
              </w:rPr>
              <w:t>عدم وجوب زکات فطره بر کودک</w:t>
            </w:r>
            <w:r>
              <w:rPr>
                <w:rStyle w:val="IndexLink"/>
                <w:rtl w:val="true"/>
              </w:rPr>
              <w:tab/>
            </w:r>
            <w:r>
              <w:rPr>
                <w:rStyle w:val="IndexLink"/>
              </w:rPr>
              <w:t>172</w:t>
            </w:r>
          </w:hyperlink>
        </w:p>
        <w:p>
          <w:pPr>
            <w:pStyle w:val="Contents3"/>
            <w:tabs>
              <w:tab w:val="clear" w:pos="8459"/>
              <w:tab w:val="right" w:pos="9026" w:leader="dot"/>
            </w:tabs>
            <w:rPr/>
          </w:pPr>
          <w:hyperlink w:anchor="__RefHeading___Toc1259556_1468164448">
            <w:r>
              <w:rPr>
                <w:webHidden/>
                <w:rStyle w:val="IndexLink"/>
                <w:rtl w:val="true"/>
              </w:rPr>
              <w:t>گفتار پنجم</w:t>
            </w:r>
            <w:r>
              <w:rPr>
                <w:rStyle w:val="IndexLink"/>
                <w:rtl w:val="true"/>
              </w:rPr>
              <w:t xml:space="preserve">: </w:t>
            </w:r>
            <w:r>
              <w:rPr>
                <w:rStyle w:val="IndexLink"/>
                <w:rtl w:val="true"/>
              </w:rPr>
              <w:t>خمس اموال کودک</w:t>
            </w:r>
            <w:r>
              <w:rPr>
                <w:rStyle w:val="IndexLink"/>
                <w:rtl w:val="true"/>
              </w:rPr>
              <w:tab/>
            </w:r>
            <w:r>
              <w:rPr>
                <w:rStyle w:val="IndexLink"/>
              </w:rPr>
              <w:t>173</w:t>
            </w:r>
          </w:hyperlink>
        </w:p>
        <w:p>
          <w:pPr>
            <w:pStyle w:val="Contents4"/>
            <w:tabs>
              <w:tab w:val="clear" w:pos="8176"/>
              <w:tab w:val="right" w:pos="9026" w:leader="dot"/>
            </w:tabs>
            <w:rPr/>
          </w:pPr>
          <w:hyperlink w:anchor="__RefHeading___Toc1259558_1468164448">
            <w:r>
              <w:rPr>
                <w:webHidden/>
                <w:rStyle w:val="IndexLink"/>
              </w:rPr>
              <w:t>1</w:t>
            </w:r>
            <w:r>
              <w:rPr>
                <w:rStyle w:val="IndexLink"/>
                <w:rtl w:val="true"/>
              </w:rPr>
              <w:t xml:space="preserve">- </w:t>
            </w:r>
            <w:r>
              <w:rPr>
                <w:rStyle w:val="IndexLink"/>
                <w:rtl w:val="true"/>
              </w:rPr>
              <w:t>بیان مسأله</w:t>
            </w:r>
            <w:r>
              <w:rPr>
                <w:rStyle w:val="IndexLink"/>
                <w:rtl w:val="true"/>
              </w:rPr>
              <w:tab/>
            </w:r>
            <w:r>
              <w:rPr>
                <w:rStyle w:val="IndexLink"/>
              </w:rPr>
              <w:t>173</w:t>
            </w:r>
          </w:hyperlink>
        </w:p>
        <w:p>
          <w:pPr>
            <w:pStyle w:val="Contents4"/>
            <w:tabs>
              <w:tab w:val="clear" w:pos="8176"/>
              <w:tab w:val="right" w:pos="9026" w:leader="dot"/>
            </w:tabs>
            <w:rPr/>
          </w:pPr>
          <w:hyperlink w:anchor="__RefHeading___Toc1259560_1468164448">
            <w:r>
              <w:rPr>
                <w:webHidden/>
                <w:rStyle w:val="IndexLink"/>
              </w:rPr>
              <w:t>2</w:t>
            </w:r>
            <w:r>
              <w:rPr>
                <w:rStyle w:val="IndexLink"/>
                <w:rtl w:val="true"/>
              </w:rPr>
              <w:t xml:space="preserve">- </w:t>
            </w:r>
            <w:r>
              <w:rPr>
                <w:rStyle w:val="IndexLink"/>
                <w:rtl w:val="true"/>
              </w:rPr>
              <w:t>شرط نبودن بلوغ در برخی از موارد خمس</w:t>
            </w:r>
            <w:r>
              <w:rPr>
                <w:rStyle w:val="IndexLink"/>
                <w:rtl w:val="true"/>
              </w:rPr>
              <w:tab/>
            </w:r>
            <w:r>
              <w:rPr>
                <w:rStyle w:val="IndexLink"/>
              </w:rPr>
              <w:t>174</w:t>
            </w:r>
          </w:hyperlink>
        </w:p>
        <w:p>
          <w:pPr>
            <w:pStyle w:val="Contents4"/>
            <w:tabs>
              <w:tab w:val="clear" w:pos="8176"/>
              <w:tab w:val="right" w:pos="9026" w:leader="dot"/>
            </w:tabs>
            <w:rPr/>
          </w:pPr>
          <w:hyperlink w:anchor="__RefHeading___Toc1259562_1468164448">
            <w:r>
              <w:rPr>
                <w:webHidden/>
                <w:rStyle w:val="IndexLink"/>
              </w:rPr>
              <w:t>3</w:t>
            </w:r>
            <w:r>
              <w:rPr>
                <w:rStyle w:val="IndexLink"/>
                <w:rtl w:val="true"/>
              </w:rPr>
              <w:t xml:space="preserve">- </w:t>
            </w:r>
            <w:r>
              <w:rPr>
                <w:rStyle w:val="IndexLink"/>
                <w:rtl w:val="true"/>
              </w:rPr>
              <w:t>ادلّه تعلّق خمس به بعضی از اموال کودک</w:t>
            </w:r>
            <w:r>
              <w:rPr>
                <w:rStyle w:val="IndexLink"/>
                <w:rtl w:val="true"/>
              </w:rPr>
              <w:tab/>
            </w:r>
            <w:r>
              <w:rPr>
                <w:rStyle w:val="IndexLink"/>
              </w:rPr>
              <w:t>174</w:t>
            </w:r>
          </w:hyperlink>
        </w:p>
        <w:p>
          <w:pPr>
            <w:pStyle w:val="Contents4"/>
            <w:tabs>
              <w:tab w:val="clear" w:pos="8176"/>
              <w:tab w:val="right" w:pos="9026" w:leader="dot"/>
            </w:tabs>
            <w:rPr/>
          </w:pPr>
          <w:hyperlink w:anchor="__RefHeading___Toc1259564_1468164448">
            <w:r>
              <w:rPr>
                <w:webHidden/>
                <w:rStyle w:val="IndexLink"/>
              </w:rPr>
              <w:t>4</w:t>
            </w:r>
            <w:r>
              <w:rPr>
                <w:rStyle w:val="IndexLink"/>
                <w:rtl w:val="true"/>
              </w:rPr>
              <w:t xml:space="preserve">- </w:t>
            </w:r>
            <w:r>
              <w:rPr>
                <w:rStyle w:val="IndexLink"/>
                <w:rtl w:val="true"/>
              </w:rPr>
              <w:t>شرط بودن بلوغ در وجوب خمس</w:t>
            </w:r>
            <w:r>
              <w:rPr>
                <w:rStyle w:val="IndexLink"/>
                <w:rtl w:val="true"/>
              </w:rPr>
              <w:tab/>
            </w:r>
            <w:r>
              <w:rPr>
                <w:rStyle w:val="IndexLink"/>
              </w:rPr>
              <w:t>176</w:t>
            </w:r>
          </w:hyperlink>
        </w:p>
        <w:p>
          <w:pPr>
            <w:pStyle w:val="Contents4"/>
            <w:tabs>
              <w:tab w:val="clear" w:pos="8176"/>
              <w:tab w:val="right" w:pos="9026" w:leader="dot"/>
            </w:tabs>
            <w:rPr/>
          </w:pPr>
          <w:hyperlink w:anchor="__RefHeading___Toc1259566_1468164448">
            <w:r>
              <w:rPr>
                <w:webHidden/>
                <w:rStyle w:val="IndexLink"/>
              </w:rPr>
              <w:t>5</w:t>
            </w:r>
            <w:r>
              <w:rPr>
                <w:rStyle w:val="IndexLink"/>
                <w:rtl w:val="true"/>
              </w:rPr>
              <w:t xml:space="preserve">- </w:t>
            </w:r>
            <w:r>
              <w:rPr>
                <w:rStyle w:val="IndexLink"/>
                <w:rtl w:val="true"/>
              </w:rPr>
              <w:t>عدم شرط بلوغ در وجوب خمس</w:t>
            </w:r>
            <w:r>
              <w:rPr>
                <w:rStyle w:val="IndexLink"/>
                <w:rtl w:val="true"/>
              </w:rPr>
              <w:tab/>
            </w:r>
            <w:r>
              <w:rPr>
                <w:rStyle w:val="IndexLink"/>
              </w:rPr>
              <w:t>178</w:t>
            </w:r>
          </w:hyperlink>
        </w:p>
        <w:p>
          <w:pPr>
            <w:pStyle w:val="Contents3"/>
            <w:tabs>
              <w:tab w:val="clear" w:pos="8459"/>
              <w:tab w:val="right" w:pos="9026" w:leader="dot"/>
            </w:tabs>
            <w:rPr/>
          </w:pPr>
          <w:hyperlink w:anchor="__RefHeading___Toc1259568_1468164448">
            <w:r>
              <w:rPr>
                <w:webHidden/>
                <w:rStyle w:val="IndexLink"/>
                <w:rtl w:val="true"/>
              </w:rPr>
              <w:t>گفتار ششم</w:t>
            </w:r>
            <w:r>
              <w:rPr>
                <w:rStyle w:val="IndexLink"/>
                <w:rtl w:val="true"/>
              </w:rPr>
              <w:t xml:space="preserve">: </w:t>
            </w:r>
            <w:r>
              <w:rPr>
                <w:rStyle w:val="IndexLink"/>
                <w:rtl w:val="true"/>
              </w:rPr>
              <w:t>حج کودک</w:t>
            </w:r>
            <w:r>
              <w:rPr>
                <w:rStyle w:val="IndexLink"/>
                <w:rtl w:val="true"/>
              </w:rPr>
              <w:tab/>
            </w:r>
            <w:r>
              <w:rPr>
                <w:rStyle w:val="IndexLink"/>
              </w:rPr>
              <w:t>181</w:t>
            </w:r>
          </w:hyperlink>
        </w:p>
        <w:p>
          <w:pPr>
            <w:pStyle w:val="Contents4"/>
            <w:tabs>
              <w:tab w:val="clear" w:pos="8176"/>
              <w:tab w:val="right" w:pos="9026" w:leader="dot"/>
            </w:tabs>
            <w:rPr/>
          </w:pPr>
          <w:hyperlink w:anchor="__RefHeading___Toc1259570_1468164448">
            <w:r>
              <w:rPr>
                <w:webHidden/>
                <w:rStyle w:val="IndexLink"/>
              </w:rPr>
              <w:t>1</w:t>
            </w:r>
            <w:r>
              <w:rPr>
                <w:rStyle w:val="IndexLink"/>
                <w:rtl w:val="true"/>
              </w:rPr>
              <w:t xml:space="preserve">- </w:t>
            </w:r>
            <w:r>
              <w:rPr>
                <w:rStyle w:val="IndexLink"/>
                <w:rtl w:val="true"/>
              </w:rPr>
              <w:t>مفهوم حج و اهمّیت آن</w:t>
            </w:r>
            <w:r>
              <w:rPr>
                <w:rStyle w:val="IndexLink"/>
                <w:rtl w:val="true"/>
              </w:rPr>
              <w:tab/>
            </w:r>
            <w:r>
              <w:rPr>
                <w:rStyle w:val="IndexLink"/>
              </w:rPr>
              <w:t>181</w:t>
            </w:r>
          </w:hyperlink>
        </w:p>
        <w:p>
          <w:pPr>
            <w:pStyle w:val="Contents4"/>
            <w:tabs>
              <w:tab w:val="clear" w:pos="8176"/>
              <w:tab w:val="right" w:pos="9026" w:leader="dot"/>
            </w:tabs>
            <w:rPr/>
          </w:pPr>
          <w:hyperlink w:anchor="__RefHeading___Toc1259572_1468164448">
            <w:r>
              <w:rPr>
                <w:webHidden/>
                <w:rStyle w:val="IndexLink"/>
              </w:rPr>
              <w:t>2</w:t>
            </w:r>
            <w:r>
              <w:rPr>
                <w:rStyle w:val="IndexLink"/>
                <w:rtl w:val="true"/>
              </w:rPr>
              <w:t xml:space="preserve">- </w:t>
            </w:r>
            <w:r>
              <w:rPr>
                <w:rStyle w:val="IndexLink"/>
                <w:rtl w:val="true"/>
              </w:rPr>
              <w:t>عدم وجوب حج بر کودک</w:t>
            </w:r>
            <w:r>
              <w:rPr>
                <w:rStyle w:val="IndexLink"/>
                <w:rtl w:val="true"/>
              </w:rPr>
              <w:tab/>
            </w:r>
            <w:r>
              <w:rPr>
                <w:rStyle w:val="IndexLink"/>
              </w:rPr>
              <w:t>182</w:t>
            </w:r>
          </w:hyperlink>
        </w:p>
        <w:p>
          <w:pPr>
            <w:pStyle w:val="Contents4"/>
            <w:tabs>
              <w:tab w:val="clear" w:pos="8176"/>
              <w:tab w:val="right" w:pos="9026" w:leader="dot"/>
            </w:tabs>
            <w:rPr/>
          </w:pPr>
          <w:hyperlink w:anchor="__RefHeading___Toc1259574_1468164448">
            <w:r>
              <w:rPr>
                <w:webHidden/>
                <w:rStyle w:val="IndexLink"/>
              </w:rPr>
              <w:t>3</w:t>
            </w:r>
            <w:r>
              <w:rPr>
                <w:rStyle w:val="IndexLink"/>
                <w:rtl w:val="true"/>
              </w:rPr>
              <w:t xml:space="preserve">- </w:t>
            </w:r>
            <w:r>
              <w:rPr>
                <w:rStyle w:val="IndexLink"/>
                <w:rtl w:val="true"/>
              </w:rPr>
              <w:t>مشروعیّت حج کودک</w:t>
            </w:r>
            <w:r>
              <w:rPr>
                <w:rStyle w:val="IndexLink"/>
                <w:rtl w:val="true"/>
              </w:rPr>
              <w:tab/>
            </w:r>
            <w:r>
              <w:rPr>
                <w:rStyle w:val="IndexLink"/>
              </w:rPr>
              <w:t>183</w:t>
            </w:r>
          </w:hyperlink>
        </w:p>
        <w:p>
          <w:pPr>
            <w:pStyle w:val="Contents4"/>
            <w:tabs>
              <w:tab w:val="clear" w:pos="8176"/>
              <w:tab w:val="right" w:pos="9026" w:leader="dot"/>
            </w:tabs>
            <w:rPr/>
          </w:pPr>
          <w:hyperlink w:anchor="__RefHeading___Toc1259576_1468164448">
            <w:r>
              <w:rPr>
                <w:webHidden/>
                <w:rStyle w:val="IndexLink"/>
              </w:rPr>
              <w:t>4</w:t>
            </w:r>
            <w:r>
              <w:rPr>
                <w:rStyle w:val="IndexLink"/>
                <w:rtl w:val="true"/>
              </w:rPr>
              <w:t xml:space="preserve">- </w:t>
            </w:r>
            <w:r>
              <w:rPr>
                <w:rStyle w:val="IndexLink"/>
                <w:rtl w:val="true"/>
              </w:rPr>
              <w:t>استحباب حج برای کودک</w:t>
            </w:r>
            <w:r>
              <w:rPr>
                <w:rStyle w:val="IndexLink"/>
                <w:rtl w:val="true"/>
              </w:rPr>
              <w:tab/>
            </w:r>
            <w:r>
              <w:rPr>
                <w:rStyle w:val="IndexLink"/>
              </w:rPr>
              <w:t>183</w:t>
            </w:r>
          </w:hyperlink>
        </w:p>
        <w:p>
          <w:pPr>
            <w:pStyle w:val="Contents4"/>
            <w:tabs>
              <w:tab w:val="clear" w:pos="8176"/>
              <w:tab w:val="right" w:pos="9026" w:leader="dot"/>
            </w:tabs>
            <w:rPr/>
          </w:pPr>
          <w:hyperlink w:anchor="__RefHeading___Toc1259578_1468164448">
            <w:r>
              <w:rPr>
                <w:webHidden/>
                <w:rStyle w:val="IndexLink"/>
              </w:rPr>
              <w:t>5</w:t>
            </w:r>
            <w:r>
              <w:rPr>
                <w:rStyle w:val="IndexLink"/>
                <w:rtl w:val="true"/>
              </w:rPr>
              <w:t xml:space="preserve">- </w:t>
            </w:r>
            <w:r>
              <w:rPr>
                <w:rStyle w:val="IndexLink"/>
                <w:rtl w:val="true"/>
              </w:rPr>
              <w:t>ادلّه استحباب حج برای کودک</w:t>
            </w:r>
            <w:r>
              <w:rPr>
                <w:rStyle w:val="IndexLink"/>
                <w:rtl w:val="true"/>
              </w:rPr>
              <w:tab/>
            </w:r>
            <w:r>
              <w:rPr>
                <w:rStyle w:val="IndexLink"/>
              </w:rPr>
              <w:t>184</w:t>
            </w:r>
          </w:hyperlink>
        </w:p>
        <w:p>
          <w:pPr>
            <w:pStyle w:val="Contents4"/>
            <w:tabs>
              <w:tab w:val="clear" w:pos="8176"/>
              <w:tab w:val="right" w:pos="9026" w:leader="dot"/>
            </w:tabs>
            <w:rPr/>
          </w:pPr>
          <w:hyperlink w:anchor="__RefHeading___Toc1259580_1468164448">
            <w:r>
              <w:rPr>
                <w:webHidden/>
                <w:rStyle w:val="IndexLink"/>
              </w:rPr>
              <w:t>6</w:t>
            </w:r>
            <w:r>
              <w:rPr>
                <w:rStyle w:val="IndexLink"/>
                <w:rtl w:val="true"/>
              </w:rPr>
              <w:t xml:space="preserve">- </w:t>
            </w:r>
            <w:r>
              <w:rPr>
                <w:rStyle w:val="IndexLink"/>
                <w:rtl w:val="true"/>
              </w:rPr>
              <w:t>استحباب واداشتن کودک به انجام حج</w:t>
            </w:r>
            <w:r>
              <w:rPr>
                <w:rStyle w:val="IndexLink"/>
                <w:rtl w:val="true"/>
              </w:rPr>
              <w:tab/>
            </w:r>
            <w:r>
              <w:rPr>
                <w:rStyle w:val="IndexLink"/>
              </w:rPr>
              <w:t>185</w:t>
            </w:r>
          </w:hyperlink>
        </w:p>
        <w:p>
          <w:pPr>
            <w:pStyle w:val="Contents4"/>
            <w:tabs>
              <w:tab w:val="clear" w:pos="8176"/>
              <w:tab w:val="right" w:pos="9026" w:leader="dot"/>
            </w:tabs>
            <w:rPr/>
          </w:pPr>
          <w:hyperlink w:anchor="__RefHeading___Toc1259582_1468164448">
            <w:r>
              <w:rPr>
                <w:webHidden/>
                <w:rStyle w:val="IndexLink"/>
              </w:rPr>
              <w:t>7</w:t>
            </w:r>
            <w:r>
              <w:rPr>
                <w:rStyle w:val="IndexLink"/>
                <w:rtl w:val="true"/>
              </w:rPr>
              <w:t xml:space="preserve">- </w:t>
            </w:r>
            <w:r>
              <w:rPr>
                <w:rStyle w:val="IndexLink"/>
                <w:rtl w:val="true"/>
              </w:rPr>
              <w:t>استحباب عمره برای کودک</w:t>
            </w:r>
            <w:r>
              <w:rPr>
                <w:rStyle w:val="IndexLink"/>
                <w:rtl w:val="true"/>
              </w:rPr>
              <w:tab/>
            </w:r>
            <w:r>
              <w:rPr>
                <w:rStyle w:val="IndexLink"/>
              </w:rPr>
              <w:t>186</w:t>
            </w:r>
          </w:hyperlink>
        </w:p>
        <w:p>
          <w:pPr>
            <w:pStyle w:val="Contents4"/>
            <w:tabs>
              <w:tab w:val="clear" w:pos="8176"/>
              <w:tab w:val="right" w:pos="9026" w:leader="dot"/>
            </w:tabs>
            <w:rPr/>
          </w:pPr>
          <w:hyperlink w:anchor="__RefHeading___Toc1259584_1468164448">
            <w:r>
              <w:rPr>
                <w:webHidden/>
                <w:rStyle w:val="IndexLink"/>
              </w:rPr>
              <w:t>8</w:t>
            </w:r>
            <w:r>
              <w:rPr>
                <w:rStyle w:val="IndexLink"/>
                <w:rtl w:val="true"/>
              </w:rPr>
              <w:t xml:space="preserve">- </w:t>
            </w:r>
            <w:r>
              <w:rPr>
                <w:rStyle w:val="IndexLink"/>
                <w:rtl w:val="true"/>
              </w:rPr>
              <w:t>اولیای کودک در حج</w:t>
            </w:r>
            <w:r>
              <w:rPr>
                <w:rStyle w:val="IndexLink"/>
                <w:rtl w:val="true"/>
              </w:rPr>
              <w:tab/>
            </w:r>
            <w:r>
              <w:rPr>
                <w:rStyle w:val="IndexLink"/>
              </w:rPr>
              <w:t>187</w:t>
            </w:r>
          </w:hyperlink>
        </w:p>
        <w:p>
          <w:pPr>
            <w:pStyle w:val="Contents4"/>
            <w:tabs>
              <w:tab w:val="clear" w:pos="8176"/>
              <w:tab w:val="right" w:pos="9026" w:leader="dot"/>
            </w:tabs>
            <w:rPr/>
          </w:pPr>
          <w:hyperlink w:anchor="__RefHeading___Toc1259586_1468164448">
            <w:r>
              <w:rPr>
                <w:webHidden/>
                <w:rStyle w:val="IndexLink"/>
              </w:rPr>
              <w:t>9</w:t>
            </w:r>
            <w:r>
              <w:rPr>
                <w:rStyle w:val="IndexLink"/>
                <w:rtl w:val="true"/>
              </w:rPr>
              <w:t xml:space="preserve">- </w:t>
            </w:r>
            <w:r>
              <w:rPr>
                <w:rStyle w:val="IndexLink"/>
                <w:rtl w:val="true"/>
              </w:rPr>
              <w:t>ولایت مادر در حج کودک</w:t>
            </w:r>
            <w:r>
              <w:rPr>
                <w:rStyle w:val="IndexLink"/>
                <w:rtl w:val="true"/>
              </w:rPr>
              <w:tab/>
            </w:r>
            <w:r>
              <w:rPr>
                <w:rStyle w:val="IndexLink"/>
              </w:rPr>
              <w:t>187</w:t>
            </w:r>
          </w:hyperlink>
        </w:p>
        <w:p>
          <w:pPr>
            <w:pStyle w:val="Contents4"/>
            <w:tabs>
              <w:tab w:val="clear" w:pos="8176"/>
              <w:tab w:val="right" w:pos="9026" w:leader="dot"/>
            </w:tabs>
            <w:rPr/>
          </w:pPr>
          <w:hyperlink w:anchor="__RefHeading___Toc1259588_1468164448">
            <w:r>
              <w:rPr>
                <w:webHidden/>
                <w:rStyle w:val="IndexLink"/>
              </w:rPr>
              <w:t>10</w:t>
            </w:r>
            <w:r>
              <w:rPr>
                <w:rStyle w:val="IndexLink"/>
                <w:rtl w:val="true"/>
              </w:rPr>
              <w:t xml:space="preserve">- </w:t>
            </w:r>
            <w:r>
              <w:rPr>
                <w:rStyle w:val="IndexLink"/>
                <w:rtl w:val="true"/>
              </w:rPr>
              <w:t>تعمیم ولایت در حج کودک</w:t>
            </w:r>
            <w:r>
              <w:rPr>
                <w:rStyle w:val="IndexLink"/>
                <w:rtl w:val="true"/>
              </w:rPr>
              <w:tab/>
            </w:r>
            <w:r>
              <w:rPr>
                <w:rStyle w:val="IndexLink"/>
              </w:rPr>
              <w:t>188</w:t>
            </w:r>
          </w:hyperlink>
        </w:p>
        <w:p>
          <w:pPr>
            <w:pStyle w:val="Contents4"/>
            <w:tabs>
              <w:tab w:val="clear" w:pos="8176"/>
              <w:tab w:val="right" w:pos="9026" w:leader="dot"/>
            </w:tabs>
            <w:rPr/>
          </w:pPr>
          <w:hyperlink w:anchor="__RefHeading___Toc1259590_1468164448">
            <w:r>
              <w:rPr>
                <w:webHidden/>
                <w:rStyle w:val="IndexLink"/>
              </w:rPr>
              <w:t>11</w:t>
            </w:r>
            <w:r>
              <w:rPr>
                <w:rStyle w:val="IndexLink"/>
                <w:rtl w:val="true"/>
              </w:rPr>
              <w:t xml:space="preserve">- </w:t>
            </w:r>
            <w:r>
              <w:rPr>
                <w:rStyle w:val="IndexLink"/>
                <w:rtl w:val="true"/>
              </w:rPr>
              <w:t>اجازه ولی کودک در حج</w:t>
            </w:r>
            <w:r>
              <w:rPr>
                <w:rStyle w:val="IndexLink"/>
                <w:rtl w:val="true"/>
              </w:rPr>
              <w:tab/>
            </w:r>
            <w:r>
              <w:rPr>
                <w:rStyle w:val="IndexLink"/>
              </w:rPr>
              <w:t>190</w:t>
            </w:r>
          </w:hyperlink>
        </w:p>
        <w:p>
          <w:pPr>
            <w:pStyle w:val="Contents4"/>
            <w:tabs>
              <w:tab w:val="clear" w:pos="8176"/>
              <w:tab w:val="right" w:pos="9026" w:leader="dot"/>
            </w:tabs>
            <w:rPr/>
          </w:pPr>
          <w:hyperlink w:anchor="__RefHeading___Toc1259592_1468164448">
            <w:r>
              <w:rPr>
                <w:webHidden/>
                <w:rStyle w:val="IndexLink"/>
              </w:rPr>
              <w:t>12</w:t>
            </w:r>
            <w:r>
              <w:rPr>
                <w:rStyle w:val="IndexLink"/>
                <w:rtl w:val="true"/>
              </w:rPr>
              <w:t xml:space="preserve">- </w:t>
            </w:r>
            <w:r>
              <w:rPr>
                <w:rStyle w:val="IndexLink"/>
                <w:rtl w:val="true"/>
              </w:rPr>
              <w:t>هزینه حج کودک</w:t>
            </w:r>
            <w:r>
              <w:rPr>
                <w:rStyle w:val="IndexLink"/>
                <w:rtl w:val="true"/>
              </w:rPr>
              <w:tab/>
            </w:r>
            <w:r>
              <w:rPr>
                <w:rStyle w:val="IndexLink"/>
              </w:rPr>
              <w:t>192</w:t>
            </w:r>
          </w:hyperlink>
        </w:p>
        <w:p>
          <w:pPr>
            <w:pStyle w:val="Contents4"/>
            <w:tabs>
              <w:tab w:val="clear" w:pos="8176"/>
              <w:tab w:val="right" w:pos="9026" w:leader="dot"/>
            </w:tabs>
            <w:rPr/>
          </w:pPr>
          <w:hyperlink w:anchor="__RefHeading___Toc1259594_1468164448">
            <w:r>
              <w:rPr>
                <w:webHidden/>
                <w:rStyle w:val="IndexLink"/>
              </w:rPr>
              <w:t>13</w:t>
            </w:r>
            <w:r>
              <w:rPr>
                <w:rStyle w:val="IndexLink"/>
                <w:rtl w:val="true"/>
              </w:rPr>
              <w:t xml:space="preserve">- </w:t>
            </w:r>
            <w:r>
              <w:rPr>
                <w:rStyle w:val="IndexLink"/>
                <w:rtl w:val="true"/>
              </w:rPr>
              <w:t>میقات احرام کودک</w:t>
            </w:r>
            <w:r>
              <w:rPr>
                <w:rStyle w:val="IndexLink"/>
                <w:rtl w:val="true"/>
              </w:rPr>
              <w:tab/>
            </w:r>
            <w:r>
              <w:rPr>
                <w:rStyle w:val="IndexLink"/>
              </w:rPr>
              <w:t>194</w:t>
            </w:r>
          </w:hyperlink>
        </w:p>
        <w:p>
          <w:pPr>
            <w:pStyle w:val="Contents4"/>
            <w:tabs>
              <w:tab w:val="clear" w:pos="8176"/>
              <w:tab w:val="right" w:pos="9026" w:leader="dot"/>
            </w:tabs>
            <w:rPr/>
          </w:pPr>
          <w:hyperlink w:anchor="__RefHeading___Toc1259596_1468164448">
            <w:r>
              <w:rPr>
                <w:webHidden/>
                <w:rStyle w:val="IndexLink"/>
              </w:rPr>
              <w:t>14</w:t>
            </w:r>
            <w:r>
              <w:rPr>
                <w:rStyle w:val="IndexLink"/>
                <w:rtl w:val="true"/>
              </w:rPr>
              <w:t xml:space="preserve">- </w:t>
            </w:r>
            <w:r>
              <w:rPr>
                <w:rStyle w:val="IndexLink"/>
                <w:rtl w:val="true"/>
              </w:rPr>
              <w:t>محرّمات احرام نسبت به کودک</w:t>
            </w:r>
            <w:r>
              <w:rPr>
                <w:rStyle w:val="IndexLink"/>
                <w:rtl w:val="true"/>
              </w:rPr>
              <w:tab/>
            </w:r>
            <w:r>
              <w:rPr>
                <w:rStyle w:val="IndexLink"/>
              </w:rPr>
              <w:t>195</w:t>
            </w:r>
          </w:hyperlink>
        </w:p>
        <w:p>
          <w:pPr>
            <w:pStyle w:val="Contents4"/>
            <w:tabs>
              <w:tab w:val="clear" w:pos="8176"/>
              <w:tab w:val="right" w:pos="9026" w:leader="dot"/>
            </w:tabs>
            <w:rPr/>
          </w:pPr>
          <w:hyperlink w:anchor="__RefHeading___Toc1259598_1468164448">
            <w:r>
              <w:rPr>
                <w:webHidden/>
                <w:rStyle w:val="IndexLink"/>
              </w:rPr>
              <w:t>15</w:t>
            </w:r>
            <w:r>
              <w:rPr>
                <w:rStyle w:val="IndexLink"/>
                <w:rtl w:val="true"/>
              </w:rPr>
              <w:t xml:space="preserve">- </w:t>
            </w:r>
            <w:r>
              <w:rPr>
                <w:rStyle w:val="IndexLink"/>
                <w:rtl w:val="true"/>
              </w:rPr>
              <w:t>جواز استفاده از سایه</w:t>
            </w:r>
            <w:r>
              <w:rPr>
                <w:rStyle w:val="IndexLink"/>
                <w:rtl w:val="true"/>
              </w:rPr>
              <w:tab/>
            </w:r>
            <w:r>
              <w:rPr>
                <w:rStyle w:val="IndexLink"/>
              </w:rPr>
              <w:t>196</w:t>
            </w:r>
          </w:hyperlink>
        </w:p>
        <w:p>
          <w:pPr>
            <w:pStyle w:val="Contents4"/>
            <w:tabs>
              <w:tab w:val="clear" w:pos="8176"/>
              <w:tab w:val="right" w:pos="9026" w:leader="dot"/>
            </w:tabs>
            <w:rPr/>
          </w:pPr>
          <w:hyperlink w:anchor="__RefHeading___Toc1259600_1468164448">
            <w:r>
              <w:rPr>
                <w:webHidden/>
                <w:rStyle w:val="IndexLink"/>
              </w:rPr>
              <w:t>16</w:t>
            </w:r>
            <w:r>
              <w:rPr>
                <w:rStyle w:val="IndexLink"/>
                <w:rtl w:val="true"/>
              </w:rPr>
              <w:t xml:space="preserve">- </w:t>
            </w:r>
            <w:r>
              <w:rPr>
                <w:rStyle w:val="IndexLink"/>
                <w:rtl w:val="true"/>
              </w:rPr>
              <w:t>حکم کفّاره احرام نسبت به کودک</w:t>
            </w:r>
            <w:r>
              <w:rPr>
                <w:rStyle w:val="IndexLink"/>
                <w:rtl w:val="true"/>
              </w:rPr>
              <w:tab/>
            </w:r>
            <w:r>
              <w:rPr>
                <w:rStyle w:val="IndexLink"/>
              </w:rPr>
              <w:t>196</w:t>
            </w:r>
          </w:hyperlink>
        </w:p>
        <w:p>
          <w:pPr>
            <w:pStyle w:val="Contents4"/>
            <w:tabs>
              <w:tab w:val="clear" w:pos="8176"/>
              <w:tab w:val="right" w:pos="9026" w:leader="dot"/>
            </w:tabs>
            <w:rPr/>
          </w:pPr>
          <w:hyperlink w:anchor="__RefHeading___Toc1259602_1468164448">
            <w:r>
              <w:rPr>
                <w:webHidden/>
                <w:rStyle w:val="IndexLink"/>
              </w:rPr>
              <w:t>17</w:t>
            </w:r>
            <w:r>
              <w:rPr>
                <w:rStyle w:val="IndexLink"/>
                <w:rtl w:val="true"/>
              </w:rPr>
              <w:t xml:space="preserve">- </w:t>
            </w:r>
            <w:r>
              <w:rPr>
                <w:rStyle w:val="IndexLink"/>
                <w:rtl w:val="true"/>
              </w:rPr>
              <w:t>شیوه انجام مناسک حج توسط کودک</w:t>
            </w:r>
            <w:r>
              <w:rPr>
                <w:rStyle w:val="IndexLink"/>
                <w:rtl w:val="true"/>
              </w:rPr>
              <w:tab/>
            </w:r>
            <w:r>
              <w:rPr>
                <w:rStyle w:val="IndexLink"/>
              </w:rPr>
              <w:t>198</w:t>
            </w:r>
          </w:hyperlink>
        </w:p>
        <w:p>
          <w:pPr>
            <w:pStyle w:val="Contents4"/>
            <w:tabs>
              <w:tab w:val="clear" w:pos="8176"/>
              <w:tab w:val="right" w:pos="9026" w:leader="dot"/>
            </w:tabs>
            <w:rPr/>
          </w:pPr>
          <w:hyperlink w:anchor="__RefHeading___Toc1259604_1468164448">
            <w:r>
              <w:rPr>
                <w:webHidden/>
                <w:rStyle w:val="IndexLink"/>
              </w:rPr>
              <w:t>18</w:t>
            </w:r>
            <w:r>
              <w:rPr>
                <w:rStyle w:val="IndexLink"/>
                <w:rtl w:val="true"/>
              </w:rPr>
              <w:t xml:space="preserve">- </w:t>
            </w:r>
            <w:r>
              <w:rPr>
                <w:rStyle w:val="IndexLink"/>
                <w:rtl w:val="true"/>
              </w:rPr>
              <w:t>شرایط طواف نسبت به کودک</w:t>
            </w:r>
            <w:r>
              <w:rPr>
                <w:rStyle w:val="IndexLink"/>
                <w:rtl w:val="true"/>
              </w:rPr>
              <w:tab/>
            </w:r>
            <w:r>
              <w:rPr>
                <w:rStyle w:val="IndexLink"/>
              </w:rPr>
              <w:t>199</w:t>
            </w:r>
          </w:hyperlink>
        </w:p>
        <w:p>
          <w:pPr>
            <w:pStyle w:val="Contents4"/>
            <w:tabs>
              <w:tab w:val="clear" w:pos="8176"/>
              <w:tab w:val="right" w:pos="9026" w:leader="dot"/>
            </w:tabs>
            <w:rPr/>
          </w:pPr>
          <w:hyperlink w:anchor="__RefHeading___Toc1259606_1468164448">
            <w:r>
              <w:rPr>
                <w:webHidden/>
                <w:rStyle w:val="IndexLink"/>
              </w:rPr>
              <w:t>19</w:t>
            </w:r>
            <w:r>
              <w:rPr>
                <w:rStyle w:val="IndexLink"/>
                <w:rtl w:val="true"/>
              </w:rPr>
              <w:t xml:space="preserve">- </w:t>
            </w:r>
            <w:r>
              <w:rPr>
                <w:rStyle w:val="IndexLink"/>
                <w:rtl w:val="true"/>
              </w:rPr>
              <w:t>نماز طواف کودک</w:t>
            </w:r>
            <w:r>
              <w:rPr>
                <w:rStyle w:val="IndexLink"/>
                <w:rtl w:val="true"/>
              </w:rPr>
              <w:tab/>
            </w:r>
            <w:r>
              <w:rPr>
                <w:rStyle w:val="IndexLink"/>
              </w:rPr>
              <w:t>202</w:t>
            </w:r>
          </w:hyperlink>
        </w:p>
        <w:p>
          <w:pPr>
            <w:pStyle w:val="Contents4"/>
            <w:tabs>
              <w:tab w:val="clear" w:pos="8176"/>
              <w:tab w:val="right" w:pos="9026" w:leader="dot"/>
            </w:tabs>
            <w:rPr/>
          </w:pPr>
          <w:hyperlink w:anchor="__RefHeading___Toc1259608_1468164448">
            <w:r>
              <w:rPr>
                <w:webHidden/>
                <w:rStyle w:val="IndexLink"/>
              </w:rPr>
              <w:t>20</w:t>
            </w:r>
            <w:r>
              <w:rPr>
                <w:rStyle w:val="IndexLink"/>
                <w:rtl w:val="true"/>
              </w:rPr>
              <w:t xml:space="preserve">- </w:t>
            </w:r>
            <w:r>
              <w:rPr>
                <w:rStyle w:val="IndexLink"/>
                <w:rtl w:val="true"/>
              </w:rPr>
              <w:t>قربانی در حج کودک</w:t>
            </w:r>
            <w:r>
              <w:rPr>
                <w:rStyle w:val="IndexLink"/>
                <w:rtl w:val="true"/>
              </w:rPr>
              <w:tab/>
            </w:r>
            <w:r>
              <w:rPr>
                <w:rStyle w:val="IndexLink"/>
              </w:rPr>
              <w:t>202</w:t>
            </w:r>
          </w:hyperlink>
        </w:p>
        <w:p>
          <w:pPr>
            <w:pStyle w:val="Contents4"/>
            <w:tabs>
              <w:tab w:val="clear" w:pos="8176"/>
              <w:tab w:val="right" w:pos="9026" w:leader="dot"/>
            </w:tabs>
            <w:rPr/>
          </w:pPr>
          <w:hyperlink w:anchor="__RefHeading___Toc1259610_1468164448">
            <w:r>
              <w:rPr>
                <w:webHidden/>
                <w:rStyle w:val="IndexLink"/>
              </w:rPr>
              <w:t>21</w:t>
            </w:r>
            <w:r>
              <w:rPr>
                <w:rStyle w:val="IndexLink"/>
                <w:rtl w:val="true"/>
              </w:rPr>
              <w:t xml:space="preserve">- </w:t>
            </w:r>
            <w:r>
              <w:rPr>
                <w:rStyle w:val="IndexLink"/>
                <w:rtl w:val="true"/>
              </w:rPr>
              <w:t>طواف نساء در حج کودک</w:t>
            </w:r>
            <w:r>
              <w:rPr>
                <w:rStyle w:val="IndexLink"/>
                <w:rtl w:val="true"/>
              </w:rPr>
              <w:tab/>
            </w:r>
            <w:r>
              <w:rPr>
                <w:rStyle w:val="IndexLink"/>
              </w:rPr>
              <w:t>203</w:t>
            </w:r>
          </w:hyperlink>
        </w:p>
        <w:p>
          <w:pPr>
            <w:pStyle w:val="Contents4"/>
            <w:tabs>
              <w:tab w:val="clear" w:pos="8176"/>
              <w:tab w:val="right" w:pos="9026" w:leader="dot"/>
            </w:tabs>
            <w:rPr/>
          </w:pPr>
          <w:hyperlink w:anchor="__RefHeading___Toc1259612_1468164448">
            <w:r>
              <w:rPr>
                <w:webHidden/>
                <w:rStyle w:val="IndexLink"/>
              </w:rPr>
              <w:t>22</w:t>
            </w:r>
            <w:r>
              <w:rPr>
                <w:rStyle w:val="IndexLink"/>
                <w:rtl w:val="true"/>
              </w:rPr>
              <w:t xml:space="preserve">- </w:t>
            </w:r>
            <w:r>
              <w:rPr>
                <w:rStyle w:val="IndexLink"/>
                <w:rtl w:val="true"/>
              </w:rPr>
              <w:t>حکم ترک طواف نساء نسبت به کودک</w:t>
            </w:r>
            <w:r>
              <w:rPr>
                <w:rStyle w:val="IndexLink"/>
                <w:rtl w:val="true"/>
              </w:rPr>
              <w:tab/>
            </w:r>
            <w:r>
              <w:rPr>
                <w:rStyle w:val="IndexLink"/>
              </w:rPr>
              <w:t>204</w:t>
            </w:r>
          </w:hyperlink>
        </w:p>
        <w:p>
          <w:pPr>
            <w:pStyle w:val="Contents4"/>
            <w:tabs>
              <w:tab w:val="clear" w:pos="8176"/>
              <w:tab w:val="right" w:pos="9026" w:leader="dot"/>
            </w:tabs>
            <w:rPr/>
          </w:pPr>
          <w:hyperlink w:anchor="__RefHeading___Toc1259614_1468164448">
            <w:r>
              <w:rPr>
                <w:webHidden/>
                <w:rStyle w:val="IndexLink"/>
              </w:rPr>
              <w:t>23</w:t>
            </w:r>
            <w:r>
              <w:rPr>
                <w:rStyle w:val="IndexLink"/>
                <w:rtl w:val="true"/>
              </w:rPr>
              <w:t xml:space="preserve">- </w:t>
            </w:r>
            <w:r>
              <w:rPr>
                <w:rStyle w:val="IndexLink"/>
                <w:rtl w:val="true"/>
              </w:rPr>
              <w:t>حکم بطلان حج نسبت به کودک</w:t>
            </w:r>
            <w:r>
              <w:rPr>
                <w:rStyle w:val="IndexLink"/>
                <w:rtl w:val="true"/>
              </w:rPr>
              <w:tab/>
            </w:r>
            <w:r>
              <w:rPr>
                <w:rStyle w:val="IndexLink"/>
              </w:rPr>
              <w:t>205</w:t>
            </w:r>
          </w:hyperlink>
        </w:p>
        <w:p>
          <w:pPr>
            <w:pStyle w:val="Contents4"/>
            <w:tabs>
              <w:tab w:val="clear" w:pos="8176"/>
              <w:tab w:val="right" w:pos="9026" w:leader="dot"/>
            </w:tabs>
            <w:rPr/>
          </w:pPr>
          <w:hyperlink w:anchor="__RefHeading___Toc1259616_1468164448">
            <w:r>
              <w:rPr>
                <w:webHidden/>
                <w:rStyle w:val="IndexLink"/>
              </w:rPr>
              <w:t>24</w:t>
            </w:r>
            <w:r>
              <w:rPr>
                <w:rStyle w:val="IndexLink"/>
                <w:rtl w:val="true"/>
              </w:rPr>
              <w:t xml:space="preserve">- </w:t>
            </w:r>
            <w:r>
              <w:rPr>
                <w:rStyle w:val="IndexLink"/>
                <w:rtl w:val="true"/>
              </w:rPr>
              <w:t>هزینه قضای حج کودک و زمان آن</w:t>
            </w:r>
            <w:r>
              <w:rPr>
                <w:rStyle w:val="IndexLink"/>
                <w:rtl w:val="true"/>
              </w:rPr>
              <w:tab/>
            </w:r>
            <w:r>
              <w:rPr>
                <w:rStyle w:val="IndexLink"/>
              </w:rPr>
              <w:t>206</w:t>
            </w:r>
          </w:hyperlink>
        </w:p>
        <w:p>
          <w:pPr>
            <w:pStyle w:val="Contents4"/>
            <w:tabs>
              <w:tab w:val="clear" w:pos="8176"/>
              <w:tab w:val="right" w:pos="9026" w:leader="dot"/>
            </w:tabs>
            <w:rPr/>
          </w:pPr>
          <w:hyperlink w:anchor="__RefHeading___Toc1259618_1468164448">
            <w:r>
              <w:rPr>
                <w:webHidden/>
                <w:rStyle w:val="IndexLink"/>
              </w:rPr>
              <w:t>25</w:t>
            </w:r>
            <w:r>
              <w:rPr>
                <w:rStyle w:val="IndexLink"/>
                <w:rtl w:val="true"/>
              </w:rPr>
              <w:t xml:space="preserve">- </w:t>
            </w:r>
            <w:r>
              <w:rPr>
                <w:rStyle w:val="IndexLink"/>
                <w:rtl w:val="true"/>
              </w:rPr>
              <w:t>بلوغ کودک در اثنای مناسک حج</w:t>
            </w:r>
            <w:r>
              <w:rPr>
                <w:rStyle w:val="IndexLink"/>
                <w:rtl w:val="true"/>
              </w:rPr>
              <w:tab/>
            </w:r>
            <w:r>
              <w:rPr>
                <w:rStyle w:val="IndexLink"/>
              </w:rPr>
              <w:t>207</w:t>
            </w:r>
          </w:hyperlink>
        </w:p>
        <w:p>
          <w:pPr>
            <w:pStyle w:val="Contents4"/>
            <w:tabs>
              <w:tab w:val="clear" w:pos="8176"/>
              <w:tab w:val="right" w:pos="9026" w:leader="dot"/>
            </w:tabs>
            <w:rPr/>
          </w:pPr>
          <w:hyperlink w:anchor="__RefHeading___Toc1259620_1468164448">
            <w:r>
              <w:rPr>
                <w:webHidden/>
                <w:rStyle w:val="IndexLink"/>
              </w:rPr>
              <w:t>26</w:t>
            </w:r>
            <w:r>
              <w:rPr>
                <w:rStyle w:val="IndexLink"/>
                <w:rtl w:val="true"/>
              </w:rPr>
              <w:t xml:space="preserve">- </w:t>
            </w:r>
            <w:r>
              <w:rPr>
                <w:rStyle w:val="IndexLink"/>
                <w:rtl w:val="true"/>
              </w:rPr>
              <w:t>بررسی دو فرع پیرامون حج کودک</w:t>
            </w:r>
            <w:r>
              <w:rPr>
                <w:rStyle w:val="IndexLink"/>
                <w:rtl w:val="true"/>
              </w:rPr>
              <w:tab/>
            </w:r>
            <w:r>
              <w:rPr>
                <w:rStyle w:val="IndexLink"/>
              </w:rPr>
              <w:t>210</w:t>
            </w:r>
          </w:hyperlink>
        </w:p>
        <w:p>
          <w:pPr>
            <w:pStyle w:val="Contents4"/>
            <w:tabs>
              <w:tab w:val="clear" w:pos="8176"/>
              <w:tab w:val="right" w:pos="9026" w:leader="dot"/>
            </w:tabs>
            <w:rPr/>
          </w:pPr>
          <w:hyperlink w:anchor="__RefHeading___Toc1259622_1468164448">
            <w:r>
              <w:rPr>
                <w:webHidden/>
                <w:rStyle w:val="IndexLink"/>
              </w:rPr>
              <w:t>27</w:t>
            </w:r>
            <w:r>
              <w:rPr>
                <w:rStyle w:val="IndexLink"/>
                <w:rtl w:val="true"/>
              </w:rPr>
              <w:t xml:space="preserve">- </w:t>
            </w:r>
            <w:r>
              <w:rPr>
                <w:rStyle w:val="IndexLink"/>
                <w:rtl w:val="true"/>
              </w:rPr>
              <w:t>نیابت کودک در حج</w:t>
            </w:r>
            <w:r>
              <w:rPr>
                <w:rStyle w:val="IndexLink"/>
                <w:rtl w:val="true"/>
              </w:rPr>
              <w:tab/>
            </w:r>
            <w:r>
              <w:rPr>
                <w:rStyle w:val="IndexLink"/>
              </w:rPr>
              <w:t>211</w:t>
            </w:r>
          </w:hyperlink>
        </w:p>
        <w:p>
          <w:pPr>
            <w:pStyle w:val="Contents4"/>
            <w:tabs>
              <w:tab w:val="clear" w:pos="8176"/>
              <w:tab w:val="right" w:pos="9026" w:leader="dot"/>
            </w:tabs>
            <w:rPr/>
          </w:pPr>
          <w:hyperlink w:anchor="__RefHeading___Toc1259624_1468164448">
            <w:r>
              <w:rPr>
                <w:webHidden/>
                <w:rStyle w:val="IndexLink"/>
              </w:rPr>
              <w:t>28</w:t>
            </w:r>
            <w:r>
              <w:rPr>
                <w:rStyle w:val="IndexLink"/>
                <w:rtl w:val="true"/>
              </w:rPr>
              <w:t xml:space="preserve">- </w:t>
            </w:r>
            <w:r>
              <w:rPr>
                <w:rStyle w:val="IndexLink"/>
                <w:rtl w:val="true"/>
              </w:rPr>
              <w:t>هدیه کردن پاداش حج توسط کودک</w:t>
            </w:r>
            <w:r>
              <w:rPr>
                <w:rStyle w:val="IndexLink"/>
                <w:rtl w:val="true"/>
              </w:rPr>
              <w:tab/>
            </w:r>
            <w:r>
              <w:rPr>
                <w:rStyle w:val="IndexLink"/>
              </w:rPr>
              <w:t>214</w:t>
            </w:r>
          </w:hyperlink>
        </w:p>
        <w:p>
          <w:pPr>
            <w:pStyle w:val="Contents4"/>
            <w:tabs>
              <w:tab w:val="clear" w:pos="8176"/>
              <w:tab w:val="right" w:pos="9026" w:leader="dot"/>
            </w:tabs>
            <w:rPr/>
          </w:pPr>
          <w:hyperlink w:anchor="__RefHeading___Toc1259626_1468164448">
            <w:r>
              <w:rPr>
                <w:webHidden/>
                <w:rStyle w:val="IndexLink"/>
              </w:rPr>
              <w:t>29</w:t>
            </w:r>
            <w:r>
              <w:rPr>
                <w:rStyle w:val="IndexLink"/>
                <w:rtl w:val="true"/>
              </w:rPr>
              <w:t xml:space="preserve">- </w:t>
            </w:r>
            <w:r>
              <w:rPr>
                <w:rStyle w:val="IndexLink"/>
                <w:rtl w:val="true"/>
              </w:rPr>
              <w:t>نیابت از کودک در حج</w:t>
            </w:r>
            <w:r>
              <w:rPr>
                <w:rStyle w:val="IndexLink"/>
                <w:rtl w:val="true"/>
              </w:rPr>
              <w:tab/>
            </w:r>
            <w:r>
              <w:rPr>
                <w:rStyle w:val="IndexLink"/>
              </w:rPr>
              <w:t>215</w:t>
            </w:r>
          </w:hyperlink>
        </w:p>
        <w:p>
          <w:pPr>
            <w:pStyle w:val="Contents3"/>
            <w:tabs>
              <w:tab w:val="clear" w:pos="8459"/>
              <w:tab w:val="right" w:pos="9026" w:leader="dot"/>
            </w:tabs>
            <w:rPr/>
          </w:pPr>
          <w:hyperlink w:anchor="__RefHeading___Toc1259628_1468164448">
            <w:r>
              <w:rPr>
                <w:webHidden/>
                <w:rStyle w:val="IndexLink"/>
                <w:rtl w:val="true"/>
              </w:rPr>
              <w:t>گفتار هفتم</w:t>
            </w:r>
            <w:r>
              <w:rPr>
                <w:rStyle w:val="IndexLink"/>
                <w:rtl w:val="true"/>
              </w:rPr>
              <w:t xml:space="preserve">: </w:t>
            </w:r>
            <w:r>
              <w:rPr>
                <w:rStyle w:val="IndexLink"/>
                <w:rtl w:val="true"/>
              </w:rPr>
              <w:t>حکم جهاد نسبت به کودک</w:t>
            </w:r>
            <w:r>
              <w:rPr>
                <w:rStyle w:val="IndexLink"/>
                <w:rtl w:val="true"/>
              </w:rPr>
              <w:tab/>
            </w:r>
            <w:r>
              <w:rPr>
                <w:rStyle w:val="IndexLink"/>
              </w:rPr>
              <w:t>217</w:t>
            </w:r>
          </w:hyperlink>
        </w:p>
        <w:p>
          <w:pPr>
            <w:pStyle w:val="Contents4"/>
            <w:tabs>
              <w:tab w:val="clear" w:pos="8176"/>
              <w:tab w:val="right" w:pos="9026" w:leader="dot"/>
            </w:tabs>
            <w:rPr/>
          </w:pPr>
          <w:hyperlink w:anchor="__RefHeading___Toc1259630_1468164448">
            <w:r>
              <w:rPr>
                <w:webHidden/>
                <w:rStyle w:val="IndexLink"/>
              </w:rPr>
              <w:t>1</w:t>
            </w:r>
            <w:r>
              <w:rPr>
                <w:rStyle w:val="IndexLink"/>
                <w:rtl w:val="true"/>
              </w:rPr>
              <w:t xml:space="preserve">- </w:t>
            </w:r>
            <w:r>
              <w:rPr>
                <w:rStyle w:val="IndexLink"/>
                <w:rtl w:val="true"/>
              </w:rPr>
              <w:t>مفهوم جهاد و اهمّیت آن</w:t>
            </w:r>
            <w:r>
              <w:rPr>
                <w:rStyle w:val="IndexLink"/>
                <w:rtl w:val="true"/>
              </w:rPr>
              <w:tab/>
            </w:r>
            <w:r>
              <w:rPr>
                <w:rStyle w:val="IndexLink"/>
              </w:rPr>
              <w:t>217</w:t>
            </w:r>
          </w:hyperlink>
        </w:p>
        <w:p>
          <w:pPr>
            <w:pStyle w:val="Contents4"/>
            <w:tabs>
              <w:tab w:val="clear" w:pos="8176"/>
              <w:tab w:val="right" w:pos="9026" w:leader="dot"/>
            </w:tabs>
            <w:rPr/>
          </w:pPr>
          <w:hyperlink w:anchor="__RefHeading___Toc1259632_1468164448">
            <w:r>
              <w:rPr>
                <w:webHidden/>
                <w:rStyle w:val="IndexLink"/>
              </w:rPr>
              <w:t>2</w:t>
            </w:r>
            <w:r>
              <w:rPr>
                <w:rStyle w:val="IndexLink"/>
                <w:rtl w:val="true"/>
              </w:rPr>
              <w:t xml:space="preserve">- </w:t>
            </w:r>
            <w:r>
              <w:rPr>
                <w:rStyle w:val="IndexLink"/>
                <w:rtl w:val="true"/>
              </w:rPr>
              <w:t>مشروعیّت جهاد برای کودک</w:t>
            </w:r>
            <w:r>
              <w:rPr>
                <w:rStyle w:val="IndexLink"/>
                <w:rtl w:val="true"/>
              </w:rPr>
              <w:tab/>
            </w:r>
            <w:r>
              <w:rPr>
                <w:rStyle w:val="IndexLink"/>
              </w:rPr>
              <w:t>218</w:t>
            </w:r>
          </w:hyperlink>
        </w:p>
        <w:p>
          <w:pPr>
            <w:pStyle w:val="Contents4"/>
            <w:tabs>
              <w:tab w:val="clear" w:pos="8176"/>
              <w:tab w:val="right" w:pos="9026" w:leader="dot"/>
            </w:tabs>
            <w:rPr/>
          </w:pPr>
          <w:hyperlink w:anchor="__RefHeading___Toc1259634_1468164448">
            <w:r>
              <w:rPr>
                <w:webHidden/>
                <w:rStyle w:val="IndexLink"/>
              </w:rPr>
              <w:t>3</w:t>
            </w:r>
            <w:r>
              <w:rPr>
                <w:rStyle w:val="IndexLink"/>
                <w:rtl w:val="true"/>
              </w:rPr>
              <w:t xml:space="preserve">- </w:t>
            </w:r>
            <w:r>
              <w:rPr>
                <w:rStyle w:val="IndexLink"/>
                <w:rtl w:val="true"/>
              </w:rPr>
              <w:t>بررسی چند فرع فقهی پیرامون جهاد کودک</w:t>
            </w:r>
            <w:r>
              <w:rPr>
                <w:rStyle w:val="IndexLink"/>
                <w:rtl w:val="true"/>
              </w:rPr>
              <w:tab/>
            </w:r>
            <w:r>
              <w:rPr>
                <w:rStyle w:val="IndexLink"/>
              </w:rPr>
              <w:t>220</w:t>
            </w:r>
          </w:hyperlink>
        </w:p>
        <w:p>
          <w:pPr>
            <w:pStyle w:val="Contents3"/>
            <w:tabs>
              <w:tab w:val="clear" w:pos="8459"/>
              <w:tab w:val="right" w:pos="9026" w:leader="dot"/>
            </w:tabs>
            <w:rPr/>
          </w:pPr>
          <w:hyperlink w:anchor="__RefHeading___Toc1259636_1468164448">
            <w:r>
              <w:rPr>
                <w:webHidden/>
                <w:rStyle w:val="IndexLink"/>
                <w:rtl w:val="true"/>
              </w:rPr>
              <w:t>گفتار هشتم</w:t>
            </w:r>
            <w:r>
              <w:rPr>
                <w:rStyle w:val="IndexLink"/>
                <w:rtl w:val="true"/>
              </w:rPr>
              <w:t xml:space="preserve">: </w:t>
            </w:r>
            <w:r>
              <w:rPr>
                <w:rStyle w:val="IndexLink"/>
                <w:rtl w:val="true"/>
              </w:rPr>
              <w:t>امر به معروف و نهی از منکر نسبت به کودک</w:t>
            </w:r>
            <w:r>
              <w:rPr>
                <w:rStyle w:val="IndexLink"/>
                <w:rtl w:val="true"/>
              </w:rPr>
              <w:tab/>
            </w:r>
            <w:r>
              <w:rPr>
                <w:rStyle w:val="IndexLink"/>
              </w:rPr>
              <w:t>226</w:t>
            </w:r>
          </w:hyperlink>
        </w:p>
        <w:p>
          <w:pPr>
            <w:pStyle w:val="Contents4"/>
            <w:tabs>
              <w:tab w:val="clear" w:pos="8176"/>
              <w:tab w:val="right" w:pos="9026" w:leader="dot"/>
            </w:tabs>
            <w:rPr/>
          </w:pPr>
          <w:hyperlink w:anchor="__RefHeading___Toc1259638_1468164448">
            <w:r>
              <w:rPr>
                <w:webHidden/>
                <w:rStyle w:val="IndexLink"/>
              </w:rPr>
              <w:t>1</w:t>
            </w:r>
            <w:r>
              <w:rPr>
                <w:rStyle w:val="IndexLink"/>
                <w:rtl w:val="true"/>
              </w:rPr>
              <w:t xml:space="preserve">- </w:t>
            </w:r>
            <w:r>
              <w:rPr>
                <w:rStyle w:val="IndexLink"/>
                <w:rtl w:val="true"/>
              </w:rPr>
              <w:t>مفهوم و اهمّیت این دو فریضه</w:t>
            </w:r>
            <w:r>
              <w:rPr>
                <w:rStyle w:val="IndexLink"/>
                <w:rtl w:val="true"/>
              </w:rPr>
              <w:tab/>
            </w:r>
            <w:r>
              <w:rPr>
                <w:rStyle w:val="IndexLink"/>
              </w:rPr>
              <w:t>226</w:t>
            </w:r>
          </w:hyperlink>
        </w:p>
        <w:p>
          <w:pPr>
            <w:pStyle w:val="Contents4"/>
            <w:tabs>
              <w:tab w:val="clear" w:pos="8176"/>
              <w:tab w:val="right" w:pos="9026" w:leader="dot"/>
            </w:tabs>
            <w:rPr/>
          </w:pPr>
          <w:hyperlink w:anchor="__RefHeading___Toc1259640_1468164448">
            <w:r>
              <w:rPr>
                <w:webHidden/>
                <w:rStyle w:val="IndexLink"/>
              </w:rPr>
              <w:t>2</w:t>
            </w:r>
            <w:r>
              <w:rPr>
                <w:rStyle w:val="IndexLink"/>
                <w:rtl w:val="true"/>
              </w:rPr>
              <w:t xml:space="preserve">- </w:t>
            </w:r>
            <w:r>
              <w:rPr>
                <w:rStyle w:val="IndexLink"/>
                <w:rtl w:val="true"/>
              </w:rPr>
              <w:t>وجوب کفایی یا عینی بودن این دو فریضه</w:t>
            </w:r>
            <w:r>
              <w:rPr>
                <w:rStyle w:val="IndexLink"/>
                <w:rtl w:val="true"/>
              </w:rPr>
              <w:tab/>
            </w:r>
            <w:r>
              <w:rPr>
                <w:rStyle w:val="IndexLink"/>
              </w:rPr>
              <w:t>227</w:t>
            </w:r>
          </w:hyperlink>
        </w:p>
        <w:p>
          <w:pPr>
            <w:pStyle w:val="Contents4"/>
            <w:tabs>
              <w:tab w:val="clear" w:pos="8176"/>
              <w:tab w:val="right" w:pos="9026" w:leader="dot"/>
            </w:tabs>
            <w:rPr/>
          </w:pPr>
          <w:hyperlink w:anchor="__RefHeading___Toc1259642_1468164448">
            <w:r>
              <w:rPr>
                <w:webHidden/>
                <w:rStyle w:val="IndexLink"/>
              </w:rPr>
              <w:t>3</w:t>
            </w:r>
            <w:r>
              <w:rPr>
                <w:rStyle w:val="IndexLink"/>
                <w:rtl w:val="true"/>
              </w:rPr>
              <w:t xml:space="preserve">- </w:t>
            </w:r>
            <w:r>
              <w:rPr>
                <w:rStyle w:val="IndexLink"/>
                <w:rtl w:val="true"/>
              </w:rPr>
              <w:t>عقلی یا تعبدی بودن این دو فریضه</w:t>
            </w:r>
            <w:r>
              <w:rPr>
                <w:rStyle w:val="IndexLink"/>
                <w:rtl w:val="true"/>
              </w:rPr>
              <w:tab/>
            </w:r>
            <w:r>
              <w:rPr>
                <w:rStyle w:val="IndexLink"/>
              </w:rPr>
              <w:t>227</w:t>
            </w:r>
          </w:hyperlink>
        </w:p>
        <w:p>
          <w:pPr>
            <w:pStyle w:val="Contents4"/>
            <w:tabs>
              <w:tab w:val="clear" w:pos="8176"/>
              <w:tab w:val="right" w:pos="9026" w:leader="dot"/>
            </w:tabs>
            <w:rPr/>
          </w:pPr>
          <w:hyperlink w:anchor="__RefHeading___Toc1259644_1468164448">
            <w:r>
              <w:rPr>
                <w:webHidden/>
                <w:rStyle w:val="IndexLink"/>
              </w:rPr>
              <w:t>4</w:t>
            </w:r>
            <w:r>
              <w:rPr>
                <w:rStyle w:val="IndexLink"/>
                <w:rtl w:val="true"/>
              </w:rPr>
              <w:t xml:space="preserve">- </w:t>
            </w:r>
            <w:r>
              <w:rPr>
                <w:rStyle w:val="IndexLink"/>
                <w:rtl w:val="true"/>
              </w:rPr>
              <w:t>انجام امر به معروف و نهی از منکر توسط کودک</w:t>
            </w:r>
            <w:r>
              <w:rPr>
                <w:rStyle w:val="IndexLink"/>
                <w:rtl w:val="true"/>
              </w:rPr>
              <w:tab/>
            </w:r>
            <w:r>
              <w:rPr>
                <w:rStyle w:val="IndexLink"/>
              </w:rPr>
              <w:t>228</w:t>
            </w:r>
          </w:hyperlink>
        </w:p>
        <w:p>
          <w:pPr>
            <w:pStyle w:val="Contents4"/>
            <w:tabs>
              <w:tab w:val="clear" w:pos="8176"/>
              <w:tab w:val="right" w:pos="9026" w:leader="dot"/>
            </w:tabs>
            <w:rPr/>
          </w:pPr>
          <w:hyperlink w:anchor="__RefHeading___Toc1259646_1468164448">
            <w:r>
              <w:rPr>
                <w:webHidden/>
                <w:rStyle w:val="IndexLink"/>
              </w:rPr>
              <w:t>5</w:t>
            </w:r>
            <w:r>
              <w:rPr>
                <w:rStyle w:val="IndexLink"/>
                <w:rtl w:val="true"/>
              </w:rPr>
              <w:t xml:space="preserve">- </w:t>
            </w:r>
            <w:r>
              <w:rPr>
                <w:rStyle w:val="IndexLink"/>
                <w:rtl w:val="true"/>
              </w:rPr>
              <w:t>وجوب امر به معروف و نهی از منکر بر کودک به حکم عقل</w:t>
            </w:r>
            <w:r>
              <w:rPr>
                <w:rStyle w:val="IndexLink"/>
                <w:rtl w:val="true"/>
              </w:rPr>
              <w:tab/>
            </w:r>
            <w:r>
              <w:rPr>
                <w:rStyle w:val="IndexLink"/>
              </w:rPr>
              <w:t>229</w:t>
            </w:r>
          </w:hyperlink>
        </w:p>
        <w:p>
          <w:pPr>
            <w:pStyle w:val="Contents3"/>
            <w:tabs>
              <w:tab w:val="clear" w:pos="8459"/>
              <w:tab w:val="right" w:pos="9026" w:leader="dot"/>
            </w:tabs>
            <w:rPr/>
          </w:pPr>
          <w:hyperlink w:anchor="__RefHeading___Toc1259648_1468164448">
            <w:r>
              <w:rPr>
                <w:webHidden/>
                <w:rStyle w:val="IndexLink"/>
                <w:rtl w:val="true"/>
              </w:rPr>
              <w:t>گفتار نهم</w:t>
            </w:r>
            <w:r>
              <w:rPr>
                <w:rStyle w:val="IndexLink"/>
                <w:rtl w:val="true"/>
              </w:rPr>
              <w:t xml:space="preserve">: </w:t>
            </w:r>
            <w:r>
              <w:rPr>
                <w:rStyle w:val="IndexLink"/>
                <w:rtl w:val="true"/>
              </w:rPr>
              <w:t>حکم سلام نسبت به کودک</w:t>
            </w:r>
            <w:r>
              <w:rPr>
                <w:rStyle w:val="IndexLink"/>
                <w:rtl w:val="true"/>
              </w:rPr>
              <w:tab/>
            </w:r>
            <w:r>
              <w:rPr>
                <w:rStyle w:val="IndexLink"/>
              </w:rPr>
              <w:t>230</w:t>
            </w:r>
          </w:hyperlink>
        </w:p>
        <w:p>
          <w:pPr>
            <w:pStyle w:val="Contents4"/>
            <w:tabs>
              <w:tab w:val="clear" w:pos="8176"/>
              <w:tab w:val="right" w:pos="9026" w:leader="dot"/>
            </w:tabs>
            <w:rPr/>
          </w:pPr>
          <w:hyperlink w:anchor="__RefHeading___Toc1259650_1468164448">
            <w:r>
              <w:rPr>
                <w:webHidden/>
                <w:rStyle w:val="IndexLink"/>
              </w:rPr>
              <w:t>1</w:t>
            </w:r>
            <w:r>
              <w:rPr>
                <w:rStyle w:val="IndexLink"/>
                <w:rtl w:val="true"/>
              </w:rPr>
              <w:t xml:space="preserve">- </w:t>
            </w:r>
            <w:r>
              <w:rPr>
                <w:rStyle w:val="IndexLink"/>
                <w:rtl w:val="true"/>
              </w:rPr>
              <w:t>مفهوم سلام و تحیّت</w:t>
            </w:r>
            <w:r>
              <w:rPr>
                <w:rStyle w:val="IndexLink"/>
                <w:rtl w:val="true"/>
              </w:rPr>
              <w:tab/>
            </w:r>
            <w:r>
              <w:rPr>
                <w:rStyle w:val="IndexLink"/>
              </w:rPr>
              <w:t>230</w:t>
            </w:r>
          </w:hyperlink>
        </w:p>
        <w:p>
          <w:pPr>
            <w:pStyle w:val="Contents4"/>
            <w:tabs>
              <w:tab w:val="clear" w:pos="8176"/>
              <w:tab w:val="right" w:pos="9026" w:leader="dot"/>
            </w:tabs>
            <w:rPr/>
          </w:pPr>
          <w:hyperlink w:anchor="__RefHeading___Toc1259652_1468164448">
            <w:r>
              <w:rPr>
                <w:webHidden/>
                <w:rStyle w:val="IndexLink"/>
              </w:rPr>
              <w:t>2</w:t>
            </w:r>
            <w:r>
              <w:rPr>
                <w:rStyle w:val="IndexLink"/>
                <w:rtl w:val="true"/>
              </w:rPr>
              <w:t xml:space="preserve">- </w:t>
            </w:r>
            <w:r>
              <w:rPr>
                <w:rStyle w:val="IndexLink"/>
                <w:rtl w:val="true"/>
              </w:rPr>
              <w:t>استحباب سلام در حقّ کودک</w:t>
            </w:r>
            <w:r>
              <w:rPr>
                <w:rStyle w:val="IndexLink"/>
                <w:rtl w:val="true"/>
              </w:rPr>
              <w:tab/>
            </w:r>
            <w:r>
              <w:rPr>
                <w:rStyle w:val="IndexLink"/>
              </w:rPr>
              <w:t>231</w:t>
            </w:r>
          </w:hyperlink>
        </w:p>
        <w:p>
          <w:pPr>
            <w:pStyle w:val="Contents4"/>
            <w:tabs>
              <w:tab w:val="clear" w:pos="8176"/>
              <w:tab w:val="right" w:pos="9026" w:leader="dot"/>
            </w:tabs>
            <w:rPr/>
          </w:pPr>
          <w:hyperlink w:anchor="__RefHeading___Toc1259654_1468164448">
            <w:r>
              <w:rPr>
                <w:webHidden/>
                <w:rStyle w:val="IndexLink"/>
              </w:rPr>
              <w:t>3</w:t>
            </w:r>
            <w:r>
              <w:rPr>
                <w:rStyle w:val="IndexLink"/>
                <w:rtl w:val="true"/>
              </w:rPr>
              <w:t xml:space="preserve">- </w:t>
            </w:r>
            <w:r>
              <w:rPr>
                <w:rStyle w:val="IndexLink"/>
                <w:rtl w:val="true"/>
              </w:rPr>
              <w:t>وجوب پاسخ به سلام کودک</w:t>
            </w:r>
            <w:r>
              <w:rPr>
                <w:rStyle w:val="IndexLink"/>
                <w:rtl w:val="true"/>
              </w:rPr>
              <w:tab/>
            </w:r>
            <w:r>
              <w:rPr>
                <w:rStyle w:val="IndexLink"/>
              </w:rPr>
              <w:t>232</w:t>
            </w:r>
          </w:hyperlink>
        </w:p>
        <w:p>
          <w:pPr>
            <w:pStyle w:val="Contents2"/>
            <w:tabs>
              <w:tab w:val="clear" w:pos="8743"/>
              <w:tab w:val="right" w:pos="9026" w:leader="dot"/>
            </w:tabs>
            <w:rPr/>
          </w:pPr>
          <w:hyperlink w:anchor="__RefHeading___Toc1259656_1468164448">
            <w:r>
              <w:rPr>
                <w:webHidden/>
                <w:rStyle w:val="IndexLink"/>
                <w:rtl w:val="true"/>
              </w:rPr>
              <w:t>فصل سیزدهم</w:t>
            </w:r>
            <w:r>
              <w:rPr>
                <w:rStyle w:val="IndexLink"/>
                <w:rtl w:val="true"/>
              </w:rPr>
              <w:t xml:space="preserve">: </w:t>
            </w:r>
            <w:r>
              <w:rPr>
                <w:rStyle w:val="IndexLink"/>
                <w:rtl w:val="true"/>
              </w:rPr>
              <w:t>تصرفات کودک</w:t>
            </w:r>
            <w:r>
              <w:rPr>
                <w:rStyle w:val="IndexLink"/>
                <w:rtl w:val="true"/>
              </w:rPr>
              <w:tab/>
            </w:r>
            <w:r>
              <w:rPr>
                <w:rStyle w:val="IndexLink"/>
              </w:rPr>
              <w:t>234</w:t>
            </w:r>
          </w:hyperlink>
        </w:p>
        <w:p>
          <w:pPr>
            <w:pStyle w:val="Contents3"/>
            <w:tabs>
              <w:tab w:val="clear" w:pos="8459"/>
              <w:tab w:val="right" w:pos="9026" w:leader="dot"/>
            </w:tabs>
            <w:rPr/>
          </w:pPr>
          <w:hyperlink w:anchor="__RefHeading___Toc1259658_1468164448">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259660_1468164448">
            <w:r>
              <w:rPr>
                <w:webHidden/>
                <w:rStyle w:val="IndexLink"/>
                <w:rtl w:val="true"/>
              </w:rPr>
              <w:t>گفتار اول</w:t>
            </w:r>
            <w:r>
              <w:rPr>
                <w:rStyle w:val="IndexLink"/>
                <w:rtl w:val="true"/>
              </w:rPr>
              <w:t xml:space="preserve">: </w:t>
            </w:r>
            <w:r>
              <w:rPr>
                <w:rStyle w:val="IndexLink"/>
                <w:rtl w:val="true"/>
              </w:rPr>
              <w:t>خرید و فروش توسط کودک</w:t>
            </w:r>
            <w:r>
              <w:rPr>
                <w:rStyle w:val="IndexLink"/>
                <w:rtl w:val="true"/>
              </w:rPr>
              <w:tab/>
            </w:r>
            <w:r>
              <w:rPr>
                <w:rStyle w:val="IndexLink"/>
              </w:rPr>
              <w:t>235</w:t>
            </w:r>
          </w:hyperlink>
        </w:p>
        <w:p>
          <w:pPr>
            <w:pStyle w:val="Contents4"/>
            <w:tabs>
              <w:tab w:val="clear" w:pos="8176"/>
              <w:tab w:val="right" w:pos="9026" w:leader="dot"/>
            </w:tabs>
            <w:rPr/>
          </w:pPr>
          <w:hyperlink w:anchor="__RefHeading___Toc1259662_1468164448">
            <w:r>
              <w:rPr>
                <w:webHidden/>
                <w:rStyle w:val="IndexLink"/>
              </w:rPr>
              <w:t>1</w:t>
            </w:r>
            <w:r>
              <w:rPr>
                <w:rStyle w:val="IndexLink"/>
                <w:rtl w:val="true"/>
              </w:rPr>
              <w:t xml:space="preserve">- </w:t>
            </w:r>
            <w:r>
              <w:rPr>
                <w:rStyle w:val="IndexLink"/>
                <w:rtl w:val="true"/>
              </w:rPr>
              <w:t>مفهوم تصرّف و قلمرو آن</w:t>
            </w:r>
            <w:r>
              <w:rPr>
                <w:rStyle w:val="IndexLink"/>
                <w:rtl w:val="true"/>
              </w:rPr>
              <w:tab/>
            </w:r>
            <w:r>
              <w:rPr>
                <w:rStyle w:val="IndexLink"/>
              </w:rPr>
              <w:t>235</w:t>
            </w:r>
          </w:hyperlink>
        </w:p>
        <w:p>
          <w:pPr>
            <w:pStyle w:val="Contents4"/>
            <w:tabs>
              <w:tab w:val="clear" w:pos="8176"/>
              <w:tab w:val="right" w:pos="9026" w:leader="dot"/>
            </w:tabs>
            <w:rPr/>
          </w:pPr>
          <w:hyperlink w:anchor="__RefHeading___Toc1259664_1468164448">
            <w:r>
              <w:rPr>
                <w:webHidden/>
                <w:rStyle w:val="IndexLink"/>
              </w:rPr>
              <w:t>2</w:t>
            </w:r>
            <w:r>
              <w:rPr>
                <w:rStyle w:val="IndexLink"/>
                <w:rtl w:val="true"/>
              </w:rPr>
              <w:t xml:space="preserve">- </w:t>
            </w:r>
            <w:r>
              <w:rPr>
                <w:rStyle w:val="IndexLink"/>
                <w:rtl w:val="true"/>
              </w:rPr>
              <w:t>بطلان خرید و فروش توسط کودک</w:t>
            </w:r>
            <w:r>
              <w:rPr>
                <w:rStyle w:val="IndexLink"/>
                <w:rtl w:val="true"/>
              </w:rPr>
              <w:tab/>
            </w:r>
            <w:r>
              <w:rPr>
                <w:rStyle w:val="IndexLink"/>
              </w:rPr>
              <w:t>236</w:t>
            </w:r>
          </w:hyperlink>
        </w:p>
        <w:p>
          <w:pPr>
            <w:pStyle w:val="Contents4"/>
            <w:tabs>
              <w:tab w:val="clear" w:pos="8176"/>
              <w:tab w:val="right" w:pos="9026" w:leader="dot"/>
            </w:tabs>
            <w:rPr/>
          </w:pPr>
          <w:hyperlink w:anchor="__RefHeading___Toc1259666_1468164448">
            <w:r>
              <w:rPr>
                <w:webHidden/>
                <w:rStyle w:val="IndexLink"/>
              </w:rPr>
              <w:t>3</w:t>
            </w:r>
            <w:r>
              <w:rPr>
                <w:rStyle w:val="IndexLink"/>
                <w:rtl w:val="true"/>
              </w:rPr>
              <w:t xml:space="preserve">- </w:t>
            </w:r>
            <w:r>
              <w:rPr>
                <w:rStyle w:val="IndexLink"/>
                <w:rtl w:val="true"/>
              </w:rPr>
              <w:t>صحّت خرید و فروش کودک با اذن ولی</w:t>
            </w:r>
            <w:r>
              <w:rPr>
                <w:rStyle w:val="IndexLink"/>
                <w:rtl w:val="true"/>
              </w:rPr>
              <w:tab/>
            </w:r>
            <w:r>
              <w:rPr>
                <w:rStyle w:val="IndexLink"/>
              </w:rPr>
              <w:t>241</w:t>
            </w:r>
          </w:hyperlink>
        </w:p>
        <w:p>
          <w:pPr>
            <w:pStyle w:val="Contents4"/>
            <w:tabs>
              <w:tab w:val="clear" w:pos="8176"/>
              <w:tab w:val="right" w:pos="9026" w:leader="dot"/>
            </w:tabs>
            <w:rPr/>
          </w:pPr>
          <w:hyperlink w:anchor="__RefHeading___Toc1259668_1468164448">
            <w:r>
              <w:rPr>
                <w:webHidden/>
                <w:rStyle w:val="IndexLink"/>
              </w:rPr>
              <w:t>4</w:t>
            </w:r>
            <w:r>
              <w:rPr>
                <w:rStyle w:val="IndexLink"/>
                <w:rtl w:val="true"/>
              </w:rPr>
              <w:t xml:space="preserve">- </w:t>
            </w:r>
            <w:r>
              <w:rPr>
                <w:rStyle w:val="IndexLink"/>
                <w:rtl w:val="true"/>
              </w:rPr>
              <w:t>دیدگاه‌های دیگر در مورد خرید و فروش توسط کودک در این مسأله</w:t>
            </w:r>
            <w:r>
              <w:rPr>
                <w:rStyle w:val="IndexLink"/>
                <w:rtl w:val="true"/>
              </w:rPr>
              <w:tab/>
            </w:r>
            <w:r>
              <w:rPr>
                <w:rStyle w:val="IndexLink"/>
              </w:rPr>
              <w:t>245</w:t>
            </w:r>
          </w:hyperlink>
        </w:p>
        <w:p>
          <w:pPr>
            <w:pStyle w:val="Contents4"/>
            <w:tabs>
              <w:tab w:val="clear" w:pos="8176"/>
              <w:tab w:val="right" w:pos="9026" w:leader="dot"/>
            </w:tabs>
            <w:rPr/>
          </w:pPr>
          <w:hyperlink w:anchor="__RefHeading___Toc1259670_1468164448">
            <w:r>
              <w:rPr>
                <w:webHidden/>
                <w:rStyle w:val="IndexLink"/>
              </w:rPr>
              <w:t>5</w:t>
            </w:r>
            <w:r>
              <w:rPr>
                <w:rStyle w:val="IndexLink"/>
                <w:rtl w:val="true"/>
              </w:rPr>
              <w:t xml:space="preserve">- </w:t>
            </w:r>
            <w:r>
              <w:rPr>
                <w:rStyle w:val="IndexLink"/>
                <w:rtl w:val="true"/>
              </w:rPr>
              <w:t>فرع فقهی</w:t>
            </w:r>
            <w:r>
              <w:rPr>
                <w:rStyle w:val="IndexLink"/>
                <w:rtl w:val="true"/>
              </w:rPr>
              <w:tab/>
            </w:r>
            <w:r>
              <w:rPr>
                <w:rStyle w:val="IndexLink"/>
              </w:rPr>
              <w:t>246</w:t>
            </w:r>
          </w:hyperlink>
        </w:p>
        <w:p>
          <w:pPr>
            <w:pStyle w:val="Contents4"/>
            <w:tabs>
              <w:tab w:val="clear" w:pos="8176"/>
              <w:tab w:val="right" w:pos="9026" w:leader="dot"/>
            </w:tabs>
            <w:rPr/>
          </w:pPr>
          <w:hyperlink w:anchor="__RefHeading___Toc1259672_1468164448">
            <w:r>
              <w:rPr>
                <w:webHidden/>
                <w:rStyle w:val="IndexLink"/>
              </w:rPr>
              <w:t>6</w:t>
            </w:r>
            <w:r>
              <w:rPr>
                <w:rStyle w:val="IndexLink"/>
                <w:rtl w:val="true"/>
              </w:rPr>
              <w:t xml:space="preserve">- </w:t>
            </w:r>
            <w:r>
              <w:rPr>
                <w:rStyle w:val="IndexLink"/>
                <w:rtl w:val="true"/>
              </w:rPr>
              <w:t>معامله توسط کودک در حقوق مدنی</w:t>
            </w:r>
            <w:r>
              <w:rPr>
                <w:rStyle w:val="IndexLink"/>
                <w:rtl w:val="true"/>
              </w:rPr>
              <w:tab/>
            </w:r>
            <w:r>
              <w:rPr>
                <w:rStyle w:val="IndexLink"/>
              </w:rPr>
              <w:t>246</w:t>
            </w:r>
          </w:hyperlink>
        </w:p>
        <w:p>
          <w:pPr>
            <w:pStyle w:val="Contents3"/>
            <w:tabs>
              <w:tab w:val="clear" w:pos="8459"/>
              <w:tab w:val="right" w:pos="9026" w:leader="dot"/>
            </w:tabs>
            <w:rPr/>
          </w:pPr>
          <w:hyperlink w:anchor="__RefHeading___Toc1259674_1468164448">
            <w:r>
              <w:rPr>
                <w:webHidden/>
                <w:rStyle w:val="IndexLink"/>
                <w:rtl w:val="true"/>
              </w:rPr>
              <w:t>گفتار دوم</w:t>
            </w:r>
            <w:r>
              <w:rPr>
                <w:rStyle w:val="IndexLink"/>
                <w:rtl w:val="true"/>
              </w:rPr>
              <w:t xml:space="preserve">: </w:t>
            </w:r>
            <w:r>
              <w:rPr>
                <w:rStyle w:val="IndexLink"/>
                <w:rtl w:val="true"/>
              </w:rPr>
              <w:t>انجام رهن توسط کودک</w:t>
            </w:r>
            <w:r>
              <w:rPr>
                <w:rStyle w:val="IndexLink"/>
                <w:rtl w:val="true"/>
              </w:rPr>
              <w:tab/>
            </w:r>
            <w:r>
              <w:rPr>
                <w:rStyle w:val="IndexLink"/>
              </w:rPr>
              <w:t>248</w:t>
            </w:r>
          </w:hyperlink>
        </w:p>
        <w:p>
          <w:pPr>
            <w:pStyle w:val="Contents4"/>
            <w:tabs>
              <w:tab w:val="clear" w:pos="8176"/>
              <w:tab w:val="right" w:pos="9026" w:leader="dot"/>
            </w:tabs>
            <w:rPr/>
          </w:pPr>
          <w:hyperlink w:anchor="__RefHeading___Toc1259676_1468164448">
            <w:r>
              <w:rPr>
                <w:webHidden/>
                <w:rStyle w:val="IndexLink"/>
              </w:rPr>
              <w:t>1</w:t>
            </w:r>
            <w:r>
              <w:rPr>
                <w:rStyle w:val="IndexLink"/>
                <w:rtl w:val="true"/>
              </w:rPr>
              <w:t xml:space="preserve">- </w:t>
            </w:r>
            <w:r>
              <w:rPr>
                <w:rStyle w:val="IndexLink"/>
                <w:rtl w:val="true"/>
              </w:rPr>
              <w:t>مفهوم رهن در لغت و اصطلاح</w:t>
            </w:r>
            <w:r>
              <w:rPr>
                <w:rStyle w:val="IndexLink"/>
                <w:rtl w:val="true"/>
              </w:rPr>
              <w:tab/>
            </w:r>
            <w:r>
              <w:rPr>
                <w:rStyle w:val="IndexLink"/>
              </w:rPr>
              <w:t>248</w:t>
            </w:r>
          </w:hyperlink>
        </w:p>
        <w:p>
          <w:pPr>
            <w:pStyle w:val="Contents4"/>
            <w:tabs>
              <w:tab w:val="clear" w:pos="8176"/>
              <w:tab w:val="right" w:pos="9026" w:leader="dot"/>
            </w:tabs>
            <w:rPr/>
          </w:pPr>
          <w:hyperlink w:anchor="__RefHeading___Toc1259678_1468164448">
            <w:r>
              <w:rPr>
                <w:webHidden/>
                <w:rStyle w:val="IndexLink"/>
              </w:rPr>
              <w:t>2</w:t>
            </w:r>
            <w:r>
              <w:rPr>
                <w:rStyle w:val="IndexLink"/>
                <w:rtl w:val="true"/>
              </w:rPr>
              <w:t xml:space="preserve">- </w:t>
            </w:r>
            <w:r>
              <w:rPr>
                <w:rStyle w:val="IndexLink"/>
                <w:rtl w:val="true"/>
              </w:rPr>
              <w:t>عدم صحّت رهن توسط کودک</w:t>
            </w:r>
            <w:r>
              <w:rPr>
                <w:rStyle w:val="IndexLink"/>
                <w:rtl w:val="true"/>
              </w:rPr>
              <w:tab/>
            </w:r>
            <w:r>
              <w:rPr>
                <w:rStyle w:val="IndexLink"/>
              </w:rPr>
              <w:t>248</w:t>
            </w:r>
          </w:hyperlink>
        </w:p>
        <w:p>
          <w:pPr>
            <w:pStyle w:val="Contents4"/>
            <w:tabs>
              <w:tab w:val="clear" w:pos="8176"/>
              <w:tab w:val="right" w:pos="9026" w:leader="dot"/>
            </w:tabs>
            <w:rPr/>
          </w:pPr>
          <w:hyperlink w:anchor="__RefHeading___Toc1259680_1468164448">
            <w:r>
              <w:rPr>
                <w:webHidden/>
                <w:rStyle w:val="IndexLink"/>
              </w:rPr>
              <w:t>3</w:t>
            </w:r>
            <w:r>
              <w:rPr>
                <w:rStyle w:val="IndexLink"/>
                <w:rtl w:val="true"/>
              </w:rPr>
              <w:t xml:space="preserve">- </w:t>
            </w:r>
            <w:r>
              <w:rPr>
                <w:rStyle w:val="IndexLink"/>
                <w:rtl w:val="true"/>
              </w:rPr>
              <w:t>رهن کودک در قانون مدنی</w:t>
            </w:r>
            <w:r>
              <w:rPr>
                <w:rStyle w:val="IndexLink"/>
                <w:rtl w:val="true"/>
              </w:rPr>
              <w:tab/>
            </w:r>
            <w:r>
              <w:rPr>
                <w:rStyle w:val="IndexLink"/>
              </w:rPr>
              <w:t>249</w:t>
            </w:r>
          </w:hyperlink>
        </w:p>
        <w:p>
          <w:pPr>
            <w:pStyle w:val="Contents3"/>
            <w:tabs>
              <w:tab w:val="clear" w:pos="8459"/>
              <w:tab w:val="right" w:pos="9026" w:leader="dot"/>
            </w:tabs>
            <w:rPr/>
          </w:pPr>
          <w:hyperlink w:anchor="__RefHeading___Toc1259682_1468164448">
            <w:r>
              <w:rPr>
                <w:webHidden/>
                <w:rStyle w:val="IndexLink"/>
                <w:rtl w:val="true"/>
              </w:rPr>
              <w:t>گفتار سوم</w:t>
            </w:r>
            <w:r>
              <w:rPr>
                <w:rStyle w:val="IndexLink"/>
                <w:rtl w:val="true"/>
              </w:rPr>
              <w:t xml:space="preserve">: </w:t>
            </w:r>
            <w:r>
              <w:rPr>
                <w:rStyle w:val="IndexLink"/>
                <w:rtl w:val="true"/>
              </w:rPr>
              <w:t>ضمان، کفالت، حواله، صلح</w:t>
            </w:r>
            <w:r>
              <w:rPr>
                <w:rStyle w:val="IndexLink"/>
                <w:rtl w:val="true"/>
              </w:rPr>
              <w:tab/>
            </w:r>
            <w:r>
              <w:rPr>
                <w:rStyle w:val="IndexLink"/>
              </w:rPr>
              <w:t>250</w:t>
            </w:r>
          </w:hyperlink>
        </w:p>
        <w:p>
          <w:pPr>
            <w:pStyle w:val="Contents4"/>
            <w:tabs>
              <w:tab w:val="clear" w:pos="8176"/>
              <w:tab w:val="right" w:pos="9026" w:leader="dot"/>
            </w:tabs>
            <w:rPr/>
          </w:pPr>
          <w:hyperlink w:anchor="__RefHeading___Toc1259684_1468164448">
            <w:r>
              <w:rPr>
                <w:webHidden/>
                <w:rStyle w:val="IndexLink"/>
              </w:rPr>
              <w:t>1</w:t>
            </w:r>
            <w:r>
              <w:rPr>
                <w:rStyle w:val="IndexLink"/>
                <w:rtl w:val="true"/>
              </w:rPr>
              <w:t xml:space="preserve">- </w:t>
            </w:r>
            <w:r>
              <w:rPr>
                <w:rStyle w:val="IndexLink"/>
                <w:rtl w:val="true"/>
              </w:rPr>
              <w:t>مفهوم ضمان در لغت و اصطلاح</w:t>
            </w:r>
            <w:r>
              <w:rPr>
                <w:rStyle w:val="IndexLink"/>
                <w:rtl w:val="true"/>
              </w:rPr>
              <w:tab/>
            </w:r>
            <w:r>
              <w:rPr>
                <w:rStyle w:val="IndexLink"/>
              </w:rPr>
              <w:t>250</w:t>
            </w:r>
          </w:hyperlink>
        </w:p>
        <w:p>
          <w:pPr>
            <w:pStyle w:val="Contents4"/>
            <w:tabs>
              <w:tab w:val="clear" w:pos="8176"/>
              <w:tab w:val="right" w:pos="9026" w:leader="dot"/>
            </w:tabs>
            <w:rPr/>
          </w:pPr>
          <w:hyperlink w:anchor="__RefHeading___Toc1259686_1468164448">
            <w:r>
              <w:rPr>
                <w:webHidden/>
                <w:rStyle w:val="IndexLink"/>
              </w:rPr>
              <w:t>2</w:t>
            </w:r>
            <w:r>
              <w:rPr>
                <w:rStyle w:val="IndexLink"/>
                <w:rtl w:val="true"/>
              </w:rPr>
              <w:t xml:space="preserve">- </w:t>
            </w:r>
            <w:r>
              <w:rPr>
                <w:rStyle w:val="IndexLink"/>
                <w:rtl w:val="true"/>
              </w:rPr>
              <w:t>عدم صحّت ضمانت کودک</w:t>
            </w:r>
            <w:r>
              <w:rPr>
                <w:rStyle w:val="IndexLink"/>
                <w:rtl w:val="true"/>
              </w:rPr>
              <w:tab/>
            </w:r>
            <w:r>
              <w:rPr>
                <w:rStyle w:val="IndexLink"/>
              </w:rPr>
              <w:t>251</w:t>
            </w:r>
          </w:hyperlink>
        </w:p>
        <w:p>
          <w:pPr>
            <w:pStyle w:val="Contents4"/>
            <w:tabs>
              <w:tab w:val="clear" w:pos="8176"/>
              <w:tab w:val="right" w:pos="9026" w:leader="dot"/>
            </w:tabs>
            <w:rPr/>
          </w:pPr>
          <w:hyperlink w:anchor="__RefHeading___Toc1259688_1468164448">
            <w:r>
              <w:rPr>
                <w:webHidden/>
                <w:rStyle w:val="IndexLink"/>
              </w:rPr>
              <w:t>3</w:t>
            </w:r>
            <w:r>
              <w:rPr>
                <w:rStyle w:val="IndexLink"/>
                <w:rtl w:val="true"/>
              </w:rPr>
              <w:t xml:space="preserve">- </w:t>
            </w:r>
            <w:r>
              <w:rPr>
                <w:rStyle w:val="IndexLink"/>
                <w:rtl w:val="true"/>
              </w:rPr>
              <w:t>ضمان در حقوق مدنی</w:t>
            </w:r>
            <w:r>
              <w:rPr>
                <w:rStyle w:val="IndexLink"/>
                <w:rtl w:val="true"/>
              </w:rPr>
              <w:tab/>
            </w:r>
            <w:r>
              <w:rPr>
                <w:rStyle w:val="IndexLink"/>
              </w:rPr>
              <w:t>252</w:t>
            </w:r>
          </w:hyperlink>
        </w:p>
        <w:p>
          <w:pPr>
            <w:pStyle w:val="Contents4"/>
            <w:tabs>
              <w:tab w:val="clear" w:pos="8176"/>
              <w:tab w:val="right" w:pos="9026" w:leader="dot"/>
            </w:tabs>
            <w:rPr/>
          </w:pPr>
          <w:hyperlink w:anchor="__RefHeading___Toc1259690_1468164448">
            <w:r>
              <w:rPr>
                <w:webHidden/>
                <w:rStyle w:val="IndexLink"/>
              </w:rPr>
              <w:t>4</w:t>
            </w:r>
            <w:r>
              <w:rPr>
                <w:rStyle w:val="IndexLink"/>
                <w:rtl w:val="true"/>
              </w:rPr>
              <w:t xml:space="preserve">- </w:t>
            </w:r>
            <w:r>
              <w:rPr>
                <w:rStyle w:val="IndexLink"/>
                <w:rtl w:val="true"/>
              </w:rPr>
              <w:t>مفهوم حواله در لغت و اصطلاح</w:t>
            </w:r>
            <w:r>
              <w:rPr>
                <w:rStyle w:val="IndexLink"/>
                <w:rtl w:val="true"/>
              </w:rPr>
              <w:tab/>
            </w:r>
            <w:r>
              <w:rPr>
                <w:rStyle w:val="IndexLink"/>
              </w:rPr>
              <w:t>252</w:t>
            </w:r>
          </w:hyperlink>
        </w:p>
        <w:p>
          <w:pPr>
            <w:pStyle w:val="Contents4"/>
            <w:tabs>
              <w:tab w:val="clear" w:pos="8176"/>
              <w:tab w:val="right" w:pos="9026" w:leader="dot"/>
            </w:tabs>
            <w:rPr/>
          </w:pPr>
          <w:hyperlink w:anchor="__RefHeading___Toc1259692_1468164448">
            <w:r>
              <w:rPr>
                <w:webHidden/>
                <w:rStyle w:val="IndexLink"/>
              </w:rPr>
              <w:t>5</w:t>
            </w:r>
            <w:r>
              <w:rPr>
                <w:rStyle w:val="IndexLink"/>
                <w:rtl w:val="true"/>
              </w:rPr>
              <w:t xml:space="preserve">- </w:t>
            </w:r>
            <w:r>
              <w:rPr>
                <w:rStyle w:val="IndexLink"/>
                <w:rtl w:val="true"/>
              </w:rPr>
              <w:t>عدم صحّت حواله کودک</w:t>
            </w:r>
            <w:r>
              <w:rPr>
                <w:rStyle w:val="IndexLink"/>
                <w:rtl w:val="true"/>
              </w:rPr>
              <w:tab/>
            </w:r>
            <w:r>
              <w:rPr>
                <w:rStyle w:val="IndexLink"/>
              </w:rPr>
              <w:t>253</w:t>
            </w:r>
          </w:hyperlink>
        </w:p>
        <w:p>
          <w:pPr>
            <w:pStyle w:val="Contents4"/>
            <w:tabs>
              <w:tab w:val="clear" w:pos="8176"/>
              <w:tab w:val="right" w:pos="9026" w:leader="dot"/>
            </w:tabs>
            <w:rPr/>
          </w:pPr>
          <w:hyperlink w:anchor="__RefHeading___Toc1259694_1468164448">
            <w:r>
              <w:rPr>
                <w:webHidden/>
                <w:rStyle w:val="IndexLink"/>
              </w:rPr>
              <w:t>6</w:t>
            </w:r>
            <w:r>
              <w:rPr>
                <w:rStyle w:val="IndexLink"/>
                <w:rtl w:val="true"/>
              </w:rPr>
              <w:t xml:space="preserve">- </w:t>
            </w:r>
            <w:r>
              <w:rPr>
                <w:rStyle w:val="IndexLink"/>
                <w:rtl w:val="true"/>
              </w:rPr>
              <w:t>حواله در حقوق مدنی</w:t>
            </w:r>
            <w:r>
              <w:rPr>
                <w:rStyle w:val="IndexLink"/>
                <w:rtl w:val="true"/>
              </w:rPr>
              <w:tab/>
            </w:r>
            <w:r>
              <w:rPr>
                <w:rStyle w:val="IndexLink"/>
              </w:rPr>
              <w:t>254</w:t>
            </w:r>
          </w:hyperlink>
        </w:p>
        <w:p>
          <w:pPr>
            <w:pStyle w:val="Contents4"/>
            <w:tabs>
              <w:tab w:val="clear" w:pos="8176"/>
              <w:tab w:val="right" w:pos="9026" w:leader="dot"/>
            </w:tabs>
            <w:rPr/>
          </w:pPr>
          <w:hyperlink w:anchor="__RefHeading___Toc1259696_1468164448">
            <w:r>
              <w:rPr>
                <w:webHidden/>
                <w:rStyle w:val="IndexLink"/>
              </w:rPr>
              <w:t>7</w:t>
            </w:r>
            <w:r>
              <w:rPr>
                <w:rStyle w:val="IndexLink"/>
                <w:rtl w:val="true"/>
              </w:rPr>
              <w:t xml:space="preserve">- </w:t>
            </w:r>
            <w:r>
              <w:rPr>
                <w:rStyle w:val="IndexLink"/>
                <w:rtl w:val="true"/>
              </w:rPr>
              <w:t>مفهوم کفالت در لغت و اصطلاح</w:t>
            </w:r>
            <w:r>
              <w:rPr>
                <w:rStyle w:val="IndexLink"/>
                <w:rtl w:val="true"/>
              </w:rPr>
              <w:tab/>
            </w:r>
            <w:r>
              <w:rPr>
                <w:rStyle w:val="IndexLink"/>
              </w:rPr>
              <w:t>254</w:t>
            </w:r>
          </w:hyperlink>
        </w:p>
        <w:p>
          <w:pPr>
            <w:pStyle w:val="Contents4"/>
            <w:tabs>
              <w:tab w:val="clear" w:pos="8176"/>
              <w:tab w:val="right" w:pos="9026" w:leader="dot"/>
            </w:tabs>
            <w:rPr/>
          </w:pPr>
          <w:hyperlink w:anchor="__RefHeading___Toc1259698_1468164448">
            <w:r>
              <w:rPr>
                <w:webHidden/>
                <w:rStyle w:val="IndexLink"/>
              </w:rPr>
              <w:t>8</w:t>
            </w:r>
            <w:r>
              <w:rPr>
                <w:rStyle w:val="IndexLink"/>
                <w:rtl w:val="true"/>
              </w:rPr>
              <w:t xml:space="preserve">- </w:t>
            </w:r>
            <w:r>
              <w:rPr>
                <w:rStyle w:val="IndexLink"/>
                <w:rtl w:val="true"/>
              </w:rPr>
              <w:t>صحّت کفالت از کودک</w:t>
            </w:r>
            <w:r>
              <w:rPr>
                <w:rStyle w:val="IndexLink"/>
                <w:rtl w:val="true"/>
              </w:rPr>
              <w:tab/>
            </w:r>
            <w:r>
              <w:rPr>
                <w:rStyle w:val="IndexLink"/>
              </w:rPr>
              <w:t>255</w:t>
            </w:r>
          </w:hyperlink>
        </w:p>
        <w:p>
          <w:pPr>
            <w:pStyle w:val="Contents4"/>
            <w:tabs>
              <w:tab w:val="clear" w:pos="8176"/>
              <w:tab w:val="right" w:pos="9026" w:leader="dot"/>
            </w:tabs>
            <w:rPr/>
          </w:pPr>
          <w:hyperlink w:anchor="__RefHeading___Toc1259700_1468164448">
            <w:r>
              <w:rPr>
                <w:webHidden/>
                <w:rStyle w:val="IndexLink"/>
              </w:rPr>
              <w:t>9</w:t>
            </w:r>
            <w:r>
              <w:rPr>
                <w:rStyle w:val="IndexLink"/>
                <w:rtl w:val="true"/>
              </w:rPr>
              <w:t xml:space="preserve">- </w:t>
            </w:r>
            <w:r>
              <w:rPr>
                <w:rStyle w:val="IndexLink"/>
                <w:rtl w:val="true"/>
              </w:rPr>
              <w:t>کفالت در حقوق مدنی</w:t>
            </w:r>
            <w:r>
              <w:rPr>
                <w:rStyle w:val="IndexLink"/>
                <w:rtl w:val="true"/>
              </w:rPr>
              <w:tab/>
            </w:r>
            <w:r>
              <w:rPr>
                <w:rStyle w:val="IndexLink"/>
              </w:rPr>
              <w:t>255</w:t>
            </w:r>
          </w:hyperlink>
        </w:p>
        <w:p>
          <w:pPr>
            <w:pStyle w:val="Contents4"/>
            <w:tabs>
              <w:tab w:val="clear" w:pos="8176"/>
              <w:tab w:val="right" w:pos="9026" w:leader="dot"/>
            </w:tabs>
            <w:rPr/>
          </w:pPr>
          <w:hyperlink w:anchor="__RefHeading___Toc1259702_1468164448">
            <w:r>
              <w:rPr>
                <w:webHidden/>
                <w:rStyle w:val="IndexLink"/>
              </w:rPr>
              <w:t>10</w:t>
            </w:r>
            <w:r>
              <w:rPr>
                <w:rStyle w:val="IndexLink"/>
                <w:rtl w:val="true"/>
              </w:rPr>
              <w:t xml:space="preserve">- </w:t>
            </w:r>
            <w:r>
              <w:rPr>
                <w:rStyle w:val="IndexLink"/>
                <w:rtl w:val="true"/>
              </w:rPr>
              <w:t>مفهوم صلح در لغت و اصطلاح</w:t>
            </w:r>
            <w:r>
              <w:rPr>
                <w:rStyle w:val="IndexLink"/>
                <w:rtl w:val="true"/>
              </w:rPr>
              <w:tab/>
            </w:r>
            <w:r>
              <w:rPr>
                <w:rStyle w:val="IndexLink"/>
              </w:rPr>
              <w:t>256</w:t>
            </w:r>
          </w:hyperlink>
        </w:p>
        <w:p>
          <w:pPr>
            <w:pStyle w:val="Contents4"/>
            <w:tabs>
              <w:tab w:val="clear" w:pos="8176"/>
              <w:tab w:val="right" w:pos="9026" w:leader="dot"/>
            </w:tabs>
            <w:rPr/>
          </w:pPr>
          <w:hyperlink w:anchor="__RefHeading___Toc1259704_1468164448">
            <w:r>
              <w:rPr>
                <w:webHidden/>
                <w:rStyle w:val="IndexLink"/>
              </w:rPr>
              <w:t>11</w:t>
            </w:r>
            <w:r>
              <w:rPr>
                <w:rStyle w:val="IndexLink"/>
                <w:rtl w:val="true"/>
              </w:rPr>
              <w:t xml:space="preserve">- </w:t>
            </w:r>
            <w:r>
              <w:rPr>
                <w:rStyle w:val="IndexLink"/>
                <w:rtl w:val="true"/>
              </w:rPr>
              <w:t>عدم جواز صلح کودک</w:t>
            </w:r>
            <w:r>
              <w:rPr>
                <w:rStyle w:val="IndexLink"/>
                <w:rtl w:val="true"/>
              </w:rPr>
              <w:tab/>
            </w:r>
            <w:r>
              <w:rPr>
                <w:rStyle w:val="IndexLink"/>
              </w:rPr>
              <w:t>256</w:t>
            </w:r>
          </w:hyperlink>
        </w:p>
        <w:p>
          <w:pPr>
            <w:pStyle w:val="Contents3"/>
            <w:tabs>
              <w:tab w:val="clear" w:pos="8459"/>
              <w:tab w:val="right" w:pos="9026" w:leader="dot"/>
            </w:tabs>
            <w:rPr/>
          </w:pPr>
          <w:hyperlink w:anchor="__RefHeading___Toc1259706_1468164448">
            <w:r>
              <w:rPr>
                <w:webHidden/>
                <w:rStyle w:val="IndexLink"/>
                <w:rtl w:val="true"/>
              </w:rPr>
              <w:t>گفتار چهارم</w:t>
            </w:r>
            <w:r>
              <w:rPr>
                <w:rStyle w:val="IndexLink"/>
                <w:rtl w:val="true"/>
              </w:rPr>
              <w:t xml:space="preserve">: </w:t>
            </w:r>
            <w:r>
              <w:rPr>
                <w:rStyle w:val="IndexLink"/>
                <w:rtl w:val="true"/>
              </w:rPr>
              <w:t>شرکت، مضاربه، مزارعه، ودیعه، عاریه</w:t>
            </w:r>
            <w:r>
              <w:rPr>
                <w:rStyle w:val="IndexLink"/>
                <w:rtl w:val="true"/>
              </w:rPr>
              <w:tab/>
            </w:r>
            <w:r>
              <w:rPr>
                <w:rStyle w:val="IndexLink"/>
              </w:rPr>
              <w:t>257</w:t>
            </w:r>
          </w:hyperlink>
        </w:p>
        <w:p>
          <w:pPr>
            <w:pStyle w:val="Contents4"/>
            <w:tabs>
              <w:tab w:val="clear" w:pos="8176"/>
              <w:tab w:val="right" w:pos="9026" w:leader="dot"/>
            </w:tabs>
            <w:rPr/>
          </w:pPr>
          <w:hyperlink w:anchor="__RefHeading___Toc1259708_1468164448">
            <w:r>
              <w:rPr>
                <w:webHidden/>
                <w:rStyle w:val="IndexLink"/>
                <w:rtl w:val="true"/>
              </w:rPr>
              <w:t>الف</w:t>
            </w:r>
            <w:r>
              <w:rPr>
                <w:rStyle w:val="IndexLink"/>
                <w:rtl w:val="true"/>
              </w:rPr>
              <w:t xml:space="preserve">: </w:t>
            </w:r>
            <w:r>
              <w:rPr>
                <w:rStyle w:val="IndexLink"/>
                <w:rtl w:val="true"/>
              </w:rPr>
              <w:t>شرکت</w:t>
            </w:r>
            <w:r>
              <w:rPr>
                <w:rStyle w:val="IndexLink"/>
                <w:rtl w:val="true"/>
              </w:rPr>
              <w:tab/>
            </w:r>
            <w:r>
              <w:rPr>
                <w:rStyle w:val="IndexLink"/>
              </w:rPr>
              <w:t>257</w:t>
            </w:r>
          </w:hyperlink>
        </w:p>
        <w:p>
          <w:pPr>
            <w:pStyle w:val="Contents4"/>
            <w:tabs>
              <w:tab w:val="clear" w:pos="8176"/>
              <w:tab w:val="right" w:pos="9026" w:leader="dot"/>
            </w:tabs>
            <w:rPr/>
          </w:pPr>
          <w:hyperlink w:anchor="__RefHeading___Toc1259710_1468164448">
            <w:r>
              <w:rPr>
                <w:webHidden/>
                <w:rStyle w:val="IndexLink"/>
                <w:rtl w:val="true"/>
              </w:rPr>
              <w:t>ب</w:t>
            </w:r>
            <w:r>
              <w:rPr>
                <w:rStyle w:val="IndexLink"/>
                <w:rtl w:val="true"/>
              </w:rPr>
              <w:t xml:space="preserve">: </w:t>
            </w:r>
            <w:r>
              <w:rPr>
                <w:rStyle w:val="IndexLink"/>
                <w:rtl w:val="true"/>
              </w:rPr>
              <w:t>مضاربه</w:t>
            </w:r>
            <w:r>
              <w:rPr>
                <w:rStyle w:val="IndexLink"/>
                <w:rtl w:val="true"/>
              </w:rPr>
              <w:tab/>
            </w:r>
            <w:r>
              <w:rPr>
                <w:rStyle w:val="IndexLink"/>
              </w:rPr>
              <w:t>259</w:t>
            </w:r>
          </w:hyperlink>
        </w:p>
        <w:p>
          <w:pPr>
            <w:pStyle w:val="Contents4"/>
            <w:tabs>
              <w:tab w:val="clear" w:pos="8176"/>
              <w:tab w:val="right" w:pos="9026" w:leader="dot"/>
            </w:tabs>
            <w:rPr/>
          </w:pPr>
          <w:hyperlink w:anchor="__RefHeading___Toc1259712_1468164448">
            <w:r>
              <w:rPr>
                <w:webHidden/>
                <w:rStyle w:val="IndexLink"/>
                <w:rtl w:val="true"/>
              </w:rPr>
              <w:t>ج</w:t>
            </w:r>
            <w:r>
              <w:rPr>
                <w:rStyle w:val="IndexLink"/>
                <w:rtl w:val="true"/>
              </w:rPr>
              <w:t xml:space="preserve">: </w:t>
            </w:r>
            <w:r>
              <w:rPr>
                <w:rStyle w:val="IndexLink"/>
                <w:rtl w:val="true"/>
              </w:rPr>
              <w:t>مزارعه</w:t>
            </w:r>
            <w:r>
              <w:rPr>
                <w:rStyle w:val="IndexLink"/>
                <w:rtl w:val="true"/>
              </w:rPr>
              <w:tab/>
            </w:r>
            <w:r>
              <w:rPr>
                <w:rStyle w:val="IndexLink"/>
              </w:rPr>
              <w:t>261</w:t>
            </w:r>
          </w:hyperlink>
        </w:p>
        <w:p>
          <w:pPr>
            <w:pStyle w:val="Contents4"/>
            <w:tabs>
              <w:tab w:val="clear" w:pos="8176"/>
              <w:tab w:val="right" w:pos="9026" w:leader="dot"/>
            </w:tabs>
            <w:rPr/>
          </w:pPr>
          <w:hyperlink w:anchor="__RefHeading___Toc1259714_1468164448">
            <w:r>
              <w:rPr>
                <w:webHidden/>
                <w:rStyle w:val="IndexLink"/>
                <w:rtl w:val="true"/>
              </w:rPr>
              <w:t>د</w:t>
            </w:r>
            <w:r>
              <w:rPr>
                <w:rStyle w:val="IndexLink"/>
                <w:rtl w:val="true"/>
              </w:rPr>
              <w:t xml:space="preserve">: </w:t>
            </w:r>
            <w:r>
              <w:rPr>
                <w:rStyle w:val="IndexLink"/>
                <w:rtl w:val="true"/>
              </w:rPr>
              <w:t>ودیعه</w:t>
            </w:r>
            <w:r>
              <w:rPr>
                <w:rStyle w:val="IndexLink"/>
                <w:rtl w:val="true"/>
              </w:rPr>
              <w:tab/>
            </w:r>
            <w:r>
              <w:rPr>
                <w:rStyle w:val="IndexLink"/>
              </w:rPr>
              <w:t>263</w:t>
            </w:r>
          </w:hyperlink>
        </w:p>
        <w:p>
          <w:pPr>
            <w:pStyle w:val="Contents4"/>
            <w:tabs>
              <w:tab w:val="clear" w:pos="8176"/>
              <w:tab w:val="right" w:pos="9026" w:leader="dot"/>
            </w:tabs>
            <w:rPr/>
          </w:pPr>
          <w:hyperlink w:anchor="__RefHeading___Toc1259716_1468164448">
            <w:r>
              <w:rPr>
                <w:webHidden/>
                <w:rStyle w:val="IndexLink"/>
                <w:rtl w:val="true"/>
              </w:rPr>
              <w:t xml:space="preserve">ه </w:t>
            </w:r>
            <w:r>
              <w:rPr>
                <w:rStyle w:val="IndexLink"/>
                <w:rtl w:val="true"/>
              </w:rPr>
              <w:t xml:space="preserve">-: </w:t>
            </w:r>
            <w:r>
              <w:rPr>
                <w:rStyle w:val="IndexLink"/>
                <w:rtl w:val="true"/>
              </w:rPr>
              <w:t>عاریه</w:t>
            </w:r>
            <w:r>
              <w:rPr>
                <w:rStyle w:val="IndexLink"/>
                <w:rtl w:val="true"/>
              </w:rPr>
              <w:tab/>
            </w:r>
            <w:r>
              <w:rPr>
                <w:rStyle w:val="IndexLink"/>
              </w:rPr>
              <w:t>267</w:t>
            </w:r>
          </w:hyperlink>
        </w:p>
        <w:p>
          <w:pPr>
            <w:pStyle w:val="Contents3"/>
            <w:tabs>
              <w:tab w:val="clear" w:pos="8459"/>
              <w:tab w:val="right" w:pos="9026" w:leader="dot"/>
            </w:tabs>
            <w:rPr/>
          </w:pPr>
          <w:hyperlink w:anchor="__RefHeading___Toc1259718_1468164448">
            <w:r>
              <w:rPr>
                <w:webHidden/>
                <w:rStyle w:val="IndexLink"/>
                <w:rtl w:val="true"/>
              </w:rPr>
              <w:t>گفتار پنجم</w:t>
            </w:r>
            <w:r>
              <w:rPr>
                <w:rStyle w:val="IndexLink"/>
                <w:rtl w:val="true"/>
              </w:rPr>
              <w:t xml:space="preserve">: </w:t>
            </w:r>
            <w:r>
              <w:rPr>
                <w:rStyle w:val="IndexLink"/>
                <w:rtl w:val="true"/>
              </w:rPr>
              <w:t>وکالت، وقف، هبه، صدقه، اجاره و اقرار</w:t>
            </w:r>
            <w:r>
              <w:rPr>
                <w:rStyle w:val="IndexLink"/>
                <w:rtl w:val="true"/>
              </w:rPr>
              <w:tab/>
            </w:r>
            <w:r>
              <w:rPr>
                <w:rStyle w:val="IndexLink"/>
              </w:rPr>
              <w:t>270</w:t>
            </w:r>
          </w:hyperlink>
        </w:p>
        <w:p>
          <w:pPr>
            <w:pStyle w:val="Contents4"/>
            <w:tabs>
              <w:tab w:val="clear" w:pos="8176"/>
              <w:tab w:val="right" w:pos="9026" w:leader="dot"/>
            </w:tabs>
            <w:rPr/>
          </w:pPr>
          <w:hyperlink w:anchor="__RefHeading___Toc1259720_1468164448">
            <w:r>
              <w:rPr>
                <w:webHidden/>
                <w:rStyle w:val="IndexLink"/>
                <w:rtl w:val="true"/>
              </w:rPr>
              <w:t>الف</w:t>
            </w:r>
            <w:r>
              <w:rPr>
                <w:rStyle w:val="IndexLink"/>
                <w:rtl w:val="true"/>
              </w:rPr>
              <w:t xml:space="preserve">: </w:t>
            </w:r>
            <w:r>
              <w:rPr>
                <w:rStyle w:val="IndexLink"/>
                <w:rtl w:val="true"/>
              </w:rPr>
              <w:t>وکالت</w:t>
            </w:r>
            <w:r>
              <w:rPr>
                <w:rStyle w:val="IndexLink"/>
                <w:rtl w:val="true"/>
              </w:rPr>
              <w:tab/>
            </w:r>
            <w:r>
              <w:rPr>
                <w:rStyle w:val="IndexLink"/>
              </w:rPr>
              <w:t>270</w:t>
            </w:r>
          </w:hyperlink>
        </w:p>
        <w:p>
          <w:pPr>
            <w:pStyle w:val="Contents4"/>
            <w:tabs>
              <w:tab w:val="clear" w:pos="8176"/>
              <w:tab w:val="right" w:pos="9026" w:leader="dot"/>
            </w:tabs>
            <w:rPr/>
          </w:pPr>
          <w:hyperlink w:anchor="__RefHeading___Toc1259722_1468164448">
            <w:r>
              <w:rPr>
                <w:webHidden/>
                <w:rStyle w:val="IndexLink"/>
                <w:rtl w:val="true"/>
              </w:rPr>
              <w:t>ب</w:t>
            </w:r>
            <w:r>
              <w:rPr>
                <w:rStyle w:val="IndexLink"/>
                <w:rtl w:val="true"/>
              </w:rPr>
              <w:t xml:space="preserve">: </w:t>
            </w:r>
            <w:r>
              <w:rPr>
                <w:rStyle w:val="IndexLink"/>
                <w:rtl w:val="true"/>
              </w:rPr>
              <w:t>وقف</w:t>
            </w:r>
            <w:r>
              <w:rPr>
                <w:rStyle w:val="IndexLink"/>
                <w:rtl w:val="true"/>
              </w:rPr>
              <w:tab/>
            </w:r>
            <w:r>
              <w:rPr>
                <w:rStyle w:val="IndexLink"/>
              </w:rPr>
              <w:t>274</w:t>
            </w:r>
          </w:hyperlink>
        </w:p>
        <w:p>
          <w:pPr>
            <w:pStyle w:val="Contents4"/>
            <w:tabs>
              <w:tab w:val="clear" w:pos="8176"/>
              <w:tab w:val="right" w:pos="9026" w:leader="dot"/>
            </w:tabs>
            <w:rPr/>
          </w:pPr>
          <w:hyperlink w:anchor="__RefHeading___Toc1259724_1468164448">
            <w:r>
              <w:rPr>
                <w:webHidden/>
                <w:rStyle w:val="IndexLink"/>
                <w:rtl w:val="true"/>
              </w:rPr>
              <w:t>ج</w:t>
            </w:r>
            <w:r>
              <w:rPr>
                <w:rStyle w:val="IndexLink"/>
                <w:rtl w:val="true"/>
              </w:rPr>
              <w:t xml:space="preserve">: </w:t>
            </w:r>
            <w:r>
              <w:rPr>
                <w:rStyle w:val="IndexLink"/>
                <w:rtl w:val="true"/>
              </w:rPr>
              <w:t>هبه</w:t>
            </w:r>
            <w:r>
              <w:rPr>
                <w:rStyle w:val="IndexLink"/>
                <w:rtl w:val="true"/>
              </w:rPr>
              <w:tab/>
            </w:r>
            <w:r>
              <w:rPr>
                <w:rStyle w:val="IndexLink"/>
              </w:rPr>
              <w:t>277</w:t>
            </w:r>
          </w:hyperlink>
        </w:p>
        <w:p>
          <w:pPr>
            <w:pStyle w:val="Contents4"/>
            <w:tabs>
              <w:tab w:val="clear" w:pos="8176"/>
              <w:tab w:val="right" w:pos="9026" w:leader="dot"/>
            </w:tabs>
            <w:rPr/>
          </w:pPr>
          <w:hyperlink w:anchor="__RefHeading___Toc1259726_1468164448">
            <w:r>
              <w:rPr>
                <w:webHidden/>
                <w:rStyle w:val="IndexLink"/>
                <w:rtl w:val="true"/>
              </w:rPr>
              <w:t>د</w:t>
            </w:r>
            <w:r>
              <w:rPr>
                <w:rStyle w:val="IndexLink"/>
                <w:rtl w:val="true"/>
              </w:rPr>
              <w:t xml:space="preserve">: </w:t>
            </w:r>
            <w:r>
              <w:rPr>
                <w:rStyle w:val="IndexLink"/>
                <w:rtl w:val="true"/>
              </w:rPr>
              <w:t>صدقه</w:t>
            </w:r>
            <w:r>
              <w:rPr>
                <w:rStyle w:val="IndexLink"/>
                <w:rtl w:val="true"/>
              </w:rPr>
              <w:tab/>
            </w:r>
            <w:r>
              <w:rPr>
                <w:rStyle w:val="IndexLink"/>
              </w:rPr>
              <w:t>279</w:t>
            </w:r>
          </w:hyperlink>
        </w:p>
        <w:p>
          <w:pPr>
            <w:pStyle w:val="Contents4"/>
            <w:tabs>
              <w:tab w:val="clear" w:pos="8176"/>
              <w:tab w:val="right" w:pos="9026" w:leader="dot"/>
            </w:tabs>
            <w:rPr/>
          </w:pPr>
          <w:hyperlink w:anchor="__RefHeading___Toc1259728_1468164448">
            <w:r>
              <w:rPr>
                <w:webHidden/>
                <w:rStyle w:val="IndexLink"/>
                <w:rtl w:val="true"/>
              </w:rPr>
              <w:t xml:space="preserve">ه </w:t>
            </w:r>
            <w:r>
              <w:rPr>
                <w:rStyle w:val="IndexLink"/>
                <w:rtl w:val="true"/>
              </w:rPr>
              <w:t xml:space="preserve">-: </w:t>
            </w:r>
            <w:r>
              <w:rPr>
                <w:rStyle w:val="IndexLink"/>
                <w:rtl w:val="true"/>
              </w:rPr>
              <w:t>اجاره</w:t>
            </w:r>
            <w:r>
              <w:rPr>
                <w:rStyle w:val="IndexLink"/>
                <w:rtl w:val="true"/>
              </w:rPr>
              <w:tab/>
            </w:r>
            <w:r>
              <w:rPr>
                <w:rStyle w:val="IndexLink"/>
              </w:rPr>
              <w:t>283</w:t>
            </w:r>
          </w:hyperlink>
        </w:p>
        <w:p>
          <w:pPr>
            <w:pStyle w:val="Contents3"/>
            <w:tabs>
              <w:tab w:val="clear" w:pos="8459"/>
              <w:tab w:val="right" w:pos="9026" w:leader="dot"/>
            </w:tabs>
            <w:rPr/>
          </w:pPr>
          <w:hyperlink w:anchor="__RefHeading___Toc1259730_1468164448">
            <w:r>
              <w:rPr>
                <w:webHidden/>
                <w:rStyle w:val="IndexLink"/>
                <w:rtl w:val="true"/>
              </w:rPr>
              <w:t>گفتار ششم</w:t>
            </w:r>
            <w:r>
              <w:rPr>
                <w:rStyle w:val="IndexLink"/>
                <w:rtl w:val="true"/>
              </w:rPr>
              <w:t xml:space="preserve">: </w:t>
            </w:r>
            <w:r>
              <w:rPr>
                <w:rStyle w:val="IndexLink"/>
                <w:rtl w:val="true"/>
              </w:rPr>
              <w:t>احیای اراضی موات و حیازت اشیاء مباحه و سبقت نسبت به آن</w:t>
            </w:r>
            <w:r>
              <w:rPr>
                <w:rStyle w:val="IndexLink"/>
                <w:rtl w:val="true"/>
              </w:rPr>
              <w:tab/>
            </w:r>
            <w:r>
              <w:rPr>
                <w:rStyle w:val="IndexLink"/>
              </w:rPr>
              <w:t>290</w:t>
            </w:r>
          </w:hyperlink>
        </w:p>
        <w:p>
          <w:pPr>
            <w:pStyle w:val="Contents4"/>
            <w:tabs>
              <w:tab w:val="clear" w:pos="8176"/>
              <w:tab w:val="right" w:pos="9026" w:leader="dot"/>
            </w:tabs>
            <w:rPr/>
          </w:pPr>
          <w:hyperlink w:anchor="__RefHeading___Toc1259732_1468164448">
            <w:r>
              <w:rPr>
                <w:webHidden/>
                <w:rStyle w:val="IndexLink"/>
                <w:rtl w:val="true"/>
              </w:rPr>
              <w:t>الف</w:t>
            </w:r>
            <w:r>
              <w:rPr>
                <w:rStyle w:val="IndexLink"/>
                <w:rtl w:val="true"/>
              </w:rPr>
              <w:t xml:space="preserve">: </w:t>
            </w:r>
            <w:r>
              <w:rPr>
                <w:rStyle w:val="IndexLink"/>
                <w:rtl w:val="true"/>
              </w:rPr>
              <w:t>احیای موات</w:t>
            </w:r>
            <w:r>
              <w:rPr>
                <w:rStyle w:val="IndexLink"/>
                <w:rtl w:val="true"/>
              </w:rPr>
              <w:tab/>
            </w:r>
            <w:r>
              <w:rPr>
                <w:rStyle w:val="IndexLink"/>
              </w:rPr>
              <w:t>290</w:t>
            </w:r>
          </w:hyperlink>
        </w:p>
        <w:p>
          <w:pPr>
            <w:pStyle w:val="Contents3"/>
            <w:tabs>
              <w:tab w:val="clear" w:pos="8459"/>
              <w:tab w:val="right" w:pos="9026" w:leader="dot"/>
            </w:tabs>
            <w:rPr/>
          </w:pPr>
          <w:hyperlink w:anchor="__RefHeading___Toc1259734_1468164448">
            <w:r>
              <w:rPr>
                <w:webHidden/>
                <w:rStyle w:val="IndexLink"/>
                <w:rtl w:val="true"/>
              </w:rPr>
              <w:t>گفتار هفتم</w:t>
            </w:r>
            <w:r>
              <w:rPr>
                <w:rStyle w:val="IndexLink"/>
                <w:rtl w:val="true"/>
              </w:rPr>
              <w:t xml:space="preserve">: </w:t>
            </w:r>
            <w:r>
              <w:rPr>
                <w:rStyle w:val="IndexLink"/>
                <w:rtl w:val="true"/>
              </w:rPr>
              <w:t>جعاله، غصب، وصیّت</w:t>
            </w:r>
            <w:r>
              <w:rPr>
                <w:rStyle w:val="IndexLink"/>
                <w:rtl w:val="true"/>
              </w:rPr>
              <w:tab/>
            </w:r>
            <w:r>
              <w:rPr>
                <w:rStyle w:val="IndexLink"/>
              </w:rPr>
              <w:t>300</w:t>
            </w:r>
          </w:hyperlink>
        </w:p>
        <w:p>
          <w:pPr>
            <w:pStyle w:val="Contents4"/>
            <w:tabs>
              <w:tab w:val="clear" w:pos="8176"/>
              <w:tab w:val="right" w:pos="9026" w:leader="dot"/>
            </w:tabs>
            <w:rPr/>
          </w:pPr>
          <w:hyperlink w:anchor="__RefHeading___Toc1259736_1468164448">
            <w:r>
              <w:rPr>
                <w:webHidden/>
                <w:rStyle w:val="IndexLink"/>
                <w:rtl w:val="true"/>
              </w:rPr>
              <w:t>الف</w:t>
            </w:r>
            <w:r>
              <w:rPr>
                <w:rStyle w:val="IndexLink"/>
                <w:rtl w:val="true"/>
              </w:rPr>
              <w:t xml:space="preserve">: </w:t>
            </w:r>
            <w:r>
              <w:rPr>
                <w:rStyle w:val="IndexLink"/>
                <w:rtl w:val="true"/>
              </w:rPr>
              <w:t>جعاله</w:t>
            </w:r>
            <w:r>
              <w:rPr>
                <w:rStyle w:val="IndexLink"/>
                <w:rtl w:val="true"/>
              </w:rPr>
              <w:tab/>
            </w:r>
            <w:r>
              <w:rPr>
                <w:rStyle w:val="IndexLink"/>
              </w:rPr>
              <w:t>300</w:t>
            </w:r>
          </w:hyperlink>
        </w:p>
        <w:p>
          <w:pPr>
            <w:pStyle w:val="Contents4"/>
            <w:tabs>
              <w:tab w:val="clear" w:pos="8176"/>
              <w:tab w:val="right" w:pos="9026" w:leader="dot"/>
            </w:tabs>
            <w:rPr/>
          </w:pPr>
          <w:hyperlink w:anchor="__RefHeading___Toc1259738_1468164448">
            <w:r>
              <w:rPr>
                <w:webHidden/>
                <w:rStyle w:val="IndexLink"/>
                <w:rtl w:val="true"/>
              </w:rPr>
              <w:t>ب</w:t>
            </w:r>
            <w:r>
              <w:rPr>
                <w:rStyle w:val="IndexLink"/>
                <w:rtl w:val="true"/>
              </w:rPr>
              <w:t xml:space="preserve">: </w:t>
            </w:r>
            <w:r>
              <w:rPr>
                <w:rStyle w:val="IndexLink"/>
                <w:rtl w:val="true"/>
              </w:rPr>
              <w:t>غصب</w:t>
            </w:r>
            <w:r>
              <w:rPr>
                <w:rStyle w:val="IndexLink"/>
                <w:rtl w:val="true"/>
              </w:rPr>
              <w:tab/>
            </w:r>
            <w:r>
              <w:rPr>
                <w:rStyle w:val="IndexLink"/>
              </w:rPr>
              <w:t>303</w:t>
            </w:r>
          </w:hyperlink>
        </w:p>
        <w:p>
          <w:pPr>
            <w:pStyle w:val="Contents4"/>
            <w:tabs>
              <w:tab w:val="clear" w:pos="8176"/>
              <w:tab w:val="right" w:pos="9026" w:leader="dot"/>
            </w:tabs>
            <w:rPr/>
          </w:pPr>
          <w:hyperlink w:anchor="__RefHeading___Toc1259740_1468164448">
            <w:r>
              <w:rPr>
                <w:webHidden/>
                <w:rStyle w:val="IndexLink"/>
                <w:rtl w:val="true"/>
              </w:rPr>
              <w:t>ج</w:t>
            </w:r>
            <w:r>
              <w:rPr>
                <w:rStyle w:val="IndexLink"/>
                <w:rtl w:val="true"/>
              </w:rPr>
              <w:t xml:space="preserve">: </w:t>
            </w:r>
            <w:r>
              <w:rPr>
                <w:rStyle w:val="IndexLink"/>
                <w:rtl w:val="true"/>
              </w:rPr>
              <w:t>وصیت</w:t>
            </w:r>
            <w:r>
              <w:rPr>
                <w:rStyle w:val="IndexLink"/>
                <w:rtl w:val="true"/>
              </w:rPr>
              <w:tab/>
            </w:r>
            <w:r>
              <w:rPr>
                <w:rStyle w:val="IndexLink"/>
              </w:rPr>
              <w:t>305</w:t>
            </w:r>
          </w:hyperlink>
        </w:p>
        <w:p>
          <w:pPr>
            <w:pStyle w:val="Contents3"/>
            <w:tabs>
              <w:tab w:val="clear" w:pos="8459"/>
              <w:tab w:val="right" w:pos="9026" w:leader="dot"/>
            </w:tabs>
            <w:rPr/>
          </w:pPr>
          <w:hyperlink w:anchor="__RefHeading___Toc1259742_1468164448">
            <w:r>
              <w:rPr>
                <w:webHidden/>
                <w:rStyle w:val="IndexLink"/>
                <w:rtl w:val="true"/>
              </w:rPr>
              <w:t>گفتار هشتم</w:t>
            </w:r>
            <w:r>
              <w:rPr>
                <w:rStyle w:val="IndexLink"/>
                <w:rtl w:val="true"/>
              </w:rPr>
              <w:t xml:space="preserve">: </w:t>
            </w:r>
            <w:r>
              <w:rPr>
                <w:rStyle w:val="IndexLink"/>
                <w:rtl w:val="true"/>
              </w:rPr>
              <w:t>حمایت از کودک در برابر بهره کشی اقتصادی و ممنوعیت به کارگیری او در کارهای سخت و زیان آور</w:t>
            </w:r>
            <w:r>
              <w:rPr>
                <w:rStyle w:val="IndexLink"/>
                <w:rtl w:val="true"/>
              </w:rPr>
              <w:tab/>
            </w:r>
            <w:r>
              <w:rPr>
                <w:rStyle w:val="IndexLink"/>
              </w:rPr>
              <w:t>309</w:t>
            </w:r>
          </w:hyperlink>
        </w:p>
        <w:p>
          <w:pPr>
            <w:pStyle w:val="Contents4"/>
            <w:tabs>
              <w:tab w:val="clear" w:pos="8176"/>
              <w:tab w:val="right" w:pos="9026" w:leader="dot"/>
            </w:tabs>
            <w:rPr/>
          </w:pPr>
          <w:hyperlink w:anchor="__RefHeading___Toc1259744_1468164448">
            <w:r>
              <w:rPr>
                <w:webHidden/>
                <w:rStyle w:val="IndexLink"/>
              </w:rPr>
              <w:t>1</w:t>
            </w:r>
            <w:r>
              <w:rPr>
                <w:rStyle w:val="IndexLink"/>
                <w:rtl w:val="true"/>
              </w:rPr>
              <w:t xml:space="preserve">- </w:t>
            </w:r>
            <w:r>
              <w:rPr>
                <w:rStyle w:val="IndexLink"/>
                <w:rtl w:val="true"/>
              </w:rPr>
              <w:t>طرح مسأله</w:t>
            </w:r>
            <w:r>
              <w:rPr>
                <w:rStyle w:val="IndexLink"/>
                <w:rtl w:val="true"/>
              </w:rPr>
              <w:tab/>
            </w:r>
            <w:r>
              <w:rPr>
                <w:rStyle w:val="IndexLink"/>
              </w:rPr>
              <w:t>309</w:t>
            </w:r>
          </w:hyperlink>
        </w:p>
        <w:p>
          <w:pPr>
            <w:pStyle w:val="Contents4"/>
            <w:tabs>
              <w:tab w:val="clear" w:pos="8176"/>
              <w:tab w:val="right" w:pos="9026" w:leader="dot"/>
            </w:tabs>
            <w:rPr/>
          </w:pPr>
          <w:hyperlink w:anchor="__RefHeading___Toc1259746_1468164448">
            <w:r>
              <w:rPr>
                <w:webHidden/>
                <w:rStyle w:val="IndexLink"/>
              </w:rPr>
              <w:t>2</w:t>
            </w:r>
            <w:r>
              <w:rPr>
                <w:rStyle w:val="IndexLink"/>
                <w:rtl w:val="true"/>
              </w:rPr>
              <w:t xml:space="preserve">- </w:t>
            </w:r>
            <w:r>
              <w:rPr>
                <w:rStyle w:val="IndexLink"/>
                <w:rtl w:val="true"/>
              </w:rPr>
              <w:t>اهمیت کار در اسلام</w:t>
            </w:r>
            <w:r>
              <w:rPr>
                <w:rStyle w:val="IndexLink"/>
                <w:rtl w:val="true"/>
              </w:rPr>
              <w:tab/>
            </w:r>
            <w:r>
              <w:rPr>
                <w:rStyle w:val="IndexLink"/>
              </w:rPr>
              <w:t>309</w:t>
            </w:r>
          </w:hyperlink>
        </w:p>
        <w:p>
          <w:pPr>
            <w:pStyle w:val="Contents4"/>
            <w:tabs>
              <w:tab w:val="clear" w:pos="8176"/>
              <w:tab w:val="right" w:pos="9026" w:leader="dot"/>
            </w:tabs>
            <w:rPr/>
          </w:pPr>
          <w:hyperlink w:anchor="__RefHeading___Toc1259748_1468164448">
            <w:r>
              <w:rPr>
                <w:webHidden/>
                <w:rStyle w:val="IndexLink"/>
              </w:rPr>
              <w:t>3</w:t>
            </w:r>
            <w:r>
              <w:rPr>
                <w:rStyle w:val="IndexLink"/>
                <w:rtl w:val="true"/>
              </w:rPr>
              <w:t xml:space="preserve">- </w:t>
            </w:r>
            <w:r>
              <w:rPr>
                <w:rStyle w:val="IndexLink"/>
                <w:rtl w:val="true"/>
              </w:rPr>
              <w:t>بهره‌گیری از کار کودک</w:t>
            </w:r>
            <w:r>
              <w:rPr>
                <w:rStyle w:val="IndexLink"/>
                <w:rtl w:val="true"/>
              </w:rPr>
              <w:tab/>
            </w:r>
            <w:r>
              <w:rPr>
                <w:rStyle w:val="IndexLink"/>
              </w:rPr>
              <w:t>312</w:t>
            </w:r>
          </w:hyperlink>
        </w:p>
        <w:p>
          <w:pPr>
            <w:pStyle w:val="Contents4"/>
            <w:tabs>
              <w:tab w:val="clear" w:pos="8176"/>
              <w:tab w:val="right" w:pos="9026" w:leader="dot"/>
            </w:tabs>
            <w:rPr/>
          </w:pPr>
          <w:hyperlink w:anchor="__RefHeading___Toc1259750_1468164448">
            <w:r>
              <w:rPr>
                <w:webHidden/>
                <w:rStyle w:val="IndexLink"/>
              </w:rPr>
              <w:t>4</w:t>
            </w:r>
            <w:r>
              <w:rPr>
                <w:rStyle w:val="IndexLink"/>
                <w:rtl w:val="true"/>
              </w:rPr>
              <w:t xml:space="preserve">- </w:t>
            </w:r>
            <w:r>
              <w:rPr>
                <w:rStyle w:val="IndexLink"/>
                <w:rtl w:val="true"/>
              </w:rPr>
              <w:t>پیامدهای کار کودکان</w:t>
            </w:r>
            <w:r>
              <w:rPr>
                <w:rStyle w:val="IndexLink"/>
                <w:rtl w:val="true"/>
              </w:rPr>
              <w:tab/>
            </w:r>
            <w:r>
              <w:rPr>
                <w:rStyle w:val="IndexLink"/>
              </w:rPr>
              <w:t>314</w:t>
            </w:r>
          </w:hyperlink>
        </w:p>
        <w:p>
          <w:pPr>
            <w:pStyle w:val="Contents4"/>
            <w:tabs>
              <w:tab w:val="clear" w:pos="8176"/>
              <w:tab w:val="right" w:pos="9026" w:leader="dot"/>
            </w:tabs>
            <w:rPr/>
          </w:pPr>
          <w:hyperlink w:anchor="__RefHeading___Toc1259752_1468164448">
            <w:r>
              <w:rPr>
                <w:webHidden/>
                <w:rStyle w:val="IndexLink"/>
              </w:rPr>
              <w:t>5</w:t>
            </w:r>
            <w:r>
              <w:rPr>
                <w:rStyle w:val="IndexLink"/>
                <w:rtl w:val="true"/>
              </w:rPr>
              <w:t xml:space="preserve">- </w:t>
            </w:r>
            <w:r>
              <w:rPr>
                <w:rStyle w:val="IndexLink"/>
                <w:rtl w:val="true"/>
              </w:rPr>
              <w:t>دیدگاه اسلام نسبت به کار کودک</w:t>
            </w:r>
            <w:r>
              <w:rPr>
                <w:rStyle w:val="IndexLink"/>
                <w:rtl w:val="true"/>
              </w:rPr>
              <w:tab/>
            </w:r>
            <w:r>
              <w:rPr>
                <w:rStyle w:val="IndexLink"/>
              </w:rPr>
              <w:t>316</w:t>
            </w:r>
          </w:hyperlink>
        </w:p>
        <w:p>
          <w:pPr>
            <w:pStyle w:val="Contents4"/>
            <w:tabs>
              <w:tab w:val="clear" w:pos="8176"/>
              <w:tab w:val="right" w:pos="9026" w:leader="dot"/>
            </w:tabs>
            <w:rPr/>
          </w:pPr>
          <w:hyperlink w:anchor="__RefHeading___Toc1259754_1468164448">
            <w:r>
              <w:rPr>
                <w:webHidden/>
                <w:rStyle w:val="IndexLink"/>
              </w:rPr>
              <w:t>6</w:t>
            </w:r>
            <w:r>
              <w:rPr>
                <w:rStyle w:val="IndexLink"/>
                <w:rtl w:val="true"/>
              </w:rPr>
              <w:t xml:space="preserve">- </w:t>
            </w:r>
            <w:r>
              <w:rPr>
                <w:rStyle w:val="IndexLink"/>
                <w:rtl w:val="true"/>
              </w:rPr>
              <w:t>مقرّرات خاص برای حمایت از کودک در قوانین کار جمهوری اسلامی ایران</w:t>
            </w:r>
            <w:r>
              <w:rPr>
                <w:rStyle w:val="IndexLink"/>
                <w:rtl w:val="true"/>
              </w:rPr>
              <w:tab/>
            </w:r>
            <w:r>
              <w:rPr>
                <w:rStyle w:val="IndexLink"/>
              </w:rPr>
              <w:t>320</w:t>
            </w:r>
          </w:hyperlink>
        </w:p>
        <w:p>
          <w:pPr>
            <w:pStyle w:val="Contents4"/>
            <w:tabs>
              <w:tab w:val="clear" w:pos="8176"/>
              <w:tab w:val="right" w:pos="9026" w:leader="dot"/>
            </w:tabs>
            <w:rPr/>
          </w:pPr>
          <w:hyperlink w:anchor="__RefHeading___Toc1259756_1468164448">
            <w:r>
              <w:rPr>
                <w:webHidden/>
                <w:rStyle w:val="IndexLink"/>
              </w:rPr>
              <w:t>7</w:t>
            </w:r>
            <w:r>
              <w:rPr>
                <w:rStyle w:val="IndexLink"/>
                <w:rtl w:val="true"/>
              </w:rPr>
              <w:t xml:space="preserve">- </w:t>
            </w:r>
            <w:r>
              <w:rPr>
                <w:rStyle w:val="IndexLink"/>
                <w:rtl w:val="true"/>
              </w:rPr>
              <w:t xml:space="preserve">حمایت از حقوق کاری کودک و نوجوان در اسناد فراملّی </w:t>
            </w:r>
            <w:r>
              <w:rPr>
                <w:rStyle w:val="IndexLink"/>
                <w:rtl w:val="true"/>
              </w:rPr>
              <w:t>(</w:t>
            </w:r>
            <w:r>
              <w:rPr>
                <w:rStyle w:val="IndexLink"/>
                <w:rtl w:val="true"/>
              </w:rPr>
              <w:t>بین‌المللی</w:t>
            </w:r>
            <w:r>
              <w:rPr>
                <w:rStyle w:val="IndexLink"/>
                <w:rtl w:val="true"/>
              </w:rPr>
              <w:t>)</w:t>
              <w:tab/>
            </w:r>
            <w:r>
              <w:rPr>
                <w:rStyle w:val="IndexLink"/>
              </w:rPr>
              <w:t>322</w:t>
            </w:r>
          </w:hyperlink>
        </w:p>
        <w:p>
          <w:pPr>
            <w:pStyle w:val="Contents2"/>
            <w:tabs>
              <w:tab w:val="clear" w:pos="8743"/>
              <w:tab w:val="right" w:pos="9026" w:leader="dot"/>
            </w:tabs>
            <w:rPr/>
          </w:pPr>
          <w:hyperlink w:anchor="__RefHeading___Toc1259758_1468164448">
            <w:r>
              <w:rPr>
                <w:webHidden/>
                <w:rStyle w:val="IndexLink"/>
                <w:rtl w:val="true"/>
              </w:rPr>
              <w:t>فصل چهاردهم</w:t>
            </w:r>
            <w:r>
              <w:rPr>
                <w:rStyle w:val="IndexLink"/>
                <w:rtl w:val="true"/>
              </w:rPr>
              <w:t xml:space="preserve">: </w:t>
            </w:r>
            <w:r>
              <w:rPr>
                <w:rStyle w:val="IndexLink"/>
                <w:rtl w:val="true"/>
              </w:rPr>
              <w:t>اقرار، قضا، شهادت، دعاوی، اجتهاد، تقلید و روایت کودک</w:t>
            </w:r>
            <w:r>
              <w:rPr>
                <w:rStyle w:val="IndexLink"/>
                <w:rtl w:val="true"/>
              </w:rPr>
              <w:tab/>
            </w:r>
            <w:r>
              <w:rPr>
                <w:rStyle w:val="IndexLink"/>
              </w:rPr>
              <w:t>324</w:t>
            </w:r>
          </w:hyperlink>
        </w:p>
        <w:p>
          <w:pPr>
            <w:pStyle w:val="Contents3"/>
            <w:tabs>
              <w:tab w:val="clear" w:pos="8459"/>
              <w:tab w:val="right" w:pos="9026" w:leader="dot"/>
            </w:tabs>
            <w:rPr/>
          </w:pPr>
          <w:hyperlink w:anchor="__RefHeading___Toc1259760_1468164448">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1259762_1468164448">
            <w:r>
              <w:rPr>
                <w:webHidden/>
                <w:rStyle w:val="IndexLink"/>
                <w:rtl w:val="true"/>
              </w:rPr>
              <w:t>گفتار اول</w:t>
            </w:r>
            <w:r>
              <w:rPr>
                <w:rStyle w:val="IndexLink"/>
                <w:rtl w:val="true"/>
              </w:rPr>
              <w:t xml:space="preserve">: </w:t>
            </w:r>
            <w:r>
              <w:rPr>
                <w:rStyle w:val="IndexLink"/>
                <w:rtl w:val="true"/>
              </w:rPr>
              <w:t>اقرار</w:t>
            </w:r>
            <w:r>
              <w:rPr>
                <w:rStyle w:val="IndexLink"/>
                <w:rtl w:val="true"/>
              </w:rPr>
              <w:tab/>
            </w:r>
            <w:r>
              <w:rPr>
                <w:rStyle w:val="IndexLink"/>
              </w:rPr>
              <w:t>325</w:t>
            </w:r>
          </w:hyperlink>
        </w:p>
        <w:p>
          <w:pPr>
            <w:pStyle w:val="Contents4"/>
            <w:tabs>
              <w:tab w:val="clear" w:pos="8176"/>
              <w:tab w:val="right" w:pos="9026" w:leader="dot"/>
            </w:tabs>
            <w:rPr/>
          </w:pPr>
          <w:hyperlink w:anchor="__RefHeading___Toc1259764_1468164448">
            <w:r>
              <w:rPr>
                <w:webHidden/>
                <w:rStyle w:val="IndexLink"/>
              </w:rPr>
              <w:t>1</w:t>
            </w:r>
            <w:r>
              <w:rPr>
                <w:rStyle w:val="IndexLink"/>
                <w:rtl w:val="true"/>
              </w:rPr>
              <w:t xml:space="preserve">- </w:t>
            </w:r>
            <w:r>
              <w:rPr>
                <w:rStyle w:val="IndexLink"/>
                <w:rtl w:val="true"/>
              </w:rPr>
              <w:t>مفهوم اقرار در لغت و اصطلاح</w:t>
            </w:r>
            <w:r>
              <w:rPr>
                <w:rStyle w:val="IndexLink"/>
                <w:rtl w:val="true"/>
              </w:rPr>
              <w:tab/>
            </w:r>
            <w:r>
              <w:rPr>
                <w:rStyle w:val="IndexLink"/>
              </w:rPr>
              <w:t>325</w:t>
            </w:r>
          </w:hyperlink>
        </w:p>
        <w:p>
          <w:pPr>
            <w:pStyle w:val="Contents4"/>
            <w:tabs>
              <w:tab w:val="clear" w:pos="8176"/>
              <w:tab w:val="right" w:pos="9026" w:leader="dot"/>
            </w:tabs>
            <w:rPr/>
          </w:pPr>
          <w:hyperlink w:anchor="__RefHeading___Toc1259766_1468164448">
            <w:r>
              <w:rPr>
                <w:webHidden/>
                <w:rStyle w:val="IndexLink"/>
              </w:rPr>
              <w:t>2</w:t>
            </w:r>
            <w:r>
              <w:rPr>
                <w:rStyle w:val="IndexLink"/>
                <w:rtl w:val="true"/>
              </w:rPr>
              <w:t xml:space="preserve">- </w:t>
            </w:r>
            <w:r>
              <w:rPr>
                <w:rStyle w:val="IndexLink"/>
                <w:rtl w:val="true"/>
              </w:rPr>
              <w:t>حکم اقرار نسبت به کودک</w:t>
            </w:r>
            <w:r>
              <w:rPr>
                <w:rStyle w:val="IndexLink"/>
                <w:rtl w:val="true"/>
              </w:rPr>
              <w:tab/>
            </w:r>
            <w:r>
              <w:rPr>
                <w:rStyle w:val="IndexLink"/>
              </w:rPr>
              <w:t>326</w:t>
            </w:r>
          </w:hyperlink>
        </w:p>
        <w:p>
          <w:pPr>
            <w:pStyle w:val="Contents4"/>
            <w:tabs>
              <w:tab w:val="clear" w:pos="8176"/>
              <w:tab w:val="right" w:pos="9026" w:leader="dot"/>
            </w:tabs>
            <w:rPr/>
          </w:pPr>
          <w:hyperlink w:anchor="__RefHeading___Toc1259768_1468164448">
            <w:r>
              <w:rPr>
                <w:webHidden/>
                <w:rStyle w:val="IndexLink"/>
              </w:rPr>
              <w:t>3</w:t>
            </w:r>
            <w:r>
              <w:rPr>
                <w:rStyle w:val="IndexLink"/>
                <w:rtl w:val="true"/>
              </w:rPr>
              <w:t xml:space="preserve">- </w:t>
            </w:r>
            <w:r>
              <w:rPr>
                <w:rStyle w:val="IndexLink"/>
                <w:rtl w:val="true"/>
              </w:rPr>
              <w:t>اقرار کودک در قانون مدنی</w:t>
            </w:r>
            <w:r>
              <w:rPr>
                <w:rStyle w:val="IndexLink"/>
                <w:rtl w:val="true"/>
              </w:rPr>
              <w:tab/>
            </w:r>
            <w:r>
              <w:rPr>
                <w:rStyle w:val="IndexLink"/>
              </w:rPr>
              <w:t>328</w:t>
            </w:r>
          </w:hyperlink>
        </w:p>
        <w:p>
          <w:pPr>
            <w:pStyle w:val="Contents3"/>
            <w:tabs>
              <w:tab w:val="clear" w:pos="8459"/>
              <w:tab w:val="right" w:pos="9026" w:leader="dot"/>
            </w:tabs>
            <w:rPr/>
          </w:pPr>
          <w:hyperlink w:anchor="__RefHeading___Toc1259770_1468164448">
            <w:r>
              <w:rPr>
                <w:webHidden/>
                <w:rStyle w:val="IndexLink"/>
                <w:rtl w:val="true"/>
              </w:rPr>
              <w:t>گفتار دوم</w:t>
            </w:r>
            <w:r>
              <w:rPr>
                <w:rStyle w:val="IndexLink"/>
                <w:rtl w:val="true"/>
              </w:rPr>
              <w:t xml:space="preserve">: </w:t>
            </w:r>
            <w:r>
              <w:rPr>
                <w:rStyle w:val="IndexLink"/>
                <w:rtl w:val="true"/>
              </w:rPr>
              <w:t>قضاوت کودک</w:t>
            </w:r>
            <w:r>
              <w:rPr>
                <w:rStyle w:val="IndexLink"/>
                <w:rtl w:val="true"/>
              </w:rPr>
              <w:tab/>
            </w:r>
            <w:r>
              <w:rPr>
                <w:rStyle w:val="IndexLink"/>
              </w:rPr>
              <w:t>329</w:t>
            </w:r>
          </w:hyperlink>
        </w:p>
        <w:p>
          <w:pPr>
            <w:pStyle w:val="Contents4"/>
            <w:tabs>
              <w:tab w:val="clear" w:pos="8176"/>
              <w:tab w:val="right" w:pos="9026" w:leader="dot"/>
            </w:tabs>
            <w:rPr/>
          </w:pPr>
          <w:hyperlink w:anchor="__RefHeading___Toc1259772_1468164448">
            <w:r>
              <w:rPr>
                <w:webHidden/>
                <w:rStyle w:val="IndexLink"/>
              </w:rPr>
              <w:t>1</w:t>
            </w:r>
            <w:r>
              <w:rPr>
                <w:rStyle w:val="IndexLink"/>
                <w:rtl w:val="true"/>
              </w:rPr>
              <w:t xml:space="preserve">- </w:t>
            </w:r>
            <w:r>
              <w:rPr>
                <w:rStyle w:val="IndexLink"/>
                <w:rtl w:val="true"/>
              </w:rPr>
              <w:t>تحلیل مفهوم قضا</w:t>
            </w:r>
            <w:r>
              <w:rPr>
                <w:rStyle w:val="IndexLink"/>
                <w:rtl w:val="true"/>
              </w:rPr>
              <w:tab/>
            </w:r>
            <w:r>
              <w:rPr>
                <w:rStyle w:val="IndexLink"/>
              </w:rPr>
              <w:t>329</w:t>
            </w:r>
          </w:hyperlink>
        </w:p>
        <w:p>
          <w:pPr>
            <w:pStyle w:val="Contents4"/>
            <w:tabs>
              <w:tab w:val="clear" w:pos="8176"/>
              <w:tab w:val="right" w:pos="9026" w:leader="dot"/>
            </w:tabs>
            <w:rPr/>
          </w:pPr>
          <w:hyperlink w:anchor="__RefHeading___Toc1259774_1468164448">
            <w:r>
              <w:rPr>
                <w:webHidden/>
                <w:rStyle w:val="IndexLink"/>
              </w:rPr>
              <w:t>2</w:t>
            </w:r>
            <w:r>
              <w:rPr>
                <w:rStyle w:val="IndexLink"/>
                <w:rtl w:val="true"/>
              </w:rPr>
              <w:t xml:space="preserve">- </w:t>
            </w:r>
            <w:r>
              <w:rPr>
                <w:rStyle w:val="IndexLink"/>
                <w:rtl w:val="true"/>
              </w:rPr>
              <w:t>اقسام قضاوت</w:t>
            </w:r>
            <w:r>
              <w:rPr>
                <w:rStyle w:val="IndexLink"/>
                <w:rtl w:val="true"/>
              </w:rPr>
              <w:tab/>
            </w:r>
            <w:r>
              <w:rPr>
                <w:rStyle w:val="IndexLink"/>
              </w:rPr>
              <w:t>330</w:t>
            </w:r>
          </w:hyperlink>
        </w:p>
        <w:p>
          <w:pPr>
            <w:pStyle w:val="Contents4"/>
            <w:tabs>
              <w:tab w:val="clear" w:pos="8176"/>
              <w:tab w:val="right" w:pos="9026" w:leader="dot"/>
            </w:tabs>
            <w:rPr/>
          </w:pPr>
          <w:hyperlink w:anchor="__RefHeading___Toc1259776_1468164448">
            <w:r>
              <w:rPr>
                <w:webHidden/>
                <w:rStyle w:val="IndexLink"/>
              </w:rPr>
              <w:t>3</w:t>
            </w:r>
            <w:r>
              <w:rPr>
                <w:rStyle w:val="IndexLink"/>
                <w:rtl w:val="true"/>
              </w:rPr>
              <w:t xml:space="preserve">- </w:t>
            </w:r>
            <w:r>
              <w:rPr>
                <w:rStyle w:val="IndexLink"/>
                <w:rtl w:val="true"/>
              </w:rPr>
              <w:t>عدم اهلیت کودک برای قضاوت</w:t>
            </w:r>
            <w:r>
              <w:rPr>
                <w:rStyle w:val="IndexLink"/>
                <w:rtl w:val="true"/>
              </w:rPr>
              <w:tab/>
            </w:r>
            <w:r>
              <w:rPr>
                <w:rStyle w:val="IndexLink"/>
              </w:rPr>
              <w:t>330</w:t>
            </w:r>
          </w:hyperlink>
        </w:p>
        <w:p>
          <w:pPr>
            <w:pStyle w:val="Contents3"/>
            <w:tabs>
              <w:tab w:val="clear" w:pos="8459"/>
              <w:tab w:val="right" w:pos="9026" w:leader="dot"/>
            </w:tabs>
            <w:rPr/>
          </w:pPr>
          <w:hyperlink w:anchor="__RefHeading___Toc1259778_1468164448">
            <w:r>
              <w:rPr>
                <w:webHidden/>
                <w:rStyle w:val="IndexLink"/>
                <w:rtl w:val="true"/>
              </w:rPr>
              <w:t>گفتارسوم</w:t>
            </w:r>
            <w:r>
              <w:rPr>
                <w:rStyle w:val="IndexLink"/>
                <w:rtl w:val="true"/>
              </w:rPr>
              <w:t xml:space="preserve">: </w:t>
            </w:r>
            <w:r>
              <w:rPr>
                <w:rStyle w:val="IndexLink"/>
                <w:rtl w:val="true"/>
              </w:rPr>
              <w:t xml:space="preserve">شهادت </w:t>
            </w:r>
            <w:r>
              <w:rPr>
                <w:rStyle w:val="IndexLink"/>
                <w:rtl w:val="true"/>
              </w:rPr>
              <w:t>(</w:t>
            </w:r>
            <w:r>
              <w:rPr>
                <w:rStyle w:val="IndexLink"/>
                <w:rtl w:val="true"/>
              </w:rPr>
              <w:t>گواهی</w:t>
            </w:r>
            <w:r>
              <w:rPr>
                <w:rStyle w:val="IndexLink"/>
                <w:rtl w:val="true"/>
              </w:rPr>
              <w:t xml:space="preserve">) </w:t>
            </w:r>
            <w:r>
              <w:rPr>
                <w:rStyle w:val="IndexLink"/>
                <w:rtl w:val="true"/>
              </w:rPr>
              <w:t>کودک</w:t>
            </w:r>
            <w:r>
              <w:rPr>
                <w:rStyle w:val="IndexLink"/>
                <w:rtl w:val="true"/>
              </w:rPr>
              <w:tab/>
            </w:r>
            <w:r>
              <w:rPr>
                <w:rStyle w:val="IndexLink"/>
              </w:rPr>
              <w:t>335</w:t>
            </w:r>
          </w:hyperlink>
        </w:p>
        <w:p>
          <w:pPr>
            <w:pStyle w:val="Contents4"/>
            <w:tabs>
              <w:tab w:val="clear" w:pos="8176"/>
              <w:tab w:val="right" w:pos="9026" w:leader="dot"/>
            </w:tabs>
            <w:rPr/>
          </w:pPr>
          <w:hyperlink w:anchor="__RefHeading___Toc1259780_1468164448">
            <w:r>
              <w:rPr>
                <w:webHidden/>
                <w:rStyle w:val="IndexLink"/>
              </w:rPr>
              <w:t>1</w:t>
            </w:r>
            <w:r>
              <w:rPr>
                <w:rStyle w:val="IndexLink"/>
                <w:rtl w:val="true"/>
              </w:rPr>
              <w:t xml:space="preserve">- </w:t>
            </w:r>
            <w:r>
              <w:rPr>
                <w:rStyle w:val="IndexLink"/>
                <w:rtl w:val="true"/>
              </w:rPr>
              <w:t>تحلیل مفهوم شهادت</w:t>
            </w:r>
            <w:r>
              <w:rPr>
                <w:rStyle w:val="IndexLink"/>
                <w:rtl w:val="true"/>
              </w:rPr>
              <w:tab/>
            </w:r>
            <w:r>
              <w:rPr>
                <w:rStyle w:val="IndexLink"/>
              </w:rPr>
              <w:t>335</w:t>
            </w:r>
          </w:hyperlink>
        </w:p>
        <w:p>
          <w:pPr>
            <w:pStyle w:val="Contents4"/>
            <w:tabs>
              <w:tab w:val="clear" w:pos="8176"/>
              <w:tab w:val="right" w:pos="9026" w:leader="dot"/>
            </w:tabs>
            <w:rPr/>
          </w:pPr>
          <w:hyperlink w:anchor="__RefHeading___Toc1259782_1468164448">
            <w:r>
              <w:rPr>
                <w:webHidden/>
                <w:rStyle w:val="IndexLink"/>
              </w:rPr>
              <w:t>2</w:t>
            </w:r>
            <w:r>
              <w:rPr>
                <w:rStyle w:val="IndexLink"/>
                <w:rtl w:val="true"/>
              </w:rPr>
              <w:t xml:space="preserve">- </w:t>
            </w:r>
            <w:r>
              <w:rPr>
                <w:rStyle w:val="IndexLink"/>
                <w:rtl w:val="true"/>
              </w:rPr>
              <w:t>امکان پذیرش شهادت کودک</w:t>
            </w:r>
            <w:r>
              <w:rPr>
                <w:rStyle w:val="IndexLink"/>
                <w:rtl w:val="true"/>
              </w:rPr>
              <w:tab/>
            </w:r>
            <w:r>
              <w:rPr>
                <w:rStyle w:val="IndexLink"/>
              </w:rPr>
              <w:t>336</w:t>
            </w:r>
          </w:hyperlink>
        </w:p>
        <w:p>
          <w:pPr>
            <w:pStyle w:val="Contents4"/>
            <w:tabs>
              <w:tab w:val="clear" w:pos="8176"/>
              <w:tab w:val="right" w:pos="9026" w:leader="dot"/>
            </w:tabs>
            <w:rPr/>
          </w:pPr>
          <w:hyperlink w:anchor="__RefHeading___Toc1259784_1468164448">
            <w:r>
              <w:rPr>
                <w:webHidden/>
                <w:rStyle w:val="IndexLink"/>
              </w:rPr>
              <w:t>3</w:t>
            </w:r>
            <w:r>
              <w:rPr>
                <w:rStyle w:val="IndexLink"/>
                <w:rtl w:val="true"/>
              </w:rPr>
              <w:t xml:space="preserve">- </w:t>
            </w:r>
            <w:r>
              <w:rPr>
                <w:rStyle w:val="IndexLink"/>
                <w:rtl w:val="true"/>
              </w:rPr>
              <w:t>شرایط شهادت کودک</w:t>
            </w:r>
            <w:r>
              <w:rPr>
                <w:rStyle w:val="IndexLink"/>
                <w:rtl w:val="true"/>
              </w:rPr>
              <w:tab/>
            </w:r>
            <w:r>
              <w:rPr>
                <w:rStyle w:val="IndexLink"/>
              </w:rPr>
              <w:t>339</w:t>
            </w:r>
          </w:hyperlink>
        </w:p>
        <w:p>
          <w:pPr>
            <w:pStyle w:val="Contents4"/>
            <w:tabs>
              <w:tab w:val="clear" w:pos="8176"/>
              <w:tab w:val="right" w:pos="9026" w:leader="dot"/>
            </w:tabs>
            <w:rPr/>
          </w:pPr>
          <w:hyperlink w:anchor="__RefHeading___Toc1259786_1468164448">
            <w:r>
              <w:rPr>
                <w:webHidden/>
                <w:rStyle w:val="IndexLink"/>
              </w:rPr>
              <w:t>4</w:t>
            </w:r>
            <w:r>
              <w:rPr>
                <w:rStyle w:val="IndexLink"/>
                <w:rtl w:val="true"/>
              </w:rPr>
              <w:t xml:space="preserve">- </w:t>
            </w:r>
            <w:r>
              <w:rPr>
                <w:rStyle w:val="IndexLink"/>
                <w:rtl w:val="true"/>
              </w:rPr>
              <w:t>شهادت کودک در حقوق مدنی</w:t>
            </w:r>
            <w:r>
              <w:rPr>
                <w:rStyle w:val="IndexLink"/>
                <w:rtl w:val="true"/>
              </w:rPr>
              <w:tab/>
            </w:r>
            <w:r>
              <w:rPr>
                <w:rStyle w:val="IndexLink"/>
              </w:rPr>
              <w:t>339</w:t>
            </w:r>
          </w:hyperlink>
        </w:p>
        <w:p>
          <w:pPr>
            <w:pStyle w:val="Contents4"/>
            <w:tabs>
              <w:tab w:val="clear" w:pos="8176"/>
              <w:tab w:val="right" w:pos="9026" w:leader="dot"/>
            </w:tabs>
            <w:rPr/>
          </w:pPr>
          <w:hyperlink w:anchor="__RefHeading___Toc1259788_1468164448">
            <w:r>
              <w:rPr>
                <w:webHidden/>
                <w:rStyle w:val="IndexLink"/>
              </w:rPr>
              <w:t>5</w:t>
            </w:r>
            <w:r>
              <w:rPr>
                <w:rStyle w:val="IndexLink"/>
                <w:rtl w:val="true"/>
              </w:rPr>
              <w:t xml:space="preserve">- </w:t>
            </w:r>
            <w:r>
              <w:rPr>
                <w:rStyle w:val="IndexLink"/>
                <w:rtl w:val="true"/>
              </w:rPr>
              <w:t>شهادت فرد بالغ نسبت به دوران کودکی</w:t>
            </w:r>
            <w:r>
              <w:rPr>
                <w:rStyle w:val="IndexLink"/>
                <w:rtl w:val="true"/>
              </w:rPr>
              <w:tab/>
            </w:r>
            <w:r>
              <w:rPr>
                <w:rStyle w:val="IndexLink"/>
              </w:rPr>
              <w:t>340</w:t>
            </w:r>
          </w:hyperlink>
        </w:p>
        <w:p>
          <w:pPr>
            <w:pStyle w:val="Contents3"/>
            <w:tabs>
              <w:tab w:val="clear" w:pos="8459"/>
              <w:tab w:val="right" w:pos="9026" w:leader="dot"/>
            </w:tabs>
            <w:rPr/>
          </w:pPr>
          <w:hyperlink w:anchor="__RefHeading___Toc1259790_1468164448">
            <w:r>
              <w:rPr>
                <w:webHidden/>
                <w:rStyle w:val="IndexLink"/>
                <w:rtl w:val="true"/>
              </w:rPr>
              <w:t>گفتارچهارم</w:t>
            </w:r>
            <w:r>
              <w:rPr>
                <w:rStyle w:val="IndexLink"/>
                <w:rtl w:val="true"/>
              </w:rPr>
              <w:t xml:space="preserve">: </w:t>
            </w:r>
            <w:r>
              <w:rPr>
                <w:rStyle w:val="IndexLink"/>
                <w:rtl w:val="true"/>
              </w:rPr>
              <w:t>دعاوی کودک</w:t>
            </w:r>
            <w:r>
              <w:rPr>
                <w:rStyle w:val="IndexLink"/>
                <w:rtl w:val="true"/>
              </w:rPr>
              <w:tab/>
            </w:r>
            <w:r>
              <w:rPr>
                <w:rStyle w:val="IndexLink"/>
              </w:rPr>
              <w:t>341</w:t>
            </w:r>
          </w:hyperlink>
        </w:p>
        <w:p>
          <w:pPr>
            <w:pStyle w:val="Contents4"/>
            <w:tabs>
              <w:tab w:val="clear" w:pos="8176"/>
              <w:tab w:val="right" w:pos="9026" w:leader="dot"/>
            </w:tabs>
            <w:rPr/>
          </w:pPr>
          <w:hyperlink w:anchor="__RefHeading___Toc1259792_1468164448">
            <w:r>
              <w:rPr>
                <w:webHidden/>
                <w:rStyle w:val="IndexLink"/>
              </w:rPr>
              <w:t>1</w:t>
            </w:r>
            <w:r>
              <w:rPr>
                <w:rStyle w:val="IndexLink"/>
                <w:rtl w:val="true"/>
              </w:rPr>
              <w:t xml:space="preserve">- </w:t>
            </w:r>
            <w:r>
              <w:rPr>
                <w:rStyle w:val="IndexLink"/>
                <w:rtl w:val="true"/>
              </w:rPr>
              <w:t>مفهوم دعوی در لغت و اصطلاح</w:t>
            </w:r>
            <w:r>
              <w:rPr>
                <w:rStyle w:val="IndexLink"/>
                <w:rtl w:val="true"/>
              </w:rPr>
              <w:tab/>
            </w:r>
            <w:r>
              <w:rPr>
                <w:rStyle w:val="IndexLink"/>
              </w:rPr>
              <w:t>341</w:t>
            </w:r>
          </w:hyperlink>
        </w:p>
        <w:p>
          <w:pPr>
            <w:pStyle w:val="Contents4"/>
            <w:tabs>
              <w:tab w:val="clear" w:pos="8176"/>
              <w:tab w:val="right" w:pos="9026" w:leader="dot"/>
            </w:tabs>
            <w:rPr/>
          </w:pPr>
          <w:hyperlink w:anchor="__RefHeading___Toc1259794_1468164448">
            <w:r>
              <w:rPr>
                <w:webHidden/>
                <w:rStyle w:val="IndexLink"/>
              </w:rPr>
              <w:t>2</w:t>
            </w:r>
            <w:r>
              <w:rPr>
                <w:rStyle w:val="IndexLink"/>
                <w:rtl w:val="true"/>
              </w:rPr>
              <w:t xml:space="preserve">- </w:t>
            </w:r>
            <w:r>
              <w:rPr>
                <w:rStyle w:val="IndexLink"/>
                <w:rtl w:val="true"/>
              </w:rPr>
              <w:t>عدم اهلیّت کودک برای اقامه دعوا</w:t>
            </w:r>
            <w:r>
              <w:rPr>
                <w:rStyle w:val="IndexLink"/>
                <w:rtl w:val="true"/>
              </w:rPr>
              <w:tab/>
            </w:r>
            <w:r>
              <w:rPr>
                <w:rStyle w:val="IndexLink"/>
              </w:rPr>
              <w:t>342</w:t>
            </w:r>
          </w:hyperlink>
        </w:p>
        <w:p>
          <w:pPr>
            <w:pStyle w:val="Contents4"/>
            <w:tabs>
              <w:tab w:val="clear" w:pos="8176"/>
              <w:tab w:val="right" w:pos="9026" w:leader="dot"/>
            </w:tabs>
            <w:rPr/>
          </w:pPr>
          <w:hyperlink w:anchor="__RefHeading___Toc1259796_1468164448">
            <w:r>
              <w:rPr>
                <w:webHidden/>
                <w:rStyle w:val="IndexLink"/>
              </w:rPr>
              <w:t>3</w:t>
            </w:r>
            <w:r>
              <w:rPr>
                <w:rStyle w:val="IndexLink"/>
                <w:rtl w:val="true"/>
              </w:rPr>
              <w:t xml:space="preserve">- </w:t>
            </w:r>
            <w:r>
              <w:rPr>
                <w:rStyle w:val="IndexLink"/>
                <w:rtl w:val="true"/>
              </w:rPr>
              <w:t>ادّله عدم اهلیّت کودک برای اقامه دعوا</w:t>
            </w:r>
            <w:r>
              <w:rPr>
                <w:rStyle w:val="IndexLink"/>
                <w:rtl w:val="true"/>
              </w:rPr>
              <w:tab/>
            </w:r>
            <w:r>
              <w:rPr>
                <w:rStyle w:val="IndexLink"/>
              </w:rPr>
              <w:t>342</w:t>
            </w:r>
          </w:hyperlink>
        </w:p>
        <w:p>
          <w:pPr>
            <w:pStyle w:val="Contents4"/>
            <w:tabs>
              <w:tab w:val="clear" w:pos="8176"/>
              <w:tab w:val="right" w:pos="9026" w:leader="dot"/>
            </w:tabs>
            <w:rPr/>
          </w:pPr>
          <w:hyperlink w:anchor="__RefHeading___Toc1259798_1468164448">
            <w:r>
              <w:rPr>
                <w:webHidden/>
                <w:rStyle w:val="IndexLink"/>
              </w:rPr>
              <w:t>4</w:t>
            </w:r>
            <w:r>
              <w:rPr>
                <w:rStyle w:val="IndexLink"/>
                <w:rtl w:val="true"/>
              </w:rPr>
              <w:t xml:space="preserve">- </w:t>
            </w:r>
            <w:r>
              <w:rPr>
                <w:rStyle w:val="IndexLink"/>
                <w:rtl w:val="true"/>
              </w:rPr>
              <w:t>تفصیل در مسأله</w:t>
            </w:r>
            <w:r>
              <w:rPr>
                <w:rStyle w:val="IndexLink"/>
                <w:rtl w:val="true"/>
              </w:rPr>
              <w:tab/>
            </w:r>
            <w:r>
              <w:rPr>
                <w:rStyle w:val="IndexLink"/>
              </w:rPr>
              <w:t>343</w:t>
            </w:r>
          </w:hyperlink>
        </w:p>
        <w:p>
          <w:pPr>
            <w:pStyle w:val="Contents4"/>
            <w:tabs>
              <w:tab w:val="clear" w:pos="8176"/>
              <w:tab w:val="right" w:pos="9026" w:leader="dot"/>
            </w:tabs>
            <w:rPr/>
          </w:pPr>
          <w:hyperlink w:anchor="__RefHeading___Toc1259800_1468164448">
            <w:r>
              <w:rPr>
                <w:webHidden/>
                <w:rStyle w:val="IndexLink"/>
              </w:rPr>
              <w:t>5</w:t>
            </w:r>
            <w:r>
              <w:rPr>
                <w:rStyle w:val="IndexLink"/>
                <w:rtl w:val="true"/>
              </w:rPr>
              <w:t xml:space="preserve">- </w:t>
            </w:r>
            <w:r>
              <w:rPr>
                <w:rStyle w:val="IndexLink"/>
                <w:rtl w:val="true"/>
              </w:rPr>
              <w:t>عدم شرط بلوغ در خوانده</w:t>
            </w:r>
            <w:r>
              <w:rPr>
                <w:rStyle w:val="IndexLink"/>
                <w:rtl w:val="true"/>
              </w:rPr>
              <w:tab/>
            </w:r>
            <w:r>
              <w:rPr>
                <w:rStyle w:val="IndexLink"/>
              </w:rPr>
              <w:t>345</w:t>
            </w:r>
          </w:hyperlink>
        </w:p>
        <w:p>
          <w:pPr>
            <w:pStyle w:val="Contents4"/>
            <w:tabs>
              <w:tab w:val="clear" w:pos="8176"/>
              <w:tab w:val="right" w:pos="9026" w:leader="dot"/>
            </w:tabs>
            <w:rPr/>
          </w:pPr>
          <w:hyperlink w:anchor="__RefHeading___Toc1259802_1468164448">
            <w:r>
              <w:rPr>
                <w:webHidden/>
                <w:rStyle w:val="IndexLink"/>
              </w:rPr>
              <w:t>6</w:t>
            </w:r>
            <w:r>
              <w:rPr>
                <w:rStyle w:val="IndexLink"/>
                <w:rtl w:val="true"/>
              </w:rPr>
              <w:t xml:space="preserve">- </w:t>
            </w:r>
            <w:r>
              <w:rPr>
                <w:rStyle w:val="IndexLink"/>
                <w:rtl w:val="true"/>
              </w:rPr>
              <w:t>اهلیّت اقامه دعوی در حقوق مدنی</w:t>
            </w:r>
            <w:r>
              <w:rPr>
                <w:rStyle w:val="IndexLink"/>
                <w:rtl w:val="true"/>
              </w:rPr>
              <w:tab/>
            </w:r>
            <w:r>
              <w:rPr>
                <w:rStyle w:val="IndexLink"/>
              </w:rPr>
              <w:t>345</w:t>
            </w:r>
          </w:hyperlink>
        </w:p>
        <w:p>
          <w:pPr>
            <w:pStyle w:val="Contents3"/>
            <w:tabs>
              <w:tab w:val="clear" w:pos="8459"/>
              <w:tab w:val="right" w:pos="9026" w:leader="dot"/>
            </w:tabs>
            <w:rPr/>
          </w:pPr>
          <w:hyperlink w:anchor="__RefHeading___Toc1259804_1468164448">
            <w:r>
              <w:rPr>
                <w:webHidden/>
                <w:rStyle w:val="IndexLink"/>
                <w:rtl w:val="true"/>
              </w:rPr>
              <w:t>گفتار پنجم</w:t>
            </w:r>
            <w:r>
              <w:rPr>
                <w:rStyle w:val="IndexLink"/>
                <w:rtl w:val="true"/>
              </w:rPr>
              <w:t xml:space="preserve">: </w:t>
            </w:r>
            <w:r>
              <w:rPr>
                <w:rStyle w:val="IndexLink"/>
                <w:rtl w:val="true"/>
              </w:rPr>
              <w:t>اجتهاد، تقلید و نقل روایت توسط کودک</w:t>
            </w:r>
            <w:r>
              <w:rPr>
                <w:rStyle w:val="IndexLink"/>
                <w:rtl w:val="true"/>
              </w:rPr>
              <w:tab/>
            </w:r>
            <w:r>
              <w:rPr>
                <w:rStyle w:val="IndexLink"/>
              </w:rPr>
              <w:t>347</w:t>
            </w:r>
          </w:hyperlink>
        </w:p>
        <w:p>
          <w:pPr>
            <w:pStyle w:val="Contents4"/>
            <w:tabs>
              <w:tab w:val="clear" w:pos="8176"/>
              <w:tab w:val="right" w:pos="9026" w:leader="dot"/>
            </w:tabs>
            <w:rPr/>
          </w:pPr>
          <w:hyperlink w:anchor="__RefHeading___Toc1259806_1468164448">
            <w:r>
              <w:rPr>
                <w:webHidden/>
                <w:rStyle w:val="IndexLink"/>
              </w:rPr>
              <w:t>1</w:t>
            </w:r>
            <w:r>
              <w:rPr>
                <w:rStyle w:val="IndexLink"/>
                <w:rtl w:val="true"/>
              </w:rPr>
              <w:t xml:space="preserve">- </w:t>
            </w:r>
            <w:r>
              <w:rPr>
                <w:rStyle w:val="IndexLink"/>
                <w:rtl w:val="true"/>
              </w:rPr>
              <w:t>مفهوم اجتهاد</w:t>
            </w:r>
            <w:r>
              <w:rPr>
                <w:rStyle w:val="IndexLink"/>
                <w:rtl w:val="true"/>
              </w:rPr>
              <w:tab/>
            </w:r>
            <w:r>
              <w:rPr>
                <w:rStyle w:val="IndexLink"/>
              </w:rPr>
              <w:t>347</w:t>
            </w:r>
          </w:hyperlink>
        </w:p>
        <w:p>
          <w:pPr>
            <w:pStyle w:val="Contents4"/>
            <w:tabs>
              <w:tab w:val="clear" w:pos="8176"/>
              <w:tab w:val="right" w:pos="9026" w:leader="dot"/>
            </w:tabs>
            <w:rPr/>
          </w:pPr>
          <w:hyperlink w:anchor="__RefHeading___Toc1259808_1468164448">
            <w:r>
              <w:rPr>
                <w:webHidden/>
                <w:rStyle w:val="IndexLink"/>
              </w:rPr>
              <w:t>2</w:t>
            </w:r>
            <w:r>
              <w:rPr>
                <w:rStyle w:val="IndexLink"/>
                <w:rtl w:val="true"/>
              </w:rPr>
              <w:t xml:space="preserve">- </w:t>
            </w:r>
            <w:r>
              <w:rPr>
                <w:rStyle w:val="IndexLink"/>
                <w:rtl w:val="true"/>
              </w:rPr>
              <w:t>تحلیل مفهوم تقلید</w:t>
            </w:r>
            <w:r>
              <w:rPr>
                <w:rStyle w:val="IndexLink"/>
                <w:rtl w:val="true"/>
              </w:rPr>
              <w:tab/>
            </w:r>
            <w:r>
              <w:rPr>
                <w:rStyle w:val="IndexLink"/>
              </w:rPr>
              <w:t>348</w:t>
            </w:r>
          </w:hyperlink>
        </w:p>
        <w:p>
          <w:pPr>
            <w:pStyle w:val="Contents4"/>
            <w:tabs>
              <w:tab w:val="clear" w:pos="8176"/>
              <w:tab w:val="right" w:pos="9026" w:leader="dot"/>
            </w:tabs>
            <w:rPr/>
          </w:pPr>
          <w:hyperlink w:anchor="__RefHeading___Toc1259810_1468164448">
            <w:r>
              <w:rPr>
                <w:webHidden/>
                <w:rStyle w:val="IndexLink"/>
              </w:rPr>
              <w:t>3</w:t>
            </w:r>
            <w:r>
              <w:rPr>
                <w:rStyle w:val="IndexLink"/>
                <w:rtl w:val="true"/>
              </w:rPr>
              <w:t xml:space="preserve">- </w:t>
            </w:r>
            <w:r>
              <w:rPr>
                <w:rStyle w:val="IndexLink"/>
                <w:rtl w:val="true"/>
              </w:rPr>
              <w:t>امکان رسیدن کودک به مرتبه اجتهاد</w:t>
            </w:r>
            <w:r>
              <w:rPr>
                <w:rStyle w:val="IndexLink"/>
                <w:rtl w:val="true"/>
              </w:rPr>
              <w:tab/>
            </w:r>
            <w:r>
              <w:rPr>
                <w:rStyle w:val="IndexLink"/>
              </w:rPr>
              <w:t>348</w:t>
            </w:r>
          </w:hyperlink>
        </w:p>
        <w:p>
          <w:pPr>
            <w:pStyle w:val="Contents4"/>
            <w:tabs>
              <w:tab w:val="clear" w:pos="8176"/>
              <w:tab w:val="right" w:pos="9026" w:leader="dot"/>
            </w:tabs>
            <w:rPr/>
          </w:pPr>
          <w:hyperlink w:anchor="__RefHeading___Toc1259812_1468164448">
            <w:r>
              <w:rPr>
                <w:webHidden/>
                <w:rStyle w:val="IndexLink"/>
              </w:rPr>
              <w:t>4</w:t>
            </w:r>
            <w:r>
              <w:rPr>
                <w:rStyle w:val="IndexLink"/>
                <w:rtl w:val="true"/>
              </w:rPr>
              <w:t xml:space="preserve">- </w:t>
            </w:r>
            <w:r>
              <w:rPr>
                <w:rStyle w:val="IndexLink"/>
                <w:rtl w:val="true"/>
              </w:rPr>
              <w:t>اعتبار فتوای کودک</w:t>
            </w:r>
            <w:r>
              <w:rPr>
                <w:rStyle w:val="IndexLink"/>
                <w:rtl w:val="true"/>
              </w:rPr>
              <w:tab/>
            </w:r>
            <w:r>
              <w:rPr>
                <w:rStyle w:val="IndexLink"/>
              </w:rPr>
              <w:t>350</w:t>
            </w:r>
          </w:hyperlink>
        </w:p>
        <w:p>
          <w:pPr>
            <w:pStyle w:val="Contents4"/>
            <w:tabs>
              <w:tab w:val="clear" w:pos="8176"/>
              <w:tab w:val="right" w:pos="9026" w:leader="dot"/>
            </w:tabs>
            <w:rPr/>
          </w:pPr>
          <w:hyperlink w:anchor="__RefHeading___Toc1259814_1468164448">
            <w:r>
              <w:rPr>
                <w:webHidden/>
                <w:rStyle w:val="IndexLink"/>
              </w:rPr>
              <w:t>5</w:t>
            </w:r>
            <w:r>
              <w:rPr>
                <w:rStyle w:val="IndexLink"/>
                <w:rtl w:val="true"/>
              </w:rPr>
              <w:t xml:space="preserve">- </w:t>
            </w:r>
            <w:r>
              <w:rPr>
                <w:rStyle w:val="IndexLink"/>
                <w:rtl w:val="true"/>
              </w:rPr>
              <w:t>صحت تقلید کودک</w:t>
            </w:r>
            <w:r>
              <w:rPr>
                <w:rStyle w:val="IndexLink"/>
                <w:rtl w:val="true"/>
              </w:rPr>
              <w:tab/>
            </w:r>
            <w:r>
              <w:rPr>
                <w:rStyle w:val="IndexLink"/>
              </w:rPr>
              <w:t>354</w:t>
            </w:r>
          </w:hyperlink>
        </w:p>
        <w:p>
          <w:pPr>
            <w:pStyle w:val="Contents4"/>
            <w:tabs>
              <w:tab w:val="clear" w:pos="8176"/>
              <w:tab w:val="right" w:pos="9026" w:leader="dot"/>
            </w:tabs>
            <w:rPr/>
          </w:pPr>
          <w:hyperlink w:anchor="__RefHeading___Toc1259816_1468164448">
            <w:r>
              <w:rPr>
                <w:webHidden/>
                <w:rStyle w:val="IndexLink"/>
              </w:rPr>
              <w:t>6</w:t>
            </w:r>
            <w:r>
              <w:rPr>
                <w:rStyle w:val="IndexLink"/>
                <w:rtl w:val="true"/>
              </w:rPr>
              <w:t xml:space="preserve">- </w:t>
            </w:r>
            <w:r>
              <w:rPr>
                <w:rStyle w:val="IndexLink"/>
                <w:rtl w:val="true"/>
              </w:rPr>
              <w:t>عدم قبول روایت کودک</w:t>
            </w:r>
            <w:r>
              <w:rPr>
                <w:rStyle w:val="IndexLink"/>
                <w:rtl w:val="true"/>
              </w:rPr>
              <w:tab/>
            </w:r>
            <w:r>
              <w:rPr>
                <w:rStyle w:val="IndexLink"/>
              </w:rPr>
              <w:t>356</w:t>
            </w:r>
          </w:hyperlink>
        </w:p>
        <w:p>
          <w:pPr>
            <w:pStyle w:val="Contents4"/>
            <w:tabs>
              <w:tab w:val="clear" w:pos="8176"/>
              <w:tab w:val="right" w:pos="9026" w:leader="dot"/>
            </w:tabs>
            <w:rPr/>
          </w:pPr>
          <w:hyperlink w:anchor="__RefHeading___Toc1259818_1468164448">
            <w:r>
              <w:rPr>
                <w:webHidden/>
                <w:rStyle w:val="IndexLink"/>
              </w:rPr>
              <w:t>7</w:t>
            </w:r>
            <w:r>
              <w:rPr>
                <w:rStyle w:val="IndexLink"/>
                <w:rtl w:val="true"/>
              </w:rPr>
              <w:t xml:space="preserve">- </w:t>
            </w:r>
            <w:r>
              <w:rPr>
                <w:rStyle w:val="IndexLink"/>
                <w:rtl w:val="true"/>
              </w:rPr>
              <w:t>تحقیق در مسأله</w:t>
            </w:r>
            <w:r>
              <w:rPr>
                <w:rStyle w:val="IndexLink"/>
                <w:rtl w:val="true"/>
              </w:rPr>
              <w:tab/>
            </w:r>
            <w:r>
              <w:rPr>
                <w:rStyle w:val="IndexLink"/>
              </w:rPr>
              <w:t>357</w:t>
            </w:r>
          </w:hyperlink>
        </w:p>
        <w:p>
          <w:pPr>
            <w:pStyle w:val="Contents4"/>
            <w:tabs>
              <w:tab w:val="clear" w:pos="8176"/>
              <w:tab w:val="right" w:pos="9026" w:leader="dot"/>
            </w:tabs>
            <w:rPr/>
          </w:pPr>
          <w:hyperlink w:anchor="__RefHeading___Toc1259820_1468164448">
            <w:r>
              <w:rPr>
                <w:webHidden/>
                <w:rStyle w:val="IndexLink"/>
              </w:rPr>
              <w:t>8</w:t>
            </w:r>
            <w:r>
              <w:rPr>
                <w:rStyle w:val="IndexLink"/>
                <w:rtl w:val="true"/>
              </w:rPr>
              <w:t xml:space="preserve">- </w:t>
            </w:r>
            <w:r>
              <w:rPr>
                <w:rStyle w:val="IndexLink"/>
                <w:rtl w:val="true"/>
              </w:rPr>
              <w:t>معیار در شرایط راوی</w:t>
            </w:r>
            <w:r>
              <w:rPr>
                <w:rStyle w:val="IndexLink"/>
                <w:rtl w:val="true"/>
              </w:rPr>
              <w:tab/>
            </w:r>
            <w:r>
              <w:rPr>
                <w:rStyle w:val="IndexLink"/>
              </w:rPr>
              <w:t>358</w:t>
            </w:r>
          </w:hyperlink>
        </w:p>
        <w:p>
          <w:pPr>
            <w:pStyle w:val="Contents2"/>
            <w:tabs>
              <w:tab w:val="clear" w:pos="8743"/>
              <w:tab w:val="right" w:pos="9026" w:leader="dot"/>
            </w:tabs>
            <w:rPr/>
          </w:pPr>
          <w:hyperlink w:anchor="__RefHeading___Toc1259822_1468164448">
            <w:r>
              <w:rPr>
                <w:webHidden/>
                <w:rStyle w:val="IndexLink"/>
                <w:rtl w:val="true"/>
              </w:rPr>
              <w:t>فصل پانزدهم</w:t>
            </w:r>
            <w:r>
              <w:rPr>
                <w:rStyle w:val="IndexLink"/>
                <w:rtl w:val="true"/>
              </w:rPr>
              <w:t xml:space="preserve">: </w:t>
            </w:r>
            <w:r>
              <w:rPr>
                <w:rStyle w:val="IndexLink"/>
                <w:rtl w:val="true"/>
              </w:rPr>
              <w:t>جنایت علیه کودک</w:t>
            </w:r>
            <w:r>
              <w:rPr>
                <w:rStyle w:val="IndexLink"/>
                <w:rtl w:val="true"/>
              </w:rPr>
              <w:tab/>
            </w:r>
            <w:r>
              <w:rPr>
                <w:rStyle w:val="IndexLink"/>
              </w:rPr>
              <w:t>359</w:t>
            </w:r>
          </w:hyperlink>
        </w:p>
        <w:p>
          <w:pPr>
            <w:pStyle w:val="Contents3"/>
            <w:tabs>
              <w:tab w:val="clear" w:pos="8459"/>
              <w:tab w:val="right" w:pos="9026" w:leader="dot"/>
            </w:tabs>
            <w:rPr/>
          </w:pPr>
          <w:hyperlink w:anchor="__RefHeading___Toc1259824_1468164448">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1259826_1468164448">
            <w:r>
              <w:rPr>
                <w:webHidden/>
                <w:rStyle w:val="IndexLink"/>
                <w:rtl w:val="true"/>
              </w:rPr>
              <w:t>گفتار اول</w:t>
            </w:r>
            <w:r>
              <w:rPr>
                <w:rStyle w:val="IndexLink"/>
                <w:rtl w:val="true"/>
              </w:rPr>
              <w:t xml:space="preserve">: </w:t>
            </w:r>
            <w:r>
              <w:rPr>
                <w:rStyle w:val="IndexLink"/>
                <w:rtl w:val="true"/>
              </w:rPr>
              <w:t>جنایت علیه نفس و اعضای کودک</w:t>
            </w:r>
            <w:r>
              <w:rPr>
                <w:rStyle w:val="IndexLink"/>
                <w:rtl w:val="true"/>
              </w:rPr>
              <w:tab/>
            </w:r>
            <w:r>
              <w:rPr>
                <w:rStyle w:val="IndexLink"/>
              </w:rPr>
              <w:t>360</w:t>
            </w:r>
          </w:hyperlink>
        </w:p>
        <w:p>
          <w:pPr>
            <w:pStyle w:val="Contents4"/>
            <w:tabs>
              <w:tab w:val="clear" w:pos="8176"/>
              <w:tab w:val="right" w:pos="9026" w:leader="dot"/>
            </w:tabs>
            <w:rPr/>
          </w:pPr>
          <w:hyperlink w:anchor="__RefHeading___Toc1259828_1468164448">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1259830_1468164448">
            <w:r>
              <w:rPr>
                <w:webHidden/>
                <w:rStyle w:val="IndexLink"/>
              </w:rPr>
              <w:t>1</w:t>
            </w:r>
            <w:r>
              <w:rPr>
                <w:rStyle w:val="IndexLink"/>
                <w:rtl w:val="true"/>
              </w:rPr>
              <w:t xml:space="preserve">- </w:t>
            </w:r>
            <w:r>
              <w:rPr>
                <w:rStyle w:val="IndexLink"/>
                <w:rtl w:val="true"/>
              </w:rPr>
              <w:t>طرح موضوع و اهمیت آن</w:t>
            </w:r>
            <w:r>
              <w:rPr>
                <w:rStyle w:val="IndexLink"/>
                <w:rtl w:val="true"/>
              </w:rPr>
              <w:tab/>
            </w:r>
            <w:r>
              <w:rPr>
                <w:rStyle w:val="IndexLink"/>
              </w:rPr>
              <w:t>360</w:t>
            </w:r>
          </w:hyperlink>
        </w:p>
        <w:p>
          <w:pPr>
            <w:pStyle w:val="Contents4"/>
            <w:tabs>
              <w:tab w:val="clear" w:pos="8176"/>
              <w:tab w:val="right" w:pos="9026" w:leader="dot"/>
            </w:tabs>
            <w:rPr/>
          </w:pPr>
          <w:hyperlink w:anchor="__RefHeading___Toc1259832_1468164448">
            <w:r>
              <w:rPr>
                <w:webHidden/>
                <w:rStyle w:val="IndexLink"/>
              </w:rPr>
              <w:t>2</w:t>
            </w:r>
            <w:r>
              <w:rPr>
                <w:rStyle w:val="IndexLink"/>
                <w:rtl w:val="true"/>
              </w:rPr>
              <w:t xml:space="preserve">- </w:t>
            </w:r>
            <w:r>
              <w:rPr>
                <w:rStyle w:val="IndexLink"/>
                <w:rtl w:val="true"/>
              </w:rPr>
              <w:t>قتل کودک</w:t>
            </w:r>
            <w:r>
              <w:rPr>
                <w:rStyle w:val="IndexLink"/>
                <w:rtl w:val="true"/>
              </w:rPr>
              <w:tab/>
            </w:r>
            <w:r>
              <w:rPr>
                <w:rStyle w:val="IndexLink"/>
              </w:rPr>
              <w:t>363</w:t>
            </w:r>
          </w:hyperlink>
        </w:p>
        <w:p>
          <w:pPr>
            <w:pStyle w:val="Contents4"/>
            <w:tabs>
              <w:tab w:val="clear" w:pos="8176"/>
              <w:tab w:val="right" w:pos="9026" w:leader="dot"/>
            </w:tabs>
            <w:rPr/>
          </w:pPr>
          <w:hyperlink w:anchor="__RefHeading___Toc1259834_1468164448">
            <w:r>
              <w:rPr>
                <w:webHidden/>
                <w:rStyle w:val="IndexLink"/>
              </w:rPr>
              <w:t>3</w:t>
            </w:r>
            <w:r>
              <w:rPr>
                <w:rStyle w:val="IndexLink"/>
                <w:rtl w:val="true"/>
              </w:rPr>
              <w:t xml:space="preserve">- </w:t>
            </w:r>
            <w:r>
              <w:rPr>
                <w:rStyle w:val="IndexLink"/>
                <w:rtl w:val="true"/>
              </w:rPr>
              <w:t>عدم قصاص بالغ به جهت قتل کودک</w:t>
            </w:r>
            <w:r>
              <w:rPr>
                <w:rStyle w:val="IndexLink"/>
                <w:rtl w:val="true"/>
              </w:rPr>
              <w:tab/>
            </w:r>
            <w:r>
              <w:rPr>
                <w:rStyle w:val="IndexLink"/>
              </w:rPr>
              <w:t>366</w:t>
            </w:r>
          </w:hyperlink>
        </w:p>
        <w:p>
          <w:pPr>
            <w:pStyle w:val="Contents4"/>
            <w:tabs>
              <w:tab w:val="clear" w:pos="8176"/>
              <w:tab w:val="right" w:pos="9026" w:leader="dot"/>
            </w:tabs>
            <w:rPr/>
          </w:pPr>
          <w:hyperlink w:anchor="__RefHeading___Toc1259836_1468164448">
            <w:r>
              <w:rPr>
                <w:webHidden/>
                <w:rStyle w:val="IndexLink"/>
              </w:rPr>
              <w:t>4</w:t>
            </w:r>
            <w:r>
              <w:rPr>
                <w:rStyle w:val="IndexLink"/>
                <w:rtl w:val="true"/>
              </w:rPr>
              <w:t xml:space="preserve">- </w:t>
            </w:r>
            <w:r>
              <w:rPr>
                <w:rStyle w:val="IndexLink"/>
                <w:rtl w:val="true"/>
              </w:rPr>
              <w:t>قصاص قاتل کودک از دیدگاه قانون مجازات اسلامی</w:t>
            </w:r>
            <w:r>
              <w:rPr>
                <w:rStyle w:val="IndexLink"/>
                <w:rtl w:val="true"/>
              </w:rPr>
              <w:tab/>
            </w:r>
            <w:r>
              <w:rPr>
                <w:rStyle w:val="IndexLink"/>
              </w:rPr>
              <w:t>367</w:t>
            </w:r>
          </w:hyperlink>
        </w:p>
        <w:p>
          <w:pPr>
            <w:pStyle w:val="Contents4"/>
            <w:tabs>
              <w:tab w:val="clear" w:pos="8176"/>
              <w:tab w:val="right" w:pos="9026" w:leader="dot"/>
            </w:tabs>
            <w:rPr/>
          </w:pPr>
          <w:hyperlink w:anchor="__RefHeading___Toc1259838_1468164448">
            <w:r>
              <w:rPr>
                <w:webHidden/>
                <w:rStyle w:val="IndexLink"/>
              </w:rPr>
              <w:t>5</w:t>
            </w:r>
            <w:r>
              <w:rPr>
                <w:rStyle w:val="IndexLink"/>
                <w:rtl w:val="true"/>
              </w:rPr>
              <w:t xml:space="preserve">- </w:t>
            </w:r>
            <w:r>
              <w:rPr>
                <w:rStyle w:val="IndexLink"/>
                <w:rtl w:val="true"/>
              </w:rPr>
              <w:t>وجوب کفّاره در قتل کودک</w:t>
            </w:r>
            <w:r>
              <w:rPr>
                <w:rStyle w:val="IndexLink"/>
                <w:rtl w:val="true"/>
              </w:rPr>
              <w:tab/>
            </w:r>
            <w:r>
              <w:rPr>
                <w:rStyle w:val="IndexLink"/>
              </w:rPr>
              <w:t>368</w:t>
            </w:r>
          </w:hyperlink>
        </w:p>
        <w:p>
          <w:pPr>
            <w:pStyle w:val="Contents4"/>
            <w:tabs>
              <w:tab w:val="clear" w:pos="8176"/>
              <w:tab w:val="right" w:pos="9026" w:leader="dot"/>
            </w:tabs>
            <w:rPr/>
          </w:pPr>
          <w:hyperlink w:anchor="__RefHeading___Toc1259840_1468164448">
            <w:r>
              <w:rPr>
                <w:webHidden/>
                <w:rStyle w:val="IndexLink"/>
              </w:rPr>
              <w:t>6</w:t>
            </w:r>
            <w:r>
              <w:rPr>
                <w:rStyle w:val="IndexLink"/>
                <w:rtl w:val="true"/>
              </w:rPr>
              <w:t xml:space="preserve">- </w:t>
            </w:r>
            <w:r>
              <w:rPr>
                <w:rStyle w:val="IndexLink"/>
                <w:rtl w:val="true"/>
              </w:rPr>
              <w:t>جنایت بر اعضای کودک</w:t>
            </w:r>
            <w:r>
              <w:rPr>
                <w:rStyle w:val="IndexLink"/>
                <w:rtl w:val="true"/>
              </w:rPr>
              <w:tab/>
            </w:r>
            <w:r>
              <w:rPr>
                <w:rStyle w:val="IndexLink"/>
              </w:rPr>
              <w:t>369</w:t>
            </w:r>
          </w:hyperlink>
        </w:p>
        <w:p>
          <w:pPr>
            <w:pStyle w:val="Contents4"/>
            <w:tabs>
              <w:tab w:val="clear" w:pos="8176"/>
              <w:tab w:val="right" w:pos="9026" w:leader="dot"/>
            </w:tabs>
            <w:rPr/>
          </w:pPr>
          <w:hyperlink w:anchor="__RefHeading___Toc1259842_1468164448">
            <w:r>
              <w:rPr>
                <w:webHidden/>
                <w:rStyle w:val="IndexLink"/>
              </w:rPr>
              <w:t>7</w:t>
            </w:r>
            <w:r>
              <w:rPr>
                <w:rStyle w:val="IndexLink"/>
                <w:rtl w:val="true"/>
              </w:rPr>
              <w:t xml:space="preserve">- </w:t>
            </w:r>
            <w:r>
              <w:rPr>
                <w:rStyle w:val="IndexLink"/>
                <w:rtl w:val="true"/>
              </w:rPr>
              <w:t>جنایت بر دندان کودک</w:t>
            </w:r>
            <w:r>
              <w:rPr>
                <w:rStyle w:val="IndexLink"/>
                <w:rtl w:val="true"/>
              </w:rPr>
              <w:tab/>
            </w:r>
            <w:r>
              <w:rPr>
                <w:rStyle w:val="IndexLink"/>
              </w:rPr>
              <w:t>370</w:t>
            </w:r>
          </w:hyperlink>
        </w:p>
        <w:p>
          <w:pPr>
            <w:pStyle w:val="Contents4"/>
            <w:tabs>
              <w:tab w:val="clear" w:pos="8176"/>
              <w:tab w:val="right" w:pos="9026" w:leader="dot"/>
            </w:tabs>
            <w:rPr/>
          </w:pPr>
          <w:hyperlink w:anchor="__RefHeading___Toc1259844_1468164448">
            <w:r>
              <w:rPr>
                <w:webHidden/>
                <w:rStyle w:val="IndexLink"/>
              </w:rPr>
              <w:t>8</w:t>
            </w:r>
            <w:r>
              <w:rPr>
                <w:rStyle w:val="IndexLink"/>
                <w:rtl w:val="true"/>
              </w:rPr>
              <w:t xml:space="preserve">- </w:t>
            </w:r>
            <w:r>
              <w:rPr>
                <w:rStyle w:val="IndexLink"/>
                <w:rtl w:val="true"/>
              </w:rPr>
              <w:t>جنایت بر آلت تناسلی کودک</w:t>
            </w:r>
            <w:r>
              <w:rPr>
                <w:rStyle w:val="IndexLink"/>
                <w:rtl w:val="true"/>
              </w:rPr>
              <w:tab/>
            </w:r>
            <w:r>
              <w:rPr>
                <w:rStyle w:val="IndexLink"/>
              </w:rPr>
              <w:t>374</w:t>
            </w:r>
          </w:hyperlink>
        </w:p>
        <w:p>
          <w:pPr>
            <w:pStyle w:val="Contents3"/>
            <w:tabs>
              <w:tab w:val="clear" w:pos="8459"/>
              <w:tab w:val="right" w:pos="9026" w:leader="dot"/>
            </w:tabs>
            <w:rPr/>
          </w:pPr>
          <w:hyperlink w:anchor="__RefHeading___Toc1259846_1468164448">
            <w:r>
              <w:rPr>
                <w:webHidden/>
                <w:rStyle w:val="IndexLink"/>
                <w:rtl w:val="true"/>
              </w:rPr>
              <w:t>گفتار دوم</w:t>
            </w:r>
            <w:r>
              <w:rPr>
                <w:rStyle w:val="IndexLink"/>
                <w:rtl w:val="true"/>
              </w:rPr>
              <w:t xml:space="preserve">: </w:t>
            </w:r>
            <w:r>
              <w:rPr>
                <w:rStyle w:val="IndexLink"/>
                <w:rtl w:val="true"/>
              </w:rPr>
              <w:t>رعایت حق کودک در اخذ دیه و عفو از قصاص نسبت به وی</w:t>
            </w:r>
            <w:r>
              <w:rPr>
                <w:rStyle w:val="IndexLink"/>
                <w:rtl w:val="true"/>
              </w:rPr>
              <w:tab/>
            </w:r>
            <w:r>
              <w:rPr>
                <w:rStyle w:val="IndexLink"/>
              </w:rPr>
              <w:t>375</w:t>
            </w:r>
          </w:hyperlink>
        </w:p>
        <w:p>
          <w:pPr>
            <w:pStyle w:val="Contents4"/>
            <w:tabs>
              <w:tab w:val="clear" w:pos="8176"/>
              <w:tab w:val="right" w:pos="9026" w:leader="dot"/>
            </w:tabs>
            <w:rPr/>
          </w:pPr>
          <w:hyperlink w:anchor="__RefHeading___Toc1259848_1468164448">
            <w:r>
              <w:rPr>
                <w:webHidden/>
                <w:rStyle w:val="IndexLink"/>
              </w:rPr>
              <w:t>1</w:t>
            </w:r>
            <w:r>
              <w:rPr>
                <w:rStyle w:val="IndexLink"/>
                <w:rtl w:val="true"/>
              </w:rPr>
              <w:t xml:space="preserve">- </w:t>
            </w:r>
            <w:r>
              <w:rPr>
                <w:rStyle w:val="IndexLink"/>
                <w:rtl w:val="true"/>
              </w:rPr>
              <w:t>ولایت در قصاص و اخذ دیه</w:t>
            </w:r>
            <w:r>
              <w:rPr>
                <w:rStyle w:val="IndexLink"/>
                <w:rtl w:val="true"/>
              </w:rPr>
              <w:tab/>
            </w:r>
            <w:r>
              <w:rPr>
                <w:rStyle w:val="IndexLink"/>
              </w:rPr>
              <w:t>375</w:t>
            </w:r>
          </w:hyperlink>
        </w:p>
        <w:p>
          <w:pPr>
            <w:pStyle w:val="Contents4"/>
            <w:tabs>
              <w:tab w:val="clear" w:pos="8176"/>
              <w:tab w:val="right" w:pos="9026" w:leader="dot"/>
            </w:tabs>
            <w:rPr/>
          </w:pPr>
          <w:hyperlink w:anchor="__RefHeading___Toc1259850_1468164448">
            <w:r>
              <w:rPr>
                <w:webHidden/>
                <w:rStyle w:val="IndexLink"/>
              </w:rPr>
              <w:t>2</w:t>
            </w:r>
            <w:r>
              <w:rPr>
                <w:rStyle w:val="IndexLink"/>
                <w:rtl w:val="true"/>
              </w:rPr>
              <w:t xml:space="preserve">- </w:t>
            </w:r>
            <w:r>
              <w:rPr>
                <w:rStyle w:val="IndexLink"/>
                <w:rtl w:val="true"/>
              </w:rPr>
              <w:t>عفو ولی از قصاص</w:t>
            </w:r>
            <w:r>
              <w:rPr>
                <w:rStyle w:val="IndexLink"/>
                <w:rtl w:val="true"/>
              </w:rPr>
              <w:tab/>
            </w:r>
            <w:r>
              <w:rPr>
                <w:rStyle w:val="IndexLink"/>
              </w:rPr>
              <w:t>376</w:t>
            </w:r>
          </w:hyperlink>
        </w:p>
        <w:p>
          <w:pPr>
            <w:pStyle w:val="Contents4"/>
            <w:tabs>
              <w:tab w:val="clear" w:pos="8176"/>
              <w:tab w:val="right" w:pos="9026" w:leader="dot"/>
            </w:tabs>
            <w:rPr/>
          </w:pPr>
          <w:hyperlink w:anchor="__RefHeading___Toc1259852_1468164448">
            <w:r>
              <w:rPr>
                <w:webHidden/>
                <w:rStyle w:val="IndexLink"/>
              </w:rPr>
              <w:t>3</w:t>
            </w:r>
            <w:r>
              <w:rPr>
                <w:rStyle w:val="IndexLink"/>
                <w:rtl w:val="true"/>
              </w:rPr>
              <w:t xml:space="preserve">- </w:t>
            </w:r>
            <w:r>
              <w:rPr>
                <w:rStyle w:val="IndexLink"/>
                <w:rtl w:val="true"/>
              </w:rPr>
              <w:t>دیه کودک در حین آموزش مهارت‌ها و فنون مختلف</w:t>
            </w:r>
            <w:r>
              <w:rPr>
                <w:rStyle w:val="IndexLink"/>
                <w:rtl w:val="true"/>
              </w:rPr>
              <w:tab/>
            </w:r>
            <w:r>
              <w:rPr>
                <w:rStyle w:val="IndexLink"/>
              </w:rPr>
              <w:t>377</w:t>
            </w:r>
          </w:hyperlink>
        </w:p>
        <w:p>
          <w:pPr>
            <w:pStyle w:val="Contents4"/>
            <w:tabs>
              <w:tab w:val="clear" w:pos="8176"/>
              <w:tab w:val="right" w:pos="9026" w:leader="dot"/>
            </w:tabs>
            <w:rPr/>
          </w:pPr>
          <w:hyperlink w:anchor="__RefHeading___Toc1259854_1468164448">
            <w:r>
              <w:rPr>
                <w:webHidden/>
                <w:rStyle w:val="IndexLink"/>
              </w:rPr>
              <w:t>4</w:t>
            </w:r>
            <w:r>
              <w:rPr>
                <w:rStyle w:val="IndexLink"/>
                <w:rtl w:val="true"/>
              </w:rPr>
              <w:t xml:space="preserve">- </w:t>
            </w:r>
            <w:r>
              <w:rPr>
                <w:rStyle w:val="IndexLink"/>
                <w:rtl w:val="true"/>
              </w:rPr>
              <w:t>رعایت حق کودک با داشتن حق قصاص</w:t>
            </w:r>
            <w:r>
              <w:rPr>
                <w:rStyle w:val="IndexLink"/>
                <w:rtl w:val="true"/>
              </w:rPr>
              <w:tab/>
            </w:r>
            <w:r>
              <w:rPr>
                <w:rStyle w:val="IndexLink"/>
              </w:rPr>
              <w:t>378</w:t>
            </w:r>
          </w:hyperlink>
        </w:p>
        <w:p>
          <w:pPr>
            <w:pStyle w:val="Contents4"/>
            <w:tabs>
              <w:tab w:val="clear" w:pos="8176"/>
              <w:tab w:val="right" w:pos="9026" w:leader="dot"/>
            </w:tabs>
            <w:rPr/>
          </w:pPr>
          <w:hyperlink w:anchor="__RefHeading___Toc1259856_1468164448">
            <w:r>
              <w:rPr>
                <w:webHidden/>
                <w:rStyle w:val="IndexLink"/>
              </w:rPr>
              <w:t>5</w:t>
            </w:r>
            <w:r>
              <w:rPr>
                <w:rStyle w:val="IndexLink"/>
                <w:rtl w:val="true"/>
              </w:rPr>
              <w:t xml:space="preserve">- </w:t>
            </w:r>
            <w:r>
              <w:rPr>
                <w:rStyle w:val="IndexLink"/>
                <w:rtl w:val="true"/>
              </w:rPr>
              <w:t>اشتراک کودک با بالغ در حق قصاص</w:t>
            </w:r>
            <w:r>
              <w:rPr>
                <w:rStyle w:val="IndexLink"/>
                <w:rtl w:val="true"/>
              </w:rPr>
              <w:tab/>
            </w:r>
            <w:r>
              <w:rPr>
                <w:rStyle w:val="IndexLink"/>
              </w:rPr>
              <w:t>382</w:t>
            </w:r>
          </w:hyperlink>
        </w:p>
        <w:p>
          <w:pPr>
            <w:pStyle w:val="Contents4"/>
            <w:tabs>
              <w:tab w:val="clear" w:pos="8176"/>
              <w:tab w:val="right" w:pos="9026" w:leader="dot"/>
            </w:tabs>
            <w:rPr/>
          </w:pPr>
          <w:hyperlink w:anchor="__RefHeading___Toc1259858_1468164448">
            <w:r>
              <w:rPr>
                <w:webHidden/>
                <w:rStyle w:val="IndexLink"/>
              </w:rPr>
              <w:t>6</w:t>
            </w:r>
            <w:r>
              <w:rPr>
                <w:rStyle w:val="IndexLink"/>
                <w:rtl w:val="true"/>
              </w:rPr>
              <w:t xml:space="preserve">- </w:t>
            </w:r>
            <w:r>
              <w:rPr>
                <w:rStyle w:val="IndexLink"/>
                <w:rtl w:val="true"/>
              </w:rPr>
              <w:t>عدم جواز قصاص</w:t>
            </w:r>
            <w:r>
              <w:rPr>
                <w:rStyle w:val="IndexLink"/>
                <w:rtl w:val="true"/>
              </w:rPr>
              <w:tab/>
            </w:r>
            <w:r>
              <w:rPr>
                <w:rStyle w:val="IndexLink"/>
              </w:rPr>
              <w:t>385</w:t>
            </w:r>
          </w:hyperlink>
        </w:p>
        <w:p>
          <w:pPr>
            <w:pStyle w:val="Contents4"/>
            <w:tabs>
              <w:tab w:val="clear" w:pos="8176"/>
              <w:tab w:val="right" w:pos="9026" w:leader="dot"/>
            </w:tabs>
            <w:rPr/>
          </w:pPr>
          <w:hyperlink w:anchor="__RefHeading___Toc1259860_1468164448">
            <w:r>
              <w:rPr>
                <w:webHidden/>
                <w:rStyle w:val="IndexLink"/>
              </w:rPr>
              <w:t>7</w:t>
            </w:r>
            <w:r>
              <w:rPr>
                <w:rStyle w:val="IndexLink"/>
                <w:rtl w:val="true"/>
              </w:rPr>
              <w:t xml:space="preserve">- </w:t>
            </w:r>
            <w:r>
              <w:rPr>
                <w:rStyle w:val="IndexLink"/>
                <w:rtl w:val="true"/>
              </w:rPr>
              <w:t>حبس قاتل</w:t>
            </w:r>
            <w:r>
              <w:rPr>
                <w:rStyle w:val="IndexLink"/>
                <w:rtl w:val="true"/>
              </w:rPr>
              <w:tab/>
            </w:r>
            <w:r>
              <w:rPr>
                <w:rStyle w:val="IndexLink"/>
              </w:rPr>
              <w:t>386</w:t>
            </w:r>
          </w:hyperlink>
        </w:p>
        <w:p>
          <w:pPr>
            <w:pStyle w:val="Contents4"/>
            <w:tabs>
              <w:tab w:val="clear" w:pos="8176"/>
              <w:tab w:val="right" w:pos="9026" w:leader="dot"/>
            </w:tabs>
            <w:rPr/>
          </w:pPr>
          <w:hyperlink w:anchor="__RefHeading___Toc1259862_1468164448">
            <w:r>
              <w:rPr>
                <w:webHidden/>
                <w:rStyle w:val="IndexLink"/>
              </w:rPr>
              <w:t>8</w:t>
            </w:r>
            <w:r>
              <w:rPr>
                <w:rStyle w:val="IndexLink"/>
                <w:rtl w:val="true"/>
              </w:rPr>
              <w:t xml:space="preserve">- </w:t>
            </w:r>
            <w:r>
              <w:rPr>
                <w:rStyle w:val="IndexLink"/>
                <w:rtl w:val="true"/>
              </w:rPr>
              <w:t>استیفای قصاص توسط کودک</w:t>
            </w:r>
            <w:r>
              <w:rPr>
                <w:rStyle w:val="IndexLink"/>
                <w:rtl w:val="true"/>
              </w:rPr>
              <w:tab/>
            </w:r>
            <w:r>
              <w:rPr>
                <w:rStyle w:val="IndexLink"/>
              </w:rPr>
              <w:t>387</w:t>
            </w:r>
          </w:hyperlink>
        </w:p>
        <w:p>
          <w:pPr>
            <w:pStyle w:val="Contents3"/>
            <w:tabs>
              <w:tab w:val="clear" w:pos="8459"/>
              <w:tab w:val="right" w:pos="9026" w:leader="dot"/>
            </w:tabs>
            <w:rPr/>
          </w:pPr>
          <w:hyperlink w:anchor="__RefHeading___Toc1259864_1468164448">
            <w:r>
              <w:rPr>
                <w:webHidden/>
                <w:rStyle w:val="IndexLink"/>
                <w:rtl w:val="true"/>
              </w:rPr>
              <w:t>گفتار سوم</w:t>
            </w:r>
            <w:r>
              <w:rPr>
                <w:rStyle w:val="IndexLink"/>
                <w:rtl w:val="true"/>
              </w:rPr>
              <w:t xml:space="preserve">: </w:t>
            </w:r>
            <w:r>
              <w:rPr>
                <w:rStyle w:val="IndexLink"/>
                <w:rtl w:val="true"/>
              </w:rPr>
              <w:t>اعمال منافی عفت با کودک</w:t>
            </w:r>
            <w:r>
              <w:rPr>
                <w:rStyle w:val="IndexLink"/>
                <w:rtl w:val="true"/>
              </w:rPr>
              <w:tab/>
            </w:r>
            <w:r>
              <w:rPr>
                <w:rStyle w:val="IndexLink"/>
              </w:rPr>
              <w:t>389</w:t>
            </w:r>
          </w:hyperlink>
        </w:p>
        <w:p>
          <w:pPr>
            <w:pStyle w:val="Contents4"/>
            <w:tabs>
              <w:tab w:val="clear" w:pos="8176"/>
              <w:tab w:val="right" w:pos="9026" w:leader="dot"/>
            </w:tabs>
            <w:rPr/>
          </w:pPr>
          <w:hyperlink w:anchor="__RefHeading___Toc1259866_1468164448">
            <w:r>
              <w:rPr>
                <w:webHidden/>
                <w:rStyle w:val="IndexLink"/>
              </w:rPr>
              <w:t>1</w:t>
            </w:r>
            <w:r>
              <w:rPr>
                <w:rStyle w:val="IndexLink"/>
                <w:rtl w:val="true"/>
              </w:rPr>
              <w:t xml:space="preserve">- </w:t>
            </w:r>
            <w:r>
              <w:rPr>
                <w:rStyle w:val="IndexLink"/>
                <w:rtl w:val="true"/>
              </w:rPr>
              <w:t>زنای بالغ با کودک</w:t>
            </w:r>
            <w:r>
              <w:rPr>
                <w:rStyle w:val="IndexLink"/>
                <w:rtl w:val="true"/>
              </w:rPr>
              <w:tab/>
            </w:r>
            <w:r>
              <w:rPr>
                <w:rStyle w:val="IndexLink"/>
              </w:rPr>
              <w:t>389</w:t>
            </w:r>
          </w:hyperlink>
        </w:p>
        <w:p>
          <w:pPr>
            <w:pStyle w:val="Contents4"/>
            <w:tabs>
              <w:tab w:val="clear" w:pos="8176"/>
              <w:tab w:val="right" w:pos="9026" w:leader="dot"/>
            </w:tabs>
            <w:rPr/>
          </w:pPr>
          <w:hyperlink w:anchor="__RefHeading___Toc1259868_1468164448">
            <w:r>
              <w:rPr>
                <w:webHidden/>
                <w:rStyle w:val="IndexLink"/>
              </w:rPr>
              <w:t>2</w:t>
            </w:r>
            <w:r>
              <w:rPr>
                <w:rStyle w:val="IndexLink"/>
                <w:rtl w:val="true"/>
              </w:rPr>
              <w:t xml:space="preserve">- </w:t>
            </w:r>
            <w:r>
              <w:rPr>
                <w:rStyle w:val="IndexLink"/>
                <w:rtl w:val="true"/>
              </w:rPr>
              <w:t>لواط با کودک</w:t>
            </w:r>
            <w:r>
              <w:rPr>
                <w:rStyle w:val="IndexLink"/>
                <w:rtl w:val="true"/>
              </w:rPr>
              <w:tab/>
            </w:r>
            <w:r>
              <w:rPr>
                <w:rStyle w:val="IndexLink"/>
              </w:rPr>
              <w:t>392</w:t>
            </w:r>
          </w:hyperlink>
        </w:p>
        <w:p>
          <w:pPr>
            <w:pStyle w:val="Contents4"/>
            <w:tabs>
              <w:tab w:val="clear" w:pos="8176"/>
              <w:tab w:val="right" w:pos="9026" w:leader="dot"/>
            </w:tabs>
            <w:rPr/>
          </w:pPr>
          <w:hyperlink w:anchor="__RefHeading___Toc1259870_1468164448">
            <w:r>
              <w:rPr>
                <w:webHidden/>
                <w:rStyle w:val="IndexLink"/>
              </w:rPr>
              <w:t>3</w:t>
            </w:r>
            <w:r>
              <w:rPr>
                <w:rStyle w:val="IndexLink"/>
                <w:rtl w:val="true"/>
              </w:rPr>
              <w:t xml:space="preserve">- </w:t>
            </w:r>
            <w:r>
              <w:rPr>
                <w:rStyle w:val="IndexLink"/>
                <w:rtl w:val="true"/>
              </w:rPr>
              <w:t>تعزیر بوسیدن کودک با انگیزه شهوانی</w:t>
            </w:r>
            <w:r>
              <w:rPr>
                <w:rStyle w:val="IndexLink"/>
                <w:rtl w:val="true"/>
              </w:rPr>
              <w:tab/>
            </w:r>
            <w:r>
              <w:rPr>
                <w:rStyle w:val="IndexLink"/>
              </w:rPr>
              <w:t>394</w:t>
            </w:r>
          </w:hyperlink>
        </w:p>
        <w:p>
          <w:pPr>
            <w:pStyle w:val="Contents4"/>
            <w:tabs>
              <w:tab w:val="clear" w:pos="8176"/>
              <w:tab w:val="right" w:pos="9026" w:leader="dot"/>
            </w:tabs>
            <w:rPr/>
          </w:pPr>
          <w:hyperlink w:anchor="__RefHeading___Toc1259872_1468164448">
            <w:r>
              <w:rPr>
                <w:webHidden/>
                <w:rStyle w:val="IndexLink"/>
              </w:rPr>
              <w:t>4</w:t>
            </w:r>
            <w:r>
              <w:rPr>
                <w:rStyle w:val="IndexLink"/>
                <w:rtl w:val="true"/>
              </w:rPr>
              <w:t xml:space="preserve">- </w:t>
            </w:r>
            <w:r>
              <w:rPr>
                <w:rStyle w:val="IndexLink"/>
                <w:rtl w:val="true"/>
              </w:rPr>
              <w:t>احکام فقهی مترتّب بر لواط با کودک</w:t>
            </w:r>
            <w:r>
              <w:rPr>
                <w:rStyle w:val="IndexLink"/>
                <w:rtl w:val="true"/>
              </w:rPr>
              <w:tab/>
            </w:r>
            <w:r>
              <w:rPr>
                <w:rStyle w:val="IndexLink"/>
              </w:rPr>
              <w:t>395</w:t>
            </w:r>
          </w:hyperlink>
        </w:p>
        <w:p>
          <w:pPr>
            <w:pStyle w:val="Contents4"/>
            <w:tabs>
              <w:tab w:val="clear" w:pos="8176"/>
              <w:tab w:val="right" w:pos="9026" w:leader="dot"/>
            </w:tabs>
            <w:rPr/>
          </w:pPr>
          <w:hyperlink w:anchor="__RefHeading___Toc1259874_1468164448">
            <w:r>
              <w:rPr>
                <w:webHidden/>
                <w:rStyle w:val="IndexLink"/>
              </w:rPr>
              <w:t>5</w:t>
            </w:r>
            <w:r>
              <w:rPr>
                <w:rStyle w:val="IndexLink"/>
                <w:rtl w:val="true"/>
              </w:rPr>
              <w:t xml:space="preserve">- </w:t>
            </w:r>
            <w:r>
              <w:rPr>
                <w:rStyle w:val="IndexLink"/>
                <w:rtl w:val="true"/>
              </w:rPr>
              <w:t>دلیل این حکم</w:t>
            </w:r>
            <w:r>
              <w:rPr>
                <w:rStyle w:val="IndexLink"/>
                <w:rtl w:val="true"/>
              </w:rPr>
              <w:tab/>
            </w:r>
            <w:r>
              <w:rPr>
                <w:rStyle w:val="IndexLink"/>
              </w:rPr>
              <w:t>396</w:t>
            </w:r>
          </w:hyperlink>
        </w:p>
        <w:p>
          <w:pPr>
            <w:pStyle w:val="Contents4"/>
            <w:tabs>
              <w:tab w:val="clear" w:pos="8176"/>
              <w:tab w:val="right" w:pos="9026" w:leader="dot"/>
            </w:tabs>
            <w:rPr/>
          </w:pPr>
          <w:hyperlink w:anchor="__RefHeading___Toc1259876_1468164448">
            <w:r>
              <w:rPr>
                <w:webHidden/>
                <w:rStyle w:val="IndexLink"/>
              </w:rPr>
              <w:t>6</w:t>
            </w:r>
            <w:r>
              <w:rPr>
                <w:rStyle w:val="IndexLink"/>
                <w:rtl w:val="true"/>
              </w:rPr>
              <w:t xml:space="preserve">- </w:t>
            </w:r>
            <w:r>
              <w:rPr>
                <w:rStyle w:val="IndexLink"/>
                <w:rtl w:val="true"/>
              </w:rPr>
              <w:t>تذکّر چند مطلب در ارتباط با این حکم</w:t>
            </w:r>
            <w:r>
              <w:rPr>
                <w:rStyle w:val="IndexLink"/>
                <w:rtl w:val="true"/>
              </w:rPr>
              <w:tab/>
            </w:r>
            <w:r>
              <w:rPr>
                <w:rStyle w:val="IndexLink"/>
              </w:rPr>
              <w:t>396</w:t>
            </w:r>
          </w:hyperlink>
        </w:p>
        <w:p>
          <w:pPr>
            <w:pStyle w:val="Contents4"/>
            <w:tabs>
              <w:tab w:val="clear" w:pos="8176"/>
              <w:tab w:val="right" w:pos="9026" w:leader="dot"/>
            </w:tabs>
            <w:rPr/>
          </w:pPr>
          <w:hyperlink w:anchor="__RefHeading___Toc1259878_1468164448">
            <w:r>
              <w:rPr>
                <w:webHidden/>
                <w:rStyle w:val="IndexLink"/>
              </w:rPr>
              <w:t>7</w:t>
            </w:r>
            <w:r>
              <w:rPr>
                <w:rStyle w:val="IndexLink"/>
                <w:rtl w:val="true"/>
              </w:rPr>
              <w:t xml:space="preserve">- </w:t>
            </w:r>
            <w:r>
              <w:rPr>
                <w:rStyle w:val="IndexLink"/>
                <w:rtl w:val="true"/>
              </w:rPr>
              <w:t>تصریح قانون مدنی به مسأله مورد بحث</w:t>
            </w:r>
            <w:r>
              <w:rPr>
                <w:rStyle w:val="IndexLink"/>
                <w:rtl w:val="true"/>
              </w:rPr>
              <w:tab/>
            </w:r>
            <w:r>
              <w:rPr>
                <w:rStyle w:val="IndexLink"/>
              </w:rPr>
              <w:t>398</w:t>
            </w:r>
          </w:hyperlink>
        </w:p>
        <w:p>
          <w:pPr>
            <w:pStyle w:val="Contents4"/>
            <w:tabs>
              <w:tab w:val="clear" w:pos="8176"/>
              <w:tab w:val="right" w:pos="9026" w:leader="dot"/>
            </w:tabs>
            <w:rPr/>
          </w:pPr>
          <w:hyperlink w:anchor="__RefHeading___Toc1259880_1468164448">
            <w:r>
              <w:rPr>
                <w:webHidden/>
                <w:rStyle w:val="IndexLink"/>
              </w:rPr>
              <w:t>8</w:t>
            </w:r>
            <w:r>
              <w:rPr>
                <w:rStyle w:val="IndexLink"/>
                <w:rtl w:val="true"/>
              </w:rPr>
              <w:t xml:space="preserve">- </w:t>
            </w:r>
            <w:r>
              <w:rPr>
                <w:rStyle w:val="IndexLink"/>
                <w:rtl w:val="true"/>
              </w:rPr>
              <w:t>قذف کودک</w:t>
            </w:r>
            <w:r>
              <w:rPr>
                <w:rStyle w:val="IndexLink"/>
                <w:rtl w:val="true"/>
              </w:rPr>
              <w:tab/>
            </w:r>
            <w:r>
              <w:rPr>
                <w:rStyle w:val="IndexLink"/>
              </w:rPr>
              <w:t>398</w:t>
            </w:r>
          </w:hyperlink>
        </w:p>
        <w:p>
          <w:pPr>
            <w:pStyle w:val="Contents4"/>
            <w:tabs>
              <w:tab w:val="clear" w:pos="8176"/>
              <w:tab w:val="right" w:pos="9026" w:leader="dot"/>
            </w:tabs>
            <w:rPr/>
          </w:pPr>
          <w:hyperlink w:anchor="__RefHeading___Toc1259882_1468164448">
            <w:r>
              <w:rPr>
                <w:webHidden/>
                <w:rStyle w:val="IndexLink"/>
              </w:rPr>
              <w:t>9</w:t>
            </w:r>
            <w:r>
              <w:rPr>
                <w:rStyle w:val="IndexLink"/>
                <w:rtl w:val="true"/>
              </w:rPr>
              <w:t xml:space="preserve">- </w:t>
            </w:r>
            <w:r>
              <w:rPr>
                <w:rStyle w:val="IndexLink"/>
                <w:rtl w:val="true"/>
              </w:rPr>
              <w:t>قذف کودک در قانون مجازات اسلامی</w:t>
            </w:r>
            <w:r>
              <w:rPr>
                <w:rStyle w:val="IndexLink"/>
                <w:rtl w:val="true"/>
              </w:rPr>
              <w:tab/>
            </w:r>
            <w:r>
              <w:rPr>
                <w:rStyle w:val="IndexLink"/>
              </w:rPr>
              <w:t>401</w:t>
            </w:r>
          </w:hyperlink>
        </w:p>
        <w:p>
          <w:pPr>
            <w:pStyle w:val="Contents3"/>
            <w:tabs>
              <w:tab w:val="clear" w:pos="8459"/>
              <w:tab w:val="right" w:pos="9026" w:leader="dot"/>
            </w:tabs>
            <w:rPr/>
          </w:pPr>
          <w:hyperlink w:anchor="__RefHeading___Toc1259884_1468164448">
            <w:r>
              <w:rPr>
                <w:webHidden/>
                <w:rStyle w:val="IndexLink"/>
                <w:rtl w:val="true"/>
              </w:rPr>
              <w:t>گفتار چهارم</w:t>
            </w:r>
            <w:r>
              <w:rPr>
                <w:rStyle w:val="IndexLink"/>
                <w:rtl w:val="true"/>
              </w:rPr>
              <w:t xml:space="preserve">: </w:t>
            </w:r>
            <w:r>
              <w:rPr>
                <w:rStyle w:val="IndexLink"/>
                <w:rtl w:val="true"/>
              </w:rPr>
              <w:t>جنایات مختلف علیه کودک</w:t>
            </w:r>
            <w:r>
              <w:rPr>
                <w:rStyle w:val="IndexLink"/>
                <w:rtl w:val="true"/>
              </w:rPr>
              <w:tab/>
            </w:r>
            <w:r>
              <w:rPr>
                <w:rStyle w:val="IndexLink"/>
              </w:rPr>
              <w:t>402</w:t>
            </w:r>
          </w:hyperlink>
        </w:p>
        <w:p>
          <w:pPr>
            <w:pStyle w:val="Contents4"/>
            <w:tabs>
              <w:tab w:val="clear" w:pos="8176"/>
              <w:tab w:val="right" w:pos="9026" w:leader="dot"/>
            </w:tabs>
            <w:rPr/>
          </w:pPr>
          <w:hyperlink w:anchor="__RefHeading___Toc1259886_1468164448">
            <w:r>
              <w:rPr>
                <w:webHidden/>
                <w:rStyle w:val="IndexLink"/>
              </w:rPr>
              <w:t>1</w:t>
            </w:r>
            <w:r>
              <w:rPr>
                <w:rStyle w:val="IndexLink"/>
                <w:rtl w:val="true"/>
              </w:rPr>
              <w:t xml:space="preserve">- </w:t>
            </w:r>
            <w:r>
              <w:rPr>
                <w:rStyle w:val="IndexLink"/>
                <w:rtl w:val="true"/>
              </w:rPr>
              <w:t>کودک ربایی</w:t>
            </w:r>
            <w:r>
              <w:rPr>
                <w:rStyle w:val="IndexLink"/>
                <w:rtl w:val="true"/>
              </w:rPr>
              <w:tab/>
            </w:r>
            <w:r>
              <w:rPr>
                <w:rStyle w:val="IndexLink"/>
              </w:rPr>
              <w:t>402</w:t>
            </w:r>
          </w:hyperlink>
        </w:p>
        <w:p>
          <w:pPr>
            <w:pStyle w:val="Contents4"/>
            <w:tabs>
              <w:tab w:val="clear" w:pos="8176"/>
              <w:tab w:val="right" w:pos="9026" w:leader="dot"/>
            </w:tabs>
            <w:rPr/>
          </w:pPr>
          <w:hyperlink w:anchor="__RefHeading___Toc1259888_1468164448">
            <w:r>
              <w:rPr>
                <w:webHidden/>
                <w:rStyle w:val="IndexLink"/>
              </w:rPr>
              <w:t>2</w:t>
            </w:r>
            <w:r>
              <w:rPr>
                <w:rStyle w:val="IndexLink"/>
                <w:rtl w:val="true"/>
              </w:rPr>
              <w:t xml:space="preserve">- </w:t>
            </w:r>
            <w:r>
              <w:rPr>
                <w:rStyle w:val="IndexLink"/>
                <w:rtl w:val="true"/>
              </w:rPr>
              <w:t>رها کردن کودکان</w:t>
            </w:r>
            <w:r>
              <w:rPr>
                <w:rStyle w:val="IndexLink"/>
                <w:rtl w:val="true"/>
              </w:rPr>
              <w:tab/>
            </w:r>
            <w:r>
              <w:rPr>
                <w:rStyle w:val="IndexLink"/>
              </w:rPr>
              <w:t>409</w:t>
            </w:r>
          </w:hyperlink>
        </w:p>
        <w:p>
          <w:pPr>
            <w:pStyle w:val="Contents4"/>
            <w:tabs>
              <w:tab w:val="clear" w:pos="8176"/>
              <w:tab w:val="right" w:pos="9026" w:leader="dot"/>
            </w:tabs>
            <w:rPr/>
          </w:pPr>
          <w:hyperlink w:anchor="__RefHeading___Toc1259890_1468164448">
            <w:r>
              <w:rPr>
                <w:webHidden/>
                <w:rStyle w:val="IndexLink"/>
              </w:rPr>
              <w:t>3</w:t>
            </w:r>
            <w:r>
              <w:rPr>
                <w:rStyle w:val="IndexLink"/>
                <w:rtl w:val="true"/>
              </w:rPr>
              <w:t xml:space="preserve">- </w:t>
            </w:r>
            <w:r>
              <w:rPr>
                <w:rStyle w:val="IndexLink"/>
                <w:rtl w:val="true"/>
              </w:rPr>
              <w:t>سوء استفاده از کودکان در تکدّی گری</w:t>
            </w:r>
            <w:r>
              <w:rPr>
                <w:rStyle w:val="IndexLink"/>
                <w:rtl w:val="true"/>
              </w:rPr>
              <w:tab/>
            </w:r>
            <w:r>
              <w:rPr>
                <w:rStyle w:val="IndexLink"/>
              </w:rPr>
              <w:t>409</w:t>
            </w:r>
          </w:hyperlink>
        </w:p>
        <w:p>
          <w:pPr>
            <w:pStyle w:val="Contents4"/>
            <w:tabs>
              <w:tab w:val="clear" w:pos="8176"/>
              <w:tab w:val="right" w:pos="9026" w:leader="dot"/>
            </w:tabs>
            <w:rPr/>
          </w:pPr>
          <w:hyperlink w:anchor="__RefHeading___Toc1259892_1468164448">
            <w:r>
              <w:rPr>
                <w:webHidden/>
                <w:rStyle w:val="IndexLink"/>
              </w:rPr>
              <w:t>4</w:t>
            </w:r>
            <w:r>
              <w:rPr>
                <w:rStyle w:val="IndexLink"/>
                <w:rtl w:val="true"/>
              </w:rPr>
              <w:t xml:space="preserve">- </w:t>
            </w:r>
            <w:r>
              <w:rPr>
                <w:rStyle w:val="IndexLink"/>
                <w:rtl w:val="true"/>
              </w:rPr>
              <w:t>عوال بزه دیده واقع شدن اطفال در زمینه تکدّی</w:t>
            </w:r>
            <w:r>
              <w:rPr>
                <w:rStyle w:val="IndexLink"/>
                <w:rtl w:val="true"/>
              </w:rPr>
              <w:tab/>
            </w:r>
            <w:r>
              <w:rPr>
                <w:rStyle w:val="IndexLink"/>
              </w:rPr>
              <w:t>411</w:t>
            </w:r>
          </w:hyperlink>
        </w:p>
        <w:p>
          <w:pPr>
            <w:pStyle w:val="Contents4"/>
            <w:tabs>
              <w:tab w:val="clear" w:pos="8176"/>
              <w:tab w:val="right" w:pos="9026" w:leader="dot"/>
            </w:tabs>
            <w:rPr/>
          </w:pPr>
          <w:hyperlink w:anchor="__RefHeading___Toc1259894_1468164448">
            <w:r>
              <w:rPr>
                <w:webHidden/>
                <w:rStyle w:val="IndexLink"/>
              </w:rPr>
              <w:t>5</w:t>
            </w:r>
            <w:r>
              <w:rPr>
                <w:rStyle w:val="IndexLink"/>
                <w:rtl w:val="true"/>
              </w:rPr>
              <w:t xml:space="preserve">- </w:t>
            </w:r>
            <w:r>
              <w:rPr>
                <w:rStyle w:val="IndexLink"/>
                <w:rtl w:val="true"/>
              </w:rPr>
              <w:t>بزه دیدگی کودکان در جرایم مواد مخدّر</w:t>
            </w:r>
            <w:r>
              <w:rPr>
                <w:rStyle w:val="IndexLink"/>
                <w:rtl w:val="true"/>
              </w:rPr>
              <w:tab/>
            </w:r>
            <w:r>
              <w:rPr>
                <w:rStyle w:val="IndexLink"/>
              </w:rPr>
              <w:t>412</w:t>
            </w:r>
          </w:hyperlink>
        </w:p>
        <w:p>
          <w:pPr>
            <w:pStyle w:val="Contents4"/>
            <w:tabs>
              <w:tab w:val="clear" w:pos="8176"/>
              <w:tab w:val="right" w:pos="9026" w:leader="dot"/>
            </w:tabs>
            <w:rPr/>
          </w:pPr>
          <w:hyperlink w:anchor="__RefHeading___Toc1259896_1468164448">
            <w:r>
              <w:rPr>
                <w:webHidden/>
                <w:rStyle w:val="IndexLink"/>
              </w:rPr>
              <w:t>6</w:t>
            </w:r>
            <w:r>
              <w:rPr>
                <w:rStyle w:val="IndexLink"/>
                <w:rtl w:val="true"/>
              </w:rPr>
              <w:t xml:space="preserve">- </w:t>
            </w:r>
            <w:r>
              <w:rPr>
                <w:rStyle w:val="IndexLink"/>
                <w:rtl w:val="true"/>
              </w:rPr>
              <w:t xml:space="preserve">گمراه نمودن </w:t>
            </w:r>
            <w:r>
              <w:rPr>
                <w:rStyle w:val="IndexLink"/>
                <w:rtl w:val="true"/>
              </w:rPr>
              <w:t>(</w:t>
            </w:r>
            <w:r>
              <w:rPr>
                <w:rStyle w:val="IndexLink"/>
                <w:rtl w:val="true"/>
              </w:rPr>
              <w:t>اضلال</w:t>
            </w:r>
            <w:r>
              <w:rPr>
                <w:rStyle w:val="IndexLink"/>
                <w:rtl w:val="true"/>
              </w:rPr>
              <w:t xml:space="preserve">) </w:t>
            </w:r>
            <w:r>
              <w:rPr>
                <w:rStyle w:val="IndexLink"/>
                <w:rtl w:val="true"/>
              </w:rPr>
              <w:t>کودکان</w:t>
            </w:r>
            <w:r>
              <w:rPr>
                <w:rStyle w:val="IndexLink"/>
                <w:rtl w:val="true"/>
              </w:rPr>
              <w:tab/>
            </w:r>
            <w:r>
              <w:rPr>
                <w:rStyle w:val="IndexLink"/>
              </w:rPr>
              <w:t>415</w:t>
            </w:r>
          </w:hyperlink>
        </w:p>
        <w:p>
          <w:pPr>
            <w:pStyle w:val="Contents4"/>
            <w:tabs>
              <w:tab w:val="clear" w:pos="8176"/>
              <w:tab w:val="right" w:pos="9026" w:leader="dot"/>
            </w:tabs>
            <w:rPr/>
          </w:pPr>
          <w:hyperlink w:anchor="__RefHeading___Toc1259898_1468164448">
            <w:r>
              <w:rPr>
                <w:webHidden/>
                <w:rStyle w:val="IndexLink"/>
              </w:rPr>
              <w:t>7</w:t>
            </w:r>
            <w:r>
              <w:rPr>
                <w:rStyle w:val="IndexLink"/>
                <w:rtl w:val="true"/>
              </w:rPr>
              <w:t xml:space="preserve">- </w:t>
            </w:r>
            <w:r>
              <w:rPr>
                <w:rStyle w:val="IndexLink"/>
                <w:rtl w:val="true"/>
              </w:rPr>
              <w:t>مجازات مرتکبین جنایات علیه کودک در فقه</w:t>
            </w:r>
            <w:r>
              <w:rPr>
                <w:rStyle w:val="IndexLink"/>
                <w:rtl w:val="true"/>
              </w:rPr>
              <w:tab/>
            </w:r>
            <w:r>
              <w:rPr>
                <w:rStyle w:val="IndexLink"/>
              </w:rPr>
              <w:t>417</w:t>
            </w:r>
          </w:hyperlink>
        </w:p>
        <w:p>
          <w:pPr>
            <w:pStyle w:val="Contents4"/>
            <w:tabs>
              <w:tab w:val="clear" w:pos="8176"/>
              <w:tab w:val="right" w:pos="9026" w:leader="dot"/>
            </w:tabs>
            <w:rPr/>
          </w:pPr>
          <w:hyperlink w:anchor="__RefHeading___Toc1259900_1468164448">
            <w:r>
              <w:rPr>
                <w:webHidden/>
                <w:rStyle w:val="IndexLink"/>
              </w:rPr>
              <w:t>8</w:t>
            </w:r>
            <w:r>
              <w:rPr>
                <w:rStyle w:val="IndexLink"/>
                <w:rtl w:val="true"/>
              </w:rPr>
              <w:t xml:space="preserve">- </w:t>
            </w:r>
            <w:r>
              <w:rPr>
                <w:rStyle w:val="IndexLink"/>
                <w:rtl w:val="true"/>
              </w:rPr>
              <w:t>مجازات جنایات علیه کودک در قوانین داخلی</w:t>
            </w:r>
            <w:r>
              <w:rPr>
                <w:rStyle w:val="IndexLink"/>
                <w:rtl w:val="true"/>
              </w:rPr>
              <w:tab/>
            </w:r>
            <w:r>
              <w:rPr>
                <w:rStyle w:val="IndexLink"/>
              </w:rPr>
              <w:t>420</w:t>
            </w:r>
          </w:hyperlink>
        </w:p>
        <w:p>
          <w:pPr>
            <w:pStyle w:val="Contents4"/>
            <w:tabs>
              <w:tab w:val="clear" w:pos="8176"/>
              <w:tab w:val="right" w:pos="9026" w:leader="dot"/>
            </w:tabs>
            <w:rPr/>
          </w:pPr>
          <w:hyperlink w:anchor="__RefHeading___Toc1259902_1468164448">
            <w:r>
              <w:rPr>
                <w:webHidden/>
                <w:rStyle w:val="IndexLink"/>
              </w:rPr>
              <w:t>9</w:t>
            </w:r>
            <w:r>
              <w:rPr>
                <w:rStyle w:val="IndexLink"/>
                <w:rtl w:val="true"/>
              </w:rPr>
              <w:t xml:space="preserve">- </w:t>
            </w:r>
            <w:r>
              <w:rPr>
                <w:rStyle w:val="IndexLink"/>
                <w:rtl w:val="true"/>
              </w:rPr>
              <w:t>حمایت بین‌المللی از کودکان در برابر جرایم مواد مخدّر</w:t>
            </w:r>
            <w:r>
              <w:rPr>
                <w:rStyle w:val="IndexLink"/>
                <w:rtl w:val="true"/>
              </w:rPr>
              <w:tab/>
            </w:r>
            <w:r>
              <w:rPr>
                <w:rStyle w:val="IndexLink"/>
              </w:rPr>
              <w:t>422</w:t>
            </w:r>
          </w:hyperlink>
        </w:p>
        <w:p>
          <w:pPr>
            <w:pStyle w:val="Contents2"/>
            <w:tabs>
              <w:tab w:val="clear" w:pos="8743"/>
              <w:tab w:val="right" w:pos="9026" w:leader="dot"/>
            </w:tabs>
            <w:rPr/>
          </w:pPr>
          <w:hyperlink w:anchor="__RefHeading___Toc1259904_1468164448">
            <w:r>
              <w:rPr>
                <w:webHidden/>
                <w:rStyle w:val="IndexLink"/>
                <w:rtl w:val="true"/>
              </w:rPr>
              <w:t>فصل شانزدهم</w:t>
            </w:r>
            <w:r>
              <w:rPr>
                <w:rStyle w:val="IndexLink"/>
                <w:rtl w:val="true"/>
              </w:rPr>
              <w:t xml:space="preserve">: </w:t>
            </w:r>
            <w:r>
              <w:rPr>
                <w:rStyle w:val="IndexLink"/>
                <w:rtl w:val="true"/>
              </w:rPr>
              <w:t>بزهکاری کودکان و تأدیب آنها</w:t>
            </w:r>
            <w:r>
              <w:rPr>
                <w:rStyle w:val="IndexLink"/>
                <w:rtl w:val="true"/>
              </w:rPr>
              <w:tab/>
            </w:r>
            <w:r>
              <w:rPr>
                <w:rStyle w:val="IndexLink"/>
              </w:rPr>
              <w:t>424</w:t>
            </w:r>
          </w:hyperlink>
        </w:p>
        <w:p>
          <w:pPr>
            <w:pStyle w:val="Contents3"/>
            <w:tabs>
              <w:tab w:val="clear" w:pos="8459"/>
              <w:tab w:val="right" w:pos="9026" w:leader="dot"/>
            </w:tabs>
            <w:rPr/>
          </w:pPr>
          <w:hyperlink w:anchor="__RefHeading___Toc1259906_1468164448">
            <w:r>
              <w:rPr>
                <w:webHidden/>
                <w:rStyle w:val="IndexLink"/>
                <w:rtl w:val="true"/>
              </w:rPr>
              <w:t>اشاره</w:t>
            </w:r>
            <w:r>
              <w:rPr>
                <w:rStyle w:val="IndexLink"/>
                <w:rtl w:val="true"/>
              </w:rPr>
              <w:tab/>
            </w:r>
            <w:r>
              <w:rPr>
                <w:rStyle w:val="IndexLink"/>
              </w:rPr>
              <w:t>424</w:t>
            </w:r>
          </w:hyperlink>
        </w:p>
        <w:p>
          <w:pPr>
            <w:pStyle w:val="Contents3"/>
            <w:tabs>
              <w:tab w:val="clear" w:pos="8459"/>
              <w:tab w:val="right" w:pos="9026" w:leader="dot"/>
            </w:tabs>
            <w:rPr/>
          </w:pPr>
          <w:hyperlink w:anchor="__RefHeading___Toc1259908_1468164448">
            <w:r>
              <w:rPr>
                <w:webHidden/>
                <w:rStyle w:val="IndexLink"/>
                <w:rtl w:val="true"/>
              </w:rPr>
              <w:t>گفتار اوّل</w:t>
            </w:r>
            <w:r>
              <w:rPr>
                <w:rStyle w:val="IndexLink"/>
                <w:rtl w:val="true"/>
              </w:rPr>
              <w:t xml:space="preserve">: </w:t>
            </w:r>
            <w:r>
              <w:rPr>
                <w:rStyle w:val="IndexLink"/>
                <w:rtl w:val="true"/>
              </w:rPr>
              <w:t>بزهکاری و مسئولیت کودک</w:t>
            </w:r>
            <w:r>
              <w:rPr>
                <w:rStyle w:val="IndexLink"/>
                <w:rtl w:val="true"/>
              </w:rPr>
              <w:tab/>
            </w:r>
            <w:r>
              <w:rPr>
                <w:rStyle w:val="IndexLink"/>
              </w:rPr>
              <w:t>425</w:t>
            </w:r>
          </w:hyperlink>
        </w:p>
        <w:p>
          <w:pPr>
            <w:pStyle w:val="Contents4"/>
            <w:tabs>
              <w:tab w:val="clear" w:pos="8176"/>
              <w:tab w:val="right" w:pos="9026" w:leader="dot"/>
            </w:tabs>
            <w:rPr/>
          </w:pPr>
          <w:hyperlink w:anchor="__RefHeading___Toc1259910_1468164448">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1259912_1468164448">
            <w:r>
              <w:rPr>
                <w:webHidden/>
                <w:rStyle w:val="IndexLink"/>
              </w:rPr>
              <w:t>1</w:t>
            </w:r>
            <w:r>
              <w:rPr>
                <w:rStyle w:val="IndexLink"/>
                <w:rtl w:val="true"/>
              </w:rPr>
              <w:t xml:space="preserve">- </w:t>
            </w:r>
            <w:r>
              <w:rPr>
                <w:rStyle w:val="IndexLink"/>
                <w:rtl w:val="true"/>
              </w:rPr>
              <w:t>مفهوم بزهکاری اطفال</w:t>
            </w:r>
            <w:r>
              <w:rPr>
                <w:rStyle w:val="IndexLink"/>
                <w:rtl w:val="true"/>
              </w:rPr>
              <w:tab/>
            </w:r>
            <w:r>
              <w:rPr>
                <w:rStyle w:val="IndexLink"/>
              </w:rPr>
              <w:t>425</w:t>
            </w:r>
          </w:hyperlink>
        </w:p>
        <w:p>
          <w:pPr>
            <w:pStyle w:val="Contents4"/>
            <w:tabs>
              <w:tab w:val="clear" w:pos="8176"/>
              <w:tab w:val="right" w:pos="9026" w:leader="dot"/>
            </w:tabs>
            <w:rPr/>
          </w:pPr>
          <w:hyperlink w:anchor="__RefHeading___Toc1259914_1468164448">
            <w:r>
              <w:rPr>
                <w:webHidden/>
                <w:rStyle w:val="IndexLink"/>
              </w:rPr>
              <w:t>2</w:t>
            </w:r>
            <w:r>
              <w:rPr>
                <w:rStyle w:val="IndexLink"/>
                <w:rtl w:val="true"/>
              </w:rPr>
              <w:t xml:space="preserve">- </w:t>
            </w:r>
            <w:r>
              <w:rPr>
                <w:rStyle w:val="IndexLink"/>
                <w:rtl w:val="true"/>
              </w:rPr>
              <w:t>گسترش بزهکاری در بین کودکان</w:t>
            </w:r>
            <w:r>
              <w:rPr>
                <w:rStyle w:val="IndexLink"/>
                <w:rtl w:val="true"/>
              </w:rPr>
              <w:tab/>
            </w:r>
            <w:r>
              <w:rPr>
                <w:rStyle w:val="IndexLink"/>
              </w:rPr>
              <w:t>426</w:t>
            </w:r>
          </w:hyperlink>
        </w:p>
        <w:p>
          <w:pPr>
            <w:pStyle w:val="Contents4"/>
            <w:tabs>
              <w:tab w:val="clear" w:pos="8176"/>
              <w:tab w:val="right" w:pos="9026" w:leader="dot"/>
            </w:tabs>
            <w:rPr/>
          </w:pPr>
          <w:hyperlink w:anchor="__RefHeading___Toc1259916_1468164448">
            <w:r>
              <w:rPr>
                <w:webHidden/>
                <w:rStyle w:val="IndexLink"/>
              </w:rPr>
              <w:t>3</w:t>
            </w:r>
            <w:r>
              <w:rPr>
                <w:rStyle w:val="IndexLink"/>
                <w:rtl w:val="true"/>
              </w:rPr>
              <w:t xml:space="preserve">- </w:t>
            </w:r>
            <w:r>
              <w:rPr>
                <w:rStyle w:val="IndexLink"/>
                <w:rtl w:val="true"/>
              </w:rPr>
              <w:t>علل افزایش بزهکاری در بین کودکان و نوجوانان</w:t>
            </w:r>
            <w:r>
              <w:rPr>
                <w:rStyle w:val="IndexLink"/>
                <w:rtl w:val="true"/>
              </w:rPr>
              <w:tab/>
            </w:r>
            <w:r>
              <w:rPr>
                <w:rStyle w:val="IndexLink"/>
              </w:rPr>
              <w:t>427</w:t>
            </w:r>
          </w:hyperlink>
        </w:p>
        <w:p>
          <w:pPr>
            <w:pStyle w:val="Contents4"/>
            <w:tabs>
              <w:tab w:val="clear" w:pos="8176"/>
              <w:tab w:val="right" w:pos="9026" w:leader="dot"/>
            </w:tabs>
            <w:rPr/>
          </w:pPr>
          <w:hyperlink w:anchor="__RefHeading___Toc1259918_1468164448">
            <w:r>
              <w:rPr>
                <w:webHidden/>
                <w:rStyle w:val="IndexLink"/>
              </w:rPr>
              <w:t>4</w:t>
            </w:r>
            <w:r>
              <w:rPr>
                <w:rStyle w:val="IndexLink"/>
                <w:rtl w:val="true"/>
              </w:rPr>
              <w:t xml:space="preserve">- </w:t>
            </w:r>
            <w:r>
              <w:rPr>
                <w:rStyle w:val="IndexLink"/>
                <w:rtl w:val="true"/>
              </w:rPr>
              <w:t>میزان تأثیر هر یک از علل ذکر شده</w:t>
            </w:r>
            <w:r>
              <w:rPr>
                <w:rStyle w:val="IndexLink"/>
                <w:rtl w:val="true"/>
              </w:rPr>
              <w:tab/>
            </w:r>
            <w:r>
              <w:rPr>
                <w:rStyle w:val="IndexLink"/>
              </w:rPr>
              <w:t>428</w:t>
            </w:r>
          </w:hyperlink>
        </w:p>
        <w:p>
          <w:pPr>
            <w:pStyle w:val="Contents4"/>
            <w:tabs>
              <w:tab w:val="clear" w:pos="8176"/>
              <w:tab w:val="right" w:pos="9026" w:leader="dot"/>
            </w:tabs>
            <w:rPr/>
          </w:pPr>
          <w:hyperlink w:anchor="__RefHeading___Toc1259920_1468164448">
            <w:r>
              <w:rPr>
                <w:webHidden/>
                <w:rStyle w:val="IndexLink"/>
              </w:rPr>
              <w:t>5</w:t>
            </w:r>
            <w:r>
              <w:rPr>
                <w:rStyle w:val="IndexLink"/>
                <w:rtl w:val="true"/>
              </w:rPr>
              <w:t xml:space="preserve">- </w:t>
            </w:r>
            <w:r>
              <w:rPr>
                <w:rStyle w:val="IndexLink"/>
                <w:rtl w:val="true"/>
              </w:rPr>
              <w:t>مسئولیت کودک و ارتکاب بزه</w:t>
            </w:r>
            <w:r>
              <w:rPr>
                <w:rStyle w:val="IndexLink"/>
                <w:rtl w:val="true"/>
              </w:rPr>
              <w:tab/>
            </w:r>
            <w:r>
              <w:rPr>
                <w:rStyle w:val="IndexLink"/>
              </w:rPr>
              <w:t>429</w:t>
            </w:r>
          </w:hyperlink>
        </w:p>
        <w:p>
          <w:pPr>
            <w:pStyle w:val="Contents4"/>
            <w:tabs>
              <w:tab w:val="clear" w:pos="8176"/>
              <w:tab w:val="right" w:pos="9026" w:leader="dot"/>
            </w:tabs>
            <w:rPr/>
          </w:pPr>
          <w:hyperlink w:anchor="__RefHeading___Toc1259922_1468164448">
            <w:r>
              <w:rPr>
                <w:webHidden/>
                <w:rStyle w:val="IndexLink"/>
              </w:rPr>
              <w:t>6</w:t>
            </w:r>
            <w:r>
              <w:rPr>
                <w:rStyle w:val="IndexLink"/>
                <w:rtl w:val="true"/>
              </w:rPr>
              <w:t xml:space="preserve">- </w:t>
            </w:r>
            <w:r>
              <w:rPr>
                <w:rStyle w:val="IndexLink"/>
                <w:rtl w:val="true"/>
              </w:rPr>
              <w:t>عدم جواز اجرای حدود بر کودک</w:t>
            </w:r>
            <w:r>
              <w:rPr>
                <w:rStyle w:val="IndexLink"/>
                <w:rtl w:val="true"/>
              </w:rPr>
              <w:tab/>
            </w:r>
            <w:r>
              <w:rPr>
                <w:rStyle w:val="IndexLink"/>
              </w:rPr>
              <w:t>431</w:t>
            </w:r>
          </w:hyperlink>
        </w:p>
        <w:p>
          <w:pPr>
            <w:pStyle w:val="Contents4"/>
            <w:tabs>
              <w:tab w:val="clear" w:pos="8176"/>
              <w:tab w:val="right" w:pos="9026" w:leader="dot"/>
            </w:tabs>
            <w:rPr/>
          </w:pPr>
          <w:hyperlink w:anchor="__RefHeading___Toc1259924_1468164448">
            <w:r>
              <w:rPr>
                <w:webHidden/>
                <w:rStyle w:val="IndexLink"/>
              </w:rPr>
              <w:t>7</w:t>
            </w:r>
            <w:r>
              <w:rPr>
                <w:rStyle w:val="IndexLink"/>
                <w:rtl w:val="true"/>
              </w:rPr>
              <w:t xml:space="preserve">- </w:t>
            </w:r>
            <w:r>
              <w:rPr>
                <w:rStyle w:val="IndexLink"/>
                <w:rtl w:val="true"/>
              </w:rPr>
              <w:t>عدم جواز اجرای تعزیر بر کودک</w:t>
            </w:r>
            <w:r>
              <w:rPr>
                <w:rStyle w:val="IndexLink"/>
                <w:rtl w:val="true"/>
              </w:rPr>
              <w:tab/>
            </w:r>
            <w:r>
              <w:rPr>
                <w:rStyle w:val="IndexLink"/>
              </w:rPr>
              <w:t>433</w:t>
            </w:r>
          </w:hyperlink>
        </w:p>
        <w:p>
          <w:pPr>
            <w:pStyle w:val="Contents4"/>
            <w:tabs>
              <w:tab w:val="clear" w:pos="8176"/>
              <w:tab w:val="right" w:pos="9026" w:leader="dot"/>
            </w:tabs>
            <w:rPr/>
          </w:pPr>
          <w:hyperlink w:anchor="__RefHeading___Toc1259926_1468164448">
            <w:r>
              <w:rPr>
                <w:webHidden/>
                <w:rStyle w:val="IndexLink"/>
              </w:rPr>
              <w:t>8</w:t>
            </w:r>
            <w:r>
              <w:rPr>
                <w:rStyle w:val="IndexLink"/>
                <w:rtl w:val="true"/>
              </w:rPr>
              <w:t xml:space="preserve">- </w:t>
            </w:r>
            <w:r>
              <w:rPr>
                <w:rStyle w:val="IndexLink"/>
                <w:rtl w:val="true"/>
              </w:rPr>
              <w:t>مسئولیت کیفری کودک در قانون مجازات اسلامی</w:t>
            </w:r>
            <w:r>
              <w:rPr>
                <w:rStyle w:val="IndexLink"/>
                <w:rtl w:val="true"/>
              </w:rPr>
              <w:tab/>
            </w:r>
            <w:r>
              <w:rPr>
                <w:rStyle w:val="IndexLink"/>
              </w:rPr>
              <w:t>434</w:t>
            </w:r>
          </w:hyperlink>
        </w:p>
        <w:p>
          <w:pPr>
            <w:pStyle w:val="Contents3"/>
            <w:tabs>
              <w:tab w:val="clear" w:pos="8459"/>
              <w:tab w:val="right" w:pos="9026" w:leader="dot"/>
            </w:tabs>
            <w:rPr/>
          </w:pPr>
          <w:hyperlink w:anchor="__RefHeading___Toc1259928_1468164448">
            <w:r>
              <w:rPr>
                <w:webHidden/>
                <w:rStyle w:val="IndexLink"/>
                <w:rtl w:val="true"/>
              </w:rPr>
              <w:t>گفتار دوّم</w:t>
            </w:r>
            <w:r>
              <w:rPr>
                <w:rStyle w:val="IndexLink"/>
                <w:rtl w:val="true"/>
              </w:rPr>
              <w:t xml:space="preserve">: </w:t>
            </w:r>
            <w:r>
              <w:rPr>
                <w:rStyle w:val="IndexLink"/>
                <w:rtl w:val="true"/>
              </w:rPr>
              <w:t>تأدیب و تنبیه کودک</w:t>
            </w:r>
            <w:r>
              <w:rPr>
                <w:rStyle w:val="IndexLink"/>
                <w:rtl w:val="true"/>
              </w:rPr>
              <w:tab/>
            </w:r>
            <w:r>
              <w:rPr>
                <w:rStyle w:val="IndexLink"/>
              </w:rPr>
              <w:t>435</w:t>
            </w:r>
          </w:hyperlink>
        </w:p>
        <w:p>
          <w:pPr>
            <w:pStyle w:val="Contents4"/>
            <w:tabs>
              <w:tab w:val="clear" w:pos="8176"/>
              <w:tab w:val="right" w:pos="9026" w:leader="dot"/>
            </w:tabs>
            <w:rPr/>
          </w:pPr>
          <w:hyperlink w:anchor="__RefHeading___Toc1259930_1468164448">
            <w:r>
              <w:rPr>
                <w:webHidden/>
                <w:rStyle w:val="IndexLink"/>
              </w:rPr>
              <w:t>1</w:t>
            </w:r>
            <w:r>
              <w:rPr>
                <w:rStyle w:val="IndexLink"/>
                <w:rtl w:val="true"/>
              </w:rPr>
              <w:t xml:space="preserve">- </w:t>
            </w:r>
            <w:r>
              <w:rPr>
                <w:rStyle w:val="IndexLink"/>
                <w:rtl w:val="true"/>
              </w:rPr>
              <w:t>مفهوم تأدیب و تنبیه در لغت و اصطلاح</w:t>
            </w:r>
            <w:r>
              <w:rPr>
                <w:rStyle w:val="IndexLink"/>
                <w:rtl w:val="true"/>
              </w:rPr>
              <w:tab/>
            </w:r>
            <w:r>
              <w:rPr>
                <w:rStyle w:val="IndexLink"/>
              </w:rPr>
              <w:t>435</w:t>
            </w:r>
          </w:hyperlink>
        </w:p>
        <w:p>
          <w:pPr>
            <w:pStyle w:val="Contents4"/>
            <w:tabs>
              <w:tab w:val="clear" w:pos="8176"/>
              <w:tab w:val="right" w:pos="9026" w:leader="dot"/>
            </w:tabs>
            <w:rPr/>
          </w:pPr>
          <w:hyperlink w:anchor="__RefHeading___Toc1259932_1468164448">
            <w:r>
              <w:rPr>
                <w:webHidden/>
                <w:rStyle w:val="IndexLink"/>
              </w:rPr>
              <w:t>2</w:t>
            </w:r>
            <w:r>
              <w:rPr>
                <w:rStyle w:val="IndexLink"/>
                <w:rtl w:val="true"/>
              </w:rPr>
              <w:t xml:space="preserve">- </w:t>
            </w:r>
            <w:r>
              <w:rPr>
                <w:rStyle w:val="IndexLink"/>
                <w:rtl w:val="true"/>
              </w:rPr>
              <w:t>جواز تأدیب کودک</w:t>
            </w:r>
            <w:r>
              <w:rPr>
                <w:rStyle w:val="IndexLink"/>
                <w:rtl w:val="true"/>
              </w:rPr>
              <w:tab/>
            </w:r>
            <w:r>
              <w:rPr>
                <w:rStyle w:val="IndexLink"/>
              </w:rPr>
              <w:t>436</w:t>
            </w:r>
          </w:hyperlink>
        </w:p>
        <w:p>
          <w:pPr>
            <w:pStyle w:val="Contents4"/>
            <w:tabs>
              <w:tab w:val="clear" w:pos="8176"/>
              <w:tab w:val="right" w:pos="9026" w:leader="dot"/>
            </w:tabs>
            <w:rPr/>
          </w:pPr>
          <w:hyperlink w:anchor="__RefHeading___Toc1259934_1468164448">
            <w:r>
              <w:rPr>
                <w:webHidden/>
                <w:rStyle w:val="IndexLink"/>
              </w:rPr>
              <w:t>3</w:t>
            </w:r>
            <w:r>
              <w:rPr>
                <w:rStyle w:val="IndexLink"/>
                <w:rtl w:val="true"/>
              </w:rPr>
              <w:t xml:space="preserve">- </w:t>
            </w:r>
            <w:r>
              <w:rPr>
                <w:rStyle w:val="IndexLink"/>
                <w:rtl w:val="true"/>
              </w:rPr>
              <w:t>نمونه‌هایی از تأدیب کودکان در روایات</w:t>
            </w:r>
            <w:r>
              <w:rPr>
                <w:rStyle w:val="IndexLink"/>
                <w:rtl w:val="true"/>
              </w:rPr>
              <w:tab/>
            </w:r>
            <w:r>
              <w:rPr>
                <w:rStyle w:val="IndexLink"/>
              </w:rPr>
              <w:t>438</w:t>
            </w:r>
          </w:hyperlink>
        </w:p>
        <w:p>
          <w:pPr>
            <w:pStyle w:val="Contents4"/>
            <w:tabs>
              <w:tab w:val="clear" w:pos="8176"/>
              <w:tab w:val="right" w:pos="9026" w:leader="dot"/>
            </w:tabs>
            <w:rPr/>
          </w:pPr>
          <w:hyperlink w:anchor="__RefHeading___Toc1259936_1468164448">
            <w:r>
              <w:rPr>
                <w:webHidden/>
                <w:rStyle w:val="IndexLink"/>
              </w:rPr>
              <w:t>4</w:t>
            </w:r>
            <w:r>
              <w:rPr>
                <w:rStyle w:val="IndexLink"/>
                <w:rtl w:val="true"/>
              </w:rPr>
              <w:t xml:space="preserve">- </w:t>
            </w:r>
            <w:r>
              <w:rPr>
                <w:rStyle w:val="IndexLink"/>
                <w:rtl w:val="true"/>
              </w:rPr>
              <w:t>حمایت از کودکان بزه‌کار در اسناد بین‌المللی</w:t>
            </w:r>
            <w:r>
              <w:rPr>
                <w:rStyle w:val="IndexLink"/>
                <w:rtl w:val="true"/>
              </w:rPr>
              <w:tab/>
            </w:r>
            <w:r>
              <w:rPr>
                <w:rStyle w:val="IndexLink"/>
              </w:rPr>
              <w:t>445</w:t>
            </w:r>
          </w:hyperlink>
        </w:p>
        <w:p>
          <w:pPr>
            <w:pStyle w:val="Contents3"/>
            <w:tabs>
              <w:tab w:val="clear" w:pos="8459"/>
              <w:tab w:val="right" w:pos="9026" w:leader="dot"/>
            </w:tabs>
            <w:rPr/>
          </w:pPr>
          <w:hyperlink w:anchor="__RefHeading___Toc1259938_1468164448">
            <w:r>
              <w:rPr>
                <w:webHidden/>
                <w:rStyle w:val="IndexLink"/>
                <w:rtl w:val="true"/>
              </w:rPr>
              <w:t>گفتار سوّم</w:t>
            </w:r>
            <w:r>
              <w:rPr>
                <w:rStyle w:val="IndexLink"/>
                <w:rtl w:val="true"/>
              </w:rPr>
              <w:t xml:space="preserve">: </w:t>
            </w:r>
            <w:r>
              <w:rPr>
                <w:rStyle w:val="IndexLink"/>
                <w:rtl w:val="true"/>
              </w:rPr>
              <w:t>ولایت بر تأدیب</w:t>
            </w:r>
            <w:r>
              <w:rPr>
                <w:rStyle w:val="IndexLink"/>
                <w:rtl w:val="true"/>
              </w:rPr>
              <w:tab/>
            </w:r>
            <w:r>
              <w:rPr>
                <w:rStyle w:val="IndexLink"/>
              </w:rPr>
              <w:t>447</w:t>
            </w:r>
          </w:hyperlink>
        </w:p>
        <w:p>
          <w:pPr>
            <w:pStyle w:val="Contents4"/>
            <w:tabs>
              <w:tab w:val="clear" w:pos="8176"/>
              <w:tab w:val="right" w:pos="9026" w:leader="dot"/>
            </w:tabs>
            <w:rPr/>
          </w:pPr>
          <w:hyperlink w:anchor="__RefHeading___Toc1259940_1468164448">
            <w:r>
              <w:rPr>
                <w:webHidden/>
                <w:rStyle w:val="IndexLink"/>
              </w:rPr>
              <w:t>1</w:t>
            </w:r>
            <w:r>
              <w:rPr>
                <w:rStyle w:val="IndexLink"/>
                <w:rtl w:val="true"/>
              </w:rPr>
              <w:t xml:space="preserve">- </w:t>
            </w:r>
            <w:r>
              <w:rPr>
                <w:rStyle w:val="IndexLink"/>
                <w:rtl w:val="true"/>
              </w:rPr>
              <w:t>ولایت امام و حاکم شرع</w:t>
            </w:r>
            <w:r>
              <w:rPr>
                <w:rStyle w:val="IndexLink"/>
                <w:rtl w:val="true"/>
              </w:rPr>
              <w:tab/>
            </w:r>
            <w:r>
              <w:rPr>
                <w:rStyle w:val="IndexLink"/>
              </w:rPr>
              <w:t>447</w:t>
            </w:r>
          </w:hyperlink>
        </w:p>
        <w:p>
          <w:pPr>
            <w:pStyle w:val="Contents4"/>
            <w:tabs>
              <w:tab w:val="clear" w:pos="8176"/>
              <w:tab w:val="right" w:pos="9026" w:leader="dot"/>
            </w:tabs>
            <w:rPr/>
          </w:pPr>
          <w:hyperlink w:anchor="__RefHeading___Toc1259942_1468164448">
            <w:r>
              <w:rPr>
                <w:webHidden/>
                <w:rStyle w:val="IndexLink"/>
              </w:rPr>
              <w:t>2</w:t>
            </w:r>
            <w:r>
              <w:rPr>
                <w:rStyle w:val="IndexLink"/>
                <w:rtl w:val="true"/>
              </w:rPr>
              <w:t xml:space="preserve">- </w:t>
            </w:r>
            <w:r>
              <w:rPr>
                <w:rStyle w:val="IndexLink"/>
                <w:rtl w:val="true"/>
              </w:rPr>
              <w:t>ولایت پدر و جدّ پدری بر تأدیب کودک و ادلّه آن</w:t>
            </w:r>
            <w:r>
              <w:rPr>
                <w:rStyle w:val="IndexLink"/>
                <w:rtl w:val="true"/>
              </w:rPr>
              <w:tab/>
            </w:r>
            <w:r>
              <w:rPr>
                <w:rStyle w:val="IndexLink"/>
              </w:rPr>
              <w:t>451</w:t>
            </w:r>
          </w:hyperlink>
        </w:p>
        <w:p>
          <w:pPr>
            <w:pStyle w:val="Contents4"/>
            <w:tabs>
              <w:tab w:val="clear" w:pos="8176"/>
              <w:tab w:val="right" w:pos="9026" w:leader="dot"/>
            </w:tabs>
            <w:rPr/>
          </w:pPr>
          <w:hyperlink w:anchor="__RefHeading___Toc1259944_1468164448">
            <w:r>
              <w:rPr>
                <w:webHidden/>
                <w:rStyle w:val="IndexLink"/>
              </w:rPr>
              <w:t>3</w:t>
            </w:r>
            <w:r>
              <w:rPr>
                <w:rStyle w:val="IndexLink"/>
                <w:rtl w:val="true"/>
              </w:rPr>
              <w:t xml:space="preserve">- </w:t>
            </w:r>
            <w:r>
              <w:rPr>
                <w:rStyle w:val="IndexLink"/>
                <w:rtl w:val="true"/>
              </w:rPr>
              <w:t>ولایت وصی بر تأدیب کودک</w:t>
            </w:r>
            <w:r>
              <w:rPr>
                <w:rStyle w:val="IndexLink"/>
                <w:rtl w:val="true"/>
              </w:rPr>
              <w:tab/>
            </w:r>
            <w:r>
              <w:rPr>
                <w:rStyle w:val="IndexLink"/>
              </w:rPr>
              <w:t>455</w:t>
            </w:r>
          </w:hyperlink>
        </w:p>
        <w:p>
          <w:pPr>
            <w:pStyle w:val="Contents4"/>
            <w:tabs>
              <w:tab w:val="clear" w:pos="8176"/>
              <w:tab w:val="right" w:pos="9026" w:leader="dot"/>
            </w:tabs>
            <w:rPr/>
          </w:pPr>
          <w:hyperlink w:anchor="__RefHeading___Toc1259946_1468164448">
            <w:r>
              <w:rPr>
                <w:webHidden/>
                <w:rStyle w:val="IndexLink"/>
              </w:rPr>
              <w:t>4</w:t>
            </w:r>
            <w:r>
              <w:rPr>
                <w:rStyle w:val="IndexLink"/>
                <w:rtl w:val="true"/>
              </w:rPr>
              <w:t xml:space="preserve">- </w:t>
            </w:r>
            <w:r>
              <w:rPr>
                <w:rStyle w:val="IndexLink"/>
                <w:rtl w:val="true"/>
              </w:rPr>
              <w:t>ولایت وکیل بر تأدیب کودک</w:t>
            </w:r>
            <w:r>
              <w:rPr>
                <w:rStyle w:val="IndexLink"/>
                <w:rtl w:val="true"/>
              </w:rPr>
              <w:tab/>
            </w:r>
            <w:r>
              <w:rPr>
                <w:rStyle w:val="IndexLink"/>
              </w:rPr>
              <w:t>456</w:t>
            </w:r>
          </w:hyperlink>
        </w:p>
        <w:p>
          <w:pPr>
            <w:pStyle w:val="Contents4"/>
            <w:tabs>
              <w:tab w:val="clear" w:pos="8176"/>
              <w:tab w:val="right" w:pos="9026" w:leader="dot"/>
            </w:tabs>
            <w:rPr/>
          </w:pPr>
          <w:hyperlink w:anchor="__RefHeading___Toc1259948_1468164448">
            <w:r>
              <w:rPr>
                <w:webHidden/>
                <w:rStyle w:val="IndexLink"/>
              </w:rPr>
              <w:t>5</w:t>
            </w:r>
            <w:r>
              <w:rPr>
                <w:rStyle w:val="IndexLink"/>
                <w:rtl w:val="true"/>
              </w:rPr>
              <w:t xml:space="preserve">- </w:t>
            </w:r>
            <w:r>
              <w:rPr>
                <w:rStyle w:val="IndexLink"/>
                <w:rtl w:val="true"/>
              </w:rPr>
              <w:t>ولایت معلّم بر تأدیب شاگرد</w:t>
            </w:r>
            <w:r>
              <w:rPr>
                <w:rStyle w:val="IndexLink"/>
                <w:rtl w:val="true"/>
              </w:rPr>
              <w:tab/>
            </w:r>
            <w:r>
              <w:rPr>
                <w:rStyle w:val="IndexLink"/>
              </w:rPr>
              <w:t>457</w:t>
            </w:r>
          </w:hyperlink>
        </w:p>
        <w:p>
          <w:pPr>
            <w:pStyle w:val="Contents4"/>
            <w:tabs>
              <w:tab w:val="clear" w:pos="8176"/>
              <w:tab w:val="right" w:pos="9026" w:leader="dot"/>
            </w:tabs>
            <w:rPr/>
          </w:pPr>
          <w:hyperlink w:anchor="__RefHeading___Toc1259950_1468164448">
            <w:r>
              <w:rPr>
                <w:webHidden/>
                <w:rStyle w:val="IndexLink"/>
              </w:rPr>
              <w:t>6</w:t>
            </w:r>
            <w:r>
              <w:rPr>
                <w:rStyle w:val="IndexLink"/>
                <w:rtl w:val="true"/>
              </w:rPr>
              <w:t xml:space="preserve">- </w:t>
            </w:r>
            <w:r>
              <w:rPr>
                <w:rStyle w:val="IndexLink"/>
                <w:rtl w:val="true"/>
              </w:rPr>
              <w:t>تأدیب کودک به وسیله دادگاه اطفال</w:t>
            </w:r>
            <w:r>
              <w:rPr>
                <w:rStyle w:val="IndexLink"/>
                <w:rtl w:val="true"/>
              </w:rPr>
              <w:tab/>
            </w:r>
            <w:r>
              <w:rPr>
                <w:rStyle w:val="IndexLink"/>
              </w:rPr>
              <w:t>458</w:t>
            </w:r>
          </w:hyperlink>
        </w:p>
        <w:p>
          <w:pPr>
            <w:pStyle w:val="Contents4"/>
            <w:tabs>
              <w:tab w:val="clear" w:pos="8176"/>
              <w:tab w:val="right" w:pos="9026" w:leader="dot"/>
            </w:tabs>
            <w:rPr/>
          </w:pPr>
          <w:hyperlink w:anchor="__RefHeading___Toc1259952_1468164448">
            <w:r>
              <w:rPr>
                <w:webHidden/>
                <w:rStyle w:val="IndexLink"/>
              </w:rPr>
              <w:t>7</w:t>
            </w:r>
            <w:r>
              <w:rPr>
                <w:rStyle w:val="IndexLink"/>
                <w:rtl w:val="true"/>
              </w:rPr>
              <w:t xml:space="preserve">- </w:t>
            </w:r>
            <w:r>
              <w:rPr>
                <w:rStyle w:val="IndexLink"/>
                <w:rtl w:val="true"/>
              </w:rPr>
              <w:t>دادگاه اطفال در ایران</w:t>
            </w:r>
            <w:r>
              <w:rPr>
                <w:rStyle w:val="IndexLink"/>
                <w:rtl w:val="true"/>
              </w:rPr>
              <w:tab/>
            </w:r>
            <w:r>
              <w:rPr>
                <w:rStyle w:val="IndexLink"/>
              </w:rPr>
              <w:t>460</w:t>
            </w:r>
          </w:hyperlink>
        </w:p>
        <w:p>
          <w:pPr>
            <w:pStyle w:val="Contents3"/>
            <w:tabs>
              <w:tab w:val="clear" w:pos="8459"/>
              <w:tab w:val="right" w:pos="9026" w:leader="dot"/>
            </w:tabs>
            <w:rPr/>
          </w:pPr>
          <w:hyperlink w:anchor="__RefHeading___Toc1259954_1468164448">
            <w:r>
              <w:rPr>
                <w:webHidden/>
                <w:rStyle w:val="IndexLink"/>
                <w:rtl w:val="true"/>
              </w:rPr>
              <w:t>گفتار چهارم</w:t>
            </w:r>
            <w:r>
              <w:rPr>
                <w:rStyle w:val="IndexLink"/>
                <w:rtl w:val="true"/>
              </w:rPr>
              <w:t xml:space="preserve">: </w:t>
            </w:r>
            <w:r>
              <w:rPr>
                <w:rStyle w:val="IndexLink"/>
                <w:rtl w:val="true"/>
              </w:rPr>
              <w:t>مقدار تأدیب</w:t>
            </w:r>
            <w:r>
              <w:rPr>
                <w:rStyle w:val="IndexLink"/>
                <w:rtl w:val="true"/>
              </w:rPr>
              <w:tab/>
            </w:r>
            <w:r>
              <w:rPr>
                <w:rStyle w:val="IndexLink"/>
              </w:rPr>
              <w:t>463</w:t>
            </w:r>
          </w:hyperlink>
        </w:p>
        <w:p>
          <w:pPr>
            <w:pStyle w:val="Contents4"/>
            <w:tabs>
              <w:tab w:val="clear" w:pos="8176"/>
              <w:tab w:val="right" w:pos="9026" w:leader="dot"/>
            </w:tabs>
            <w:rPr/>
          </w:pPr>
          <w:hyperlink w:anchor="__RefHeading___Toc1259956_1468164448">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463</w:t>
            </w:r>
          </w:hyperlink>
        </w:p>
        <w:p>
          <w:pPr>
            <w:pStyle w:val="Contents4"/>
            <w:tabs>
              <w:tab w:val="clear" w:pos="8176"/>
              <w:tab w:val="right" w:pos="9026" w:leader="dot"/>
            </w:tabs>
            <w:rPr/>
          </w:pPr>
          <w:hyperlink w:anchor="__RefHeading___Toc1259958_1468164448">
            <w:r>
              <w:rPr>
                <w:webHidden/>
                <w:rStyle w:val="IndexLink"/>
              </w:rPr>
              <w:t>2</w:t>
            </w:r>
            <w:r>
              <w:rPr>
                <w:rStyle w:val="IndexLink"/>
                <w:rtl w:val="true"/>
              </w:rPr>
              <w:t xml:space="preserve">- </w:t>
            </w:r>
            <w:r>
              <w:rPr>
                <w:rStyle w:val="IndexLink"/>
                <w:rtl w:val="true"/>
              </w:rPr>
              <w:t>مقدار تأدیب با ضرب</w:t>
            </w:r>
            <w:r>
              <w:rPr>
                <w:rStyle w:val="IndexLink"/>
                <w:rtl w:val="true"/>
              </w:rPr>
              <w:tab/>
            </w:r>
            <w:r>
              <w:rPr>
                <w:rStyle w:val="IndexLink"/>
              </w:rPr>
              <w:t>464</w:t>
            </w:r>
          </w:hyperlink>
        </w:p>
        <w:p>
          <w:pPr>
            <w:pStyle w:val="Contents4"/>
            <w:tabs>
              <w:tab w:val="clear" w:pos="8176"/>
              <w:tab w:val="right" w:pos="9026" w:leader="dot"/>
            </w:tabs>
            <w:rPr/>
          </w:pPr>
          <w:hyperlink w:anchor="__RefHeading___Toc1259960_1468164448">
            <w:r>
              <w:rPr>
                <w:webHidden/>
                <w:rStyle w:val="IndexLink"/>
              </w:rPr>
              <w:t>3</w:t>
            </w:r>
            <w:r>
              <w:rPr>
                <w:rStyle w:val="IndexLink"/>
                <w:rtl w:val="true"/>
              </w:rPr>
              <w:t xml:space="preserve">- </w:t>
            </w:r>
            <w:r>
              <w:rPr>
                <w:rStyle w:val="IndexLink"/>
                <w:rtl w:val="true"/>
              </w:rPr>
              <w:t>یادآوریهای مهم</w:t>
            </w:r>
            <w:r>
              <w:rPr>
                <w:rStyle w:val="IndexLink"/>
                <w:rtl w:val="true"/>
              </w:rPr>
              <w:tab/>
            </w:r>
            <w:r>
              <w:rPr>
                <w:rStyle w:val="IndexLink"/>
              </w:rPr>
              <w:t>468</w:t>
            </w:r>
          </w:hyperlink>
        </w:p>
        <w:p>
          <w:pPr>
            <w:pStyle w:val="Contents4"/>
            <w:tabs>
              <w:tab w:val="clear" w:pos="8176"/>
              <w:tab w:val="right" w:pos="9026" w:leader="dot"/>
            </w:tabs>
            <w:rPr/>
          </w:pPr>
          <w:hyperlink w:anchor="__RefHeading___Toc1259962_1468164448">
            <w:r>
              <w:rPr>
                <w:webHidden/>
                <w:rStyle w:val="IndexLink"/>
              </w:rPr>
              <w:t>4</w:t>
            </w:r>
            <w:r>
              <w:rPr>
                <w:rStyle w:val="IndexLink"/>
                <w:rtl w:val="true"/>
              </w:rPr>
              <w:t xml:space="preserve">- </w:t>
            </w:r>
            <w:r>
              <w:rPr>
                <w:rStyle w:val="IndexLink"/>
                <w:rtl w:val="true"/>
              </w:rPr>
              <w:t>مقدار تأدیب به وسیله معلّم</w:t>
            </w:r>
            <w:r>
              <w:rPr>
                <w:rStyle w:val="IndexLink"/>
                <w:rtl w:val="true"/>
              </w:rPr>
              <w:tab/>
            </w:r>
            <w:r>
              <w:rPr>
                <w:rStyle w:val="IndexLink"/>
              </w:rPr>
              <w:t>469</w:t>
            </w:r>
          </w:hyperlink>
        </w:p>
        <w:p>
          <w:pPr>
            <w:pStyle w:val="Contents4"/>
            <w:tabs>
              <w:tab w:val="clear" w:pos="8176"/>
              <w:tab w:val="right" w:pos="9026" w:leader="dot"/>
            </w:tabs>
            <w:rPr/>
          </w:pPr>
          <w:hyperlink w:anchor="__RefHeading___Toc1259964_1468164448">
            <w:r>
              <w:rPr>
                <w:webHidden/>
                <w:rStyle w:val="IndexLink"/>
              </w:rPr>
              <w:t>5</w:t>
            </w:r>
            <w:r>
              <w:rPr>
                <w:rStyle w:val="IndexLink"/>
                <w:rtl w:val="true"/>
              </w:rPr>
              <w:t xml:space="preserve">- </w:t>
            </w:r>
            <w:r>
              <w:rPr>
                <w:rStyle w:val="IndexLink"/>
                <w:rtl w:val="true"/>
              </w:rPr>
              <w:t>تنبیه کودک در قانون مجازات اسلامی</w:t>
            </w:r>
            <w:r>
              <w:rPr>
                <w:rStyle w:val="IndexLink"/>
                <w:rtl w:val="true"/>
              </w:rPr>
              <w:tab/>
            </w:r>
            <w:r>
              <w:rPr>
                <w:rStyle w:val="IndexLink"/>
              </w:rPr>
              <w:t>469</w:t>
            </w:r>
          </w:hyperlink>
        </w:p>
        <w:p>
          <w:pPr>
            <w:pStyle w:val="Contents4"/>
            <w:tabs>
              <w:tab w:val="clear" w:pos="8176"/>
              <w:tab w:val="right" w:pos="9026" w:leader="dot"/>
            </w:tabs>
            <w:rPr/>
          </w:pPr>
          <w:hyperlink w:anchor="__RefHeading___Toc1259966_1468164448">
            <w:r>
              <w:rPr>
                <w:webHidden/>
                <w:rStyle w:val="IndexLink"/>
              </w:rPr>
              <w:t>6</w:t>
            </w:r>
            <w:r>
              <w:rPr>
                <w:rStyle w:val="IndexLink"/>
                <w:rtl w:val="true"/>
              </w:rPr>
              <w:t xml:space="preserve">- </w:t>
            </w:r>
            <w:r>
              <w:rPr>
                <w:rStyle w:val="IndexLink"/>
                <w:rtl w:val="true"/>
              </w:rPr>
              <w:t>بحث اخلاقی در تأدیب</w:t>
            </w:r>
            <w:r>
              <w:rPr>
                <w:rStyle w:val="IndexLink"/>
                <w:rtl w:val="true"/>
              </w:rPr>
              <w:tab/>
            </w:r>
            <w:r>
              <w:rPr>
                <w:rStyle w:val="IndexLink"/>
              </w:rPr>
              <w:t>470</w:t>
            </w:r>
          </w:hyperlink>
        </w:p>
        <w:p>
          <w:pPr>
            <w:pStyle w:val="Contents3"/>
            <w:tabs>
              <w:tab w:val="clear" w:pos="8459"/>
              <w:tab w:val="right" w:pos="9026" w:leader="dot"/>
            </w:tabs>
            <w:rPr/>
          </w:pPr>
          <w:hyperlink w:anchor="__RefHeading___Toc1259968_1468164448">
            <w:r>
              <w:rPr>
                <w:webHidden/>
                <w:rStyle w:val="IndexLink"/>
                <w:rtl w:val="true"/>
              </w:rPr>
              <w:t>گفتار پنجم</w:t>
            </w:r>
            <w:r>
              <w:rPr>
                <w:rStyle w:val="IndexLink"/>
                <w:rtl w:val="true"/>
              </w:rPr>
              <w:t xml:space="preserve">: </w:t>
            </w:r>
            <w:r>
              <w:rPr>
                <w:rStyle w:val="IndexLink"/>
                <w:rtl w:val="true"/>
              </w:rPr>
              <w:t>حکم خسارات بدنی ناشی از تأدیب</w:t>
            </w:r>
            <w:r>
              <w:rPr>
                <w:rStyle w:val="IndexLink"/>
                <w:rtl w:val="true"/>
              </w:rPr>
              <w:tab/>
            </w:r>
            <w:r>
              <w:rPr>
                <w:rStyle w:val="IndexLink"/>
              </w:rPr>
              <w:t>471</w:t>
            </w:r>
          </w:hyperlink>
        </w:p>
        <w:p>
          <w:pPr>
            <w:pStyle w:val="Contents4"/>
            <w:tabs>
              <w:tab w:val="clear" w:pos="8176"/>
              <w:tab w:val="right" w:pos="9026" w:leader="dot"/>
            </w:tabs>
            <w:rPr/>
          </w:pPr>
          <w:hyperlink w:anchor="__RefHeading___Toc1259970_1468164448">
            <w:r>
              <w:rPr>
                <w:webHidden/>
                <w:rStyle w:val="IndexLink"/>
              </w:rPr>
              <w:t>1</w:t>
            </w:r>
            <w:r>
              <w:rPr>
                <w:rStyle w:val="IndexLink"/>
                <w:rtl w:val="true"/>
              </w:rPr>
              <w:t xml:space="preserve">- </w:t>
            </w:r>
            <w:r>
              <w:rPr>
                <w:rStyle w:val="IndexLink"/>
                <w:rtl w:val="true"/>
              </w:rPr>
              <w:t>ضمان در تأدیب</w:t>
            </w:r>
            <w:r>
              <w:rPr>
                <w:rStyle w:val="IndexLink"/>
                <w:rtl w:val="true"/>
              </w:rPr>
              <w:tab/>
            </w:r>
            <w:r>
              <w:rPr>
                <w:rStyle w:val="IndexLink"/>
              </w:rPr>
              <w:t>471</w:t>
            </w:r>
          </w:hyperlink>
        </w:p>
        <w:p>
          <w:pPr>
            <w:pStyle w:val="Contents3"/>
            <w:tabs>
              <w:tab w:val="clear" w:pos="8459"/>
              <w:tab w:val="right" w:pos="9026" w:leader="dot"/>
            </w:tabs>
            <w:rPr/>
          </w:pPr>
          <w:hyperlink w:anchor="__RefHeading___Toc1259972_1468164448">
            <w:r>
              <w:rPr>
                <w:webHidden/>
                <w:rStyle w:val="IndexLink"/>
                <w:rtl w:val="true"/>
              </w:rPr>
              <w:t>گفتار ششم</w:t>
            </w:r>
            <w:r>
              <w:rPr>
                <w:rStyle w:val="IndexLink"/>
                <w:rtl w:val="true"/>
              </w:rPr>
              <w:t xml:space="preserve">: </w:t>
            </w:r>
            <w:r>
              <w:rPr>
                <w:rStyle w:val="IndexLink"/>
                <w:rtl w:val="true"/>
              </w:rPr>
              <w:t>ارتکاب قتل توسط کودک یا مشارکت کودک در آن</w:t>
            </w:r>
            <w:r>
              <w:rPr>
                <w:rStyle w:val="IndexLink"/>
                <w:rtl w:val="true"/>
              </w:rPr>
              <w:tab/>
            </w:r>
            <w:r>
              <w:rPr>
                <w:rStyle w:val="IndexLink"/>
              </w:rPr>
              <w:t>475</w:t>
            </w:r>
          </w:hyperlink>
        </w:p>
        <w:p>
          <w:pPr>
            <w:pStyle w:val="Contents4"/>
            <w:tabs>
              <w:tab w:val="clear" w:pos="8176"/>
              <w:tab w:val="right" w:pos="9026" w:leader="dot"/>
            </w:tabs>
            <w:rPr/>
          </w:pPr>
          <w:hyperlink w:anchor="__RefHeading___Toc1259974_1468164448">
            <w:r>
              <w:rPr>
                <w:webHidden/>
                <w:rStyle w:val="IndexLink"/>
              </w:rPr>
              <w:t>1</w:t>
            </w:r>
            <w:r>
              <w:rPr>
                <w:rStyle w:val="IndexLink"/>
                <w:rtl w:val="true"/>
              </w:rPr>
              <w:t xml:space="preserve">- </w:t>
            </w:r>
            <w:r>
              <w:rPr>
                <w:rStyle w:val="IndexLink"/>
                <w:rtl w:val="true"/>
              </w:rPr>
              <w:t>ارتکاب قتل توسط کودک</w:t>
            </w:r>
            <w:r>
              <w:rPr>
                <w:rStyle w:val="IndexLink"/>
                <w:rtl w:val="true"/>
              </w:rPr>
              <w:tab/>
            </w:r>
            <w:r>
              <w:rPr>
                <w:rStyle w:val="IndexLink"/>
              </w:rPr>
              <w:t>475</w:t>
            </w:r>
          </w:hyperlink>
        </w:p>
        <w:p>
          <w:pPr>
            <w:pStyle w:val="Contents4"/>
            <w:tabs>
              <w:tab w:val="clear" w:pos="8176"/>
              <w:tab w:val="right" w:pos="9026" w:leader="dot"/>
            </w:tabs>
            <w:rPr/>
          </w:pPr>
          <w:hyperlink w:anchor="__RefHeading___Toc1259976_1468164448">
            <w:r>
              <w:rPr>
                <w:webHidden/>
                <w:rStyle w:val="IndexLink"/>
              </w:rPr>
              <w:t>2</w:t>
            </w:r>
            <w:r>
              <w:rPr>
                <w:rStyle w:val="IndexLink"/>
                <w:rtl w:val="true"/>
              </w:rPr>
              <w:t xml:space="preserve">- </w:t>
            </w:r>
            <w:r>
              <w:rPr>
                <w:rStyle w:val="IndexLink"/>
                <w:rtl w:val="true"/>
              </w:rPr>
              <w:t>اختلاف قاتل با اولیای مقتول</w:t>
            </w:r>
            <w:r>
              <w:rPr>
                <w:rStyle w:val="IndexLink"/>
                <w:rtl w:val="true"/>
              </w:rPr>
              <w:tab/>
            </w:r>
            <w:r>
              <w:rPr>
                <w:rStyle w:val="IndexLink"/>
              </w:rPr>
              <w:t>477</w:t>
            </w:r>
          </w:hyperlink>
        </w:p>
        <w:p>
          <w:pPr>
            <w:pStyle w:val="Contents4"/>
            <w:tabs>
              <w:tab w:val="clear" w:pos="8176"/>
              <w:tab w:val="right" w:pos="9026" w:leader="dot"/>
            </w:tabs>
            <w:rPr/>
          </w:pPr>
          <w:hyperlink w:anchor="__RefHeading___Toc1259978_1468164448">
            <w:r>
              <w:rPr>
                <w:webHidden/>
                <w:rStyle w:val="IndexLink"/>
              </w:rPr>
              <w:t>3</w:t>
            </w:r>
            <w:r>
              <w:rPr>
                <w:rStyle w:val="IndexLink"/>
                <w:rtl w:val="true"/>
              </w:rPr>
              <w:t xml:space="preserve">- </w:t>
            </w:r>
            <w:r>
              <w:rPr>
                <w:rStyle w:val="IndexLink"/>
                <w:rtl w:val="true"/>
              </w:rPr>
              <w:t>اشتراک کودک با بالغ در قتل</w:t>
            </w:r>
            <w:r>
              <w:rPr>
                <w:rStyle w:val="IndexLink"/>
                <w:rtl w:val="true"/>
              </w:rPr>
              <w:tab/>
            </w:r>
            <w:r>
              <w:rPr>
                <w:rStyle w:val="IndexLink"/>
              </w:rPr>
              <w:t>477</w:t>
            </w:r>
          </w:hyperlink>
        </w:p>
        <w:p>
          <w:pPr>
            <w:pStyle w:val="Contents4"/>
            <w:tabs>
              <w:tab w:val="clear" w:pos="8176"/>
              <w:tab w:val="right" w:pos="9026" w:leader="dot"/>
            </w:tabs>
            <w:rPr/>
          </w:pPr>
          <w:hyperlink w:anchor="__RefHeading___Toc1259980_1468164448">
            <w:r>
              <w:rPr>
                <w:webHidden/>
                <w:rStyle w:val="IndexLink"/>
              </w:rPr>
              <w:t>4</w:t>
            </w:r>
            <w:r>
              <w:rPr>
                <w:rStyle w:val="IndexLink"/>
                <w:rtl w:val="true"/>
              </w:rPr>
              <w:t xml:space="preserve">- </w:t>
            </w:r>
            <w:r>
              <w:rPr>
                <w:rStyle w:val="IndexLink"/>
                <w:rtl w:val="true"/>
              </w:rPr>
              <w:t>امر شدن کودک به قتل</w:t>
            </w:r>
            <w:r>
              <w:rPr>
                <w:rStyle w:val="IndexLink"/>
                <w:rtl w:val="true"/>
              </w:rPr>
              <w:tab/>
            </w:r>
            <w:r>
              <w:rPr>
                <w:rStyle w:val="IndexLink"/>
              </w:rPr>
              <w:t>478</w:t>
            </w:r>
          </w:hyperlink>
        </w:p>
        <w:p>
          <w:pPr>
            <w:pStyle w:val="Contents4"/>
            <w:tabs>
              <w:tab w:val="clear" w:pos="8176"/>
              <w:tab w:val="right" w:pos="9026" w:leader="dot"/>
            </w:tabs>
            <w:rPr/>
          </w:pPr>
          <w:hyperlink w:anchor="__RefHeading___Toc1259982_1468164448">
            <w:r>
              <w:rPr>
                <w:webHidden/>
                <w:rStyle w:val="IndexLink"/>
              </w:rPr>
              <w:t>5</w:t>
            </w:r>
            <w:r>
              <w:rPr>
                <w:rStyle w:val="IndexLink"/>
                <w:rtl w:val="true"/>
              </w:rPr>
              <w:t xml:space="preserve">- </w:t>
            </w:r>
            <w:r>
              <w:rPr>
                <w:rStyle w:val="IndexLink"/>
                <w:rtl w:val="true"/>
              </w:rPr>
              <w:t>اکراه کودک به قتل</w:t>
            </w:r>
            <w:r>
              <w:rPr>
                <w:rStyle w:val="IndexLink"/>
                <w:rtl w:val="true"/>
              </w:rPr>
              <w:tab/>
            </w:r>
            <w:r>
              <w:rPr>
                <w:rStyle w:val="IndexLink"/>
              </w:rPr>
              <w:t>479</w:t>
            </w:r>
          </w:hyperlink>
        </w:p>
        <w:p>
          <w:pPr>
            <w:pStyle w:val="Contents4"/>
            <w:tabs>
              <w:tab w:val="clear" w:pos="8176"/>
              <w:tab w:val="right" w:pos="9026" w:leader="dot"/>
            </w:tabs>
            <w:rPr/>
          </w:pPr>
          <w:hyperlink w:anchor="__RefHeading___Toc1259984_1468164448">
            <w:r>
              <w:rPr>
                <w:webHidden/>
                <w:rStyle w:val="IndexLink"/>
              </w:rPr>
              <w:t>6</w:t>
            </w:r>
            <w:r>
              <w:rPr>
                <w:rStyle w:val="IndexLink"/>
                <w:rtl w:val="true"/>
              </w:rPr>
              <w:t xml:space="preserve">- </w:t>
            </w:r>
            <w:r>
              <w:rPr>
                <w:rStyle w:val="IndexLink"/>
                <w:rtl w:val="true"/>
              </w:rPr>
              <w:t>دیه جنایات کودک</w:t>
            </w:r>
            <w:r>
              <w:rPr>
                <w:rStyle w:val="IndexLink"/>
                <w:rtl w:val="true"/>
              </w:rPr>
              <w:tab/>
            </w:r>
            <w:r>
              <w:rPr>
                <w:rStyle w:val="IndexLink"/>
              </w:rPr>
              <w:t>480</w:t>
            </w:r>
          </w:hyperlink>
        </w:p>
        <w:p>
          <w:pPr>
            <w:pStyle w:val="Contents4"/>
            <w:tabs>
              <w:tab w:val="clear" w:pos="8176"/>
              <w:tab w:val="right" w:pos="9026" w:leader="dot"/>
            </w:tabs>
            <w:rPr/>
          </w:pPr>
          <w:hyperlink w:anchor="__RefHeading___Toc1259986_1468164448">
            <w:r>
              <w:rPr>
                <w:webHidden/>
                <w:rStyle w:val="IndexLink"/>
              </w:rPr>
              <w:t>7</w:t>
            </w:r>
            <w:r>
              <w:rPr>
                <w:rStyle w:val="IndexLink"/>
                <w:rtl w:val="true"/>
              </w:rPr>
              <w:t xml:space="preserve">- </w:t>
            </w:r>
            <w:r>
              <w:rPr>
                <w:rStyle w:val="IndexLink"/>
                <w:rtl w:val="true"/>
              </w:rPr>
              <w:t>تصادم دو کودک با یکدیگر</w:t>
            </w:r>
            <w:r>
              <w:rPr>
                <w:rStyle w:val="IndexLink"/>
                <w:rtl w:val="true"/>
              </w:rPr>
              <w:tab/>
            </w:r>
            <w:r>
              <w:rPr>
                <w:rStyle w:val="IndexLink"/>
              </w:rPr>
              <w:t>481</w:t>
            </w:r>
          </w:hyperlink>
        </w:p>
        <w:p>
          <w:pPr>
            <w:pStyle w:val="Contents4"/>
            <w:tabs>
              <w:tab w:val="clear" w:pos="8176"/>
              <w:tab w:val="right" w:pos="9026" w:leader="dot"/>
            </w:tabs>
            <w:rPr/>
          </w:pPr>
          <w:hyperlink w:anchor="__RefHeading___Toc1259988_1468164448">
            <w:r>
              <w:rPr>
                <w:webHidden/>
                <w:rStyle w:val="IndexLink"/>
              </w:rPr>
              <w:t>8</w:t>
            </w:r>
            <w:r>
              <w:rPr>
                <w:rStyle w:val="IndexLink"/>
                <w:rtl w:val="true"/>
              </w:rPr>
              <w:t xml:space="preserve">- </w:t>
            </w:r>
            <w:r>
              <w:rPr>
                <w:rStyle w:val="IndexLink"/>
                <w:rtl w:val="true"/>
              </w:rPr>
              <w:t>کودک فاقد عاقله</w:t>
            </w:r>
            <w:r>
              <w:rPr>
                <w:rStyle w:val="IndexLink"/>
                <w:rtl w:val="true"/>
              </w:rPr>
              <w:tab/>
            </w:r>
            <w:r>
              <w:rPr>
                <w:rStyle w:val="IndexLink"/>
              </w:rPr>
              <w:t>482</w:t>
            </w:r>
          </w:hyperlink>
        </w:p>
        <w:p>
          <w:pPr>
            <w:pStyle w:val="Contents4"/>
            <w:tabs>
              <w:tab w:val="clear" w:pos="8176"/>
              <w:tab w:val="right" w:pos="9026" w:leader="dot"/>
            </w:tabs>
            <w:rPr/>
          </w:pPr>
          <w:hyperlink w:anchor="__RefHeading___Toc1259990_1468164448">
            <w:r>
              <w:rPr>
                <w:webHidden/>
                <w:rStyle w:val="IndexLink"/>
              </w:rPr>
              <w:t>9</w:t>
            </w:r>
            <w:r>
              <w:rPr>
                <w:rStyle w:val="IndexLink"/>
                <w:rtl w:val="true"/>
              </w:rPr>
              <w:t xml:space="preserve">- </w:t>
            </w:r>
            <w:r>
              <w:rPr>
                <w:rStyle w:val="IndexLink"/>
                <w:rtl w:val="true"/>
              </w:rPr>
              <w:t>حکم کفّاره قتل نسبت به کودک</w:t>
            </w:r>
            <w:r>
              <w:rPr>
                <w:rStyle w:val="IndexLink"/>
                <w:rtl w:val="true"/>
              </w:rPr>
              <w:tab/>
            </w:r>
            <w:r>
              <w:rPr>
                <w:rStyle w:val="IndexLink"/>
              </w:rPr>
              <w:t>485</w:t>
            </w:r>
          </w:hyperlink>
        </w:p>
        <w:p>
          <w:pPr>
            <w:pStyle w:val="Contents2"/>
            <w:tabs>
              <w:tab w:val="clear" w:pos="8743"/>
              <w:tab w:val="right" w:pos="9026" w:leader="dot"/>
            </w:tabs>
            <w:rPr/>
          </w:pPr>
          <w:hyperlink w:anchor="__RefHeading___Toc1259992_1468164448">
            <w:r>
              <w:rPr>
                <w:webHidden/>
                <w:rStyle w:val="IndexLink"/>
                <w:rtl w:val="true"/>
              </w:rPr>
              <w:t>فصل هفدهم</w:t>
            </w:r>
            <w:r>
              <w:rPr>
                <w:rStyle w:val="IndexLink"/>
                <w:rtl w:val="true"/>
              </w:rPr>
              <w:t xml:space="preserve">: </w:t>
            </w:r>
            <w:r>
              <w:rPr>
                <w:rStyle w:val="IndexLink"/>
                <w:rtl w:val="true"/>
              </w:rPr>
              <w:t>کودکان استثنایی</w:t>
            </w:r>
            <w:r>
              <w:rPr>
                <w:rStyle w:val="IndexLink"/>
                <w:rtl w:val="true"/>
              </w:rPr>
              <w:tab/>
            </w:r>
            <w:r>
              <w:rPr>
                <w:rStyle w:val="IndexLink"/>
              </w:rPr>
              <w:t>487</w:t>
            </w:r>
          </w:hyperlink>
        </w:p>
        <w:p>
          <w:pPr>
            <w:pStyle w:val="Contents3"/>
            <w:tabs>
              <w:tab w:val="clear" w:pos="8459"/>
              <w:tab w:val="right" w:pos="9026" w:leader="dot"/>
            </w:tabs>
            <w:rPr/>
          </w:pPr>
          <w:hyperlink w:anchor="__RefHeading___Toc1259994_1468164448">
            <w:r>
              <w:rPr>
                <w:webHidden/>
                <w:rStyle w:val="IndexLink"/>
                <w:rtl w:val="true"/>
              </w:rPr>
              <w:t>اشاره</w:t>
            </w:r>
            <w:r>
              <w:rPr>
                <w:rStyle w:val="IndexLink"/>
                <w:rtl w:val="true"/>
              </w:rPr>
              <w:tab/>
            </w:r>
            <w:r>
              <w:rPr>
                <w:rStyle w:val="IndexLink"/>
              </w:rPr>
              <w:t>487</w:t>
            </w:r>
          </w:hyperlink>
        </w:p>
        <w:p>
          <w:pPr>
            <w:pStyle w:val="Contents3"/>
            <w:tabs>
              <w:tab w:val="clear" w:pos="8459"/>
              <w:tab w:val="right" w:pos="9026" w:leader="dot"/>
            </w:tabs>
            <w:rPr/>
          </w:pPr>
          <w:hyperlink w:anchor="__RefHeading___Toc1259996_1468164448">
            <w:r>
              <w:rPr>
                <w:webHidden/>
                <w:rStyle w:val="IndexLink"/>
                <w:rtl w:val="true"/>
              </w:rPr>
              <w:t>گفتار اول</w:t>
            </w:r>
            <w:r>
              <w:rPr>
                <w:rStyle w:val="IndexLink"/>
                <w:rtl w:val="true"/>
              </w:rPr>
              <w:t xml:space="preserve">: </w:t>
            </w:r>
            <w:r>
              <w:rPr>
                <w:rStyle w:val="IndexLink"/>
                <w:rtl w:val="true"/>
              </w:rPr>
              <w:t>علل و عوامل به وجود آمدن کودکان استثنایی</w:t>
            </w:r>
            <w:r>
              <w:rPr>
                <w:rStyle w:val="IndexLink"/>
                <w:rtl w:val="true"/>
              </w:rPr>
              <w:tab/>
            </w:r>
            <w:r>
              <w:rPr>
                <w:rStyle w:val="IndexLink"/>
              </w:rPr>
              <w:t>488</w:t>
            </w:r>
          </w:hyperlink>
        </w:p>
        <w:p>
          <w:pPr>
            <w:pStyle w:val="Contents4"/>
            <w:tabs>
              <w:tab w:val="clear" w:pos="8176"/>
              <w:tab w:val="right" w:pos="9026" w:leader="dot"/>
            </w:tabs>
            <w:rPr/>
          </w:pPr>
          <w:hyperlink w:anchor="__RefHeading___Toc1259998_1468164448">
            <w:r>
              <w:rPr>
                <w:webHidden/>
                <w:rStyle w:val="IndexLink"/>
              </w:rPr>
              <w:t>1</w:t>
            </w:r>
            <w:r>
              <w:rPr>
                <w:rStyle w:val="IndexLink"/>
                <w:rtl w:val="true"/>
              </w:rPr>
              <w:t xml:space="preserve">- </w:t>
            </w:r>
            <w:r>
              <w:rPr>
                <w:rStyle w:val="IndexLink"/>
                <w:rtl w:val="true"/>
              </w:rPr>
              <w:t>مفهوم کودک استثنایی</w:t>
            </w:r>
            <w:r>
              <w:rPr>
                <w:rStyle w:val="IndexLink"/>
                <w:rtl w:val="true"/>
              </w:rPr>
              <w:tab/>
            </w:r>
            <w:r>
              <w:rPr>
                <w:rStyle w:val="IndexLink"/>
              </w:rPr>
              <w:t>488</w:t>
            </w:r>
          </w:hyperlink>
        </w:p>
        <w:p>
          <w:pPr>
            <w:pStyle w:val="Contents4"/>
            <w:tabs>
              <w:tab w:val="clear" w:pos="8176"/>
              <w:tab w:val="right" w:pos="9026" w:leader="dot"/>
            </w:tabs>
            <w:rPr/>
          </w:pPr>
          <w:hyperlink w:anchor="__RefHeading___Toc1260000_1468164448">
            <w:r>
              <w:rPr>
                <w:webHidden/>
                <w:rStyle w:val="IndexLink"/>
              </w:rPr>
              <w:t>2</w:t>
            </w:r>
            <w:r>
              <w:rPr>
                <w:rStyle w:val="IndexLink"/>
                <w:rtl w:val="true"/>
              </w:rPr>
              <w:t xml:space="preserve">- </w:t>
            </w:r>
            <w:r>
              <w:rPr>
                <w:rStyle w:val="IndexLink"/>
                <w:rtl w:val="true"/>
              </w:rPr>
              <w:t>آفرینش جهان در کامل‌ترین نظم ممکن</w:t>
            </w:r>
            <w:r>
              <w:rPr>
                <w:rStyle w:val="IndexLink"/>
                <w:rtl w:val="true"/>
              </w:rPr>
              <w:tab/>
            </w:r>
            <w:r>
              <w:rPr>
                <w:rStyle w:val="IndexLink"/>
              </w:rPr>
              <w:t>490</w:t>
            </w:r>
          </w:hyperlink>
        </w:p>
        <w:p>
          <w:pPr>
            <w:pStyle w:val="Contents4"/>
            <w:tabs>
              <w:tab w:val="clear" w:pos="8176"/>
              <w:tab w:val="right" w:pos="9026" w:leader="dot"/>
            </w:tabs>
            <w:rPr/>
          </w:pPr>
          <w:hyperlink w:anchor="__RefHeading___Toc1260002_1468164448">
            <w:r>
              <w:rPr>
                <w:webHidden/>
                <w:rStyle w:val="IndexLink"/>
              </w:rPr>
              <w:t>3</w:t>
            </w:r>
            <w:r>
              <w:rPr>
                <w:rStyle w:val="IndexLink"/>
                <w:rtl w:val="true"/>
              </w:rPr>
              <w:t xml:space="preserve">- </w:t>
            </w:r>
            <w:r>
              <w:rPr>
                <w:rStyle w:val="IndexLink"/>
                <w:rtl w:val="true"/>
              </w:rPr>
              <w:t>ار تباط اعمال انسان با مصیبت‌ها و حوادث تلخ</w:t>
            </w:r>
            <w:r>
              <w:rPr>
                <w:rStyle w:val="IndexLink"/>
                <w:rtl w:val="true"/>
              </w:rPr>
              <w:tab/>
            </w:r>
            <w:r>
              <w:rPr>
                <w:rStyle w:val="IndexLink"/>
              </w:rPr>
              <w:t>492</w:t>
            </w:r>
          </w:hyperlink>
        </w:p>
        <w:p>
          <w:pPr>
            <w:pStyle w:val="Contents4"/>
            <w:tabs>
              <w:tab w:val="clear" w:pos="8176"/>
              <w:tab w:val="right" w:pos="9026" w:leader="dot"/>
            </w:tabs>
            <w:rPr/>
          </w:pPr>
          <w:hyperlink w:anchor="__RefHeading___Toc1260004_1468164448">
            <w:r>
              <w:rPr>
                <w:webHidden/>
                <w:rStyle w:val="IndexLink"/>
              </w:rPr>
              <w:t>4</w:t>
            </w:r>
            <w:r>
              <w:rPr>
                <w:rStyle w:val="IndexLink"/>
                <w:rtl w:val="true"/>
              </w:rPr>
              <w:t xml:space="preserve">- </w:t>
            </w:r>
            <w:r>
              <w:rPr>
                <w:rStyle w:val="IndexLink"/>
                <w:rtl w:val="true"/>
              </w:rPr>
              <w:t>عوامل مؤثر در به وجود آمدن کودکان استثنایی</w:t>
            </w:r>
            <w:r>
              <w:rPr>
                <w:rStyle w:val="IndexLink"/>
                <w:rtl w:val="true"/>
              </w:rPr>
              <w:tab/>
            </w:r>
            <w:r>
              <w:rPr>
                <w:rStyle w:val="IndexLink"/>
              </w:rPr>
              <w:t>493</w:t>
            </w:r>
          </w:hyperlink>
        </w:p>
        <w:p>
          <w:pPr>
            <w:pStyle w:val="Contents3"/>
            <w:tabs>
              <w:tab w:val="clear" w:pos="8459"/>
              <w:tab w:val="right" w:pos="9026" w:leader="dot"/>
            </w:tabs>
            <w:rPr/>
          </w:pPr>
          <w:hyperlink w:anchor="__RefHeading___Toc1260006_1468164448">
            <w:r>
              <w:rPr>
                <w:webHidden/>
                <w:rStyle w:val="IndexLink"/>
                <w:rtl w:val="true"/>
              </w:rPr>
              <w:t>گفتار دوم</w:t>
            </w:r>
            <w:r>
              <w:rPr>
                <w:rStyle w:val="IndexLink"/>
                <w:rtl w:val="true"/>
              </w:rPr>
              <w:t xml:space="preserve">: </w:t>
            </w:r>
            <w:r>
              <w:rPr>
                <w:rStyle w:val="IndexLink"/>
                <w:rtl w:val="true"/>
              </w:rPr>
              <w:t>مراقبت های ویژه</w:t>
            </w:r>
            <w:r>
              <w:rPr>
                <w:rStyle w:val="IndexLink"/>
                <w:rtl w:val="true"/>
              </w:rPr>
              <w:tab/>
            </w:r>
            <w:r>
              <w:rPr>
                <w:rStyle w:val="IndexLink"/>
              </w:rPr>
              <w:t>499</w:t>
            </w:r>
          </w:hyperlink>
        </w:p>
        <w:p>
          <w:pPr>
            <w:pStyle w:val="Contents4"/>
            <w:tabs>
              <w:tab w:val="clear" w:pos="8176"/>
              <w:tab w:val="right" w:pos="9026" w:leader="dot"/>
            </w:tabs>
            <w:rPr/>
          </w:pPr>
          <w:hyperlink w:anchor="__RefHeading___Toc1260008_1468164448">
            <w:r>
              <w:rPr>
                <w:webHidden/>
                <w:rStyle w:val="IndexLink"/>
              </w:rPr>
              <w:t>1</w:t>
            </w:r>
            <w:r>
              <w:rPr>
                <w:rStyle w:val="IndexLink"/>
                <w:rtl w:val="true"/>
              </w:rPr>
              <w:t xml:space="preserve">- </w:t>
            </w:r>
            <w:r>
              <w:rPr>
                <w:rStyle w:val="IndexLink"/>
                <w:rtl w:val="true"/>
              </w:rPr>
              <w:t>رشد شخصیت</w:t>
            </w:r>
            <w:r>
              <w:rPr>
                <w:rStyle w:val="IndexLink"/>
                <w:rtl w:val="true"/>
              </w:rPr>
              <w:tab/>
            </w:r>
            <w:r>
              <w:rPr>
                <w:rStyle w:val="IndexLink"/>
              </w:rPr>
              <w:t>499</w:t>
            </w:r>
          </w:hyperlink>
        </w:p>
        <w:p>
          <w:pPr>
            <w:pStyle w:val="Contents4"/>
            <w:tabs>
              <w:tab w:val="clear" w:pos="8176"/>
              <w:tab w:val="right" w:pos="9026" w:leader="dot"/>
            </w:tabs>
            <w:rPr/>
          </w:pPr>
          <w:hyperlink w:anchor="__RefHeading___Toc1260010_1468164448">
            <w:r>
              <w:rPr>
                <w:webHidden/>
                <w:rStyle w:val="IndexLink"/>
              </w:rPr>
              <w:t>2</w:t>
            </w:r>
            <w:r>
              <w:rPr>
                <w:rStyle w:val="IndexLink"/>
                <w:rtl w:val="true"/>
              </w:rPr>
              <w:t xml:space="preserve">- </w:t>
            </w:r>
            <w:r>
              <w:rPr>
                <w:rStyle w:val="IndexLink"/>
                <w:rtl w:val="true"/>
              </w:rPr>
              <w:t>تأثیر برخورد دیگران</w:t>
            </w:r>
            <w:r>
              <w:rPr>
                <w:rStyle w:val="IndexLink"/>
                <w:rtl w:val="true"/>
              </w:rPr>
              <w:tab/>
            </w:r>
            <w:r>
              <w:rPr>
                <w:rStyle w:val="IndexLink"/>
              </w:rPr>
              <w:t>501</w:t>
            </w:r>
          </w:hyperlink>
        </w:p>
        <w:p>
          <w:pPr>
            <w:pStyle w:val="Contents4"/>
            <w:tabs>
              <w:tab w:val="clear" w:pos="8176"/>
              <w:tab w:val="right" w:pos="9026" w:leader="dot"/>
            </w:tabs>
            <w:rPr/>
          </w:pPr>
          <w:hyperlink w:anchor="__RefHeading___Toc1260012_1468164448">
            <w:r>
              <w:rPr>
                <w:webHidden/>
                <w:rStyle w:val="IndexLink"/>
              </w:rPr>
              <w:t>3</w:t>
            </w:r>
            <w:r>
              <w:rPr>
                <w:rStyle w:val="IndexLink"/>
                <w:rtl w:val="true"/>
              </w:rPr>
              <w:t xml:space="preserve">- </w:t>
            </w:r>
            <w:r>
              <w:rPr>
                <w:rStyle w:val="IndexLink"/>
                <w:rtl w:val="true"/>
              </w:rPr>
              <w:t>الهام از دستورات حیات بخش اسلام</w:t>
            </w:r>
            <w:r>
              <w:rPr>
                <w:rStyle w:val="IndexLink"/>
                <w:rtl w:val="true"/>
              </w:rPr>
              <w:tab/>
            </w:r>
            <w:r>
              <w:rPr>
                <w:rStyle w:val="IndexLink"/>
              </w:rPr>
              <w:t>501</w:t>
            </w:r>
          </w:hyperlink>
        </w:p>
        <w:p>
          <w:pPr>
            <w:pStyle w:val="Contents4"/>
            <w:tabs>
              <w:tab w:val="clear" w:pos="8176"/>
              <w:tab w:val="right" w:pos="9026" w:leader="dot"/>
            </w:tabs>
            <w:rPr/>
          </w:pPr>
          <w:hyperlink w:anchor="__RefHeading___Toc1260014_1468164448">
            <w:r>
              <w:rPr>
                <w:webHidden/>
                <w:rStyle w:val="IndexLink"/>
              </w:rPr>
              <w:t>4</w:t>
            </w:r>
            <w:r>
              <w:rPr>
                <w:rStyle w:val="IndexLink"/>
                <w:rtl w:val="true"/>
              </w:rPr>
              <w:t xml:space="preserve">- </w:t>
            </w:r>
            <w:r>
              <w:rPr>
                <w:rStyle w:val="IndexLink"/>
                <w:rtl w:val="true"/>
              </w:rPr>
              <w:t>توصیه اسلام نسبت به کمک به مریض و یتیم</w:t>
            </w:r>
            <w:r>
              <w:rPr>
                <w:rStyle w:val="IndexLink"/>
                <w:rtl w:val="true"/>
              </w:rPr>
              <w:tab/>
            </w:r>
            <w:r>
              <w:rPr>
                <w:rStyle w:val="IndexLink"/>
              </w:rPr>
              <w:t>503</w:t>
            </w:r>
          </w:hyperlink>
        </w:p>
        <w:p>
          <w:pPr>
            <w:pStyle w:val="Contents4"/>
            <w:tabs>
              <w:tab w:val="clear" w:pos="8176"/>
              <w:tab w:val="right" w:pos="9026" w:leader="dot"/>
            </w:tabs>
            <w:rPr/>
          </w:pPr>
          <w:hyperlink w:anchor="__RefHeading___Toc1260016_1468164448">
            <w:r>
              <w:rPr>
                <w:webHidden/>
                <w:rStyle w:val="IndexLink"/>
              </w:rPr>
              <w:t>5</w:t>
            </w:r>
            <w:r>
              <w:rPr>
                <w:rStyle w:val="IndexLink"/>
                <w:rtl w:val="true"/>
              </w:rPr>
              <w:t xml:space="preserve">- </w:t>
            </w:r>
            <w:r>
              <w:rPr>
                <w:rStyle w:val="IndexLink"/>
                <w:rtl w:val="true"/>
              </w:rPr>
              <w:t>نتیجه بحث</w:t>
            </w:r>
            <w:r>
              <w:rPr>
                <w:rStyle w:val="IndexLink"/>
                <w:rtl w:val="true"/>
              </w:rPr>
              <w:tab/>
            </w:r>
            <w:r>
              <w:rPr>
                <w:rStyle w:val="IndexLink"/>
              </w:rPr>
              <w:t>505</w:t>
            </w:r>
          </w:hyperlink>
        </w:p>
        <w:p>
          <w:pPr>
            <w:pStyle w:val="Contents4"/>
            <w:tabs>
              <w:tab w:val="clear" w:pos="8176"/>
              <w:tab w:val="right" w:pos="9026" w:leader="dot"/>
            </w:tabs>
            <w:rPr/>
          </w:pPr>
          <w:hyperlink w:anchor="__RefHeading___Toc1260018_1468164448">
            <w:r>
              <w:rPr>
                <w:webHidden/>
                <w:rStyle w:val="IndexLink"/>
              </w:rPr>
              <w:t>6</w:t>
            </w:r>
            <w:r>
              <w:rPr>
                <w:rStyle w:val="IndexLink"/>
                <w:rtl w:val="true"/>
              </w:rPr>
              <w:t xml:space="preserve">- </w:t>
            </w:r>
            <w:r>
              <w:rPr>
                <w:rStyle w:val="IndexLink"/>
                <w:rtl w:val="true"/>
              </w:rPr>
              <w:t>برنامه‌ریزی دقیق و منظّم</w:t>
            </w:r>
            <w:r>
              <w:rPr>
                <w:rStyle w:val="IndexLink"/>
                <w:rtl w:val="true"/>
              </w:rPr>
              <w:tab/>
            </w:r>
            <w:r>
              <w:rPr>
                <w:rStyle w:val="IndexLink"/>
              </w:rPr>
              <w:t>505</w:t>
            </w:r>
          </w:hyperlink>
        </w:p>
        <w:p>
          <w:pPr>
            <w:pStyle w:val="Contents4"/>
            <w:tabs>
              <w:tab w:val="clear" w:pos="8176"/>
              <w:tab w:val="right" w:pos="9026" w:leader="dot"/>
            </w:tabs>
            <w:rPr/>
          </w:pPr>
          <w:hyperlink w:anchor="__RefHeading___Toc1260020_1468164448">
            <w:r>
              <w:rPr>
                <w:webHidden/>
                <w:rStyle w:val="IndexLink"/>
              </w:rPr>
              <w:t>7</w:t>
            </w:r>
            <w:r>
              <w:rPr>
                <w:rStyle w:val="IndexLink"/>
                <w:rtl w:val="true"/>
              </w:rPr>
              <w:t xml:space="preserve">- </w:t>
            </w:r>
            <w:r>
              <w:rPr>
                <w:rStyle w:val="IndexLink"/>
                <w:rtl w:val="true"/>
              </w:rPr>
              <w:t>حمایت از کودکان استثنایی در قانون اساسی و اعلامیه‌های جهانی</w:t>
            </w:r>
            <w:r>
              <w:rPr>
                <w:rStyle w:val="IndexLink"/>
                <w:rtl w:val="true"/>
              </w:rPr>
              <w:tab/>
            </w:r>
            <w:r>
              <w:rPr>
                <w:rStyle w:val="IndexLink"/>
              </w:rPr>
              <w:t>507</w:t>
            </w:r>
          </w:hyperlink>
        </w:p>
        <w:p>
          <w:pPr>
            <w:pStyle w:val="Contents2"/>
            <w:tabs>
              <w:tab w:val="clear" w:pos="8743"/>
              <w:tab w:val="right" w:pos="9026" w:leader="dot"/>
            </w:tabs>
            <w:rPr/>
          </w:pPr>
          <w:hyperlink w:anchor="__RefHeading___Toc1260022_1468164448">
            <w:r>
              <w:rPr>
                <w:webHidden/>
                <w:rStyle w:val="IndexLink"/>
                <w:rtl w:val="true"/>
              </w:rPr>
              <w:t>فهرست منابع</w:t>
            </w:r>
            <w:r>
              <w:rPr>
                <w:rStyle w:val="IndexLink"/>
                <w:rtl w:val="true"/>
              </w:rPr>
              <w:tab/>
            </w:r>
            <w:r>
              <w:rPr>
                <w:rStyle w:val="IndexLink"/>
              </w:rPr>
              <w:t>508</w:t>
            </w:r>
          </w:hyperlink>
        </w:p>
        <w:p>
          <w:pPr>
            <w:pStyle w:val="Contents3"/>
            <w:tabs>
              <w:tab w:val="clear" w:pos="8459"/>
              <w:tab w:val="right" w:pos="9026" w:leader="dot"/>
            </w:tabs>
            <w:rPr/>
          </w:pPr>
          <w:hyperlink w:anchor="__RefHeading___Toc1260024_1468164448">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1260026_1468164448">
            <w:r>
              <w:rPr>
                <w:webHidden/>
                <w:rStyle w:val="IndexLink"/>
                <w:rtl w:val="true"/>
              </w:rPr>
              <w:t xml:space="preserve">الف </w:t>
            </w:r>
            <w:r>
              <w:rPr>
                <w:rStyle w:val="IndexLink"/>
                <w:rtl w:val="true"/>
              </w:rPr>
              <w:t xml:space="preserve">- </w:t>
            </w:r>
            <w:r>
              <w:rPr>
                <w:rStyle w:val="IndexLink"/>
                <w:rtl w:val="true"/>
              </w:rPr>
              <w:t>منابع تفسیری</w:t>
            </w:r>
            <w:r>
              <w:rPr>
                <w:rStyle w:val="IndexLink"/>
                <w:rtl w:val="true"/>
              </w:rPr>
              <w:tab/>
            </w:r>
            <w:r>
              <w:rPr>
                <w:rStyle w:val="IndexLink"/>
              </w:rPr>
              <w:t>509</w:t>
            </w:r>
          </w:hyperlink>
        </w:p>
        <w:p>
          <w:pPr>
            <w:pStyle w:val="Contents3"/>
            <w:tabs>
              <w:tab w:val="clear" w:pos="8459"/>
              <w:tab w:val="right" w:pos="9026" w:leader="dot"/>
            </w:tabs>
            <w:rPr/>
          </w:pPr>
          <w:hyperlink w:anchor="__RefHeading___Toc1260028_1468164448">
            <w:r>
              <w:rPr>
                <w:webHidden/>
                <w:rStyle w:val="IndexLink"/>
                <w:rtl w:val="true"/>
              </w:rPr>
              <w:t xml:space="preserve">ب </w:t>
            </w:r>
            <w:r>
              <w:rPr>
                <w:rStyle w:val="IndexLink"/>
                <w:rtl w:val="true"/>
              </w:rPr>
              <w:t xml:space="preserve">- </w:t>
            </w:r>
            <w:r>
              <w:rPr>
                <w:rStyle w:val="IndexLink"/>
                <w:rtl w:val="true"/>
              </w:rPr>
              <w:t>منابع فقهی</w:t>
            </w:r>
            <w:r>
              <w:rPr>
                <w:rStyle w:val="IndexLink"/>
                <w:rtl w:val="true"/>
              </w:rPr>
              <w:tab/>
            </w:r>
            <w:r>
              <w:rPr>
                <w:rStyle w:val="IndexLink"/>
              </w:rPr>
              <w:t>510</w:t>
            </w:r>
          </w:hyperlink>
        </w:p>
        <w:p>
          <w:pPr>
            <w:pStyle w:val="Contents3"/>
            <w:tabs>
              <w:tab w:val="clear" w:pos="8459"/>
              <w:tab w:val="right" w:pos="9026" w:leader="dot"/>
            </w:tabs>
            <w:rPr/>
          </w:pPr>
          <w:hyperlink w:anchor="__RefHeading___Toc1260030_1468164448">
            <w:r>
              <w:rPr>
                <w:webHidden/>
                <w:rStyle w:val="IndexLink"/>
                <w:rtl w:val="true"/>
              </w:rPr>
              <w:t xml:space="preserve">ج </w:t>
            </w:r>
            <w:r>
              <w:rPr>
                <w:rStyle w:val="IndexLink"/>
                <w:rtl w:val="true"/>
              </w:rPr>
              <w:t xml:space="preserve">- </w:t>
            </w:r>
            <w:r>
              <w:rPr>
                <w:rStyle w:val="IndexLink"/>
                <w:rtl w:val="true"/>
              </w:rPr>
              <w:t>منابع حقوقی</w:t>
            </w:r>
            <w:r>
              <w:rPr>
                <w:rStyle w:val="IndexLink"/>
                <w:rtl w:val="true"/>
              </w:rPr>
              <w:tab/>
            </w:r>
            <w:r>
              <w:rPr>
                <w:rStyle w:val="IndexLink"/>
              </w:rPr>
              <w:t>538</w:t>
            </w:r>
          </w:hyperlink>
        </w:p>
        <w:p>
          <w:pPr>
            <w:pStyle w:val="Contents2"/>
            <w:tabs>
              <w:tab w:val="clear" w:pos="8743"/>
              <w:tab w:val="right" w:pos="9026" w:leader="dot"/>
            </w:tabs>
            <w:rPr/>
          </w:pPr>
          <w:hyperlink w:anchor="__RefHeading___Toc1260032_1468164448">
            <w:r>
              <w:rPr>
                <w:webHidden/>
                <w:rStyle w:val="IndexLink"/>
                <w:rtl w:val="true"/>
              </w:rPr>
              <w:t>نمایه</w:t>
            </w:r>
            <w:r>
              <w:rPr>
                <w:rStyle w:val="IndexLink"/>
                <w:rtl w:val="true"/>
              </w:rPr>
              <w:tab/>
            </w:r>
            <w:r>
              <w:rPr>
                <w:rStyle w:val="IndexLink"/>
              </w:rPr>
              <w:t>541</w:t>
            </w:r>
          </w:hyperlink>
        </w:p>
        <w:p>
          <w:pPr>
            <w:pStyle w:val="Contents3"/>
            <w:tabs>
              <w:tab w:val="clear" w:pos="8459"/>
              <w:tab w:val="right" w:pos="9026" w:leader="dot"/>
            </w:tabs>
            <w:rPr/>
          </w:pPr>
          <w:hyperlink w:anchor="__RefHeading___Toc1260034_1468164448">
            <w:r>
              <w:rPr>
                <w:webHidden/>
                <w:rStyle w:val="IndexLink"/>
                <w:rtl w:val="true"/>
              </w:rPr>
              <w:t>اشاره</w:t>
            </w:r>
            <w:r>
              <w:rPr>
                <w:rStyle w:val="IndexLink"/>
                <w:rtl w:val="true"/>
              </w:rPr>
              <w:tab/>
            </w:r>
            <w:r>
              <w:rPr>
                <w:rStyle w:val="IndexLink"/>
              </w:rPr>
              <w:t>541</w:t>
            </w:r>
          </w:hyperlink>
        </w:p>
        <w:p>
          <w:pPr>
            <w:pStyle w:val="Contents3"/>
            <w:tabs>
              <w:tab w:val="clear" w:pos="8459"/>
              <w:tab w:val="right" w:pos="9026" w:leader="dot"/>
            </w:tabs>
            <w:rPr/>
          </w:pPr>
          <w:hyperlink w:anchor="__RefHeading___Toc1260036_1468164448">
            <w:r>
              <w:rPr>
                <w:webHidden/>
                <w:rStyle w:val="IndexLink"/>
                <w:rtl w:val="true"/>
              </w:rPr>
              <w:t>آیات</w:t>
            </w:r>
            <w:r>
              <w:rPr>
                <w:rStyle w:val="IndexLink"/>
                <w:rtl w:val="true"/>
              </w:rPr>
              <w:tab/>
            </w:r>
            <w:r>
              <w:rPr>
                <w:rStyle w:val="IndexLink"/>
              </w:rPr>
              <w:t>542</w:t>
            </w:r>
          </w:hyperlink>
        </w:p>
        <w:p>
          <w:pPr>
            <w:pStyle w:val="Contents3"/>
            <w:tabs>
              <w:tab w:val="clear" w:pos="8459"/>
              <w:tab w:val="right" w:pos="9026" w:leader="dot"/>
            </w:tabs>
            <w:rPr/>
          </w:pPr>
          <w:hyperlink w:anchor="__RefHeading___Toc1260038_1468164448">
            <w:r>
              <w:rPr>
                <w:webHidden/>
                <w:rStyle w:val="IndexLink"/>
                <w:rtl w:val="true"/>
              </w:rPr>
              <w:t>روایات</w:t>
            </w:r>
            <w:r>
              <w:rPr>
                <w:rStyle w:val="IndexLink"/>
                <w:rtl w:val="true"/>
              </w:rPr>
              <w:tab/>
            </w:r>
            <w:r>
              <w:rPr>
                <w:rStyle w:val="IndexLink"/>
              </w:rPr>
              <w:t>547</w:t>
            </w:r>
          </w:hyperlink>
        </w:p>
        <w:p>
          <w:pPr>
            <w:pStyle w:val="Contents3"/>
            <w:tabs>
              <w:tab w:val="clear" w:pos="8459"/>
              <w:tab w:val="right" w:pos="9026" w:leader="dot"/>
            </w:tabs>
            <w:rPr/>
          </w:pPr>
          <w:hyperlink w:anchor="__RefHeading___Toc1260040_1468164448">
            <w:r>
              <w:rPr>
                <w:webHidden/>
                <w:rStyle w:val="IndexLink"/>
                <w:rtl w:val="true"/>
              </w:rPr>
              <w:t>اصطلاحات</w:t>
            </w:r>
            <w:r>
              <w:rPr>
                <w:rStyle w:val="IndexLink"/>
                <w:rtl w:val="true"/>
              </w:rPr>
              <w:tab/>
            </w:r>
            <w:r>
              <w:rPr>
                <w:rStyle w:val="IndexLink"/>
              </w:rPr>
              <w:t>563</w:t>
            </w:r>
          </w:hyperlink>
        </w:p>
        <w:p>
          <w:pPr>
            <w:pStyle w:val="Contents3"/>
            <w:tabs>
              <w:tab w:val="clear" w:pos="8459"/>
              <w:tab w:val="right" w:pos="9026" w:leader="dot"/>
            </w:tabs>
            <w:rPr/>
          </w:pPr>
          <w:hyperlink w:anchor="__RefHeading___Toc1260042_1468164448">
            <w:r>
              <w:rPr>
                <w:webHidden/>
                <w:rStyle w:val="IndexLink"/>
                <w:rtl w:val="true"/>
              </w:rPr>
              <w:t>اعلام</w:t>
            </w:r>
            <w:r>
              <w:rPr>
                <w:rStyle w:val="IndexLink"/>
                <w:rtl w:val="true"/>
              </w:rPr>
              <w:tab/>
            </w:r>
            <w:r>
              <w:rPr>
                <w:rStyle w:val="IndexLink"/>
              </w:rPr>
              <w:t>570</w:t>
            </w:r>
          </w:hyperlink>
        </w:p>
        <w:p>
          <w:pPr>
            <w:pStyle w:val="Contents3"/>
            <w:tabs>
              <w:tab w:val="clear" w:pos="8459"/>
              <w:tab w:val="right" w:pos="9026" w:leader="dot"/>
            </w:tabs>
            <w:rPr/>
          </w:pPr>
          <w:hyperlink w:anchor="__RefHeading___Toc1260044_1468164448">
            <w:r>
              <w:rPr>
                <w:webHidden/>
                <w:rStyle w:val="IndexLink"/>
                <w:rtl w:val="true"/>
              </w:rPr>
              <w:t>اماکن</w:t>
            </w:r>
            <w:r>
              <w:rPr>
                <w:rStyle w:val="IndexLink"/>
                <w:rtl w:val="true"/>
              </w:rPr>
              <w:tab/>
            </w:r>
            <w:r>
              <w:rPr>
                <w:rStyle w:val="IndexLink"/>
              </w:rPr>
              <w:t>574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13_164289"/>
      <w:bookmarkStart w:id="1" w:name="pg13713_164289"/>
      <w:bookmarkEnd w:id="1"/>
    </w:p>
    <w:p>
      <w:pPr>
        <w:pStyle w:val="Heading2"/>
        <w:numPr>
          <w:ilvl w:val="1"/>
          <w:numId w:val="1"/>
        </w:numPr>
        <w:rPr/>
      </w:pPr>
      <w:bookmarkStart w:id="2" w:name="pg13713_164289"/>
      <w:bookmarkStart w:id="3" w:name="__RefHeading___Toc1259312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الله انصاری</w:t>
      </w:r>
    </w:p>
    <w:p>
      <w:pPr>
        <w:pStyle w:val="BookText"/>
        <w:rPr/>
      </w:pPr>
      <w:r>
        <w:rPr>
          <w:rFonts w:ascii="IRNazanin" w:hAnsi="IRNazanin" w:eastAsia="IRNazanin"/>
          <w:color w:val="111111"/>
          <w:sz w:val="28"/>
          <w:sz w:val="28"/>
          <w:szCs w:val="28"/>
          <w:rtl w:val="true"/>
          <w:lang w:bidi="fa-IR"/>
        </w:rPr>
        <w:t>مرکز فقهی ائمه اطهار علیهم السلام</w:t>
      </w:r>
    </w:p>
    <w:p>
      <w:pPr>
        <w:pStyle w:val="BookText"/>
        <w:rPr/>
      </w:pPr>
      <w:r>
        <w:rPr>
          <w:rFonts w:ascii="IRNazanin" w:hAnsi="IRNazanin" w:eastAsia="IRNazanin"/>
          <w:color w:val="111111"/>
          <w:sz w:val="28"/>
          <w:sz w:val="28"/>
          <w:szCs w:val="28"/>
          <w:rtl w:val="true"/>
          <w:lang w:bidi="fa-IR"/>
        </w:rPr>
        <w:t>معاونت پژوهش</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قدرت‌الله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حقوق کودکان در اسلام برگرفته از موسوعه احکام الاطفال و ادلتها محمدجواد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قدرت الله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محمدجواد،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موسوعه احکام الاطفال و ادلتها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مقارنه تفصیلیه بین مذهب الامامیه و المذاهب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3093083</w:t>
      </w:r>
    </w:p>
    <w:p>
      <w:pPr>
        <w:pStyle w:val="BookText"/>
        <w:rPr/>
      </w:pPr>
      <w:r>
        <w:rPr>
          <w:rFonts w:ascii="IRNazanin" w:hAnsi="IRNazanin" w:eastAsia="IRNazanin"/>
          <w:color w:val="111111"/>
          <w:sz w:val="28"/>
          <w:sz w:val="28"/>
          <w:szCs w:val="28"/>
          <w:rtl w:val="true"/>
          <w:lang w:bidi="fa-IR"/>
        </w:rPr>
        <w:t xml:space="preserve">احکام و حقوق کودکان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الله انصاری</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فقهی ائمه اطهار علیهم السلام</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مقدادی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معلم، مرکز فقهی ائمه اطهار علیهم السلام،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7832303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7749494</w:t>
      </w:r>
    </w:p>
    <w:p>
      <w:pPr>
        <w:pStyle w:val="BookText"/>
        <w:rPr/>
      </w:pPr>
      <w:r>
        <w:rPr>
          <w:rFonts w:ascii="IRNazanin" w:hAnsi="IRNazanin" w:eastAsia="IRNazanin"/>
          <w:color w:val="111111"/>
          <w:sz w:val="28"/>
          <w:sz w:val="28"/>
          <w:szCs w:val="28"/>
          <w:rtl w:val="true"/>
          <w:lang w:bidi="fa-IR"/>
        </w:rPr>
        <w:t xml:space="preserve">قم شعبه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ارم، جنب مدرسه کرمانی‌ها،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7744281</w:t>
      </w:r>
    </w:p>
    <w:p>
      <w:pPr>
        <w:pStyle w:val="BookText"/>
        <w:rPr/>
      </w:pPr>
      <w:r>
        <w:rPr>
          <w:rFonts w:ascii="IRNazanin" w:hAnsi="IRNazanin" w:eastAsia="IRNazanin"/>
          <w:color w:val="111111"/>
          <w:sz w:val="28"/>
          <w:sz w:val="28"/>
          <w:szCs w:val="28"/>
          <w:rtl w:val="true"/>
          <w:lang w:bidi="fa-IR"/>
        </w:rPr>
        <w:t>شعبه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سه‌راه ضرّابخانه، پاسداران، خیابان شهید کاشی‌ها، پلاک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22843965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9314_1468164448"/>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احکام و حقوق کودکان در اسلام برگرفته از موسوعه احکام الاطفال و ادلتها محمدجواد فاضل لنکرانی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قدرت الله انصاری</w:t>
      </w:r>
      <w:bookmarkStart w:id="7" w:name="pg13713_164293"/>
    </w:p>
    <w:p>
      <w:pPr>
        <w:pStyle w:val="Heading2"/>
        <w:numPr>
          <w:ilvl w:val="1"/>
          <w:numId w:val="1"/>
        </w:numPr>
        <w:rPr/>
      </w:pPr>
      <w:bookmarkStart w:id="8" w:name="__RefHeading___Toc1259316_1468164448"/>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 xml:space="preserve">ولایت بر اموال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اموال کودک توسط اولیا</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جدّ پدری، وصی، قیّم و حاکم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پدر و جدّ پدری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فقهی ولایت بر اموال صغار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چند مطلب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پدر و جدّ پدری بر اموال کودک در حقوق مدنی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وصی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فقهی ولایت وصی بر اموال صغار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وصی بر اموال صغار در حقوق مدنی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وکیل پدر، و یا جدّ پدری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حاکم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ولایت حاکم بر اموال ایتام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قضات و مؤمنین عادل بر اموال ایتام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حاکم و قضات در حقوق مدنی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ولایتِ اولیا بر اموال صغار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احراز مصلحت یا عدم مفسده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نفوذ تصرّفات خالی از مصلحت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مصلحت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مدنی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تصرّف اولیا در اموال صغار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خرید و فروش و تجارت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مصالحه در اموال کودک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مضاربه در اموال کودک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 گذاردن اموال کودک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تصرفات ولی قهری به نفع خود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اجاره اموال کودک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الزحمه ولی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حق‌الزحمه ولی در حقوق مدنی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استیفای حقوق مختلف کودک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موارد سقوط ولایت اولیا بر اموال صغار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 xml:space="preserve">ولایت بر نکاح صغار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جدّ پدری، وصی و حاکم بر نکاح صغار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پدر و جدّ پدری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ولایت پدر و جدّ پدری بر تزویج صغار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چند مطلب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پدر و جدّ پدری بر تزویج صغار در حقوق مدنی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وصی بر نکاح صغار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حاکم بر نکاح صغار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ولی در اعمال ولایت بر نکاح صغار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مصلحت در نکاح صغار از دیدگاه قانون مدنی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وآثار نکاح صغار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مهریّه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ازدواج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اختیار بر فسخ نکاح بعد از بلوغ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نزدیکی با زوجه صغیره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نزدیکی با زوجه صغیره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پرداخت نفقه زوجه صغیره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مصلحت در نکاح صغار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توارث بین صغیرین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مسأله ولایت بر ازدواج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ایراد بر ولایت بر ازدواج صغار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مترقّی بودن حکم ولایت بر نکاح صغار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مسأله ازدواج جوانان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 xml:space="preserve">اعتقادات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 و طهارت روحی کودک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روحی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توحیدی در قرآن و احادیث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فطرت توحیدی جاذبه‌ای نیرومند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فطری و واقعی بودن فطرت توحیدی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جسمی کودک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تبعیّت کودک از پدر و مادر مسلمان خود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تبعیّت کودک از پدر و مادر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تبعیّت کودک از دار الاسلام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طهارت کودک با پذیرش اسلام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عقیده در کنوانسیون حقوق کودک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احکام مذهبی نسبت به کودک فوت شده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تلقین محتضر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خواباندن محتضر به طرف قبله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غسل میّت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غسلِ کودکِ سقط شده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تکفین، حنوط و دفن کودک میّت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میّت، بر کودک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 xml:space="preserve">عبادات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کودک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عبادات کودک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نماز کودک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 لزوم رعایت شرایط در نماز کودک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شرایط و اجزاء استثناء شده در نماز کودک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اذان و اقامه توسط کودک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انعقاد نماز جماعت با کودک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انعقاد نماز جمعه با کودک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کودک در نماز واجب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کودک در نماز مستحب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کودک در نماز مستحبی برای غیر بالغ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قضای نماز میّت نسبت به کودک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ادلّه این نظریّه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نمودن کودک در نماز و روزه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انجام عبادات به نیابت از والدین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تبعیّت کودک از والدین در وطن و سفر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اعراض کودک از وطن والدین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کودک در سفر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کودک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مسأله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استحباب روزه برای کودک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روزه کودک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عادت دادن کودک به روزه‌داری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تمرین روزه‌گیری توسط کودک </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کودک در ماه رمضان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اعتکاف کودک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اعتکاف و دلیل استحباب آن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اتمام اعتکاف در روز سوّم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محرّمات اعتکاف نسبت به کودک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اموال کودک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زکات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زکات غلّات و حیوان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پرداخت زکات از سرمایه تجاری کودک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زکات در دیگر اموال کودک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وجوب زکات فطره بر کودک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اموال کودک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مسأله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نبودن بلوغ در برخی از موارد خمس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تعلّق خمس به بعضی از اموال کودک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 بودن بلوغ در وجوب خمس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شرط بلوغ در وجوب خمس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کودک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حج و اهمّیت آن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وجوب حج بر کودک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حج کودک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حج برای کودک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استحباب حج برای کودک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واداشتن کودک به انجام حج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عمره برای کودک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اولیای کودک در حج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مادر در حج کودک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تعمیم ولایت در حج کودک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ولی کودک در حج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حج کودک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میقات احرام کودک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محرّمات احرام نسبت به کودک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استفاده از سایه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کفّاره احرام نسبت به کودک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 انجام مناسک حج توسط کودک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طواف نسبت به کودک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طواف کودک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در حج کودک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نساء در حج کودک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ترک طواف نساء نسبت به کودک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بطلان حج نسبت به کودک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هزینه قضای حج کودک و زمان آن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بلوغ کودک در اثنای مناسک حج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دو فرع پیرامون حج کودک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کودک در حج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کردن پاداش حج توسط کودک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نیابت از کودک در حج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جهاد نسبت به کودک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جهاد و اهمّیت آن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مشروعیّت جهاد برای کودک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چند فرع فقهی پیرامون جهاد کودک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نسبت به کودک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و اهمّیت این دو فریضه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کفایی یا عینی بودن این دو فریضه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عقلی یا تعبدی بودن این دو فریضه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امر به معروف و نهی از منکر توسط کودک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امر به معروف و نهی از منکر بر کودک به حکم عقل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سلام نسبت به کودک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سلام و تحیّت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سلام در حقّ کودک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پاسخ به سلام کودک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فصل سیزدهم</w:t>
      </w:r>
    </w:p>
    <w:p>
      <w:pPr>
        <w:pStyle w:val="BookText"/>
        <w:rPr/>
      </w:pPr>
      <w:r>
        <w:rPr>
          <w:rFonts w:ascii="IRNazanin" w:hAnsi="IRNazanin" w:eastAsia="IRNazanin"/>
          <w:color w:val="111111"/>
          <w:sz w:val="28"/>
          <w:sz w:val="28"/>
          <w:szCs w:val="28"/>
          <w:rtl w:val="true"/>
          <w:lang w:bidi="fa-IR"/>
        </w:rPr>
        <w:t xml:space="preserve">تصرفات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توسط کودک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تصرّف و قلمرو آن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بطلان خرید و فروش توسط کودک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خرید و فروش کودک با اذن ولی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دیدگاه‌های دیگر در مورد خرید و فروش توسط کودک در این مسأله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فقهی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معامله توسط کودک در حقوق مدنی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رهن توسط کودک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رهن در لغت و اصطلاح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صحّت رهن توسط کودک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 کودک در قانون مدنی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کفالت، حواله، صلح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ضمان در لغت و اصطلاح </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صحّت ضمانت کودک </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در حقوق مدنی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حواله در لغت و اصطلاح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صحّت حواله کودک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حواله در حقوق مدنی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کفالت در لغت و اصطلاح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کفالت از کودک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کفالت در حقوق مدنی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صلح در لغت و اصطلاح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صلح کودک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مضاربه، مزارعه، ودیعه، عاریه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lang w:bidi="fa-IR"/>
        </w:rPr>
        <w:t>255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وقف، هبه، صدقه، اجاره و اقرار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اراضی موات و حیازت اشیاء مباحه و سبقت نسبت به آن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احیای موات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غصب، وصیّت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کودک در برابر بهره کشی اقتصادی و ممنوعیت به کارگیری او در کارهای سخت و زیان‌آور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مسأله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کار در اسلام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کار کودک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پیامدهای کار کودکان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اسلام نسبت به کار کودک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مقرّرات خاص برای حمایت از کودک در قوانین کار جمهوری اسلامی ایران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حقوق کاری کودک و نوجوان در اسناد فراملّی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فصل چهاردهم</w:t>
      </w:r>
    </w:p>
    <w:p>
      <w:pPr>
        <w:pStyle w:val="BookText"/>
        <w:rPr/>
      </w:pPr>
      <w:r>
        <w:rPr>
          <w:rFonts w:ascii="IRNazanin" w:hAnsi="IRNazanin" w:eastAsia="IRNazanin"/>
          <w:color w:val="111111"/>
          <w:sz w:val="28"/>
          <w:sz w:val="28"/>
          <w:szCs w:val="28"/>
          <w:rtl w:val="true"/>
          <w:lang w:bidi="fa-IR"/>
        </w:rPr>
        <w:t>اقرار، قضا، شهادت، دعاوی، اجتهاد، تقلید</w:t>
      </w:r>
    </w:p>
    <w:p>
      <w:pPr>
        <w:pStyle w:val="BookText"/>
        <w:rPr/>
      </w:pPr>
      <w:r>
        <w:rPr>
          <w:rFonts w:ascii="IRNazanin" w:hAnsi="IRNazanin" w:eastAsia="IRNazanin"/>
          <w:color w:val="111111"/>
          <w:sz w:val="28"/>
          <w:sz w:val="28"/>
          <w:szCs w:val="28"/>
          <w:rtl w:val="true"/>
          <w:lang w:bidi="fa-IR"/>
        </w:rPr>
        <w:t xml:space="preserve">و روایت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اقرار در لغت و اصطلاح </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اقرار نسبت به کودک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اقرار کودک در قانون مدنی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کودک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مفهوم قضا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قضاوت </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اهلیت کودک برای قضاوت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گفتارسوم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مفهوم شهادت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پذیرش شهادت کودک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شرایط شهادت کودک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کودک در حقوق مدنی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فرد بالغ نسبت به دوران کودکی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گفتارچهارم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دعاوی کودک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دعوی در لغت و اصطلاح </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اهلیّت کودک برای اقامه دعوا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ادّله عدم اهلیّت کودک برای اقامه دعوا </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تفصیل در مسأله </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شرط بلوغ در خوانده </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اهلیّت اقامه دعوی در حقوق مدنی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تقلید و نقل روایت توسط کودک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اجتهاد </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مفهوم تقلید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رسیدن کودک به مرتبه اجتهاد </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اعتبار فتوای کودک </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صحت تقلید کودک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قبول روایت کودک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در مسأله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معیار در شرایط راوی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فصل پانزدهم</w:t>
      </w:r>
    </w:p>
    <w:p>
      <w:pPr>
        <w:pStyle w:val="BookText"/>
        <w:rPr/>
      </w:pPr>
      <w:r>
        <w:rPr>
          <w:rFonts w:ascii="IRNazanin" w:hAnsi="IRNazanin" w:eastAsia="IRNazanin"/>
          <w:color w:val="111111"/>
          <w:sz w:val="28"/>
          <w:sz w:val="28"/>
          <w:szCs w:val="28"/>
          <w:rtl w:val="true"/>
          <w:lang w:bidi="fa-IR"/>
        </w:rPr>
        <w:t xml:space="preserve">جنایت علیه کودک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علیه نفس و اعضای کودک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موضوع و اهمیت آن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کودک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قصاص بالغ به جهت قتل کودک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قصاص قاتل کودک از دیدگاه قانون مجازات اسلامی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وجوب کفّاره در قتل کودک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جنایت بر اعضای کودک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جنایت بر دندان کودک </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جنایت بر آلت تناسلی کودک </w:t>
      </w:r>
      <w:r>
        <w:rPr>
          <w:rFonts w:eastAsia="IRNazanin" w:cs="IRNazanin"/>
          <w:color w:val="111111"/>
          <w:sz w:val="28"/>
          <w:szCs w:val="28"/>
          <w:lang w:bidi="fa-IR"/>
        </w:rPr>
        <w:t>369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حق کودک در اخذ دیه و عفو از قصاص نسبت به وی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در قصاص و اخذ دیه </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ولی از قصاص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دیه کودک در حین آموزش مهارت‌ها و فنون مختلف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رعایت حق کودک با داشتن حق قصاص </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کودک با بالغ در حق قصاص </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قصاص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حبس قاتل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استیفای قصاص توسط کودک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منافی عفت با کودک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زنای بالغ با کودک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لواط با کودک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تعزیر بوسیدن کودک با انگیزه شهوانی </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فقهی مترتّب بر لواط با کودک </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این حکم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 چند مطلب در ارتباط با این حکم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تصریح قانون مدنی به مسأله مورد بحث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قذف کودک </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قذف کودک در قانون مجازات اسلامی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جنایات مختلف علیه کودک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ربایی </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رها کردن کودکان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سوء استفاده از کودکان در تکدّی گری </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 بزه دیده واقع شدن اطفال در زمینه تکدّی </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بزه دیدگی کودکان در جرایم مواد مخدّر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گمراه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مرتکبین جنایات علیه کودک در فقه </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مجازات جنایات علیه کودک در قوانین داخلی </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بین‌المللی از کودکان در برابر جرایم مواد مخدّر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فصل شانزدهم</w:t>
      </w:r>
    </w:p>
    <w:p>
      <w:pPr>
        <w:pStyle w:val="BookText"/>
        <w:rPr/>
      </w:pPr>
      <w:r>
        <w:rPr>
          <w:rFonts w:ascii="IRNazanin" w:hAnsi="IRNazanin" w:eastAsia="IRNazanin"/>
          <w:color w:val="111111"/>
          <w:sz w:val="28"/>
          <w:sz w:val="28"/>
          <w:szCs w:val="28"/>
          <w:rtl w:val="true"/>
          <w:lang w:bidi="fa-IR"/>
        </w:rPr>
        <w:t xml:space="preserve">بزهکاری کودکان و تأدیب آنها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بزهکاری و مسئولیت کودک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بزهکاری اطفال </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گسترش بزهکاری در بین کودکان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افزایش بزهکاری در بین کودکان و نوجوانان </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تأثیر هر یک از علل ذکر شده </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کودک و ارتکاب بزه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اجرای حدود بر کودک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اجرای تعزیر بر کودک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کیفری کودک در قانون مجازات اسلامی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و تنبیه کودک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تأدیب و تنبیه در لغت و اصطلاح </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جواز تأدیب کودک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نمونه‌هایی از تأدیب کودکان در روایات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کودکان بزه‌کار در اسناد بین‌المللی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تأدیب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امام و حاکم شرع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پدر و جدّ پدری بر تأدیب کودک و ادلّه آن </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وصی بر تأدیب کودک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وکیل بر تأدیب کودک </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ولایت معلّم بر تأدیب شاگرد </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تأدیب کودک به وسیله دادگاه اطفال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دادگاه اطفال در ایران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تأدیب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موضوع </w:t>
      </w:r>
      <w:r>
        <w:rPr>
          <w:rFonts w:eastAsia="IRNazanin" w:cs="IRNazanin"/>
          <w:color w:val="111111"/>
          <w:sz w:val="28"/>
          <w:szCs w:val="28"/>
          <w:lang w:bidi="fa-IR"/>
        </w:rPr>
        <w:t>459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تأدیب با ضرب </w:t>
      </w:r>
      <w:r>
        <w:rPr>
          <w:rFonts w:eastAsia="IRNazanin" w:cs="IRNazanin"/>
          <w:color w:val="111111"/>
          <w:sz w:val="28"/>
          <w:szCs w:val="28"/>
          <w:lang w:bidi="fa-IR"/>
        </w:rPr>
        <w:t>460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یادآوریهای مهم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مقدار تأدیب به وسیله معلّم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کودک در قانون مجازات اسلامی </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اخلاقی در تأدیب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خسارات بدنی ناشی از تأدیب </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ضمان در تأدیب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قتل توسط کودک یا مشارکت کودک در آن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ارتکاب قتل توسط کودک </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قاتل با اولیای مقتول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اشتراک کودک با بالغ در قتل </w:t>
      </w:r>
      <w:r>
        <w:rPr>
          <w:rFonts w:eastAsia="IRNazanin" w:cs="IRNazanin"/>
          <w:color w:val="111111"/>
          <w:sz w:val="28"/>
          <w:szCs w:val="28"/>
          <w:lang w:bidi="fa-IR"/>
        </w:rPr>
        <w:t>473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شدن کودک به قتل </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اکراه کودک به قتل </w:t>
      </w:r>
      <w:r>
        <w:rPr>
          <w:rFonts w:eastAsia="IRNazanin" w:cs="IRNazanin"/>
          <w:color w:val="111111"/>
          <w:sz w:val="28"/>
          <w:szCs w:val="28"/>
          <w:lang w:bidi="fa-IR"/>
        </w:rPr>
        <w:t>475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دیه جنایات کودک </w:t>
      </w:r>
      <w:r>
        <w:rPr>
          <w:rFonts w:eastAsia="IRNazanin" w:cs="IRNazanin"/>
          <w:color w:val="111111"/>
          <w:sz w:val="28"/>
          <w:szCs w:val="28"/>
          <w:lang w:bidi="fa-IR"/>
        </w:rPr>
        <w:t>476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تصادم دو کودک با یکدیگر </w:t>
      </w:r>
      <w:r>
        <w:rPr>
          <w:rFonts w:eastAsia="IRNazanin" w:cs="IRNazanin"/>
          <w:color w:val="111111"/>
          <w:sz w:val="28"/>
          <w:szCs w:val="28"/>
          <w:lang w:bidi="fa-IR"/>
        </w:rPr>
        <w:t>477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 فاقد عاقله </w:t>
      </w:r>
      <w:r>
        <w:rPr>
          <w:rFonts w:eastAsia="IRNazanin" w:cs="IRNazanin"/>
          <w:color w:val="111111"/>
          <w:sz w:val="28"/>
          <w:szCs w:val="28"/>
          <w:lang w:bidi="fa-IR"/>
        </w:rPr>
        <w:t>478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کفّاره قتل نسبت به کودک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فصل هفدهم</w:t>
      </w:r>
    </w:p>
    <w:p>
      <w:pPr>
        <w:pStyle w:val="BookText"/>
        <w:rPr/>
      </w:pPr>
      <w:r>
        <w:rPr>
          <w:rFonts w:ascii="IRNazanin" w:hAnsi="IRNazanin" w:eastAsia="IRNazanin"/>
          <w:color w:val="111111"/>
          <w:sz w:val="28"/>
          <w:sz w:val="28"/>
          <w:szCs w:val="28"/>
          <w:rtl w:val="true"/>
          <w:lang w:bidi="fa-IR"/>
        </w:rPr>
        <w:t xml:space="preserve">کودکان استثنایی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عوامل به وجود آمدن کودکان استثنایی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کودک استثنایی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آفرینش جهان در کامل‌ترین نظم ممکن </w:t>
      </w:r>
      <w:r>
        <w:rPr>
          <w:rFonts w:eastAsia="IRNazanin" w:cs="IRNazanin"/>
          <w:color w:val="111111"/>
          <w:sz w:val="28"/>
          <w:szCs w:val="28"/>
          <w:lang w:bidi="fa-IR"/>
        </w:rPr>
        <w:t>487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 تباط اعمال انسان با مصیبت‌ها و حوادث تلخ </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مؤثر در به وجود آمدن کودکان استثنایی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مراقبت‌های ویژه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شخصیت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برخورد دیگران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 از دستورات حیات بخش اسلام </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توصیه اسلام نسبت به کمک به مریض و یتیم </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برنامه‌ریزی دقیق و منظّم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حمایت از کودکان استثنایی در قانون اساسی و اعلامیه‌های جهانی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تفسیری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فقهی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حقوقی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نمایه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اعلام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اماکن</w:t>
      </w:r>
      <w:bookmarkStart w:id="10" w:name="pg13713_164305"/>
    </w:p>
    <w:p>
      <w:pPr>
        <w:pStyle w:val="Heading2"/>
        <w:numPr>
          <w:ilvl w:val="1"/>
          <w:numId w:val="1"/>
        </w:numPr>
        <w:rPr/>
      </w:pPr>
      <w:bookmarkStart w:id="11" w:name="__RefHeading___Toc1259318_1468164448"/>
      <w:bookmarkStart w:id="12" w:name="_Toc4"/>
      <w:bookmarkEnd w:id="10"/>
      <w:bookmarkEnd w:id="11"/>
      <w:r>
        <w:rPr>
          <w:rtl w:val="true"/>
        </w:rPr>
        <w:t>فصل نهم</w:t>
      </w:r>
      <w:r>
        <w:rPr>
          <w:rtl w:val="true"/>
        </w:rPr>
        <w:t xml:space="preserve">: </w:t>
      </w:r>
      <w:r>
        <w:rPr>
          <w:rtl w:val="true"/>
        </w:rPr>
        <w:t xml:space="preserve">ولایت بر اموال کودک </w:t>
      </w:r>
      <w:r>
        <w:rPr>
          <w:rtl w:val="true"/>
        </w:rPr>
        <w:t>(</w:t>
      </w:r>
      <w:r>
        <w:rPr>
          <w:rtl w:val="true"/>
        </w:rPr>
        <w:t>اداره اموال کودک توسط اولیا</w:t>
      </w:r>
      <w:r>
        <w:rPr>
          <w:rtl w:val="true"/>
        </w:rPr>
        <w:t>)</w:t>
      </w:r>
      <w:bookmarkEnd w:id="1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259320_1468164448"/>
      <w:bookmarkStart w:id="14" w:name="_Toc5"/>
      <w:bookmarkEnd w:id="13"/>
      <w:r>
        <w:rPr>
          <w:rtl w:val="true"/>
        </w:rPr>
        <w:t>اشاره</w:t>
      </w:r>
      <w:bookmarkStart w:id="15" w:name="pg13713_164307"/>
      <w:bookmarkEnd w:id="14"/>
    </w:p>
    <w:p>
      <w:pPr>
        <w:pStyle w:val="Heading3"/>
        <w:numPr>
          <w:ilvl w:val="2"/>
          <w:numId w:val="1"/>
        </w:numPr>
        <w:rPr/>
      </w:pPr>
      <w:bookmarkStart w:id="16" w:name="__RefHeading___Toc1259322_1468164448"/>
      <w:bookmarkStart w:id="17" w:name="_Toc6"/>
      <w:bookmarkEnd w:id="15"/>
      <w:bookmarkEnd w:id="16"/>
      <w:r>
        <w:rPr>
          <w:rtl w:val="true"/>
        </w:rPr>
        <w:t>گفتار اوّل</w:t>
      </w:r>
      <w:r>
        <w:rPr>
          <w:rtl w:val="true"/>
        </w:rPr>
        <w:t xml:space="preserve">: </w:t>
      </w:r>
      <w:r>
        <w:rPr>
          <w:rtl w:val="true"/>
        </w:rPr>
        <w:t>ولایت پدر، جدّ پدری، وصی، قیّم و حاکم</w:t>
      </w:r>
      <w:bookmarkEnd w:id="17"/>
    </w:p>
    <w:p>
      <w:pPr>
        <w:pStyle w:val="Heading4"/>
        <w:numPr>
          <w:ilvl w:val="3"/>
          <w:numId w:val="1"/>
        </w:numPr>
        <w:rPr/>
      </w:pPr>
      <w:bookmarkStart w:id="18" w:name="__RefHeading___Toc1259324_1468164448"/>
      <w:bookmarkStart w:id="19" w:name="_Toc7"/>
      <w:bookmarkEnd w:id="18"/>
      <w:r>
        <w:rPr/>
        <w:t>1</w:t>
      </w:r>
      <w:r>
        <w:rPr>
          <w:rtl w:val="true"/>
        </w:rPr>
        <w:t xml:space="preserve">- </w:t>
      </w:r>
      <w:r>
        <w:rPr>
          <w:rtl w:val="true"/>
        </w:rPr>
        <w:t>ولایت پدر و جدّ پدری</w:t>
      </w:r>
      <w:bookmarkEnd w:id="19"/>
    </w:p>
    <w:p>
      <w:pPr>
        <w:pStyle w:val="BookText"/>
        <w:rPr/>
      </w:pPr>
      <w:r>
        <w:rPr>
          <w:rFonts w:ascii="IRNazanin" w:hAnsi="IRNazanin" w:eastAsia="IRNazanin"/>
          <w:color w:val="111111"/>
          <w:sz w:val="28"/>
          <w:sz w:val="28"/>
          <w:szCs w:val="28"/>
          <w:rtl w:val="true"/>
          <w:lang w:bidi="fa-IR"/>
        </w:rPr>
        <w:t>پدر و جدّ پدری، در کلیه امور مربوط به اموال کودک، مانند حفاظت و نگهداری، خرید و فروش، اجاره، رهن، پرداخت دین، وصول طلب، نگهداری سرمایه در مکان مخصوص، افتتاح حساب بانکی، اقامه دعوی برای استیفای حقوق طفل، دفاع از دعوایی که بر علیه او اقامه شده و از این قبیل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زمان بلوغ او ولایت دارند و آثار اعمالی که به نمایندگی از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برای مولّی علیه است و دامنگیر او میشود، به عنوان مثال اگر مالی به نمایندگی از او بخرند، آن مال به ملکیت مولّی علیه در میآید و ثمن معامله از مال او پرداخت میشود، هم‌چنین اگر برای مولّی علیه وام بگیرند، اقساط وام از مال او پرداخت خواهد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ولایت به جعل الهی است، به این معنی که هر یک از آن‌ها ولی اجباری از طرف شارع میباشند، و مورد توافق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تدبیر امور صغیر و مجنون به دست پنج نفر میباشد، پدر و جدّ پدری، وصّی آنها، حاکم و امام و کسی که از طرف حاکم مأموریّت دارد</w:t>
      </w:r>
      <w:r>
        <w:rPr>
          <w:rFonts w:eastAsia="IRNazanin" w:cs="IRNazanin"/>
          <w:color w:val="111111"/>
          <w:sz w:val="28"/>
          <w:szCs w:val="28"/>
          <w:rtl w:val="true"/>
          <w:lang w:bidi="fa-IR"/>
        </w:rPr>
        <w:t>».</w:t>
      </w:r>
      <w:r>
        <w:rPr>
          <w:rStyle w:val="FootnoteAnchor"/>
          <w:rtl w:val="true"/>
        </w:rPr>
        <w:footnoteReference w:id="2"/>
      </w:r>
      <w:bookmarkStart w:id="20" w:name="pg13713_164308"/>
    </w:p>
    <w:p>
      <w:pPr>
        <w:pStyle w:val="BookText"/>
        <w:rPr/>
      </w:pPr>
      <w:bookmarkEnd w:id="20"/>
      <w:r>
        <w:rPr>
          <w:rFonts w:ascii="IRNazanin" w:hAnsi="IRNazanin" w:eastAsia="IRNazanin"/>
          <w:color w:val="111111"/>
          <w:sz w:val="28"/>
          <w:sz w:val="28"/>
          <w:szCs w:val="28"/>
          <w:rtl w:val="true"/>
          <w:lang w:bidi="fa-IR"/>
        </w:rPr>
        <w:t>هم‌چنین محقّق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انجام معاملات شرط است متعاقدین دارای عقل و اختیار باشند و نیز فروشنده، مالک یا ولی مالک باشد، مانند پدر، جدّ پدری، حاکم و امین وی و نیز وصی</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تعبیر در عبارات علاّمه حلّی</w:t>
      </w:r>
      <w:r>
        <w:rPr>
          <w:rStyle w:val="FootnoteAnchor"/>
          <w:rtl w:val="true"/>
        </w:rPr>
        <w:footnoteReference w:id="4"/>
      </w:r>
      <w:r>
        <w:rPr>
          <w:rFonts w:ascii="Amiri" w:hAnsi="Amiri" w:eastAsia="Amiri" w:cs="Amiri"/>
          <w:color w:val="111111"/>
          <w:sz w:val="28"/>
          <w:sz w:val="28"/>
          <w:szCs w:val="28"/>
          <w:rtl w:val="true"/>
          <w:lang w:bidi="ar-SA"/>
        </w:rPr>
        <w:t>، شهید اوّل</w:t>
      </w:r>
      <w:r>
        <w:rPr>
          <w:rStyle w:val="FootnoteAnchor"/>
          <w:rtl w:val="true"/>
        </w:rPr>
        <w:footnoteReference w:id="5"/>
      </w:r>
      <w:r>
        <w:rPr>
          <w:rFonts w:ascii="Amiri" w:hAnsi="Amiri" w:eastAsia="Amiri" w:cs="Amiri"/>
          <w:color w:val="111111"/>
          <w:sz w:val="28"/>
          <w:sz w:val="28"/>
          <w:szCs w:val="28"/>
          <w:rtl w:val="true"/>
          <w:lang w:bidi="ar-SA"/>
        </w:rPr>
        <w:t>، محقّق کرکی</w:t>
      </w:r>
      <w:r>
        <w:rPr>
          <w:rStyle w:val="FootnoteAnchor"/>
          <w:rtl w:val="true"/>
        </w:rPr>
        <w:footnoteReference w:id="6"/>
      </w:r>
      <w:r>
        <w:rPr>
          <w:rFonts w:ascii="IRNazanin" w:hAnsi="IRNazanin" w:eastAsia="IRNazanin"/>
          <w:color w:val="111111"/>
          <w:sz w:val="28"/>
          <w:sz w:val="28"/>
          <w:szCs w:val="28"/>
          <w:rtl w:val="true"/>
          <w:lang w:bidi="fa-IR"/>
        </w:rPr>
        <w:t>، شهیدثانی</w:t>
      </w:r>
      <w:r>
        <w:rPr>
          <w:rStyle w:val="FootnoteAnchor"/>
          <w:rtl w:val="true"/>
        </w:rPr>
        <w:footnoteReference w:id="7"/>
      </w:r>
      <w:r>
        <w:rPr>
          <w:rFonts w:ascii="IRNazanin" w:hAnsi="IRNazanin" w:eastAsia="IRNazanin"/>
          <w:color w:val="111111"/>
          <w:sz w:val="28"/>
          <w:sz w:val="28"/>
          <w:szCs w:val="28"/>
          <w:rtl w:val="true"/>
          <w:lang w:bidi="fa-IR"/>
        </w:rPr>
        <w:t>، محقّق اردبیلی</w:t>
      </w:r>
      <w:r>
        <w:rPr>
          <w:rStyle w:val="FootnoteAnchor"/>
          <w:rtl w:val="true"/>
        </w:rPr>
        <w:footnoteReference w:id="8"/>
      </w:r>
      <w:r>
        <w:rPr>
          <w:rFonts w:ascii="IRNazanin" w:hAnsi="IRNazanin" w:eastAsia="IRNazanin"/>
          <w:color w:val="111111"/>
          <w:sz w:val="28"/>
          <w:sz w:val="28"/>
          <w:szCs w:val="28"/>
          <w:rtl w:val="true"/>
          <w:lang w:bidi="fa-IR"/>
        </w:rPr>
        <w:t>و بسیاری از فقیهان معاصر</w:t>
      </w:r>
      <w:r>
        <w:rPr>
          <w:rStyle w:val="FootnoteAnchor"/>
          <w:rtl w:val="true"/>
        </w:rPr>
        <w:footnoteReference w:id="9"/>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تصرف در مال طفل و اعمال نظر در مصالح و شئون وی، برای پدر و جدّ پدری است و در غیاب این دو، قیّم و وصّی هر کدام از آن‌ها این مسئولیّت را به عهده خواهد داشت و در صورتیکه هیچ‌کدام از آن‌ها نباشند، حاکم شرع دارای این مسئولیّت است و در مرحله آخر، مؤمنین عادل احتیاطاً باید در این‌باره انجام وظیفه نمایند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این نظریّه در کتاب تفصیل الشریعه</w:t>
      </w:r>
      <w:r>
        <w:rPr>
          <w:rStyle w:val="FootnoteAnchor"/>
          <w:rtl w:val="true"/>
        </w:rPr>
        <w:footnoteReference w:id="11"/>
      </w:r>
      <w:r>
        <w:rPr>
          <w:rFonts w:ascii="IRNazanin" w:hAnsi="IRNazanin" w:eastAsia="IRNazanin"/>
          <w:color w:val="111111"/>
          <w:sz w:val="28"/>
          <w:sz w:val="28"/>
          <w:szCs w:val="28"/>
          <w:rtl w:val="true"/>
          <w:lang w:bidi="fa-IR"/>
        </w:rPr>
        <w:t>نیز مورد تأکید قرار گرفته است</w:t>
      </w:r>
      <w:r>
        <w:rPr>
          <w:rFonts w:eastAsia="IRNazanin" w:cs="IRNazanin"/>
          <w:color w:val="111111"/>
          <w:sz w:val="28"/>
          <w:szCs w:val="28"/>
          <w:rtl w:val="true"/>
          <w:lang w:bidi="fa-IR"/>
        </w:rPr>
        <w:t>.</w:t>
      </w:r>
    </w:p>
    <w:p>
      <w:pPr>
        <w:pStyle w:val="Heading4"/>
        <w:numPr>
          <w:ilvl w:val="3"/>
          <w:numId w:val="1"/>
        </w:numPr>
        <w:rPr/>
      </w:pPr>
      <w:bookmarkStart w:id="21" w:name="__RefHeading___Toc1259326_1468164448"/>
      <w:bookmarkStart w:id="22" w:name="_Toc8"/>
      <w:bookmarkEnd w:id="21"/>
      <w:r>
        <w:rPr/>
        <w:t>2</w:t>
      </w:r>
      <w:r>
        <w:rPr>
          <w:rtl w:val="true"/>
        </w:rPr>
        <w:t xml:space="preserve">- </w:t>
      </w:r>
      <w:r>
        <w:rPr>
          <w:rtl w:val="true"/>
        </w:rPr>
        <w:t>ادلّه فقهی ولایت بر اموال صغار</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Amiri" w:hAnsi="Amiri" w:eastAsia="Amiri" w:cs="Amiri"/>
          <w:color w:val="111111"/>
          <w:sz w:val="28"/>
          <w:sz w:val="28"/>
          <w:szCs w:val="28"/>
          <w:rtl w:val="true"/>
          <w:lang w:bidi="ar-SA"/>
        </w:rPr>
        <w:t>علاّمه حلّی</w:t>
      </w:r>
      <w:r>
        <w:rPr>
          <w:rStyle w:val="FootnoteAnchor"/>
          <w:rtl w:val="true"/>
        </w:rPr>
        <w:footnoteReference w:id="12"/>
      </w:r>
      <w:r>
        <w:rPr>
          <w:rFonts w:ascii="IRNazanin" w:hAnsi="IRNazanin" w:eastAsia="IRNazanin"/>
          <w:color w:val="111111"/>
          <w:sz w:val="28"/>
          <w:sz w:val="28"/>
          <w:szCs w:val="28"/>
          <w:rtl w:val="true"/>
          <w:lang w:bidi="fa-IR"/>
        </w:rPr>
        <w:t>و برخی دیگر از فقها</w:t>
      </w:r>
      <w:r>
        <w:rPr>
          <w:rStyle w:val="FootnoteAnchor"/>
          <w:rtl w:val="true"/>
        </w:rPr>
        <w:footnoteReference w:id="13"/>
      </w:r>
      <w:r>
        <w:rPr>
          <w:rFonts w:ascii="IRNazanin" w:hAnsi="IRNazanin" w:eastAsia="IRNazanin"/>
          <w:color w:val="111111"/>
          <w:sz w:val="28"/>
          <w:sz w:val="28"/>
          <w:szCs w:val="28"/>
          <w:rtl w:val="true"/>
          <w:lang w:bidi="fa-IR"/>
        </w:rPr>
        <w:t>در این‌باره ادعای اجماع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قطعی بین مسلمین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فقیهان</w:t>
      </w:r>
      <w:r>
        <w:rPr>
          <w:rStyle w:val="FootnoteAnchor"/>
          <w:rtl w:val="true"/>
        </w:rPr>
        <w:footnoteReference w:id="14"/>
      </w:r>
      <w:r>
        <w:rPr>
          <w:rFonts w:ascii="IRNazanin" w:hAnsi="IRNazanin" w:eastAsia="IRNazanin"/>
          <w:color w:val="111111"/>
          <w:sz w:val="28"/>
          <w:sz w:val="28"/>
          <w:szCs w:val="28"/>
          <w:rtl w:val="true"/>
          <w:lang w:bidi="fa-IR"/>
        </w:rPr>
        <w:t>در این باره به وجود سیره قطعی میان مسلمانان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w:t>
      </w:r>
    </w:p>
    <w:p>
      <w:pPr>
        <w:pStyle w:val="BookText"/>
        <w:rPr/>
      </w:pPr>
      <w:r>
        <w:rPr>
          <w:rFonts w:ascii="IRNazanin" w:hAnsi="IRNazanin" w:eastAsia="IRNazanin"/>
          <w:color w:val="111111"/>
          <w:sz w:val="28"/>
          <w:sz w:val="28"/>
          <w:szCs w:val="28"/>
          <w:rtl w:val="true"/>
          <w:lang w:bidi="fa-IR"/>
        </w:rPr>
        <w:t>روایات بسیاری در حدّ استفاضه، بلکه تواتر اجمالی در ابواب مختلف فقه وارد شده که بر ولایت پدر و جدّ پدری و وصی آن دو بر اموال صغار، دلالت دارند، این روایات به چند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w:t>
      </w:r>
      <w:r>
        <w:rPr>
          <w:rStyle w:val="FootnoteAnchor"/>
          <w:rtl w:val="true"/>
        </w:rPr>
        <w:footnoteReference w:id="15"/>
      </w:r>
      <w:r>
        <w:rPr>
          <w:rFonts w:ascii="IRNazanin" w:hAnsi="IRNazanin" w:eastAsia="IRNazanin"/>
          <w:color w:val="111111"/>
          <w:sz w:val="28"/>
          <w:sz w:val="28"/>
          <w:szCs w:val="28"/>
          <w:rtl w:val="true"/>
          <w:lang w:bidi="fa-IR"/>
        </w:rPr>
        <w:t>که دلالت دارند پدر و جدّ پدری بر نکاح و تزویج صغار دارای ولایت‌اند و در بخش بعد آنها را ذکر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به این دسته از روایات در مورد ولایت بر اموال استدلال نموده و در توضیح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 و جدّ پدری بر نکاح اطفال به استناد این روایات ثابت است، با این‌که نکاح از امور با اهمّیت است، بنابراین شبهه‌ای نیست که آن‌ها به استناد این روایات، در اموردیگر از جمله بر اموال اطفال که از اهمّیت کمتری برخوردار است، به اولویت قطعیّه ولایت دارند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دارند پدر، مالک فرزند و مالش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محمد بن مسلم با سند صحیح نقل میکند، از امام صادق علیه السلام سؤال نمودم، شخصی به مال فرزند خود نیازمند است، آیا میتواند از آن استفاده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میخواهد، مصرف نماید، البتّه نباید اسراف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 مِنْهُ ما شاءَ مِنْ غَیْرِ 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 المؤمنین علیه السلام آمده است، اگر فرزند بخواهد از مال پدر چیزی بردارد باید از او اجازه بگیرد، ولی پدر میتواند بدون اجازه در اموال فرزند خود دخالت نموده و به اندازه نیاز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پایان کلامش به روایت معروف از پیامبر اکرم صلی الله علیه و آله استناد نمود که خطاب به مردی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خودت و آن‌چه را که مالک میباشی، متعلق به پدر و به منزله ملک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w:t>
      </w:r>
      <w:r>
        <w:rPr>
          <w:rStyle w:val="FootnoteAnchor"/>
          <w:rtl w:val="true"/>
        </w:rPr>
        <w:footnoteReference w:id="18"/>
      </w:r>
      <w:r>
        <w:rPr>
          <w:rFonts w:ascii="IRNazanin" w:hAnsi="IRNazanin" w:eastAsia="IRNazanin"/>
          <w:color w:val="111111"/>
          <w:sz w:val="28"/>
          <w:sz w:val="28"/>
          <w:szCs w:val="28"/>
          <w:rtl w:val="true"/>
          <w:lang w:bidi="fa-IR"/>
        </w:rPr>
        <w:t>نیزقریب به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مقصود از این روایات، این نیست که فرزند و آن‌چه دارایی دارد، ملک پدر میباشد؛ مانند آن‌که، مولا، مالک بنده خود میباشد؛ زیرا قطعاً فرزند مملوک هیچ‌کس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پدر و نه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اموال فرزند ملک پدر نیست و پدر مالک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معنای کنایی مقصود باشد، یعنی فرزند و مال و دارایی او به منزلة ملک پدر محسوب میشود و به تعبیر برخی از فقیهان، ملک تنزیلی پدر است نه ملک حقیقی او</w:t>
      </w:r>
      <w:r>
        <w:rPr>
          <w:rStyle w:val="FootnoteAnchor"/>
          <w:rtl w:val="true"/>
        </w:rPr>
        <w:footnoteReference w:id="19"/>
      </w:r>
      <w:r>
        <w:rPr>
          <w:rFonts w:ascii="IRNazanin" w:hAnsi="IRNazanin" w:eastAsia="IRNazanin"/>
          <w:color w:val="111111"/>
          <w:sz w:val="28"/>
          <w:sz w:val="28"/>
          <w:szCs w:val="28"/>
          <w:rtl w:val="true"/>
          <w:lang w:bidi="fa-IR"/>
        </w:rPr>
        <w:t>و مقتضای ملکیت تنزیلی این‌که پدر بتواند در وقت نیاز و احتیاج، از اموال فرزند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از این روایات استفاده کرد پدر در جمیع شؤون فرزند خود و در مال او ولایت دارد و میتواند تصرّف نماید، به شرط این‌که تصرّفات او موجب فساد و اسراف نگردد، البتّه فرزند کبیر از این حکم مستثنی است یا به‌واسطه ادلّه دیگر و یا به خاطر این‌که ادلّه ولایت، فرزند کبیر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 به این مطلب تصریح نموده‌اند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استاد محمد جواد فاضل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میشود، در جواز استفاده پدر از اموال فرزند، فرقی بین فرزند صغیر و کبیر نیست، همچنین پدر نسبت به آن‌چه استفاده نموده، ضامن نیست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مبنی بر این‌که اگر با اموال صغیر تجارت شود، زکات به‌آن تعلّق میگیرد؛ مانند این‌که از محمد بن مسلم در روایت صحیح نقل شده که‌میگوید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نمودم، آیا به مال یتیم زکات تعلّق میگیرد؟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این‌که با آن تجارت شود یا در آن، خرید و فروش صورت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تَتَّجِرَ بِهِ أَوْ تَعْمَلَ بِهِ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روایات دیگری نیز با همین مضمون وارد شده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از این روایات استفاده میشود، تجارت و خرید و فروش با اموال طفل صغیر شرعاً جایز و نافذ است، و معلوم است این حکم مربوط به ولی طفل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پدر، جدّ پدری، حاکم و امین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اشخاص بیگانه، در نتیجه ولایت آنها بر اموال طفل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مبنی بر این‌که در مورد وقف و هبه، قبض پدر به جای فرزند صغیر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باب وقف و هبه، روایاتی وارد شده با این مفادکه از شرایط صحّت وقف و هبه این است که باید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او مالی وقف شده، مانند 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موهوب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مورد بخشش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تحویل بگیرد و اگر موقوف‌علیه و یا موهوب‌له صغیر باشند، تحویل گرفتن این اموال توسط پدر به جای فرزند صغیر،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صحیحه آمده است که از امام صادق علیه السلام، در مورد مردی که به فرزند خود چیزی بخشیده بود، سؤال شد آیا صحیح است از بخشش خود برگردد و آن‌چه را که بخشیده به ملک خود برگرداند؟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مگر این‌که به فرزند صغیر خود چیزی بخشیده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صَغیِراً</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روایات دیگر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
      </w:r>
      <w:r>
        <w:rPr>
          <w:rFonts w:ascii="IRNazanin" w:hAnsi="IRNazanin" w:eastAsia="IRNazanin"/>
          <w:color w:val="111111"/>
          <w:sz w:val="28"/>
          <w:sz w:val="28"/>
          <w:szCs w:val="28"/>
          <w:rtl w:val="true"/>
          <w:lang w:bidi="fa-IR"/>
        </w:rPr>
        <w:t xml:space="preserve">با تعبیرات مختلفی وارد شده است و از آنها استفاده میشود، پدر و جدّ پدری در دخالت در اموال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مفروض در این روایات، مال‌موقوفه‌و شیء مورد بخشش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منزلة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 دیگر، پدر وجود تنزیلی صغیر است و این تعبیر کنایه از ولایت بر اموال و این‌که پدر در امور اموال صغار دارای مسئولیّت است، میباشد، به‌ویژه این‌که در بعضی از روایات، صریحاً به این معنای کنایی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روایت صحیحه، عبدالرحمن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مردی اموالی را برای فرزندان صغار خود در نظر میگیرد، سپس تصمیم میگیرد افراد دیگری را نیز با آنها قرار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26"/>
      </w:r>
      <w:bookmarkStart w:id="23" w:name="pg13713_164312"/>
    </w:p>
    <w:p>
      <w:pPr>
        <w:pStyle w:val="BookText"/>
        <w:rPr/>
      </w:pPr>
      <w:bookmarkEnd w:id="23"/>
      <w:r>
        <w:rPr>
          <w:rFonts w:ascii="IRNazanin" w:hAnsi="IRNazanin" w:eastAsia="IRNazanin"/>
          <w:color w:val="111111"/>
          <w:sz w:val="28"/>
          <w:sz w:val="28"/>
          <w:szCs w:val="28"/>
          <w:rtl w:val="true"/>
          <w:lang w:bidi="fa-IR"/>
        </w:rPr>
        <w:t>در روایت صحیحه دیگری، علی بن جعفر از برادر خود امام کاظم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مورد اموال فرزندان خود میتواند به هر نحو که دوست داشته باشد، تصمیم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یَصْنَعُ الْوالِدُ بِمالِ وَلَدِهِ ما أَحَبَّ</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خلاصه آن‌که ولایت پدر و جد پدری بر اموال صغیر از ضروریّات فقه و مورد اجماع و شهرت است؛ این مفهوم از تتبع در ابواب مختلف فقه، مانند کتاب نکاح، مضاربه، حجر، زکات، وقف، صدقات، هبه، وصیّت و غیر این‌ها به خوبی به دست میآید، بلکه سیره عقلا بر این معنی قائم است؛ زیرا این مسأله مخصوص شریعت اسلام نیست، بلکه مورد توافق کلیّه ملل و شرایع میباشد</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4"/>
        <w:numPr>
          <w:ilvl w:val="3"/>
          <w:numId w:val="1"/>
        </w:numPr>
        <w:rPr/>
      </w:pPr>
      <w:bookmarkStart w:id="24" w:name="__RefHeading___Toc1259328_1468164448"/>
      <w:bookmarkStart w:id="25" w:name="_Toc9"/>
      <w:bookmarkEnd w:id="24"/>
      <w:r>
        <w:rPr/>
        <w:t>3</w:t>
      </w:r>
      <w:r>
        <w:rPr>
          <w:rtl w:val="true"/>
        </w:rPr>
        <w:t xml:space="preserve">- </w:t>
      </w:r>
      <w:r>
        <w:rPr>
          <w:rtl w:val="true"/>
        </w:rPr>
        <w:t>تذکّر چند مطلب</w:t>
      </w:r>
      <w:bookmarkEnd w:id="25"/>
    </w:p>
    <w:p>
      <w:pPr>
        <w:pStyle w:val="BookText"/>
        <w:rPr/>
      </w:pPr>
      <w:r>
        <w:rPr>
          <w:rFonts w:ascii="IRNazanin" w:hAnsi="IRNazanin" w:eastAsia="IRNazanin"/>
          <w:color w:val="111111"/>
          <w:sz w:val="28"/>
          <w:sz w:val="28"/>
          <w:szCs w:val="28"/>
          <w:rtl w:val="true"/>
          <w:lang w:bidi="fa-IR"/>
        </w:rPr>
        <w:t>فقها در ذیل مباحث ولایت پدر و جدّ پدری در کتب فقه استدلالی، مطالبی را مطرح نموده‌اند که به مهمترین آنها به طور اجمال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جدّ، اختصاص به جدّی که در مرتبه پایین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بلکه دیگر اجداد، یعنی اجداد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اجداد در یک مرتبه قرار دارد و اگر به طور فرض، جدّ اوّل و دوّم هر دو وجود داشته باشند، هیچ‌کدام بر دیگری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جامع‌تر، هر کدام از اجداد به‌طور مستقل دارای ولایت میباشند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گفته شد، پدر و جدّ، هر دو بر اموال صغیر ولایت دارند، به این معنی که تصرّف هر یک از آنها با فقد تصرّف دیگری یا موافقت هر دو و یا مقدّم بودن تصرّف یکی از آن دو بر دیگری،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هرگاه پدری خانه فرزندش را بفروشد و چند روز پس از آن، جدّ پدری خانه را به دیگری منتقل کند، فروش پدر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موردی که جدّ پدری زودتر اقدام کند و پدر بعد از او به تصرّف معارضی دست زند، زیرا با قبول ولایت پدر و جدّ پدری باید پذیرفت که با نخستین تصرّف، موضوعی برای تصرف معارض دوّم باقی نمیماند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دشواری در جایی است که دو تصرّف متعارض، هم‌زمان صورت پذیرد، چرا که در این فرض، عامل زمان نمیتواند در رفع تعارض مؤثر باشد و صلاحیت پدر و جدّ پدری روبروی یکدیگر قرار میگیرد؛ پس چه باید کرد؟ آیا اعتبار هر یک از دو تصرّف در اثر تعارض از بین میرود و در نتیجه هیچ‌کدام اعتبار ندارد، یا باید یکی از آن دو را مقدّم داشت؟ در این‌باره احتمالاتی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پدر مقدّم بر ولایت جدّ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جدّ مقدّم میگردد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هر دو پذیرفته شده و هیچ‌کدام بر دیگری رجحانی ندارد، در صورت تعارض باید هر دو از اثر بیفتد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ولایت کدام یک مقدّم است، باید از قرعه استفاده 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 این مسأله با حاکم است و هرگونه مصلحت بداند، عمل مینماید</w:t>
      </w:r>
      <w:r>
        <w:rPr>
          <w:rFonts w:eastAsia="IRNazanin" w:cs="IRNazanin"/>
          <w:color w:val="111111"/>
          <w:sz w:val="28"/>
          <w:szCs w:val="28"/>
          <w:rtl w:val="true"/>
          <w:lang w:bidi="fa-IR"/>
        </w:rPr>
        <w:t>.</w:t>
      </w:r>
      <w:r>
        <w:rPr>
          <w:rStyle w:val="FootnoteAnchor"/>
          <w:rtl w:val="true"/>
        </w:rPr>
        <w:footnoteReference w:id="3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نیز معتقدند، در این مسأله باید جانب احتیاط رعایت شود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آیت‌الله فاضل لنکرانی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طوری که سود بیشتری به صغیر برسد و مصلحت وی</w:t>
      </w:r>
      <w:bookmarkStart w:id="26" w:name="pg13713_164314"/>
    </w:p>
    <w:p>
      <w:pPr>
        <w:pStyle w:val="BookText"/>
        <w:rPr/>
      </w:pPr>
      <w:bookmarkEnd w:id="26"/>
      <w:r>
        <w:rPr>
          <w:rFonts w:ascii="IRNazanin" w:hAnsi="IRNazanin" w:eastAsia="IRNazanin"/>
          <w:color w:val="111111"/>
          <w:sz w:val="28"/>
          <w:sz w:val="28"/>
          <w:szCs w:val="28"/>
          <w:rtl w:val="true"/>
          <w:lang w:bidi="fa-IR"/>
        </w:rPr>
        <w:t>کاملاً رعایت گردد، احتیاط شود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توضیح و استدلال بر هر یک از این احتمالات از هدف این تحقیق،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دیدگاه اخیر موجّه به نظر میرسد</w:t>
      </w:r>
      <w:r>
        <w:rPr>
          <w:rFonts w:eastAsia="IRNazanin" w:cs="IRNazanin"/>
          <w:color w:val="111111"/>
          <w:sz w:val="28"/>
          <w:szCs w:val="28"/>
          <w:rtl w:val="true"/>
          <w:lang w:bidi="fa-IR"/>
        </w:rPr>
        <w:t>.</w:t>
      </w:r>
    </w:p>
    <w:p>
      <w:pPr>
        <w:pStyle w:val="Heading4"/>
        <w:numPr>
          <w:ilvl w:val="3"/>
          <w:numId w:val="1"/>
        </w:numPr>
        <w:rPr/>
      </w:pPr>
      <w:bookmarkStart w:id="27" w:name="__RefHeading___Toc1259330_1468164448"/>
      <w:bookmarkStart w:id="28" w:name="_Toc10"/>
      <w:bookmarkEnd w:id="27"/>
      <w:r>
        <w:rPr/>
        <w:t>4</w:t>
      </w:r>
      <w:r>
        <w:rPr>
          <w:rtl w:val="true"/>
        </w:rPr>
        <w:t xml:space="preserve">- </w:t>
      </w:r>
      <w:r>
        <w:rPr>
          <w:rtl w:val="true"/>
        </w:rPr>
        <w:t>ولایت پدر و جدّ پدری بر اموال کودک در حقوق مدنی</w:t>
      </w:r>
      <w:bookmarkEnd w:id="28"/>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کلیّه امور مربوط به اموال و حقوق مالی مولّی علیه، ولّی، نمایندة قانونی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نماینده قانونی، کسی است که قانون، او را نماینده قرار میدهد؛ بدون آن‌که منوب‌عنه در انتخاب او مداخله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قانونی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وصّی، قیّم و امین که در موارد معیّنی به نمایندگی از طرف دیگری، اعمالی را انجام میدهد و نتیجه آن اعمال برای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 و امین اگر چه از طرف دادگاه به عنوان نمایندگی محجور منصوب میگردند و پس از قبول، دارای سمت مزبور میشوند، ولی دادگاه با اجازه قانون، این سمت را به آن‌ها میدهد، بدون آن‌که منوب‌عنه مداخله داشته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بنابراین ولی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اموال منقول و غیر منقول محجور را بفروشد، مواد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و اشیای قیمتی مولّی علیه را نزد دیگری ودیعه گذارد و پول را به بانک بسپارد،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حق دارد دعوی مربوط به مولی علیه را به صلح خاتمه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او را به رهن گذارد یا معامله‌ای کند که در نتیجة آن، مدیونِ مولّی علیه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قرض بگیرد و در خرید و فروش با او طرف معامله شود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29" w:name="__RefHeading___Toc1259332_1468164448"/>
      <w:bookmarkStart w:id="30" w:name="_Toc11"/>
      <w:bookmarkEnd w:id="29"/>
      <w:r>
        <w:rPr/>
        <w:t>5</w:t>
      </w:r>
      <w:r>
        <w:rPr>
          <w:rtl w:val="true"/>
        </w:rPr>
        <w:t xml:space="preserve">- </w:t>
      </w:r>
      <w:r>
        <w:rPr>
          <w:rtl w:val="true"/>
        </w:rPr>
        <w:t>ولایت وصی</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در فقه، مسلّم و مورد توافق فقها است که با فوت پدر و جدّ پدری، وصی آن دو بر اموال صغار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امور</w:t>
      </w:r>
      <w:bookmarkStart w:id="31" w:name="pg13713_164315"/>
    </w:p>
    <w:p>
      <w:pPr>
        <w:pStyle w:val="BookText"/>
        <w:rPr/>
      </w:pPr>
      <w:bookmarkEnd w:id="31"/>
      <w:r>
        <w:rPr>
          <w:rFonts w:ascii="IRNazanin" w:hAnsi="IRNazanin" w:eastAsia="IRNazanin"/>
          <w:color w:val="111111"/>
          <w:sz w:val="28"/>
          <w:sz w:val="28"/>
          <w:szCs w:val="28"/>
          <w:rtl w:val="true"/>
          <w:lang w:bidi="fa-IR"/>
        </w:rPr>
        <w:t>مالی صغیر و مجنون دخالت دارند، پنج نفرند؛ از جمله، وصی، پدر و یا جدّ پدری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ابن حمزه در وسیله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در اموال یتیم جایز نیست مگر برای سه نفر، اوّل ولی یتیم که جدّ اوست، سپس وصّی و آن کسی است که پدر یتیم او را منصوب نموده است سوّم حاکم</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مشابه چنین مطالبی در عبارات دیگر فقها</w:t>
      </w:r>
      <w:r>
        <w:rPr>
          <w:rStyle w:val="FootnoteAnchor"/>
          <w:rtl w:val="true"/>
        </w:rPr>
        <w:footnoteReference w:id="43"/>
      </w:r>
      <w:r>
        <w:rPr>
          <w:rFonts w:ascii="IRNazanin" w:hAnsi="IRNazanin" w:eastAsia="IRNazanin"/>
          <w:color w:val="111111"/>
          <w:sz w:val="28"/>
          <w:sz w:val="28"/>
          <w:szCs w:val="28"/>
          <w:rtl w:val="true"/>
          <w:lang w:bidi="fa-IR"/>
        </w:rPr>
        <w:t>نیز دیده میشود</w:t>
      </w:r>
      <w:r>
        <w:rPr>
          <w:rFonts w:eastAsia="IRNazanin" w:cs="IRNazanin"/>
          <w:color w:val="111111"/>
          <w:sz w:val="28"/>
          <w:szCs w:val="28"/>
          <w:rtl w:val="true"/>
          <w:lang w:bidi="fa-IR"/>
        </w:rPr>
        <w:t>.</w:t>
      </w:r>
    </w:p>
    <w:p>
      <w:pPr>
        <w:pStyle w:val="Heading4"/>
        <w:numPr>
          <w:ilvl w:val="3"/>
          <w:numId w:val="1"/>
        </w:numPr>
        <w:rPr/>
      </w:pPr>
      <w:bookmarkStart w:id="32" w:name="__RefHeading___Toc1259334_1468164448"/>
      <w:bookmarkStart w:id="33" w:name="_Toc12"/>
      <w:bookmarkEnd w:id="32"/>
      <w:r>
        <w:rPr/>
        <w:t>6</w:t>
      </w:r>
      <w:r>
        <w:rPr>
          <w:rtl w:val="true"/>
        </w:rPr>
        <w:t xml:space="preserve">- </w:t>
      </w:r>
      <w:r>
        <w:rPr>
          <w:rtl w:val="true"/>
        </w:rPr>
        <w:t>ادلّه فقهی ولایت وصی بر اموال صغار</w:t>
      </w:r>
      <w:bookmarkEnd w:id="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مستمرّه متشرّعین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سیره و رویه همیشگی اهل شرع بر پذیرش و اجرای ولایت وصی نسبت به اموال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ادلّة نفوذ وصیّت</w:t>
      </w:r>
    </w:p>
    <w:p>
      <w:pPr>
        <w:pStyle w:val="BookText"/>
        <w:rPr/>
      </w:pPr>
      <w:r>
        <w:rPr>
          <w:rFonts w:ascii="IRNazanin" w:hAnsi="IRNazanin" w:eastAsia="IRNazanin"/>
          <w:color w:val="111111"/>
          <w:sz w:val="28"/>
          <w:sz w:val="28"/>
          <w:szCs w:val="28"/>
          <w:rtl w:val="true"/>
          <w:lang w:bidi="fa-IR"/>
        </w:rPr>
        <w:t>با این تقریر که ادّعا شود، ادلّه وصیّت به تجارت در اموال کودک، حتّی بعد از موت پدر و جدّ پدری را نیز شامل میگردد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البته بر این استدلال ایراد شده که در ادلّة وصیّت چنین اطلاقی وجود ندارد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بعضی از فقیهان در این باره ادّعای اجماع کرده‌اند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p>
    <w:p>
      <w:pPr>
        <w:pStyle w:val="BookText"/>
        <w:rPr/>
      </w:pPr>
      <w:r>
        <w:rPr>
          <w:rFonts w:ascii="IRNazanin" w:hAnsi="IRNazanin" w:eastAsia="IRNazanin"/>
          <w:color w:val="111111"/>
          <w:sz w:val="28"/>
          <w:sz w:val="28"/>
          <w:szCs w:val="28"/>
          <w:rtl w:val="true"/>
          <w:lang w:bidi="fa-IR"/>
        </w:rPr>
        <w:t>دلیل اصلی در این مسأله، روایاتی است که در حدّ استفاضه‌اند، به عنوان نمونه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معتبر، محمد بن مسلم نقل میکند، از امام صادق علیه السلام سؤال شد، مردی نسبت به اموال فرزندان خود به دیگری وصیّت کرده و در هنگام وصیّت به او اجازه داده</w:t>
      </w:r>
    </w:p>
    <w:p>
      <w:pPr>
        <w:pStyle w:val="BookText"/>
        <w:rPr/>
      </w:pPr>
      <w:r>
        <w:rPr>
          <w:rFonts w:ascii="IRNazanin" w:hAnsi="IRNazanin" w:eastAsia="IRNazanin"/>
          <w:color w:val="111111"/>
          <w:sz w:val="28"/>
          <w:sz w:val="28"/>
          <w:szCs w:val="28"/>
          <w:rtl w:val="true"/>
          <w:lang w:bidi="fa-IR"/>
        </w:rPr>
        <w:t>در اموال آن‌ها دخالت نموده، داد و ستد نماید و سود حاصل از آن برای طرفین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هیچ منعی ندارد، زیرا پدر آنان هنگامی که زنده بود، اجازه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مِنْ أَجْلِ أَنَّ أَباهُمْ قَدْ أَذِنَ لَهُ فیِ ذلِکَ وَهُوَ حَیٌّ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امام خمینی</w:t>
      </w:r>
    </w:p>
    <w:p>
      <w:pPr>
        <w:pStyle w:val="BookText"/>
        <w:rPr/>
      </w:pPr>
      <w:r>
        <w:rPr>
          <w:rFonts w:ascii="IRNazanin" w:hAnsi="IRNazanin" w:eastAsia="IRNazanin"/>
          <w:color w:val="111111"/>
          <w:sz w:val="28"/>
          <w:sz w:val="28"/>
          <w:szCs w:val="28"/>
          <w:rtl w:val="true"/>
          <w:lang w:bidi="fa-IR"/>
        </w:rPr>
        <w:t>قدس سره در توضیح این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تعلیلی که در ذیل روایت آمده، دلالت دارد بر این‌که اذن و اجازه پدر موجب صحّت معاملات انجام شده بر اموال صغیر میگردد، اعمّ از این‌که در زمان حیات پدر واقع شود، مانند این که کسی را برای انجام آن، وکیل خود قرار دهد، یا بعد از ممات او، به موجب وصیّت و اجازه قبلی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صحیح پیرامون تفسیر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مسائل اموال ایتام رابیان‌مینماید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شد،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فقیر است باید مطابق عرف از آن اموال بردارد، چه کسی مقصود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معروف، قوت مورد نیاز است و مقصود از کسی که در اموال ایتام دخالت مینمایند، وصی یا قیّم است که به‌طور شایسته آن را سامان دهی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هُوَ الْقُوتُ وَإِنَّما عَنَی الْوَصِیَّ أَوِ الْقَیِّمَ فیِ أَمْوالِهِمْ وَما یُصْلِحُهُمْ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استاد محمد جواد فاضل در توضیح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روایت استفاده میشود، ولایت بر اموال صغار برای وصی ثابت است، اعمّ از این‌که موصی در این ارتباط وصیّت نموده باشد یا خیر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
      </w:r>
      <w:r>
        <w:rPr>
          <w:rFonts w:ascii="IRNazanin" w:hAnsi="IRNazanin" w:eastAsia="IRNazanin"/>
          <w:color w:val="111111"/>
          <w:sz w:val="28"/>
          <w:sz w:val="28"/>
          <w:szCs w:val="28"/>
          <w:rtl w:val="true"/>
          <w:lang w:bidi="fa-IR"/>
        </w:rPr>
        <w:t>در روایت معتبر دیگری، أبی الربیع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امام صادق علیه السلام سؤال شد، کسی که دارای فرزندان صغیر است، فوت نموده و برادرش را وصی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ایتام مالکِ اموالی میباشند، آیا جایز است وصی با آن اموال داد و ستد نماید؟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کَما یَعْمَلُ بِمالِ غَیْرِهِ وَالرِّبْحُ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همان‌گونه که با اموال دیگران داد</w:t>
      </w:r>
      <w:bookmarkStart w:id="34" w:name="pg13713_164317"/>
    </w:p>
    <w:p>
      <w:pPr>
        <w:pStyle w:val="BookText"/>
        <w:rPr/>
      </w:pPr>
      <w:bookmarkEnd w:id="34"/>
      <w:r>
        <w:rPr>
          <w:rFonts w:ascii="IRNazanin" w:hAnsi="IRNazanin" w:eastAsia="IRNazanin"/>
          <w:color w:val="111111"/>
          <w:sz w:val="28"/>
          <w:sz w:val="28"/>
          <w:szCs w:val="28"/>
          <w:rtl w:val="true"/>
          <w:lang w:bidi="fa-IR"/>
        </w:rPr>
        <w:t xml:space="preserve">و ستد مینماید و سود حاصل از آن بین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آیا اگر در انجام معامله، اموال ایتام تلف گردد، وصی ضامن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با رعایت مصلحت، معامله انجام شده باشد، ضامن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ناظِراً لَهُ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این روایت به روشنی بر ولایت وصی بر اموال صغار دلالت دارد</w:t>
      </w:r>
      <w:r>
        <w:rPr>
          <w:rFonts w:eastAsia="IRNazanin" w:cs="IRNazanin"/>
          <w:color w:val="111111"/>
          <w:sz w:val="28"/>
          <w:szCs w:val="28"/>
          <w:rtl w:val="true"/>
          <w:lang w:bidi="fa-IR"/>
        </w:rPr>
        <w:t>.</w:t>
      </w:r>
    </w:p>
    <w:p>
      <w:pPr>
        <w:pStyle w:val="Heading4"/>
        <w:numPr>
          <w:ilvl w:val="3"/>
          <w:numId w:val="1"/>
        </w:numPr>
        <w:rPr/>
      </w:pPr>
      <w:bookmarkStart w:id="35" w:name="__RefHeading___Toc1259336_1468164448"/>
      <w:bookmarkStart w:id="36" w:name="_Toc13"/>
      <w:bookmarkEnd w:id="35"/>
      <w:r>
        <w:rPr/>
        <w:t>7</w:t>
      </w:r>
      <w:r>
        <w:rPr>
          <w:rtl w:val="true"/>
        </w:rPr>
        <w:t xml:space="preserve">- </w:t>
      </w:r>
      <w:r>
        <w:rPr>
          <w:rtl w:val="true"/>
        </w:rPr>
        <w:t>ولایت وصی بر اموال صغار در حقوق مدنی</w:t>
      </w:r>
      <w:bookmarkEnd w:id="36"/>
    </w:p>
    <w:p>
      <w:pPr>
        <w:pStyle w:val="BookText"/>
        <w:rPr/>
      </w:pPr>
      <w:r>
        <w:rPr>
          <w:rFonts w:ascii="IRNazanin" w:hAnsi="IRNazanin" w:eastAsia="IRNazanin"/>
          <w:color w:val="111111"/>
          <w:sz w:val="28"/>
          <w:sz w:val="28"/>
          <w:szCs w:val="28"/>
          <w:rtl w:val="true"/>
          <w:lang w:bidi="fa-IR"/>
        </w:rPr>
        <w:t>یکی از اختیارات ولی قهری این است که میتواند برای محجور تحت ولایت خود، وصی تعیین کند تا پس از فوت او امور محجور را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 خصوص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پدر و جدّ پدری بعد از وفات دیگری میتواند برای اولاد خود که تحت ولایت او میباشند، وصی معیّن کند تا بعد از فوت خود، در نگهداری و تربیت آنها مواظبت کرده و اموال آنها را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پدر و جدّ پدری نمیتواند با حیات دیگری برای مولّی علیه خود وصی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ولی قهری در صورتی میتواند برای سرپرستی محجور تحت ولایت خود، وصی تعیین کند که ولی قهری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 یا جدّ پدری در زمان حیات دیگری وصی معیّن کند، عمل او بیاثر و لغو خواهد بود، زیرا با بودن ولی قهری، دیگری نمیتواند سمت وصی داشته باشد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37" w:name="__RefHeading___Toc1259338_1468164448"/>
      <w:bookmarkStart w:id="38" w:name="_Toc14"/>
      <w:bookmarkEnd w:id="37"/>
      <w:r>
        <w:rPr/>
        <w:t>8</w:t>
      </w:r>
      <w:r>
        <w:rPr>
          <w:rtl w:val="true"/>
        </w:rPr>
        <w:t xml:space="preserve">- </w:t>
      </w:r>
      <w:r>
        <w:rPr>
          <w:rtl w:val="true"/>
        </w:rPr>
        <w:t>ولایت وکیل پدر، و یا جدّ پدری</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جدّ پدری میتوانند در زمان حیات خود، فرد یا افرادی را وکیل خویش قرار دهند تا در امور مالی صغار دخالت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توافق فقها</w:t>
      </w:r>
      <w:r>
        <w:rPr>
          <w:rStyle w:val="FootnoteAnchor"/>
          <w:rtl w:val="true"/>
        </w:rPr>
        <w:footnoteReference w:id="5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حلّی در</w:t>
      </w:r>
      <w:bookmarkStart w:id="39" w:name="pg13713_164318"/>
    </w:p>
    <w:p>
      <w:pPr>
        <w:pStyle w:val="BookText"/>
        <w:rPr/>
      </w:pPr>
      <w:bookmarkEnd w:id="39"/>
      <w:r>
        <w:rPr>
          <w:rFonts w:ascii="IRNazanin" w:hAnsi="IRNazanin" w:eastAsia="IRNazanin"/>
          <w:color w:val="111111"/>
          <w:sz w:val="28"/>
          <w:sz w:val="28"/>
          <w:szCs w:val="28"/>
          <w:rtl w:val="true"/>
          <w:lang w:bidi="fa-IR"/>
        </w:rPr>
        <w:t>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جدّ پدری میتوانند فردی را به نیابت از کودک صغیر، وکیل بگیرند تا در امور مالی وی دخالت نمایند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دلیل این حکم، اطلاق ادلّه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اگرکسی مردی را برای انجام امری از امور، وکیل خود قرار دهد، وکالت در حق او ثابت و استمرار مییابد تا موکّل به وی اعلام نماید او را از وکالت خود عزل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مَنْوَکَّلَ رَجُلاً عَلی إِمْضاءِ امْرِ مِنَ الأُموُرِ فَالْوَکالَةُ ثابِتَةٌ أَبَداً حَتّی یُعْلِمَهُ بِالْخُرُوجِ مِنْها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اطلاق و عموم این روایت شامل مسأله مورد بحث نیز میگردد</w:t>
      </w:r>
      <w:r>
        <w:rPr>
          <w:rFonts w:eastAsia="IRNazanin" w:cs="IRNazanin"/>
          <w:color w:val="111111"/>
          <w:sz w:val="28"/>
          <w:szCs w:val="28"/>
          <w:rtl w:val="true"/>
          <w:lang w:bidi="fa-IR"/>
        </w:rPr>
        <w:t>.</w:t>
      </w:r>
    </w:p>
    <w:p>
      <w:pPr>
        <w:pStyle w:val="Heading4"/>
        <w:numPr>
          <w:ilvl w:val="3"/>
          <w:numId w:val="1"/>
        </w:numPr>
        <w:rPr/>
      </w:pPr>
      <w:bookmarkStart w:id="40" w:name="__RefHeading___Toc1259340_1468164448"/>
      <w:bookmarkStart w:id="41" w:name="_Toc15"/>
      <w:bookmarkEnd w:id="40"/>
      <w:r>
        <w:rPr/>
        <w:t>9</w:t>
      </w:r>
      <w:r>
        <w:rPr>
          <w:rtl w:val="true"/>
        </w:rPr>
        <w:t xml:space="preserve">- </w:t>
      </w:r>
      <w:r>
        <w:rPr>
          <w:rtl w:val="true"/>
        </w:rPr>
        <w:t>ولایت حاکم</w:t>
      </w:r>
      <w:bookmarkEnd w:id="41"/>
    </w:p>
    <w:p>
      <w:pPr>
        <w:pStyle w:val="BookText"/>
        <w:rPr/>
      </w:pPr>
      <w:r>
        <w:rPr>
          <w:rFonts w:ascii="IRNazanin" w:hAnsi="IRNazanin" w:eastAsia="IRNazanin"/>
          <w:color w:val="111111"/>
          <w:sz w:val="28"/>
          <w:sz w:val="28"/>
          <w:szCs w:val="28"/>
          <w:rtl w:val="true"/>
          <w:lang w:bidi="fa-IR"/>
        </w:rPr>
        <w:t xml:space="preserve">در فقه امامیّه،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امام معصوم علیه السلام براموال صغاری که برای آنها ولی شرعی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دارد، این حکم مورد توافق فقیهان</w:t>
      </w:r>
      <w:r>
        <w:rPr>
          <w:rStyle w:val="FootnoteAnchor"/>
          <w:rtl w:val="true"/>
        </w:rPr>
        <w:footnoteReference w:id="57"/>
      </w:r>
      <w:r>
        <w:rPr>
          <w:rFonts w:ascii="IRNazanin" w:hAnsi="IRNazanin" w:eastAsia="IRNazanin"/>
          <w:color w:val="111111"/>
          <w:sz w:val="28"/>
          <w:sz w:val="28"/>
          <w:szCs w:val="28"/>
          <w:rtl w:val="true"/>
          <w:lang w:bidi="fa-IR"/>
        </w:rPr>
        <w:t>است و کسی در آن تردید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متولّی امور مالی یتیم باشد، برای او جایز است با رعایت مصلحت، با مال یتیم تجارت نماید، اعمّ از این که ولی پدر باشد یا جدّ پدری یا وصی یا حاکم و یا امین حاکم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هم‌چنین محقّق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در اموال طفل و مجنون برای پدر و جدّ پدری است و اگر این دو نباشند، وصی آنها و اگر وصی نیز نباشد، برای حاکم شرع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کرکی این مسأله را مورد اتّفاق فقها میداند؛</w:t>
      </w:r>
      <w:r>
        <w:rPr>
          <w:rStyle w:val="FootnoteAnchor"/>
          <w:rtl w:val="true"/>
        </w:rPr>
        <w:footnoteReference w:id="60"/>
      </w:r>
      <w:r>
        <w:rPr>
          <w:rFonts w:ascii="IRNazanin" w:hAnsi="IRNazanin" w:eastAsia="IRNazanin"/>
          <w:color w:val="111111"/>
          <w:sz w:val="28"/>
          <w:sz w:val="28"/>
          <w:szCs w:val="28"/>
          <w:rtl w:val="true"/>
          <w:lang w:bidi="fa-IR"/>
        </w:rPr>
        <w:t>برخی نیز آن را از ضروریّات فقه دانسته‌اند به نحوی که نیاز به دلیل ندارد</w:t>
      </w:r>
      <w:r>
        <w:rPr>
          <w:rFonts w:eastAsia="IRNazanin" w:cs="IRNazanin"/>
          <w:color w:val="111111"/>
          <w:sz w:val="28"/>
          <w:szCs w:val="28"/>
          <w:rtl w:val="true"/>
          <w:lang w:bidi="fa-IR"/>
        </w:rPr>
        <w:t>.</w:t>
      </w:r>
      <w:r>
        <w:rPr>
          <w:rStyle w:val="FootnoteAnchor"/>
          <w:rtl w:val="true"/>
        </w:rPr>
        <w:footnoteReference w:id="61"/>
      </w:r>
      <w:bookmarkStart w:id="42" w:name="pg13713_164319"/>
    </w:p>
    <w:p>
      <w:pPr>
        <w:pStyle w:val="BookText"/>
        <w:rPr/>
      </w:pPr>
      <w:bookmarkEnd w:id="42"/>
      <w:r>
        <w:rPr>
          <w:rFonts w:ascii="IRNazanin" w:hAnsi="IRNazanin" w:eastAsia="IRNazanin"/>
          <w:color w:val="111111"/>
          <w:sz w:val="28"/>
          <w:sz w:val="28"/>
          <w:szCs w:val="28"/>
          <w:rtl w:val="true"/>
          <w:lang w:bidi="fa-IR"/>
        </w:rPr>
        <w:t>مرحوم امام خمینی قدس سره هم بر این عقیده است که ولایت فقیه بعد از تصوّر اطراف آن، از امور نظری و استدلالی که نیاز به اقامة برهان داشته باشد، نیست، بلکه واضح و روشن 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43" w:name="__RefHeading___Toc1259342_1468164448"/>
      <w:bookmarkStart w:id="44" w:name="_Toc16"/>
      <w:bookmarkEnd w:id="43"/>
      <w:r>
        <w:rPr/>
        <w:t>10</w:t>
      </w:r>
      <w:r>
        <w:rPr>
          <w:rtl w:val="true"/>
        </w:rPr>
        <w:t xml:space="preserve">- </w:t>
      </w:r>
      <w:r>
        <w:rPr>
          <w:rtl w:val="true"/>
        </w:rPr>
        <w:t>ادلّه ولایت حاکم بر اموال ایتام</w:t>
      </w:r>
      <w:bookmarkEnd w:id="44"/>
    </w:p>
    <w:p>
      <w:pPr>
        <w:pStyle w:val="BookText"/>
        <w:rPr/>
      </w:pPr>
      <w:r>
        <w:rPr>
          <w:rFonts w:ascii="IRNazanin" w:hAnsi="IRNazanin" w:eastAsia="IRNazanin"/>
          <w:color w:val="111111"/>
          <w:sz w:val="28"/>
          <w:sz w:val="28"/>
          <w:szCs w:val="28"/>
          <w:rtl w:val="true"/>
          <w:lang w:bidi="fa-IR"/>
        </w:rPr>
        <w:t xml:space="preserve">علاوه بر ادلّه‌ای که در گفتار سوّم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بعضی از ادلّه به صورت خاص بر ولایت حاکم بر اموال ایتام دلالت دارند، از جمله، آیه شریفه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مال یتیم جز به بهترین وجه نزدیک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آیه خطاب به جمیع مؤمنین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 ایتام نزدیک نشوید و هیچ‌گونه دخل و تصرّفی در آن نداشته باشید، مگر به نحو پسندیده که به مصلحت صغیر باشد، بدین جهت این آیه شریفه به مقتضای استثنایی که در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بر این‌که تصرّف در اموال ایتام در صورتیکه با رعایت مصلحت آنها و به طور پسندیده صورت پذیرد، جایز است و قدر متیقن از آن، فقیه جامع الشرایط است، بلکه به مقتضای این آیه برای غیر فقیه نیز با اذن و اجازه فقیه، دخل و تصرف در اموال ایتام با رعایت مصلحت آنها جایز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45" w:name="__RefHeading___Toc1259344_1468164448"/>
      <w:bookmarkStart w:id="46" w:name="_Toc17"/>
      <w:bookmarkEnd w:id="45"/>
      <w:r>
        <w:rPr/>
        <w:t>11</w:t>
      </w:r>
      <w:r>
        <w:rPr>
          <w:rtl w:val="true"/>
        </w:rPr>
        <w:t xml:space="preserve">- </w:t>
      </w:r>
      <w:r>
        <w:rPr>
          <w:rtl w:val="true"/>
        </w:rPr>
        <w:t>ولایت قضات و مؤمنین عادل بر اموال ایتام</w:t>
      </w:r>
      <w:bookmarkEnd w:id="46"/>
    </w:p>
    <w:p>
      <w:pPr>
        <w:pStyle w:val="BookText"/>
        <w:rPr/>
      </w:pPr>
      <w:r>
        <w:rPr>
          <w:rFonts w:ascii="IRNazanin" w:hAnsi="IRNazanin" w:eastAsia="IRNazanin"/>
          <w:color w:val="111111"/>
          <w:sz w:val="28"/>
          <w:sz w:val="28"/>
          <w:szCs w:val="28"/>
          <w:rtl w:val="true"/>
          <w:lang w:bidi="fa-IR"/>
        </w:rPr>
        <w:t xml:space="preserve">ذکر دیدگاه‌های فقیهان در این‌باره و نیز ادلّه فقهی هر دو حکم، در بحث کلّی ولایت قضات و عدول مؤمنین در گفتار سوّم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 جهت پرهیز از طولانی شدن؛ از توضیح بیش‌تر در این بخش خودداری میشود</w:t>
      </w:r>
      <w:r>
        <w:rPr>
          <w:rFonts w:eastAsia="IRNazanin" w:cs="IRNazanin"/>
          <w:color w:val="111111"/>
          <w:sz w:val="28"/>
          <w:szCs w:val="28"/>
          <w:rtl w:val="true"/>
          <w:lang w:bidi="fa-IR"/>
        </w:rPr>
        <w:t>.</w:t>
      </w:r>
    </w:p>
    <w:p>
      <w:pPr>
        <w:pStyle w:val="Heading4"/>
        <w:numPr>
          <w:ilvl w:val="3"/>
          <w:numId w:val="1"/>
        </w:numPr>
        <w:rPr/>
      </w:pPr>
      <w:bookmarkStart w:id="47" w:name="__RefHeading___Toc1259346_1468164448"/>
      <w:bookmarkStart w:id="48" w:name="_Toc18"/>
      <w:bookmarkEnd w:id="47"/>
      <w:r>
        <w:rPr/>
        <w:t>12</w:t>
      </w:r>
      <w:r>
        <w:rPr>
          <w:rtl w:val="true"/>
        </w:rPr>
        <w:t xml:space="preserve">- </w:t>
      </w:r>
      <w:r>
        <w:rPr>
          <w:rtl w:val="true"/>
        </w:rPr>
        <w:t>ولایت حاکم و قضات در حقوق مدنی</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پیش‌تر اشاره شد، در حقوق مدنی بحث از ولایت حاکم به‌طور خاص مطرح نشده، بلکه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دادگاه و دادستان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 و اگر در</w:t>
      </w:r>
      <w:bookmarkStart w:id="49" w:name="pg13713_164320"/>
    </w:p>
    <w:p>
      <w:pPr>
        <w:pStyle w:val="BookText"/>
        <w:rPr/>
      </w:pPr>
      <w:bookmarkEnd w:id="49"/>
      <w:r>
        <w:rPr>
          <w:rFonts w:ascii="IRNazanin" w:hAnsi="IRNazanin" w:eastAsia="IRNazanin"/>
          <w:color w:val="111111"/>
          <w:sz w:val="28"/>
          <w:sz w:val="28"/>
          <w:szCs w:val="28"/>
          <w:rtl w:val="true"/>
          <w:lang w:bidi="fa-IR"/>
        </w:rPr>
        <w:t>کتاب‌هایی که در توضیح مباحث حقوقی تدوین گردیده، به ولایت حاکم اشاره شده، در حقیقت بیان نظریّه فقهی و ذکر دیدگاه فقیهان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مباحثی که در حقوق پیرامون اختیارات دادگاه در امور ایتام مطرح شده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و یا اختیارات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اختیارات قیّم در حقوق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صالح برای نصب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از این رو، در این بخش از توضیح بیش‌تر خودداری میشود</w:t>
      </w:r>
      <w:r>
        <w:rPr>
          <w:rFonts w:eastAsia="IRNazanin" w:cs="IRNazanin"/>
          <w:color w:val="111111"/>
          <w:sz w:val="28"/>
          <w:szCs w:val="28"/>
          <w:rtl w:val="true"/>
          <w:lang w:bidi="fa-IR"/>
        </w:rPr>
        <w:t>.</w:t>
      </w:r>
    </w:p>
    <w:p>
      <w:pPr>
        <w:pStyle w:val="Heading4"/>
        <w:numPr>
          <w:ilvl w:val="3"/>
          <w:numId w:val="1"/>
        </w:numPr>
        <w:rPr/>
      </w:pPr>
      <w:bookmarkStart w:id="50" w:name="__RefHeading___Toc1259348_1468164448"/>
      <w:bookmarkStart w:id="51" w:name="_Toc19"/>
      <w:bookmarkEnd w:id="50"/>
      <w:r>
        <w:rPr/>
        <w:t>13</w:t>
      </w:r>
      <w:r>
        <w:rPr>
          <w:rtl w:val="true"/>
        </w:rPr>
        <w:t xml:space="preserve">- </w:t>
      </w:r>
      <w:r>
        <w:rPr>
          <w:rtl w:val="true"/>
        </w:rPr>
        <w:t>شرایط ولایتِ اولیا بر اموال صغار</w:t>
      </w:r>
      <w:bookmarkEnd w:id="51"/>
    </w:p>
    <w:p>
      <w:pPr>
        <w:pStyle w:val="BookText"/>
        <w:rPr/>
      </w:pPr>
      <w:r>
        <w:rPr>
          <w:rFonts w:ascii="IRNazanin" w:hAnsi="IRNazanin" w:eastAsia="IRNazanin"/>
          <w:color w:val="111111"/>
          <w:sz w:val="28"/>
          <w:sz w:val="28"/>
          <w:szCs w:val="28"/>
          <w:rtl w:val="true"/>
          <w:lang w:bidi="fa-IR"/>
        </w:rPr>
        <w:t xml:space="preserve">اعمال ولایت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 جدّ پدری، وصی، حاکم، قیّم و عدول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اموال و ایتام مشروط به شرایطی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مفسده</w:t>
      </w:r>
    </w:p>
    <w:p>
      <w:pPr>
        <w:pStyle w:val="BookText"/>
        <w:rPr/>
      </w:pPr>
      <w:r>
        <w:rPr>
          <w:rFonts w:ascii="IRNazanin" w:hAnsi="IRNazanin" w:eastAsia="IRNazanin"/>
          <w:color w:val="111111"/>
          <w:sz w:val="28"/>
          <w:sz w:val="28"/>
          <w:szCs w:val="28"/>
          <w:rtl w:val="true"/>
          <w:lang w:bidi="fa-IR"/>
        </w:rPr>
        <w:t>برخی از فقها</w:t>
      </w:r>
      <w:r>
        <w:rPr>
          <w:rStyle w:val="FootnoteAnchor"/>
          <w:rtl w:val="true"/>
        </w:rPr>
        <w:footnoteReference w:id="65"/>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تصرّفات ولی در اموال کودک، عدم مفسده شرط است، به تعبیر دیگر، عدم ضرر بر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این دیدگاه، روایات است، از جمله در حدیث صحیح، ابوحمزه ثمالی از امام باقر علیه السلام، نقل میکند و او از قول جدّش رسول اکرم صلی الله علیه و آله که به مردی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آن‌چه از اموال داری در ملک پدرت میباشد، 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پدر از اموال فرزندش بیش از نیاز بردارد، زیرا خداوند فساد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مِنْ مالِ ابْنِهِ إِلاّ مَا احْتاجَ إِلَیْهِ مِمّا لابُدَّ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 الْفَسادَ</w:t>
      </w:r>
      <w:r>
        <w:rPr>
          <w:rFonts w:eastAsia="IRNazanin" w:cs="IRNazanin"/>
          <w:color w:val="111111"/>
          <w:sz w:val="28"/>
          <w:szCs w:val="28"/>
          <w:rtl w:val="true"/>
          <w:lang w:bidi="fa-IR"/>
        </w:rPr>
        <w:t>) »</w:t>
      </w:r>
      <w:r>
        <w:rPr>
          <w:rStyle w:val="FootnoteAnchor"/>
          <w:rtl w:val="true"/>
        </w:rPr>
        <w:footnoteReference w:id="66"/>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ندارم پدر از اموال فرزند بیش از نیاز استفاده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به تنهایی دلالت بر حرمت ندارد، ولیکن به قرینه استشهاد امام علیه السلام به آیه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فساد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حرمت دارد، زیرا فساد دو قسم نیست که بخشی از آن مکروه و بخشی دیگر حرام باشد، بلکه تماماً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تعلیلی که در روایت آمده است، یعنی استشهاد امام علیه السلام به کلام خداوند متعال، شامل مسأله مورد بحث نیز میباشد، و از آن استفاده میشود تصرّف ولی در اموال کودک در صورتیکه مفسده ایجاد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حرام است، بنابراین عدم ضرر و مفسده، شرط است؛ و روایات دیگری نیز در این باره وجود دارد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مصلحت</w:t>
      </w:r>
    </w:p>
    <w:p>
      <w:pPr>
        <w:pStyle w:val="BookText"/>
        <w:rPr/>
      </w:pPr>
      <w:r>
        <w:rPr>
          <w:rFonts w:ascii="IRNazanin" w:hAnsi="IRNazanin" w:eastAsia="IRNazanin"/>
          <w:color w:val="111111"/>
          <w:sz w:val="28"/>
          <w:sz w:val="28"/>
          <w:szCs w:val="28"/>
          <w:rtl w:val="true"/>
          <w:lang w:bidi="fa-IR"/>
        </w:rPr>
        <w:t>دیدگاه مشهور فقیهان این است که باید تصرّفات ولی در امور مالی صغار علاوه بر عدم مفسده، دارای مصلحت باشد و چنان‌که برخلاف مصلحت، دخالتی انجام شود غیر مؤثر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کسانیکه بر اموال صغیر ولایت دارند، تصرّفات و دخالت آنان صحیح نیست، مگر این‌که با حفظ احتیاط و سود صغیر و مولّی علیه انجام شود، زیرا ولایت آنان به همین دلیل قرار داده شده است، بنابراین اگر تصرّفات آنان به سود صغار نباشد، باطل و غیر نافذ است، چون برخلاف فلسفه ولایت میباشد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ابن‌ادریس در سرائر این دیدگاه را مقتضای مذهب تشیّع میداند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بسیاری از فقها مانند علامه حلّی</w:t>
      </w:r>
      <w:r>
        <w:rPr>
          <w:rStyle w:val="FootnoteAnchor"/>
          <w:rtl w:val="true"/>
        </w:rPr>
        <w:footnoteReference w:id="71"/>
      </w:r>
      <w:r>
        <w:rPr>
          <w:rFonts w:ascii="Amiri" w:hAnsi="Amiri" w:eastAsia="Amiri" w:cs="Amiri"/>
          <w:color w:val="111111"/>
          <w:sz w:val="28"/>
          <w:sz w:val="28"/>
          <w:szCs w:val="28"/>
          <w:rtl w:val="true"/>
          <w:lang w:bidi="ar-SA"/>
        </w:rPr>
        <w:t>، محقّق</w:t>
      </w:r>
      <w:r>
        <w:rPr>
          <w:rStyle w:val="FootnoteAnchor"/>
          <w:rtl w:val="true"/>
        </w:rPr>
        <w:footnoteReference w:id="72"/>
      </w:r>
      <w:r>
        <w:rPr>
          <w:rFonts w:ascii="Amiri" w:hAnsi="Amiri" w:eastAsia="Amiri" w:cs="Amiri"/>
          <w:color w:val="111111"/>
          <w:sz w:val="28"/>
          <w:sz w:val="28"/>
          <w:szCs w:val="28"/>
          <w:rtl w:val="true"/>
          <w:lang w:bidi="ar-SA"/>
        </w:rPr>
        <w:t>، شهید اوّل</w:t>
      </w:r>
      <w:r>
        <w:rPr>
          <w:rStyle w:val="FootnoteAnchor"/>
          <w:rtl w:val="true"/>
        </w:rPr>
        <w:footnoteReference w:id="73"/>
      </w:r>
      <w:r>
        <w:rPr>
          <w:rFonts w:ascii="IRNazanin" w:hAnsi="IRNazanin" w:eastAsia="IRNazanin"/>
          <w:color w:val="111111"/>
          <w:sz w:val="28"/>
          <w:sz w:val="28"/>
          <w:szCs w:val="28"/>
          <w:rtl w:val="true"/>
          <w:lang w:bidi="fa-IR"/>
        </w:rPr>
        <w:t>و شهید ثانی</w:t>
      </w:r>
      <w:r>
        <w:rPr>
          <w:rStyle w:val="FootnoteAnchor"/>
          <w:rtl w:val="true"/>
        </w:rPr>
        <w:footnoteReference w:id="74"/>
      </w:r>
      <w:r>
        <w:rPr>
          <w:rFonts w:ascii="Amiri" w:hAnsi="Amiri" w:eastAsia="Amiri" w:cs="Amiri"/>
          <w:color w:val="111111"/>
          <w:sz w:val="28"/>
          <w:sz w:val="28"/>
          <w:szCs w:val="28"/>
          <w:rtl w:val="true"/>
          <w:lang w:bidi="ar-SA"/>
        </w:rPr>
        <w:t>، محقّق کرکی</w:t>
      </w:r>
      <w:r>
        <w:rPr>
          <w:rStyle w:val="FootnoteAnchor"/>
          <w:rtl w:val="true"/>
        </w:rPr>
        <w:footnoteReference w:id="75"/>
      </w:r>
      <w:r>
        <w:rPr>
          <w:rFonts w:ascii="IRNazanin" w:hAnsi="IRNazanin" w:eastAsia="IRNazanin"/>
          <w:color w:val="111111"/>
          <w:sz w:val="28"/>
          <w:sz w:val="28"/>
          <w:szCs w:val="28"/>
          <w:rtl w:val="true"/>
          <w:lang w:bidi="fa-IR"/>
        </w:rPr>
        <w:t>و دیگران</w:t>
      </w:r>
      <w:r>
        <w:rPr>
          <w:rStyle w:val="FootnoteAnchor"/>
          <w:rtl w:val="true"/>
        </w:rPr>
        <w:footnoteReference w:id="76"/>
      </w:r>
      <w:r>
        <w:rPr>
          <w:rFonts w:ascii="IRNazanin" w:hAnsi="IRNazanin" w:eastAsia="IRNazanin"/>
          <w:color w:val="111111"/>
          <w:sz w:val="28"/>
          <w:sz w:val="28"/>
          <w:szCs w:val="28"/>
          <w:rtl w:val="true"/>
          <w:lang w:bidi="fa-IR"/>
        </w:rPr>
        <w:t>، بر لزوم رعایت این شرط تصریح نموده‌اند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الکرامه در مسائل مربوط به رهن اموال صغیر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نتیجه‌مجموع عبارات فقها و مقتضای اصول مذهب تشیّع این است که برای ولی صغیر</w:t>
      </w:r>
    </w:p>
    <w:p>
      <w:pPr>
        <w:pStyle w:val="BookText"/>
        <w:rPr/>
      </w:pPr>
      <w:r>
        <w:rPr>
          <w:rFonts w:ascii="IRNazanin" w:hAnsi="IRNazanin" w:eastAsia="IRNazanin"/>
          <w:color w:val="111111"/>
          <w:sz w:val="28"/>
          <w:sz w:val="28"/>
          <w:szCs w:val="28"/>
          <w:rtl w:val="true"/>
          <w:lang w:bidi="fa-IR"/>
        </w:rPr>
        <w:t>جایز است که مال صغیر را رهن بگذارد یا در اموال او رهن بپذیرد، به شرط این‌که کاملاً جانب احتیاط را رعایت نموده و مصلحت صغیر را در نظر بگیرد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ادلّه اعتبار مصلحت در تصرّفات پدر و جدّ پدری</w:t>
      </w:r>
    </w:p>
    <w:p>
      <w:pPr>
        <w:pStyle w:val="BookText"/>
        <w:rPr/>
      </w:pPr>
      <w:r>
        <w:rPr>
          <w:rFonts w:ascii="IRNazanin" w:hAnsi="IRNazanin" w:eastAsia="IRNazanin"/>
          <w:color w:val="111111"/>
          <w:sz w:val="28"/>
          <w:sz w:val="28"/>
          <w:szCs w:val="28"/>
          <w:rtl w:val="true"/>
          <w:lang w:bidi="fa-IR"/>
        </w:rPr>
        <w:t>فقها برای اثبات این دیدگاه که ولایت اولیا بر اموال صغار، مشروط به رعایت مصلحت آنان میباشد، ادلّه‌ای به قرار زیر ذکر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جعل ولایت</w:t>
      </w:r>
    </w:p>
    <w:p>
      <w:pPr>
        <w:pStyle w:val="BookText"/>
        <w:rPr/>
      </w:pPr>
      <w:r>
        <w:rPr>
          <w:rFonts w:ascii="IRNazanin" w:hAnsi="IRNazanin" w:eastAsia="IRNazanin"/>
          <w:color w:val="111111"/>
          <w:sz w:val="28"/>
          <w:sz w:val="28"/>
          <w:szCs w:val="28"/>
          <w:rtl w:val="true"/>
          <w:lang w:bidi="fa-IR"/>
        </w:rPr>
        <w:t>حکمت جعل ولایت برای پدر و جدّ پدری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منافع طفل و دفع ضرر از آنان است و اگر این مقصود رعایت نشود، دخالت آنان جایز نیست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لیکن این استدلال در صورتی تمام است که ولایت فقط با توجّه به مصلحت مولّیعلیه، جعل و اعتبار شده باشد، در حالیکه چنین نیست، زیرا چه بسا در بعضی موارد، مصلحت ولی نیز مورد توجّه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صاحب مفتاح الکرامه در شرح کلام علاّمه</w:t>
      </w:r>
      <w:r>
        <w:rPr>
          <w:rStyle w:val="FootnoteAnchor"/>
          <w:rtl w:val="true"/>
        </w:rPr>
        <w:footnoteReference w:id="7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نشان میدهد این مسأله از مسائلی است که در آن اختلافی بین مسلمانان نیست،</w:t>
      </w:r>
      <w:r>
        <w:rPr>
          <w:rStyle w:val="FootnoteAnchor"/>
          <w:rtl w:val="true"/>
        </w:rPr>
        <w:footnoteReference w:id="80"/>
      </w:r>
      <w:r>
        <w:rPr>
          <w:rFonts w:ascii="IRNazanin" w:hAnsi="IRNazanin" w:eastAsia="IRNazanin"/>
          <w:color w:val="111111"/>
          <w:sz w:val="28"/>
          <w:sz w:val="28"/>
          <w:szCs w:val="28"/>
          <w:rtl w:val="true"/>
          <w:lang w:bidi="fa-IR"/>
        </w:rPr>
        <w:t>البتّه برخی از فقها بر اثبات این اجماع تردید نموده‌اند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خداوند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به مال‌یتیم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دخل و تصرّفی در آن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صورتی که‌بهتر از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شیخ طبرسی در مجمع البیان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خداوند میفرماید، به مال یتیم نزدیک نشوید، یعنی هیچ‌گونه تصرّفی در آن ننمایید و ذکر مال یتیم، به این دلیل است‌که او توانایی دفاع از خویش و مال خود را ندارد و چه بسا ممکن است دیگران به مال او طمع ورزند و بر آن مسلّط گردند، بدان جهت خداوند از مال یتیم سخن به میان آورده وگرنه دخالت در اموال همه صغار باید به شیوه احسن و روش شایسته صورت پذیرد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همچنین محقّق اردبیلی، آیه مذکور را این‌گونه معنی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اموال ایتام به هیچ وجه نزدیک نشوید و در آن دخل و تصرّفی ننمایید، مگر به طوری که عقلا آن را احسن بدانند، مثل این‌که آن را حفظ نمایید و خرابی آن را تعمیر و در جهت نموّ و بارور شدن آن بکوشید و به طور کلّی تصرّفی که عقل سلیم آن را نیک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اضافه میکند، آن‌چه گفته شد مقتضای فهم بیش‌تر عقلا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خلاصه این‌که، دخالت در اموال ایتام اگر با رعایت مصلحت نباشد، تصرّف، پسندیده نیست و به مقتضای این آیه شریفه، جایز نمیباشد، زیرا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این‌که اطلاق آیه، کودکی که مادرش فوت کرده را نیز شامل میگردد، از آن استفاده میشود که این حکم نسبت به پدر و جدّ پدری و دیگر اولیا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این آیه اطلاقات ادلّه‌ای را که دلالت بر اثبات ولایت پدر و جدّ پدری و دیگر اولیا به‌طور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باعدم رعایت مصلحت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مقیّد میسازد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خطاب به پیامبر اکرم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یتیمان از تو سؤال میکنند، بگو اصلاح کار آنان بهتر است و اگر زندگی و اموال آنان را با زندگی و اموال خود مخلوط نمایید، مانعی ندارد، آن‌ها برادر دینی شما هستند و همچون برادر با آنها زندگی کنید، خداوند مفسدان را از مصلحان باز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الْیَتامی قُلْ إِصْلاحٌ لَهُمْ خَیْرٌ وَ إِنْ تُخالِطُوهُمْ فَإِخْوانُکُمْ وَ اللّهُ یَعْلَمُ الْمُفْسِدَ مِنَ الْمُصْلِحِ</w:t>
      </w:r>
      <w:r>
        <w:rPr>
          <w:rFonts w:eastAsia="IRNazanin" w:cs="IRNazanin"/>
          <w:color w:val="111111"/>
          <w:sz w:val="28"/>
          <w:szCs w:val="28"/>
          <w:rtl w:val="true"/>
          <w:lang w:bidi="fa-IR"/>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در شأن نزول این آیه، از ابن عباس نقل شده است 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یَأْکُلُونَ أَمْوالَ الْیَتامی ظُلْماً إِنَّما یَأْکُلُونَ فِی بُطُونِهِمْ ناراً وَ سَیَصْلَوْنَ سَعِیراً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اموال یتیمان را به ظلم میخورند تنها آتش میخورند و به زودی به آتش سوزان میسوزند، نازل شد، مردمانی که یتیم در خانه داشتند از کفالت وی فاصله گرفتند و او را به حال خود گذاشتند و حتّی گروهی از آنان، آن‌ها را از خانه بیرون کردند وآنانی که بیرون نکردند، آب و غذای او را از مال خود یتیم تهیّه میکردند تا با غذای خودشان مخلوط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همة این کارها برای آن بود که گرفتار مسئولیّت خوردن مال یتیم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برای سرپرستان و هم برای یتیمان مشکلاتی به بار میآورد، از این رو خدمت پیامبر صلی الله علیه و آله رسیدند و از این طرز عمل سؤال کردند، در پاسخ آنها، آیه مورد بحث نازل شد</w:t>
      </w:r>
      <w:r>
        <w:rPr>
          <w:rStyle w:val="FootnoteAnchor"/>
          <w:rtl w:val="true"/>
        </w:rPr>
        <w:footnoteReference w:id="85"/>
      </w:r>
      <w:r>
        <w:rPr>
          <w:rFonts w:ascii="IRNazanin" w:hAnsi="IRNazanin" w:eastAsia="IRNazanin"/>
          <w:color w:val="111111"/>
          <w:sz w:val="28"/>
          <w:sz w:val="28"/>
          <w:szCs w:val="28"/>
          <w:rtl w:val="true"/>
          <w:lang w:bidi="fa-IR"/>
        </w:rPr>
        <w:t>و به مسلمانان اجازه داد زندگی مشترک و مخلوط نمودن اموال یتیمان با اموال خود و به طور کلّی دخالت در اموال آنها مانعی ندارد و شانه خالی کردن از زیر بار مسئولیّت سرپرستی یتیمان وآنها را به حال خود واگذاردن نارواست، بلکه باید سرپرستی آنان پذیرفته شود و کارشان سامان یابد، به شرط آن‌که با نظر مصلحت مدار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آیه استفاده میگردد، خداوند به مؤمنین اجازه داده در اموال و خوراک و پوشاک و مانند آن، با یتیمان شریک شوند؛ به شرط این‌که مصلحت یتیم رعایت گردد</w:t>
      </w:r>
      <w:r>
        <w:rPr>
          <w:rFonts w:eastAsia="IRNazanin" w:cs="IRNazanin"/>
          <w:color w:val="111111"/>
          <w:sz w:val="28"/>
          <w:szCs w:val="28"/>
          <w:rtl w:val="true"/>
          <w:lang w:bidi="fa-IR"/>
        </w:rPr>
        <w:t>».</w:t>
      </w:r>
      <w:r>
        <w:rPr>
          <w:rStyle w:val="FootnoteAnchor"/>
          <w:rtl w:val="true"/>
        </w:rPr>
        <w:footnoteReference w:id="8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مجمع البیان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اموال و رعایت مصلحت آنها با مشارکت در اموالشان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قریب به همین مضمون را دیگر مفسّرین از آیه برداشت نموده‌اند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نتیجه این که آیه شریفه دلالت دارد بر این‌که دخل و تصرف در اموال صغار در صورتیکه با رعایت مصلحت همراه باشد،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مستفیضه</w:t>
      </w:r>
    </w:p>
    <w:p>
      <w:pPr>
        <w:pStyle w:val="BookText"/>
        <w:rPr/>
      </w:pPr>
      <w:r>
        <w:rPr>
          <w:rFonts w:ascii="IRNazanin" w:hAnsi="IRNazanin" w:eastAsia="IRNazanin"/>
          <w:color w:val="111111"/>
          <w:sz w:val="28"/>
          <w:sz w:val="28"/>
          <w:szCs w:val="28"/>
          <w:rtl w:val="true"/>
          <w:lang w:bidi="fa-IR"/>
        </w:rPr>
        <w:t>روایات متعدّدی در این باره وجود دارد، به عنوان نمونه در حدیث صحیح، فرزند رئاب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سؤال کردم، مردی که با من قرابت داشته، از دنیا رفته است، در حالیکه فرزندان صغیر و خدمتگزارانی از مرد و زن، از او باقی مانده و به کسی وصیّت نکرده است، نظر شما در مورد کسانی که کنیزان او را، میخرند و از آنان صاحب فرزند میشود، چیست؟ و حکم معامله با اموال این شخص با این‌که فرزندان صغیر دارد و وصیّت ننموده،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صغار ولی باشد که در امور آنها دخالت کند و با رعایت مصلحت، انجام وظیفه نماید، در نزد خداوند مأجور است و منعی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لَهُمْ وَلِیٌّ یَقُومُ بِأَمْرِهِمْ باعَ عَلَیْهِمْ وَنَظَرَ لَهُمْ، کانَ مَأْجُوراً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از حضرت سؤال کردم، نظر شما در مورد کنیزان، که افرادی آن‌ها را میخرند و از آنها صاحب فرزند میشود،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قیّم بر ایتام گمارده شده، با رعایت مصلحت به فروش آنها اقدام نماید، منعی ندارد و کودکان بعد از بلوغشان نمیتوانند آن‌چه را قیّم با رعایت مصلحت انجام داده است، ردّ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إِذا باعَ عَلَیْهِمُ الْقَیِّمُ لَهُمُ النّاظِرُ فیِما یُصْلِحُهُمْ ولَیْسَ لَهُمْ أَنْ یَرْجِعُوا عَمّا صَنَعَ الْقَیِّمُ لَهُم النَّاظِرُ فیِما یُصْلِحُهُمْ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مورد سؤال در روایت، مربوط به صغار یتیمی است که پدر و وصی پدر و همچنین جدّ پدری نداشته باشند، در این مورد،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آنها ولی باشد که با رعایت مصلحت دخالت نماید، منعی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معامله با ملاحظه سود و مصلحت یتیم،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مفهوم شرط در 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إِذا باعَ عَلَیْهِمُ الْقَیِّمُ لَهُمُ النّاظِرُ فیِما یُصْلِحُهُمْ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دارد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الهی، در انتظار کسی است که بدون رعایت مصلحت یتیم، دخالت در اموال او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برداشت از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النّاظِرُ فیِما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بر این‌که امام علیه السلام، عنایت خاصّی داشته که صرف قیمومت و انجام معامله در اموال یتیم، کفایت نمیکند، بلکه قیّم موظّف است با در نظر گرفتن مصلحت یتیم، به انجام معامله با اموال وی، مبادرت نماید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روایت دیگری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یحیی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سؤال کرد، ما در خانة برادرمان رفت و آمد میکنیم که ایتامی از او باقی مانده و خدمتگزارانی نیز دارد، بر فرش آنان مینشینیم، از آب منزلشان میآشامیم و خدمتگزارشان به ما خدمت میکند و چه بسا برای آنان خوراک میبریم و خود نیز در منزل آنان غذا میخوریم و یا از غذای آنان میخوریم، در این‌باره چگونه باید رفتار کنیم؟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رفت و آمد شما برای آنان منفعت است، منعی ندارد، و اگر ضرر است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دُخُولِکُمْ عَلَیْهِمْ مَنْفِعَةٌ لَهُمْ فَلا بَأْسَ وَإِنْ کانَ فِیهِ ضَرَرٌ فَلا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از روایت استفاده میشود، رفت و آمد در خانه یتیم و تصرّف در اموال او در صورتیکه برای یتیم منفعت داشته باشد، منعی ندارد</w:t>
      </w:r>
      <w:r>
        <w:rPr>
          <w:rFonts w:eastAsia="IRNazanin" w:cs="IRNazanin"/>
          <w:color w:val="111111"/>
          <w:sz w:val="28"/>
          <w:szCs w:val="28"/>
          <w:rtl w:val="true"/>
          <w:lang w:bidi="fa-IR"/>
        </w:rPr>
        <w:t>.</w:t>
      </w:r>
    </w:p>
    <w:p>
      <w:pPr>
        <w:pStyle w:val="BookText"/>
        <w:rPr/>
      </w:pPr>
      <w:r>
        <w:rPr>
          <w:rStyle w:val="FootnoteAnchor"/>
          <w:rtl w:val="true"/>
        </w:rPr>
        <w:footnoteReference w:id="92"/>
      </w:r>
      <w:r>
        <w:rPr>
          <w:rFonts w:ascii="IRNazanin" w:hAnsi="IRNazanin" w:eastAsia="IRNazanin"/>
          <w:color w:val="111111"/>
          <w:sz w:val="28"/>
          <w:sz w:val="28"/>
          <w:szCs w:val="28"/>
          <w:rtl w:val="true"/>
          <w:lang w:bidi="fa-IR"/>
        </w:rPr>
        <w:t>این تعبیر، عبارت دیگری از رعایت مصلحت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دیگری</w:t>
      </w:r>
      <w:r>
        <w:rPr>
          <w:rStyle w:val="FootnoteAnchor"/>
          <w:rtl w:val="true"/>
        </w:rPr>
        <w:footnoteReference w:id="93"/>
      </w:r>
      <w:r>
        <w:rPr>
          <w:rFonts w:ascii="IRNazanin" w:hAnsi="IRNazanin" w:eastAsia="IRNazanin"/>
          <w:color w:val="111111"/>
          <w:sz w:val="28"/>
          <w:sz w:val="28"/>
          <w:szCs w:val="28"/>
          <w:rtl w:val="true"/>
          <w:lang w:bidi="fa-IR"/>
        </w:rPr>
        <w:t>هم وجود دارد که به جهت پرهیز از طولانی شدن، از ذکر آنها خودداری میشود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اوّلیه اقتضا دارد که هیچ‌کس حق دخالت در اموال دیگری ندارد، به‌ویژه یتیم که قادر به دفاع از خود نیست، مگر این‌که یقین برخلاف این اصل پیدا شود و یقین</w:t>
      </w:r>
    </w:p>
    <w:p>
      <w:pPr>
        <w:pStyle w:val="BookText"/>
        <w:rPr/>
      </w:pPr>
      <w:r>
        <w:rPr>
          <w:rFonts w:ascii="IRNazanin" w:hAnsi="IRNazanin" w:eastAsia="IRNazanin"/>
          <w:color w:val="111111"/>
          <w:sz w:val="28"/>
          <w:sz w:val="28"/>
          <w:szCs w:val="28"/>
          <w:rtl w:val="true"/>
          <w:lang w:bidi="fa-IR"/>
        </w:rPr>
        <w:t>برخلاف اصل اوّلی در صورتی پیدا میشود که دخالت با رعایت مصلحت صورت پذیرد، زیرا دلیلی که بتواند اثبات نماید رعایت مصلحت لازم نیست، وجود ندارد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اصلحیّت</w:t>
      </w:r>
    </w:p>
    <w:p>
      <w:pPr>
        <w:pStyle w:val="BookText"/>
        <w:rPr/>
      </w:pPr>
      <w:r>
        <w:rPr>
          <w:rFonts w:ascii="IRNazanin" w:hAnsi="IRNazanin" w:eastAsia="IRNazanin"/>
          <w:color w:val="111111"/>
          <w:sz w:val="28"/>
          <w:sz w:val="28"/>
          <w:szCs w:val="28"/>
          <w:rtl w:val="true"/>
          <w:lang w:bidi="fa-IR"/>
        </w:rPr>
        <w:t xml:space="preserve">بعضی از فقیهان معتقدند، در دوران بین مصلحت و اصلحیّت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مصلحت و سود بیش‌تر برای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اصلح انتخاب شود، بنابراین در جایی که تصرّف خاصّی در اموال ایتام دارای مصلحت و سود است، ولی ممکن است به صورت دیگری دارای سود بیش‌تر باشد، در این‌گونه موارد لازم است آن‌چه اصلح است صورت پذیرد و صِرف مصلحت کفایت نمیکند، زیرا معامله با سود کم‌تر موجب نادیده گرفتن بخشی از منافع یتیم میگردد که دلیلی برجواز آن وجود ندارد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عدالت ولی</w:t>
      </w:r>
    </w:p>
    <w:p>
      <w:pPr>
        <w:pStyle w:val="BookText"/>
        <w:rPr/>
      </w:pPr>
      <w:r>
        <w:rPr>
          <w:rFonts w:ascii="IRNazanin" w:hAnsi="IRNazanin" w:eastAsia="IRNazanin"/>
          <w:color w:val="111111"/>
          <w:sz w:val="28"/>
          <w:sz w:val="28"/>
          <w:szCs w:val="28"/>
          <w:rtl w:val="true"/>
          <w:lang w:bidi="fa-IR"/>
        </w:rPr>
        <w:t>در این‌که آیا علاوه بر رعایت مصلحت کودک توسط ولی، عدالت وی نیز شرط است، به گونه‌ای که تصرّفات ولی فاسق بی‌تأثیر باشد یا خیر، دو دیدگاه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فقها مانند، فخر المحقّقین</w:t>
      </w:r>
      <w:r>
        <w:rPr>
          <w:rStyle w:val="FootnoteAnchor"/>
          <w:rtl w:val="true"/>
        </w:rPr>
        <w:footnoteReference w:id="97"/>
      </w:r>
      <w:r>
        <w:rPr>
          <w:rFonts w:ascii="IRNazanin" w:hAnsi="IRNazanin" w:eastAsia="IRNazanin"/>
          <w:color w:val="111111"/>
          <w:sz w:val="28"/>
          <w:sz w:val="28"/>
          <w:szCs w:val="28"/>
          <w:rtl w:val="true"/>
          <w:lang w:bidi="fa-IR"/>
        </w:rPr>
        <w:t>، آن را لازم دانسته است، مستند این قول،</w:t>
      </w:r>
      <w:r>
        <w:rPr>
          <w:rStyle w:val="FootnoteAnchor"/>
          <w:rtl w:val="true"/>
        </w:rPr>
        <w:footnoteReference w:id="98"/>
      </w:r>
      <w:r>
        <w:rPr>
          <w:rFonts w:ascii="IRNazanin" w:hAnsi="IRNazanin" w:eastAsia="IRNazanin"/>
          <w:color w:val="111111"/>
          <w:sz w:val="28"/>
          <w:sz w:val="28"/>
          <w:szCs w:val="28"/>
          <w:rtl w:val="true"/>
          <w:lang w:bidi="fa-IR"/>
        </w:rPr>
        <w:t>وجوهی است که از آن‌ها جواب داده شده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دوّم که در بین فقها مشهور است، بلکه اکثریّت قریب به اتّفاق، آن را پذیرفته‌اند،</w:t>
      </w:r>
      <w:r>
        <w:rPr>
          <w:rStyle w:val="FootnoteAnchor"/>
          <w:rtl w:val="true"/>
        </w:rPr>
        <w:footnoteReference w:id="100"/>
      </w:r>
      <w:r>
        <w:rPr>
          <w:rFonts w:ascii="IRNazanin" w:hAnsi="IRNazanin" w:eastAsia="IRNazanin"/>
          <w:color w:val="111111"/>
          <w:sz w:val="28"/>
          <w:sz w:val="28"/>
          <w:szCs w:val="28"/>
          <w:rtl w:val="true"/>
          <w:lang w:bidi="fa-IR"/>
        </w:rPr>
        <w:t>عدالت را شرط ندانسته‌اند و دلیل آن را علاوه بر اصل</w:t>
      </w:r>
      <w:bookmarkStart w:id="52" w:name="pg13713_164328"/>
    </w:p>
    <w:p>
      <w:pPr>
        <w:pStyle w:val="BookText"/>
        <w:rPr/>
      </w:pPr>
      <w:bookmarkEnd w:id="52"/>
      <w:r>
        <w:rPr>
          <w:rFonts w:ascii="IRNazanin" w:hAnsi="IRNazanin" w:eastAsia="IRNazanin"/>
          <w:color w:val="111111"/>
          <w:sz w:val="28"/>
          <w:sz w:val="28"/>
          <w:szCs w:val="28"/>
          <w:rtl w:val="true"/>
          <w:lang w:bidi="fa-IR"/>
        </w:rPr>
        <w:t>عدم</w:t>
      </w:r>
      <w:r>
        <w:rPr>
          <w:rStyle w:val="FootnoteAnchor"/>
          <w:rtl w:val="true"/>
        </w:rPr>
        <w:footnoteReference w:id="101"/>
      </w:r>
      <w:r>
        <w:rPr>
          <w:rFonts w:ascii="IRNazanin" w:hAnsi="IRNazanin" w:eastAsia="IRNazanin"/>
          <w:color w:val="111111"/>
          <w:sz w:val="28"/>
          <w:sz w:val="28"/>
          <w:szCs w:val="28"/>
          <w:rtl w:val="true"/>
          <w:lang w:bidi="fa-IR"/>
        </w:rPr>
        <w:t>و این که اگر شرط بود، بیان میشد، در حالیکه چنین نشده است</w:t>
      </w:r>
      <w:r>
        <w:rPr>
          <w:rStyle w:val="FootnoteAnchor"/>
          <w:rtl w:val="true"/>
        </w:rPr>
        <w:footnoteReference w:id="102"/>
      </w:r>
      <w:r>
        <w:rPr>
          <w:rFonts w:ascii="IRNazanin" w:hAnsi="IRNazanin" w:eastAsia="IRNazanin"/>
          <w:color w:val="111111"/>
          <w:sz w:val="28"/>
          <w:sz w:val="28"/>
          <w:szCs w:val="28"/>
          <w:rtl w:val="true"/>
          <w:lang w:bidi="fa-IR"/>
        </w:rPr>
        <w:t>، اطلاقات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ادلّه</w:t>
      </w:r>
      <w:r>
        <w:rPr>
          <w:rStyle w:val="FootnoteAnchor"/>
          <w:rtl w:val="true"/>
        </w:rPr>
        <w:footnoteReference w:id="103"/>
      </w:r>
      <w:r>
        <w:rPr>
          <w:rFonts w:ascii="IRNazanin" w:hAnsi="IRNazanin" w:eastAsia="IRNazanin"/>
          <w:color w:val="111111"/>
          <w:sz w:val="28"/>
          <w:sz w:val="28"/>
          <w:szCs w:val="28"/>
          <w:rtl w:val="true"/>
          <w:lang w:bidi="fa-IR"/>
        </w:rPr>
        <w:t>، ثبوت ولایت پدر و جدّ پدری است و مقیّد به عدالت آن‌ها نیست، چنان که در مؤمنین نیز این‌گونه میباشد؛ بنابراین اگر مؤمنی، فاسق بود یا در حین انجام مسئولیّت فاسق شد، فسق او موجب سقوط ولایت وی نمیگردد، به طوری که اگر در تصرّفات خود نسبت به اموال کودک مصلحت را رعایت نمود، به دلیل این‌که فاسق است بیتأثیر باشد و مانند دخالت کسی باشد که شرعاً ولایت ندارد، بلکه با رعایت مصلحت، دخالت آنان صحیح است هر چند فاسق باشند</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53" w:name="__RefHeading___Toc1259350_1468164448"/>
      <w:bookmarkStart w:id="54" w:name="_Toc20"/>
      <w:bookmarkEnd w:id="53"/>
      <w:r>
        <w:rPr/>
        <w:t>14</w:t>
      </w:r>
      <w:r>
        <w:rPr>
          <w:rtl w:val="true"/>
        </w:rPr>
        <w:t xml:space="preserve">- </w:t>
      </w:r>
      <w:r>
        <w:rPr>
          <w:rtl w:val="true"/>
        </w:rPr>
        <w:t>احراز مصلحت یا عدم مفسده</w:t>
      </w:r>
      <w:bookmarkEnd w:id="54"/>
    </w:p>
    <w:p>
      <w:pPr>
        <w:pStyle w:val="BookText"/>
        <w:rPr/>
      </w:pPr>
      <w:r>
        <w:rPr>
          <w:rFonts w:ascii="IRNazanin" w:hAnsi="IRNazanin" w:eastAsia="IRNazanin"/>
          <w:color w:val="111111"/>
          <w:sz w:val="28"/>
          <w:sz w:val="28"/>
          <w:szCs w:val="28"/>
          <w:rtl w:val="true"/>
          <w:lang w:bidi="fa-IR"/>
        </w:rPr>
        <w:t xml:space="preserve">در بحث از اعتبار مصلحت یا کفایت عدم مفسده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نفوذ تصرّفات پدر و جدّ پدری، فقها به نکته ظریفی اشاره نموده‌اند و آن این‌که آیا فقط شرط است، مصلحت یا عدم مفسده احراز شوند، هر چند در متن واقع چنین نباشد؛ بنابراین اگر برای ولی احراز شد فروش مال صغیر دارای مصلحت است و در متن واقع چنین نبود، معامله باطل نیست، بلکه نافذ است، یا این‌که باید در عالم واقع، این شرط وجود داشته باشد؛ بنابراین اگر فروش مال صغیر برای او مضر باشد، معامله آن باطل است، هر چند ولی در حین فروش، علم به ضرر پیدا نکند و یا این‌که هر دو شرط لازم است، یعنی باید در واقع دارای مصلحت باشد، ولی نیز علم به آن پیدا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بعضی از ادلّه،</w:t>
      </w:r>
      <w:r>
        <w:rPr>
          <w:rStyle w:val="FootnoteAnchor"/>
          <w:rtl w:val="true"/>
        </w:rPr>
        <w:footnoteReference w:id="105"/>
      </w:r>
      <w:r>
        <w:rPr>
          <w:rFonts w:ascii="IRNazanin" w:hAnsi="IRNazanin" w:eastAsia="IRNazanin"/>
          <w:color w:val="111111"/>
          <w:sz w:val="28"/>
          <w:sz w:val="28"/>
          <w:szCs w:val="28"/>
          <w:rtl w:val="true"/>
          <w:lang w:bidi="fa-IR"/>
        </w:rPr>
        <w:t>نظریّة دوّم استفاده میشود، یعنی وجود مصلحت یا عدم مفسدة واقعی و علم به آن توسط ولی شرط است</w:t>
      </w:r>
      <w:r>
        <w:rPr>
          <w:rFonts w:eastAsia="IRNazanin" w:cs="IRNazanin"/>
          <w:color w:val="111111"/>
          <w:sz w:val="28"/>
          <w:szCs w:val="28"/>
          <w:rtl w:val="true"/>
          <w:lang w:bidi="fa-IR"/>
        </w:rPr>
        <w:t>.</w:t>
      </w:r>
      <w:r>
        <w:rPr>
          <w:rStyle w:val="FootnoteAnchor"/>
          <w:rtl w:val="true"/>
        </w:rPr>
        <w:footnoteReference w:id="106"/>
      </w:r>
      <w:bookmarkStart w:id="55" w:name="pg13713_164329"/>
    </w:p>
    <w:p>
      <w:pPr>
        <w:pStyle w:val="Heading4"/>
        <w:numPr>
          <w:ilvl w:val="3"/>
          <w:numId w:val="1"/>
        </w:numPr>
        <w:rPr/>
      </w:pPr>
      <w:bookmarkStart w:id="56" w:name="__RefHeading___Toc1259352_1468164448"/>
      <w:bookmarkStart w:id="57" w:name="_Toc21"/>
      <w:bookmarkEnd w:id="55"/>
      <w:bookmarkEnd w:id="56"/>
      <w:r>
        <w:rPr/>
        <w:t>15</w:t>
      </w:r>
      <w:r>
        <w:rPr>
          <w:rtl w:val="true"/>
        </w:rPr>
        <w:t xml:space="preserve">- </w:t>
      </w:r>
      <w:r>
        <w:rPr>
          <w:rtl w:val="true"/>
        </w:rPr>
        <w:t>عدم نفوذ تصرّفات خالی از مصلحت</w:t>
      </w:r>
      <w:bookmarkEnd w:id="57"/>
    </w:p>
    <w:p>
      <w:pPr>
        <w:pStyle w:val="BookText"/>
        <w:rPr/>
      </w:pPr>
      <w:r>
        <w:rPr>
          <w:rFonts w:ascii="IRNazanin" w:hAnsi="IRNazanin" w:eastAsia="IRNazanin"/>
          <w:color w:val="111111"/>
          <w:sz w:val="28"/>
          <w:sz w:val="28"/>
          <w:szCs w:val="28"/>
          <w:rtl w:val="true"/>
          <w:lang w:bidi="fa-IR"/>
        </w:rPr>
        <w:t>این پرسش مطرح است در مواردی که اولیا برخلاف مصلحت مولی علیه در اموال او تصرّفاتی داشته باشند، مانند این‌که مال او را به قیمت کم‌تر از قیمت واقعی بفروشند یا به قیمت گزاف خریداری کنند و یا خانه او را به کم‌تر از اجرة المثل اجاره دهند، این‌گونه اعمال حقوقی، آیا باطل هستند یا غیر نافذ؟</w:t>
      </w:r>
    </w:p>
    <w:p>
      <w:pPr>
        <w:pStyle w:val="BookText"/>
        <w:rPr/>
      </w:pPr>
      <w:r>
        <w:rPr>
          <w:rFonts w:ascii="IRNazanin" w:hAnsi="IRNazanin" w:eastAsia="IRNazanin"/>
          <w:color w:val="111111"/>
          <w:sz w:val="28"/>
          <w:sz w:val="28"/>
          <w:szCs w:val="28"/>
          <w:rtl w:val="true"/>
          <w:lang w:bidi="fa-IR"/>
        </w:rPr>
        <w:t>برخی از فقها، به عدم نفوذ چنین تصرّفاتی تصریح کرده‌اند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برخی دیگر، از بطلان و عدم صحّت سخن گفته‌اند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نظر میرسد که عمل ولی قهری که برخلاف مصلحت صغیر انجام شده است، غیر نافذ باشد نه باطل، زیرا در واقع چنین معامله‌ای بدون اختیار انجام شده و فضولی و غیر نافذ به شمار میآید و به نظر اکثر فقهای امامیّه، در معامله فضولی شرط نیست که اجازه کننده در حین عقد دارای حق اجازه و اهلیّت تصرف باشد؛ ضمن این‌که عدم‌نفوذ با مصلحت مولی علیه هم سازگارتر است، چون به او و یا نماینده شرعی او، امکان میدهد که اگر در نتیجه تغییر شرایط و اوضاع، تنفیذ معامله به مصلحت باشد، آن را تنفیذ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در این‌جا مطرح میشود، این است که اگر مولی علیه پس از رشد به لحاظ این‌که ولی، مصلحت او را رعایت نکرده است، مدّعی بطلان معامله او شد، چه باید کرد؟</w:t>
      </w:r>
    </w:p>
    <w:p>
      <w:pPr>
        <w:pStyle w:val="BookText"/>
        <w:rPr/>
      </w:pPr>
      <w:r>
        <w:rPr>
          <w:rFonts w:ascii="IRNazanin" w:hAnsi="IRNazanin" w:eastAsia="IRNazanin"/>
          <w:color w:val="111111"/>
          <w:sz w:val="28"/>
          <w:sz w:val="28"/>
          <w:szCs w:val="28"/>
          <w:rtl w:val="true"/>
          <w:lang w:bidi="fa-IR"/>
        </w:rPr>
        <w:t>ظاهر این است که در این‌جا باید قول ولی قهری مقدّم باشد، زیرا ظاهر حال این است که او نسبت به مولیعلیه دلسوز است و در جهت رعایت مصلحت و اصلاح امور وی دخالت نموده است، بنابراین مدّعی بطلان باید برای اثبات ادّعای خود، بیّنه بیاورد،</w:t>
      </w:r>
      <w:r>
        <w:rPr>
          <w:rStyle w:val="FootnoteAnchor"/>
          <w:rtl w:val="true"/>
        </w:rPr>
        <w:footnoteReference w:id="109"/>
      </w:r>
      <w:r>
        <w:rPr>
          <w:rFonts w:ascii="IRNazanin" w:hAnsi="IRNazanin" w:eastAsia="IRNazanin"/>
          <w:color w:val="111111"/>
          <w:sz w:val="28"/>
          <w:sz w:val="28"/>
          <w:szCs w:val="28"/>
          <w:rtl w:val="true"/>
          <w:lang w:bidi="fa-IR"/>
        </w:rPr>
        <w:t>یا با دلیل قطعی دیگری که مورد قبول محاکم شرعی است، مدّعای خود را اثبات نماید</w:t>
      </w:r>
      <w:r>
        <w:rPr>
          <w:rFonts w:eastAsia="IRNazanin" w:cs="IRNazanin"/>
          <w:color w:val="111111"/>
          <w:sz w:val="28"/>
          <w:szCs w:val="28"/>
          <w:rtl w:val="true"/>
          <w:lang w:bidi="fa-IR"/>
        </w:rPr>
        <w:t>.</w:t>
      </w:r>
    </w:p>
    <w:p>
      <w:pPr>
        <w:pStyle w:val="Heading4"/>
        <w:numPr>
          <w:ilvl w:val="3"/>
          <w:numId w:val="1"/>
        </w:numPr>
        <w:rPr/>
      </w:pPr>
      <w:bookmarkStart w:id="58" w:name="__RefHeading___Toc1259354_1468164448"/>
      <w:bookmarkStart w:id="59" w:name="_Toc22"/>
      <w:bookmarkEnd w:id="58"/>
      <w:r>
        <w:rPr/>
        <w:t>16</w:t>
      </w:r>
      <w:r>
        <w:rPr>
          <w:rtl w:val="true"/>
        </w:rPr>
        <w:t xml:space="preserve">- </w:t>
      </w:r>
      <w:r>
        <w:rPr>
          <w:rtl w:val="true"/>
        </w:rPr>
        <w:t xml:space="preserve">رعایت مصلحت طفل </w:t>
      </w:r>
      <w:r>
        <w:rPr>
          <w:rtl w:val="true"/>
        </w:rPr>
        <w:t>(</w:t>
      </w:r>
      <w:r>
        <w:rPr>
          <w:rtl w:val="true"/>
        </w:rPr>
        <w:t>مولی علیه</w:t>
      </w:r>
      <w:r>
        <w:rPr>
          <w:rtl w:val="true"/>
        </w:rPr>
        <w:t xml:space="preserve">) </w:t>
      </w:r>
      <w:r>
        <w:rPr>
          <w:rtl w:val="true"/>
        </w:rPr>
        <w:t>در حقوق مدنی</w:t>
      </w:r>
      <w:bookmarkEnd w:id="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اول ماده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اصلاحی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رعایت مصحلت چنین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ولی قهری طفل، رعایت غبطه صغیر را ننماید و مرتکب اقداماتی</w:t>
      </w:r>
    </w:p>
    <w:p>
      <w:pPr>
        <w:pStyle w:val="BookText"/>
        <w:rPr/>
      </w:pPr>
      <w:r>
        <w:rPr>
          <w:rFonts w:ascii="IRNazanin" w:hAnsi="IRNazanin" w:eastAsia="IRNazanin"/>
          <w:color w:val="111111"/>
          <w:sz w:val="28"/>
          <w:sz w:val="28"/>
          <w:szCs w:val="28"/>
          <w:rtl w:val="true"/>
          <w:lang w:bidi="fa-IR"/>
        </w:rPr>
        <w:t>شود که موجب ضرر مولّی علیه گردد، به تقاضای یکی از اقارب وی و یا به درخواست رئیس حوزه قضایی پس از اثبات، دادگاه، ولی مذکور را عزل و از تصرّف در اموال صغیر منع و برای اداره امور مالی طفل، فرد صالحی را به عنوان قیّم تعیین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رعایت این شرط، از مواد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امور حسبی نیز استنباط میگردد، هر چند بدان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ملاک ماده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راجع به وکالت هم در این خصوص قابل استناد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میتوان گفت که طبق قاعده عقلی، کسی که به نمایندگی دیگری، عملی انجام میدهد باید در حدود متعارف اقدام کند و متعارف در اداره اموال غیر، رعایت غبطه و مصلحت اوست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هرحال تنها چیزی که اختیارات ولی قهری را محدود میکند، غبطه و مصلحت صغیر است، بنابر این باید در اعمال خود، مصلحت مولّی علیه را رعایت کند و نمیتواند عملی برخلاف مصلحت او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صاحب نظران در مسائل حقوقی، اعمالی را که ولی قهری به نمایندگی محجور انجام میدهد و در آن مصلحت مولّی علیه رعایت نمیشود، میتوان به دو گروه اصلی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ولی به عمد به زیان مولّیعلیه و به سود خود انجام میدهد، در این گروه، دسته‌ای که با تبانی طرف معامله انجام میشود، بیگمان غیر نافذ است؛ زیرا فرض این است که ولی از حدود اختیار خویش تجاوز کرده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که ولی قهری به عنوان نمایندگی از طرف محجور و برای حفظ مصلحت او انجام میدهد، لیکن در تمیز این مصلحت دچار اشتباه میشود، به گونه‌ای که نتیجه کار برخلاف آن‌چه او خواسته است به زیان مولّی علیه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پاره‌ای از استادان، معامله را فضولی پنداشته‌اند و بر همین مبنا، به ولی و قیّم یا محجور اجازه داده‌اند که بطلان آن را از دادگاه بخواهند</w:t>
      </w:r>
      <w:r>
        <w:rPr>
          <w:rFonts w:eastAsia="IRNazanin" w:cs="IRNazanin"/>
          <w:color w:val="111111"/>
          <w:sz w:val="28"/>
          <w:szCs w:val="28"/>
          <w:rtl w:val="true"/>
          <w:lang w:bidi="fa-IR"/>
        </w:rPr>
        <w:t>.</w:t>
      </w:r>
      <w:bookmarkStart w:id="60" w:name="pg13713_164331"/>
    </w:p>
    <w:p>
      <w:pPr>
        <w:pStyle w:val="Heading3"/>
        <w:numPr>
          <w:ilvl w:val="2"/>
          <w:numId w:val="1"/>
        </w:numPr>
        <w:rPr/>
      </w:pPr>
      <w:bookmarkStart w:id="61" w:name="__RefHeading___Toc1259356_1468164448"/>
      <w:bookmarkStart w:id="62" w:name="_Toc23"/>
      <w:bookmarkEnd w:id="60"/>
      <w:bookmarkEnd w:id="61"/>
      <w:r>
        <w:rPr>
          <w:rtl w:val="true"/>
        </w:rPr>
        <w:t>گفتار دوّم</w:t>
      </w:r>
      <w:r>
        <w:rPr>
          <w:rtl w:val="true"/>
        </w:rPr>
        <w:t xml:space="preserve">: </w:t>
      </w:r>
      <w:r>
        <w:rPr>
          <w:rtl w:val="true"/>
        </w:rPr>
        <w:t>موارد تصرّف اولیا در اموال صغار</w:t>
      </w:r>
      <w:bookmarkEnd w:id="62"/>
    </w:p>
    <w:p>
      <w:pPr>
        <w:pStyle w:val="Heading4"/>
        <w:numPr>
          <w:ilvl w:val="3"/>
          <w:numId w:val="1"/>
        </w:numPr>
        <w:rPr/>
      </w:pPr>
      <w:bookmarkStart w:id="63" w:name="__RefHeading___Toc1259358_1468164448"/>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فقها در کتب فقه استدلالی خود، ضمن اثبات ولایت اولیا و جواز دخالت آنها در امور مالی صغار و محجورین، به ذکر موارد و بیان مصادیق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به ذکر مهم‌ترین آنها و دیگر مسائلی که در ارتباط با ولایت اولیا بر اموال صغار در فقه مطرح گردیده، میپردازیم</w:t>
      </w:r>
      <w:r>
        <w:rPr>
          <w:rFonts w:eastAsia="IRNazanin" w:cs="IRNazanin"/>
          <w:color w:val="111111"/>
          <w:sz w:val="28"/>
          <w:szCs w:val="28"/>
          <w:rtl w:val="true"/>
          <w:lang w:bidi="fa-IR"/>
        </w:rPr>
        <w:t>.</w:t>
      </w:r>
    </w:p>
    <w:p>
      <w:pPr>
        <w:pStyle w:val="Heading4"/>
        <w:numPr>
          <w:ilvl w:val="3"/>
          <w:numId w:val="1"/>
        </w:numPr>
        <w:rPr/>
      </w:pPr>
      <w:bookmarkStart w:id="65" w:name="__RefHeading___Toc1259360_1468164448"/>
      <w:bookmarkStart w:id="66" w:name="_Toc25"/>
      <w:bookmarkEnd w:id="65"/>
      <w:r>
        <w:rPr/>
        <w:t>1</w:t>
      </w:r>
      <w:r>
        <w:rPr>
          <w:rtl w:val="true"/>
        </w:rPr>
        <w:t xml:space="preserve">- </w:t>
      </w:r>
      <w:r>
        <w:rPr>
          <w:rtl w:val="true"/>
        </w:rPr>
        <w:t>خرید و فروش و تجارت</w:t>
      </w:r>
      <w:bookmarkEnd w:id="66"/>
    </w:p>
    <w:p>
      <w:pPr>
        <w:pStyle w:val="BookText"/>
        <w:rPr/>
      </w:pPr>
      <w:r>
        <w:rPr>
          <w:rFonts w:ascii="IRNazanin" w:hAnsi="IRNazanin" w:eastAsia="IRNazanin"/>
          <w:color w:val="111111"/>
          <w:sz w:val="28"/>
          <w:sz w:val="28"/>
          <w:szCs w:val="28"/>
          <w:rtl w:val="true"/>
          <w:lang w:bidi="fa-IR"/>
        </w:rPr>
        <w:t xml:space="preserve">این مسأله مورد توافق فقها است که ولی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 جدّ پدری، وصی آن دو، حاکم و قیّم که از طرف حاکم معین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رعایت مصلحت، اموال کودک را خرید و فروش و با آن تجارت نماید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فقیهان</w:t>
      </w:r>
      <w:r>
        <w:rPr>
          <w:rStyle w:val="FootnoteAnchor"/>
          <w:rtl w:val="true"/>
        </w:rPr>
        <w:footnoteReference w:id="111"/>
      </w:r>
      <w:r>
        <w:rPr>
          <w:rFonts w:ascii="IRNazanin" w:hAnsi="IRNazanin" w:eastAsia="IRNazanin"/>
          <w:color w:val="111111"/>
          <w:sz w:val="28"/>
          <w:sz w:val="28"/>
          <w:szCs w:val="28"/>
          <w:rtl w:val="true"/>
          <w:lang w:bidi="fa-IR"/>
        </w:rPr>
        <w:t>به آن تصریح نموده‌اند و دلیل آن، علاوه بر ادلّه‌ای که به نحو کلّی براثبات ولایت بر اموال کودک ذکر شد، اجماع</w:t>
      </w:r>
      <w:r>
        <w:rPr>
          <w:rStyle w:val="FootnoteAnchor"/>
          <w:rtl w:val="true"/>
        </w:rPr>
        <w:footnoteReference w:id="112"/>
      </w:r>
      <w:r>
        <w:rPr>
          <w:rFonts w:ascii="IRNazanin" w:hAnsi="IRNazanin" w:eastAsia="IRNazanin"/>
          <w:color w:val="111111"/>
          <w:sz w:val="28"/>
          <w:sz w:val="28"/>
          <w:szCs w:val="28"/>
          <w:rtl w:val="true"/>
          <w:lang w:bidi="fa-IR"/>
        </w:rPr>
        <w:t>در مسأله و بعضی از روایات خاص است؛ مانند روایت صحیحه ابن رئاب</w:t>
      </w:r>
      <w:r>
        <w:rPr>
          <w:rStyle w:val="FootnoteAnchor"/>
          <w:rtl w:val="true"/>
        </w:rPr>
        <w:footnoteReference w:id="113"/>
      </w:r>
      <w:r>
        <w:rPr>
          <w:rFonts w:ascii="IRNazanin" w:hAnsi="IRNazanin" w:eastAsia="IRNazanin"/>
          <w:color w:val="111111"/>
          <w:sz w:val="28"/>
          <w:sz w:val="28"/>
          <w:szCs w:val="28"/>
          <w:rtl w:val="true"/>
          <w:lang w:bidi="fa-IR"/>
        </w:rPr>
        <w:t>که پیش‌تر ذکر شد و نیز دیگر روایات</w:t>
      </w:r>
      <w:r>
        <w:rPr>
          <w:rFonts w:eastAsia="IRNazanin" w:cs="IRNazanin"/>
          <w:color w:val="111111"/>
          <w:sz w:val="28"/>
          <w:szCs w:val="28"/>
          <w:rtl w:val="true"/>
          <w:lang w:bidi="fa-IR"/>
        </w:rPr>
        <w:t>.</w:t>
      </w:r>
      <w:r>
        <w:rPr>
          <w:rStyle w:val="FootnoteAnchor"/>
          <w:rtl w:val="true"/>
        </w:rPr>
        <w:footnoteReference w:id="114"/>
      </w:r>
      <w:bookmarkStart w:id="67" w:name="pg13713_164332"/>
    </w:p>
    <w:p>
      <w:pPr>
        <w:pStyle w:val="Heading4"/>
        <w:numPr>
          <w:ilvl w:val="3"/>
          <w:numId w:val="1"/>
        </w:numPr>
        <w:rPr/>
      </w:pPr>
      <w:bookmarkStart w:id="68" w:name="__RefHeading___Toc1259362_1468164448"/>
      <w:bookmarkStart w:id="69" w:name="_Toc26"/>
      <w:bookmarkEnd w:id="67"/>
      <w:bookmarkEnd w:id="68"/>
      <w:r>
        <w:rPr/>
        <w:t>2</w:t>
      </w:r>
      <w:r>
        <w:rPr>
          <w:rtl w:val="true"/>
        </w:rPr>
        <w:t xml:space="preserve">- </w:t>
      </w:r>
      <w:r>
        <w:rPr>
          <w:rtl w:val="true"/>
        </w:rPr>
        <w:t>مصالحه در اموال کودک</w:t>
      </w:r>
      <w:bookmarkEnd w:id="69"/>
    </w:p>
    <w:p>
      <w:pPr>
        <w:pStyle w:val="BookText"/>
        <w:rPr/>
      </w:pPr>
      <w:r>
        <w:rPr>
          <w:rFonts w:ascii="IRNazanin" w:hAnsi="IRNazanin" w:eastAsia="IRNazanin"/>
          <w:color w:val="111111"/>
          <w:sz w:val="28"/>
          <w:sz w:val="28"/>
          <w:szCs w:val="28"/>
          <w:rtl w:val="true"/>
          <w:lang w:bidi="fa-IR"/>
        </w:rPr>
        <w:t>این مسأله نیز مورد توافق فقها است که برای ولی کودک جایز است در صورت نیاز و با رعایت مصلحت، در مورد اموال کودک اقدام به مصالحه</w:t>
      </w:r>
      <w:r>
        <w:rPr>
          <w:rStyle w:val="FootnoteAnchor"/>
          <w:rtl w:val="true"/>
        </w:rPr>
        <w:footnoteReference w:id="115"/>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یتیم از فردی، مبلغی طلبکار باشد، برای ولی او جایز است در صورتیکه به مصلحت یتیم باشد، آن را با چیزی مصالحه نماید و مابقی آن را بگیرد و مدیون را بریء الذّمه سازد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قریب به این مضمون را، علاّمه حلّی در تذکره</w:t>
      </w:r>
      <w:r>
        <w:rPr>
          <w:rStyle w:val="FootnoteAnchor"/>
          <w:rtl w:val="true"/>
        </w:rPr>
        <w:footnoteReference w:id="117"/>
      </w:r>
      <w:r>
        <w:rPr>
          <w:rFonts w:ascii="IRNazanin" w:hAnsi="IRNazanin" w:eastAsia="IRNazanin"/>
          <w:color w:val="111111"/>
          <w:sz w:val="28"/>
          <w:sz w:val="28"/>
          <w:szCs w:val="28"/>
          <w:rtl w:val="true"/>
          <w:lang w:bidi="fa-IR"/>
        </w:rPr>
        <w:t>و ابن حمزه در وسیله</w:t>
      </w:r>
      <w:r>
        <w:rPr>
          <w:rStyle w:val="FootnoteAnchor"/>
          <w:rtl w:val="true"/>
        </w:rPr>
        <w:footnoteReference w:id="118"/>
      </w:r>
      <w:r>
        <w:rPr>
          <w:rFonts w:ascii="IRNazanin" w:hAnsi="IRNazanin" w:eastAsia="IRNazanin"/>
          <w:color w:val="111111"/>
          <w:sz w:val="28"/>
          <w:sz w:val="28"/>
          <w:szCs w:val="28"/>
          <w:rtl w:val="true"/>
          <w:lang w:bidi="fa-IR"/>
        </w:rPr>
        <w:t>و ابن ادریس در سرائر</w:t>
      </w:r>
      <w:r>
        <w:rPr>
          <w:rStyle w:val="FootnoteAnchor"/>
          <w:rtl w:val="true"/>
        </w:rPr>
        <w:footnoteReference w:id="119"/>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فقها در این مسأله به اطلاق ادلّه صلح</w:t>
      </w:r>
      <w:r>
        <w:rPr>
          <w:rStyle w:val="FootnoteAnchor"/>
          <w:rtl w:val="true"/>
        </w:rPr>
        <w:footnoteReference w:id="120"/>
      </w:r>
      <w:r>
        <w:rPr>
          <w:rFonts w:ascii="IRNazanin" w:hAnsi="IRNazanin" w:eastAsia="IRNazanin"/>
          <w:color w:val="111111"/>
          <w:sz w:val="28"/>
          <w:sz w:val="28"/>
          <w:szCs w:val="28"/>
          <w:rtl w:val="true"/>
          <w:lang w:bidi="fa-IR"/>
        </w:rPr>
        <w:t>استناد نموده‌اند</w:t>
      </w:r>
      <w:r>
        <w:rPr>
          <w:rFonts w:eastAsia="IRNazanin" w:cs="IRNazanin"/>
          <w:color w:val="111111"/>
          <w:sz w:val="28"/>
          <w:szCs w:val="28"/>
          <w:rtl w:val="true"/>
          <w:lang w:bidi="fa-IR"/>
        </w:rPr>
        <w:t>.</w:t>
      </w:r>
    </w:p>
    <w:p>
      <w:pPr>
        <w:pStyle w:val="Heading4"/>
        <w:numPr>
          <w:ilvl w:val="3"/>
          <w:numId w:val="1"/>
        </w:numPr>
        <w:rPr/>
      </w:pPr>
      <w:bookmarkStart w:id="70" w:name="__RefHeading___Toc1259364_1468164448"/>
      <w:bookmarkStart w:id="71" w:name="_Toc27"/>
      <w:bookmarkEnd w:id="70"/>
      <w:r>
        <w:rPr/>
        <w:t>3</w:t>
      </w:r>
      <w:r>
        <w:rPr>
          <w:rtl w:val="true"/>
        </w:rPr>
        <w:t xml:space="preserve">- </w:t>
      </w:r>
      <w:r>
        <w:rPr>
          <w:rtl w:val="true"/>
        </w:rPr>
        <w:t>مضاربه در اموال کودک</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فقها اختلافی نیست که برای ولی یتیم جایز است اموال او را در اختیار فرد مورد اطمینان قرار دهد تا به صورت مضاربه</w:t>
      </w:r>
      <w:r>
        <w:rPr>
          <w:rStyle w:val="FootnoteAnchor"/>
          <w:rtl w:val="true"/>
        </w:rPr>
        <w:footnoteReference w:id="121"/>
      </w:r>
      <w:r>
        <w:rPr>
          <w:rFonts w:ascii="IRNazanin" w:hAnsi="IRNazanin" w:eastAsia="IRNazanin"/>
          <w:color w:val="111111"/>
          <w:sz w:val="28"/>
          <w:sz w:val="28"/>
          <w:szCs w:val="28"/>
          <w:rtl w:val="true"/>
          <w:lang w:bidi="fa-IR"/>
        </w:rPr>
        <w:t>با آن تجارت نماید و سود آن بین طرفین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فقیهان</w:t>
      </w:r>
      <w:r>
        <w:rPr>
          <w:rStyle w:val="FootnoteAnchor"/>
          <w:rtl w:val="true"/>
        </w:rPr>
        <w:footnoteReference w:id="122"/>
      </w:r>
      <w:r>
        <w:rPr>
          <w:rFonts w:ascii="IRNazanin" w:hAnsi="IRNazanin" w:eastAsia="IRNazanin"/>
          <w:color w:val="111111"/>
          <w:sz w:val="28"/>
          <w:sz w:val="28"/>
          <w:szCs w:val="28"/>
          <w:rtl w:val="true"/>
          <w:lang w:bidi="fa-IR"/>
        </w:rPr>
        <w:t>به این مسأله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برخی از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ولی و وصی میتواند مال کودک را برای مضاربه به دیگری بدهد، خود نیز میتواند با اموال کودک به نحو مضاربه تجارت نماید،</w:t>
      </w:r>
      <w:r>
        <w:rPr>
          <w:rStyle w:val="FootnoteAnchor"/>
          <w:rtl w:val="true"/>
        </w:rPr>
        <w:footnoteReference w:id="123"/>
      </w:r>
      <w:r>
        <w:rPr>
          <w:rFonts w:ascii="IRNazanin" w:hAnsi="IRNazanin" w:eastAsia="IRNazanin"/>
          <w:color w:val="111111"/>
          <w:sz w:val="28"/>
          <w:sz w:val="28"/>
          <w:szCs w:val="28"/>
          <w:rtl w:val="true"/>
          <w:lang w:bidi="fa-IR"/>
        </w:rPr>
        <w:t>البتّه در هر صورت باید رعایت مصلحت کودک بشود</w:t>
      </w:r>
      <w:r>
        <w:rPr>
          <w:rFonts w:eastAsia="IRNazanin" w:cs="IRNazanin"/>
          <w:color w:val="111111"/>
          <w:sz w:val="28"/>
          <w:szCs w:val="28"/>
          <w:rtl w:val="true"/>
          <w:lang w:bidi="fa-IR"/>
        </w:rPr>
        <w:t>».</w:t>
      </w:r>
      <w:bookmarkStart w:id="72" w:name="pg13713_164333"/>
    </w:p>
    <w:p>
      <w:pPr>
        <w:pStyle w:val="BookText"/>
        <w:rPr/>
      </w:pPr>
      <w:bookmarkEnd w:id="72"/>
      <w:r>
        <w:rPr>
          <w:rFonts w:ascii="IRNazanin" w:hAnsi="IRNazanin" w:eastAsia="IRNazanin"/>
          <w:color w:val="111111"/>
          <w:sz w:val="28"/>
          <w:sz w:val="28"/>
          <w:szCs w:val="28"/>
          <w:rtl w:val="true"/>
          <w:lang w:bidi="fa-IR"/>
        </w:rPr>
        <w:t>آیت الله فاضل لنکرانی در این‌باره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پدر و جدّ پدری و وصی آن‌ها جایز است با اموال کودک به صورت عقد مضاربه تجارت کنند، حتّی اگر عقد هم نخوانند صرف نیّت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با رعایت غبطه و مصلحت کودک انجام گردد و در موردی سرمایه‌گذاری شود که بیم از بین رفتن آن نباشد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برای اثبات این حکم، علاوه بر ادلّه‌ای که به نحو کلی بر اثبات ولایت اولیا ذکر نموده‌اند، به بعضی از روایات خاص نیز استناد شده است، از جمله در روایت صحیحه، 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مردی، فردی را بر فرزندان صغیر خود میگمارد تا در امور آنان دخالت کند و با مال آنها، به نحو مضاربه تجارت نماید و سود حاصله بین آنان تقسیم شود، آیا جایز است بعد از فوت آن، شخص عامل به فعالیت خود ادامه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پدر کودک در زمانیکه زنده بوده به او اجازه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مِنْ أَجْلِ أَنَّ أَباهُمْ قَدْ أَذِنَ لَهُ فِی ذلِکَ وَهُوَ حَیٌّ</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ونیز دیگر روایاتی</w:t>
      </w:r>
    </w:p>
    <w:p>
      <w:pPr>
        <w:pStyle w:val="BookText"/>
        <w:rPr/>
      </w:pPr>
      <w:r>
        <w:rPr>
          <w:rFonts w:ascii="IRNazanin" w:hAnsi="IRNazanin" w:eastAsia="IRNazanin"/>
          <w:color w:val="111111"/>
          <w:sz w:val="28"/>
          <w:sz w:val="28"/>
          <w:szCs w:val="28"/>
          <w:rtl w:val="true"/>
          <w:lang w:bidi="fa-IR"/>
        </w:rPr>
        <w:t>که در این باره وارد شده است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73" w:name="__RefHeading___Toc1259366_1468164448"/>
      <w:bookmarkStart w:id="74" w:name="_Toc28"/>
      <w:bookmarkEnd w:id="73"/>
      <w:r>
        <w:rPr/>
        <w:t>4</w:t>
      </w:r>
      <w:r>
        <w:rPr>
          <w:rtl w:val="true"/>
        </w:rPr>
        <w:t xml:space="preserve">- </w:t>
      </w:r>
      <w:r>
        <w:rPr>
          <w:rtl w:val="true"/>
        </w:rPr>
        <w:t>رهن گذاردن اموال کودک</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مشهور میان فقها این است که جایز است ولی کودک در صورت نیاز و با رعایت مصلحت وی، مال او را نزد دیگری رهن</w:t>
      </w:r>
      <w:r>
        <w:rPr>
          <w:rStyle w:val="FootnoteAnchor"/>
          <w:rtl w:val="true"/>
        </w:rPr>
        <w:footnoteReference w:id="127"/>
      </w:r>
      <w:r>
        <w:rPr>
          <w:rFonts w:ascii="IRNazanin" w:hAnsi="IRNazanin" w:eastAsia="IRNazanin"/>
          <w:color w:val="111111"/>
          <w:sz w:val="28"/>
          <w:sz w:val="28"/>
          <w:szCs w:val="28"/>
          <w:rtl w:val="true"/>
          <w:lang w:bidi="fa-IR"/>
        </w:rPr>
        <w:t>گذارد و برای مخارج او و اداره اموال وی قرض بگیرد و یا اموال او را به دیگری قرض بدهد</w:t>
      </w:r>
      <w:r>
        <w:rPr>
          <w:rStyle w:val="FootnoteAnchor"/>
          <w:rtl w:val="true"/>
        </w:rPr>
        <w:footnoteReference w:id="128"/>
      </w:r>
      <w:r>
        <w:rPr>
          <w:rFonts w:ascii="IRNazanin" w:hAnsi="IRNazanin" w:eastAsia="IRNazanin"/>
          <w:color w:val="111111"/>
          <w:sz w:val="28"/>
          <w:sz w:val="28"/>
          <w:szCs w:val="28"/>
          <w:rtl w:val="true"/>
          <w:lang w:bidi="fa-IR"/>
        </w:rPr>
        <w:t>و رهن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دیدگاه،</w:t>
      </w:r>
      <w:bookmarkStart w:id="75" w:name="pg13713_164334"/>
    </w:p>
    <w:p>
      <w:pPr>
        <w:pStyle w:val="BookText"/>
        <w:rPr/>
      </w:pPr>
      <w:bookmarkEnd w:id="75"/>
      <w:r>
        <w:rPr>
          <w:rFonts w:ascii="IRNazanin" w:hAnsi="IRNazanin" w:eastAsia="IRNazanin"/>
          <w:color w:val="111111"/>
          <w:sz w:val="28"/>
          <w:sz w:val="28"/>
          <w:szCs w:val="28"/>
          <w:rtl w:val="true"/>
          <w:lang w:bidi="fa-IR"/>
        </w:rPr>
        <w:t xml:space="preserve">اطلاق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مالَ الْیَتِیمِ إِلاّ بِالَّتِی هِیَ أَحْسَنُ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از دخالت در اموال یتیم نهی شده است، مگر در صورتیکه سود و مصلحت او مورد نظر باشد و مسأله مورد بحث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اطلاق ادلّه دیگر و اجماع استناد شده است</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76" w:name="__RefHeading___Toc1259368_1468164448"/>
      <w:bookmarkStart w:id="77" w:name="_Toc29"/>
      <w:bookmarkEnd w:id="76"/>
      <w:r>
        <w:rPr/>
        <w:t>5</w:t>
      </w:r>
      <w:r>
        <w:rPr>
          <w:rtl w:val="true"/>
        </w:rPr>
        <w:t xml:space="preserve">- </w:t>
      </w:r>
      <w:r>
        <w:rPr>
          <w:rtl w:val="true"/>
        </w:rPr>
        <w:t>تصرفات ولی قهری به نفع خود</w:t>
      </w:r>
      <w:bookmarkEnd w:id="77"/>
    </w:p>
    <w:p>
      <w:pPr>
        <w:pStyle w:val="BookText"/>
        <w:rPr/>
      </w:pPr>
      <w:r>
        <w:rPr>
          <w:rFonts w:ascii="IRNazanin" w:hAnsi="IRNazanin" w:eastAsia="IRNazanin"/>
          <w:color w:val="111111"/>
          <w:sz w:val="28"/>
          <w:sz w:val="28"/>
          <w:szCs w:val="28"/>
          <w:rtl w:val="true"/>
          <w:lang w:bidi="fa-IR"/>
        </w:rPr>
        <w:t>این پرسش مطرح است که آیا ولی قهری حق دارد مال طفل را به عنوان قرض برای خود بردارد؟ در این‌باره دو دیدگاه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مانند ابن ادریس معتقدند که جایز است ولی، از اموال یتیم قرض بردارد و برای خود تجارت کند، خواه در حال حاضر متمکّن باشد از عهده ضمان و غرامت مال برآید یا متمکّن نباشد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مقابل دیدگاه اوّل، گروه دیگری از فقها معتقدند ولی قهری میتواند مال مولّی علیه را برای خود به عنوان قرض بردارد، به شرط آن‌که متمکّن باشد تا در صورت ضرر، از عهده خسارت وارد شده بر مال طفل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ولی، با اموال یتیم، برای خود تجارت نماید، به شرط آن‌که متمکّن باشد تا در صورتیکه حادثه‌ای برای مال اتفاق افتاد، از عهده ضمان و غرامت برآید که در این‌صورت مال قرض بر ولی است و اگر سود ببرد، از آن خود اوست هم‌چنان که اگر خسارت ببیند به عهده خود او خواهد بود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عبارات برخی دیگر از فقها</w:t>
      </w:r>
      <w:r>
        <w:rPr>
          <w:rStyle w:val="FootnoteAnchor"/>
          <w:rtl w:val="true"/>
        </w:rPr>
        <w:footnoteReference w:id="132"/>
      </w:r>
      <w:r>
        <w:rPr>
          <w:rFonts w:ascii="IRNazanin" w:hAnsi="IRNazanin" w:eastAsia="IRNazanin"/>
          <w:color w:val="111111"/>
          <w:sz w:val="28"/>
          <w:sz w:val="28"/>
          <w:szCs w:val="28"/>
          <w:rtl w:val="true"/>
          <w:lang w:bidi="fa-IR"/>
        </w:rPr>
        <w:t>نیز این گونه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دیدگاه، روایات است، مانند این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اموال یتیم در نزد من است و با آن برای خودم معامله میکنم، حکم آن چیست؟ فرمود</w:t>
      </w:r>
      <w:r>
        <w:rPr>
          <w:rFonts w:eastAsia="IRNazanin" w:cs="IRNazanin"/>
          <w:color w:val="111111"/>
          <w:sz w:val="28"/>
          <w:szCs w:val="28"/>
          <w:rtl w:val="true"/>
          <w:lang w:bidi="fa-IR"/>
        </w:rPr>
        <w:t>:</w:t>
      </w:r>
      <w:bookmarkStart w:id="78" w:name="pg13713_164335"/>
    </w:p>
    <w:p>
      <w:pPr>
        <w:pStyle w:val="BookText"/>
        <w:rPr/>
      </w:pPr>
      <w:bookmarkEnd w:id="78"/>
      <w:r>
        <w:rPr>
          <w:rFonts w:ascii="IRNazanin" w:hAnsi="IRNazanin" w:eastAsia="IRNazanin"/>
          <w:color w:val="111111"/>
          <w:sz w:val="28"/>
          <w:sz w:val="28"/>
          <w:szCs w:val="28"/>
          <w:rtl w:val="true"/>
          <w:lang w:bidi="fa-IR"/>
        </w:rPr>
        <w:t>اگر متمکّن باشی و پرداخت آن را تضمین کنی، منعی ندارد و سود آن برای تو است و ضامن‌مال میباشی، و اگر متمکّن نباشی سود آن برای یتیم است و در صورت تلف، توضامن‌میباشی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عِنْدَکَ مالٌ وَضَمِنْتَهُ فَلَکَ الرِّبْحُ وَأَنْتَ ضاِمنٌ لِلْمالِ وَإِنْ کانَ لامالَ لَکَ وَعَمِلْتَ بِهِ فَالرِّبْحُ لِلْغُلامِ وَأَنْتَ ضامِنٌ لِلْمالِ</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دیگر روایات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دلیل این‌که امام فرموده‌اند، در صورت عدم تمکّن خسارت به عهده ولی است، به‌خاطر آن است که تصرّف او فاسد و غیر شرعی است و تعلّق سود به مولّی علیه هم به آن‌جهت است که سود نما و افزایش، در ملک طفل است، از این رو به او تعلّق خواهدداشت</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79" w:name="__RefHeading___Toc1259370_1468164448"/>
      <w:bookmarkStart w:id="80" w:name="_Toc30"/>
      <w:bookmarkEnd w:id="79"/>
      <w:r>
        <w:rPr/>
        <w:t>6</w:t>
      </w:r>
      <w:r>
        <w:rPr>
          <w:rtl w:val="true"/>
        </w:rPr>
        <w:t xml:space="preserve">- </w:t>
      </w:r>
      <w:r>
        <w:rPr>
          <w:rtl w:val="true"/>
        </w:rPr>
        <w:t>اجاره اموال کودک</w:t>
      </w:r>
      <w:bookmarkEnd w:id="80"/>
    </w:p>
    <w:p>
      <w:pPr>
        <w:pStyle w:val="BookText"/>
        <w:rPr/>
      </w:pPr>
      <w:r>
        <w:rPr>
          <w:rFonts w:ascii="IRNazanin" w:hAnsi="IRNazanin" w:eastAsia="IRNazanin"/>
          <w:color w:val="111111"/>
          <w:sz w:val="28"/>
          <w:sz w:val="28"/>
          <w:szCs w:val="28"/>
          <w:rtl w:val="true"/>
          <w:lang w:bidi="fa-IR"/>
        </w:rPr>
        <w:t>برای اجاره اموال کودک چند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مال کودک را برای مدّتی اجاره دهد و یقین داشته باشد در این مدت کودک به سنّ بلوغ و رشد نمیرسد، در این فرض به اتفاق فقها، اجاره صحیح است و اگر کودک قبل از پایان مدّت اجاره، بالغ و رشید شد، برخی از فقها مانند شیخ طوسی معتقدند نمیتواند اجاره را فسخ نماید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لیکن در مقابل، اکثریت آن‌ها معتقدند، بعد از بلوغ حق دارد اجاره را اجازه دهد یا نسبت به مدّت باقی مانده فسخ نماید</w:t>
      </w:r>
      <w:r>
        <w:rPr>
          <w:rFonts w:eastAsia="IRNazanin" w:cs="IRNazanin"/>
          <w:color w:val="111111"/>
          <w:sz w:val="28"/>
          <w:szCs w:val="28"/>
          <w:rtl w:val="true"/>
          <w:lang w:bidi="fa-IR"/>
        </w:rPr>
        <w:t>.</w:t>
      </w:r>
      <w:r>
        <w:rPr>
          <w:rStyle w:val="FootnoteAnchor"/>
          <w:rtl w:val="true"/>
        </w:rPr>
        <w:footnoteReference w:id="1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کودک را برای مدتی اجاره دهد و میداند در این مدت، کودک بالغ خواهد شد، در این فرض نسبت به زمانی که کودک بالغ نشده، اجاره صحیح است و نسبت به زمان بعد از بلوغ، دو نظریه مطرح است؛ بعضی معتقدند در زمان بعد از بلوغ، اجاره غیرنافذ است،</w:t>
      </w:r>
      <w:r>
        <w:rPr>
          <w:rStyle w:val="FootnoteAnchor"/>
          <w:rtl w:val="true"/>
        </w:rPr>
        <w:footnoteReference w:id="138"/>
      </w:r>
      <w:r>
        <w:rPr>
          <w:rFonts w:ascii="IRNazanin" w:hAnsi="IRNazanin" w:eastAsia="IRNazanin"/>
          <w:color w:val="111111"/>
          <w:sz w:val="28"/>
          <w:sz w:val="28"/>
          <w:szCs w:val="28"/>
          <w:rtl w:val="true"/>
          <w:lang w:bidi="fa-IR"/>
        </w:rPr>
        <w:t>به این معنی که اجاره لازم نیست، بلکه متوقف بر اجازه کودک است</w:t>
      </w:r>
    </w:p>
    <w:p>
      <w:pPr>
        <w:pStyle w:val="BookText"/>
        <w:rPr/>
      </w:pPr>
      <w:r>
        <w:rPr>
          <w:rFonts w:ascii="IRNazanin" w:hAnsi="IRNazanin" w:eastAsia="IRNazanin"/>
          <w:color w:val="111111"/>
          <w:sz w:val="28"/>
          <w:sz w:val="28"/>
          <w:szCs w:val="28"/>
          <w:rtl w:val="true"/>
          <w:lang w:bidi="fa-IR"/>
        </w:rPr>
        <w:t>که در مفروض بحث فعلاً بالغ گردیده؛ زیرا فرض بر این است که برای مدّت مازاد بر بلوغ کودک، ولی ولایت نداشته، بنابراین معامله او فضولی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نظریه، بعضی معتقدند، اجاره صحیح است و کودک بعد از بلوغ حق ندارد آن را فسخ نماید،</w:t>
      </w:r>
      <w:r>
        <w:rPr>
          <w:rStyle w:val="FootnoteAnchor"/>
          <w:rtl w:val="true"/>
        </w:rPr>
        <w:footnoteReference w:id="139"/>
      </w:r>
      <w:r>
        <w:rPr>
          <w:rFonts w:ascii="IRNazanin" w:hAnsi="IRNazanin" w:eastAsia="IRNazanin"/>
          <w:color w:val="111111"/>
          <w:sz w:val="28"/>
          <w:sz w:val="28"/>
          <w:szCs w:val="28"/>
          <w:rtl w:val="true"/>
          <w:lang w:bidi="fa-IR"/>
        </w:rPr>
        <w:t>زیرا عقد اجاره که توسط ولی بر اموال کودک واقع شده، به اتّفاق فقها صحیح است و دلیلی بر بطلان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ولایت ولی هر چند مقیّد به زمانی است که کودک بالغ نشده باشد، امّا متعلّق این ولایت مطلق است و شامل زمان بعد از بلوغ کودک نیز میباشد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ولی، اموال کودک را در مدّت زمانی اجاره میدهد که یقین ندارد قبل از گذشت آن زمان، صغیر به حدّ بلوغ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به اتفاق فقها، اجاره صحیح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اگر قبل از پایان مدّت اجاره، کودک بالغ شد، نسبت به زمان مازاد بر بلوغ، بعضی قائل به بطلان اجاره شده‌اند، به این معنی که اجاره متوقّف بر اجازة کودک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برخی دیگر معتقدند، اجاره صحیح است و نیاز به اجازه ندارد؛</w:t>
      </w:r>
      <w:r>
        <w:rPr>
          <w:rStyle w:val="FootnoteAnchor"/>
          <w:rtl w:val="true"/>
        </w:rPr>
        <w:footnoteReference w:id="143"/>
      </w:r>
      <w:r>
        <w:rPr>
          <w:rFonts w:ascii="IRNazanin" w:hAnsi="IRNazanin" w:eastAsia="IRNazanin"/>
          <w:color w:val="111111"/>
          <w:sz w:val="28"/>
          <w:sz w:val="28"/>
          <w:szCs w:val="28"/>
          <w:rtl w:val="true"/>
          <w:lang w:bidi="fa-IR"/>
        </w:rPr>
        <w:t>همانند فرض قبل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یادآوری گردد، هر سه صورتی که در اجاره اموال کودک بیان گردید، در اجارة شخص کودک نیز قابل تصوّر است،</w:t>
      </w:r>
      <w:r>
        <w:rPr>
          <w:rStyle w:val="FootnoteAnchor"/>
          <w:rtl w:val="true"/>
        </w:rPr>
        <w:footnoteReference w:id="144"/>
      </w:r>
      <w:r>
        <w:rPr>
          <w:rFonts w:ascii="IRNazanin" w:hAnsi="IRNazanin" w:eastAsia="IRNazanin"/>
          <w:color w:val="111111"/>
          <w:sz w:val="28"/>
          <w:sz w:val="28"/>
          <w:szCs w:val="28"/>
          <w:rtl w:val="true"/>
          <w:lang w:bidi="fa-IR"/>
        </w:rPr>
        <w:t>به این معنی که برای ولی جایز است کودک را با رعایت مصلحت قبل از بلوغ برای انجام کاری که در توان دارد اجیر دیگری نماید، و در مقابل کار او مبلغی برای خود کودک بگیرد و یا حرفه معیّنی آموزش ببیند، و از این قبیل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این‌که در بخش‌های بعد در مورد کار کودک بحث خواهیم نمود، از توضیح بیش‌تر در این قسمت خودداری میگردد</w:t>
      </w:r>
      <w:r>
        <w:rPr>
          <w:rFonts w:eastAsia="IRNazanin" w:cs="IRNazanin"/>
          <w:color w:val="111111"/>
          <w:sz w:val="28"/>
          <w:szCs w:val="28"/>
          <w:rtl w:val="true"/>
          <w:lang w:bidi="fa-IR"/>
        </w:rPr>
        <w:t>.</w:t>
      </w:r>
      <w:bookmarkStart w:id="81" w:name="pg13713_164337"/>
    </w:p>
    <w:p>
      <w:pPr>
        <w:pStyle w:val="Heading4"/>
        <w:numPr>
          <w:ilvl w:val="3"/>
          <w:numId w:val="1"/>
        </w:numPr>
        <w:rPr/>
      </w:pPr>
      <w:bookmarkStart w:id="82" w:name="__RefHeading___Toc1259372_1468164448"/>
      <w:bookmarkStart w:id="83" w:name="_Toc31"/>
      <w:bookmarkEnd w:id="81"/>
      <w:bookmarkEnd w:id="82"/>
      <w:r>
        <w:rPr/>
        <w:t>7</w:t>
      </w:r>
      <w:r>
        <w:rPr>
          <w:rtl w:val="true"/>
        </w:rPr>
        <w:t xml:space="preserve">- </w:t>
      </w:r>
      <w:r>
        <w:rPr>
          <w:rtl w:val="true"/>
        </w:rPr>
        <w:t>حق الزحمه ولی</w:t>
      </w:r>
      <w:bookmarkEnd w:id="83"/>
    </w:p>
    <w:p>
      <w:pPr>
        <w:pStyle w:val="BookText"/>
        <w:rPr/>
      </w:pPr>
      <w:r>
        <w:rPr>
          <w:rFonts w:ascii="IRNazanin" w:hAnsi="IRNazanin" w:eastAsia="IRNazanin"/>
          <w:color w:val="111111"/>
          <w:sz w:val="28"/>
          <w:sz w:val="28"/>
          <w:szCs w:val="28"/>
          <w:rtl w:val="true"/>
          <w:lang w:bidi="fa-IR"/>
        </w:rPr>
        <w:t xml:space="preserve">آیا برای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جدّ، وصی، حاکم، قیم، و امین حاکم و عدول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در مقابل اعمالی که برای اداره اموال و نگاهداری و تربیت مولّیعلیه انجام میدهد، در صورتیکه قصد تبرّع و مجانیت نداشته باشد، حق‌الزحمه و دست مزدی، از دارایی او بردارد؟ این مسأله ممکن است به دو صورت مطرح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فقیر و نیازمند باشد؛ در این مورد 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اندازه‌ای که او را کفایت کند و نیاز دارد از اموال مولّیعلیه بردارد، البتّه باید اسراف ننماید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مقابل این دیدگاه، بعضی از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اندازه‌ای که نیاز دارد یا اجرت عملی که انجام میدهد، هرکدام کم‌تر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بردارد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این دو دیدگاه مورد ایراد واقع شده، به این‌که قدر کفایت و نیاز، مجمل است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هم‌چنین از استدلال‌هایی که ذکر شده جواب داده‌اند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در صورتیکه فقیر باشد میتواند به اندازه اجرة‌المثل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قیمت‌عرفی عملی که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مولّیعلیه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قویتر به نظرمیرسد و بسیاری از فقها</w:t>
      </w:r>
      <w:r>
        <w:rPr>
          <w:rStyle w:val="FootnoteAnchor"/>
          <w:rtl w:val="true"/>
        </w:rPr>
        <w:footnoteReference w:id="149"/>
      </w:r>
      <w:r>
        <w:rPr>
          <w:rFonts w:ascii="IRNazanin" w:hAnsi="IRNazanin" w:eastAsia="IRNazanin"/>
          <w:color w:val="111111"/>
          <w:sz w:val="28"/>
          <w:sz w:val="28"/>
          <w:szCs w:val="28"/>
          <w:rtl w:val="true"/>
          <w:lang w:bidi="fa-IR"/>
        </w:rPr>
        <w:t>از جمله معاصرین،</w:t>
      </w:r>
      <w:r>
        <w:rPr>
          <w:rStyle w:val="FootnoteAnchor"/>
          <w:rtl w:val="true"/>
        </w:rPr>
        <w:footnoteReference w:id="150"/>
      </w:r>
      <w:r>
        <w:rPr>
          <w:rFonts w:ascii="IRNazanin" w:hAnsi="IRNazanin" w:eastAsia="IRNazanin"/>
          <w:color w:val="111111"/>
          <w:sz w:val="28"/>
          <w:sz w:val="28"/>
          <w:szCs w:val="28"/>
          <w:rtl w:val="true"/>
          <w:lang w:bidi="fa-IR"/>
        </w:rPr>
        <w:t>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دیدگاه به قرار زیر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هرکس از اولیای یتیم، دارا و توانمند است، از تصرّف در اموال یتیم خودداری کند و هرکس فقیر است به قدر متعارف ارتزاق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غَنِیًّا فَلْیَسْتَعْفِفْ وَ مَنْ کانَ فَقِیراً فَلْیَأْکُلْ بِالْمَعْرُوفِ</w:t>
      </w:r>
      <w:r>
        <w:rPr>
          <w:rFonts w:eastAsia="Amiri" w:cs="Amiri" w:ascii="Amiri" w:hAnsi="Amiri"/>
          <w:color w:val="111111"/>
          <w:sz w:val="28"/>
          <w:szCs w:val="28"/>
          <w:rtl w:val="true"/>
          <w:lang w:bidi="ar-SA"/>
        </w:rPr>
        <w:t>)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مقصود از قدر متعارف قیمت عملی است که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معیارهای عرفی محاسبه میشود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حدّ استفاضه وارد شده که میتواند مستند دیدگاه سوّم قرار گیرد، مانند این که در حدیث صحیح، هشام بن حکم نقل نموده، از امام صادق علیه السلام سؤال کردم، کسی که متولّی اموال یتیم است، چه مقدار میتواند از اموال او بردارد؟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کند، اگر دیگری غیر از او چنین کاری انجام میدهد، چقدر مزد میگیرد، به همان اندازه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ما کانَ غَیْرُهُ یَقُومُ بِهِ مِنَ الأَجْرِ لَهُمْ فَلْیَأْکُلْ بِقَدْرِ ذلِکَ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روایت صحیحه دیگری،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من کسی از امام‌صادق علیه السلام سؤال کرد، در مورد قیّم که اموال چند نفر یتیم در اختیار اوست و در جهتی‌که مصلحت آن‌ها اقتضا دارد، خرید و فروش مینماید، آیا میتواند مقداری از اموال آنها برای مخارج زندگی خود بردارد؟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معروف منعی ندارد و به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نمود</w:t>
      </w:r>
      <w:r>
        <w:rPr>
          <w:rFonts w:eastAsia="IRNazanin" w:cs="IRNazanin"/>
          <w:color w:val="111111"/>
          <w:sz w:val="28"/>
          <w:szCs w:val="28"/>
          <w:rtl w:val="true"/>
          <w:lang w:bidi="fa-IR"/>
        </w:rPr>
        <w:t>.</w:t>
      </w:r>
    </w:p>
    <w:p>
      <w:pPr>
        <w:pStyle w:val="BookText"/>
        <w:rPr/>
      </w:pPr>
      <w:r>
        <w:rPr>
          <w:rStyle w:val="FootnoteAnchor"/>
          <w:rtl w:val="true"/>
        </w:rPr>
        <w:footnoteReference w:id="154"/>
      </w:r>
      <w:r>
        <w:rPr>
          <w:rFonts w:ascii="IRNazanin" w:hAnsi="IRNazanin" w:eastAsia="IRNazanin"/>
          <w:color w:val="111111"/>
          <w:sz w:val="28"/>
          <w:sz w:val="28"/>
          <w:szCs w:val="28"/>
          <w:rtl w:val="true"/>
          <w:lang w:bidi="fa-IR"/>
        </w:rPr>
        <w:t>روایات دیگری نیز در این باره وجود دارد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استفاده میشودکه ولی میتواند از اموال مولّیعلیه به اندازه اجرت کاری که انجام داده استفاده کند و نیز معلوم میشود مقصود از معروف در آیه شریفه، اجرة المثل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نحوه استدلال به روایات، توضیحاتی ذکر شده</w:t>
      </w:r>
      <w:r>
        <w:rPr>
          <w:rStyle w:val="FootnoteAnchor"/>
          <w:rtl w:val="true"/>
        </w:rPr>
        <w:footnoteReference w:id="156"/>
      </w:r>
      <w:r>
        <w:rPr>
          <w:rFonts w:ascii="IRNazanin" w:hAnsi="IRNazanin" w:eastAsia="IRNazanin"/>
          <w:color w:val="111111"/>
          <w:sz w:val="28"/>
          <w:sz w:val="28"/>
          <w:szCs w:val="28"/>
          <w:rtl w:val="true"/>
          <w:lang w:bidi="fa-IR"/>
        </w:rPr>
        <w:t>که توضیح در مورد آن، از مجال این نوشتار خارج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نسبت به دیدگاه سوّم ادّعای اجماع،</w:t>
      </w:r>
      <w:r>
        <w:rPr>
          <w:rStyle w:val="FootnoteAnchor"/>
          <w:rtl w:val="true"/>
        </w:rPr>
        <w:footnoteReference w:id="157"/>
      </w:r>
      <w:r>
        <w:rPr>
          <w:rFonts w:ascii="IRNazanin" w:hAnsi="IRNazanin" w:eastAsia="IRNazanin"/>
          <w:color w:val="111111"/>
          <w:sz w:val="28"/>
          <w:sz w:val="28"/>
          <w:szCs w:val="28"/>
          <w:rtl w:val="true"/>
          <w:lang w:bidi="fa-IR"/>
        </w:rPr>
        <w:t>لاخلاف</w:t>
      </w:r>
      <w:r>
        <w:rPr>
          <w:rStyle w:val="FootnoteAnchor"/>
          <w:rtl w:val="true"/>
        </w:rPr>
        <w:footnoteReference w:id="158"/>
      </w:r>
      <w:r>
        <w:rPr>
          <w:rFonts w:ascii="IRNazanin" w:hAnsi="IRNazanin" w:eastAsia="IRNazanin"/>
          <w:color w:val="111111"/>
          <w:sz w:val="28"/>
          <w:sz w:val="28"/>
          <w:szCs w:val="28"/>
          <w:rtl w:val="true"/>
          <w:lang w:bidi="fa-IR"/>
        </w:rPr>
        <w:t>و سیره</w:t>
      </w:r>
      <w:r>
        <w:rPr>
          <w:rStyle w:val="FootnoteAnchor"/>
          <w:rtl w:val="true"/>
        </w:rPr>
        <w:footnoteReference w:id="159"/>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ولی، غنی است و نیازمند گرفتن اجرت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درچنین حالتی آیا حق دارد از اموال کودک در مقابل عملی که انجام میدهد، استفاده‌کند و یا خیر؟</w:t>
      </w:r>
    </w:p>
    <w:p>
      <w:pPr>
        <w:pStyle w:val="BookText"/>
        <w:rPr/>
      </w:pPr>
      <w:r>
        <w:rPr>
          <w:rFonts w:ascii="IRNazanin" w:hAnsi="IRNazanin" w:eastAsia="IRNazanin"/>
          <w:color w:val="111111"/>
          <w:sz w:val="28"/>
          <w:sz w:val="28"/>
          <w:szCs w:val="28"/>
          <w:rtl w:val="true"/>
          <w:lang w:bidi="fa-IR"/>
        </w:rPr>
        <w:t>بعضی از فقها قائل به عدم جواز شده‌اند،</w:t>
      </w:r>
      <w:r>
        <w:rPr>
          <w:rStyle w:val="FootnoteAnchor"/>
          <w:rtl w:val="true"/>
        </w:rPr>
        <w:footnoteReference w:id="160"/>
      </w:r>
      <w:r>
        <w:rPr>
          <w:rFonts w:ascii="IRNazanin" w:hAnsi="IRNazanin" w:eastAsia="IRNazanin"/>
          <w:color w:val="111111"/>
          <w:sz w:val="28"/>
          <w:sz w:val="28"/>
          <w:szCs w:val="28"/>
          <w:rtl w:val="true"/>
          <w:lang w:bidi="fa-IR"/>
        </w:rPr>
        <w:t>زیرا در آیه شریفه امر شده که اگر ولی، غنی و بینیاز است باید عفاف داشته باشد و چیزی از اموال ایتام را برندارد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غَنِیًّا فَلْیَسْتَعْفِفْ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دلالت بر وجوب دارد، بعضی از روایات</w:t>
      </w:r>
      <w:r>
        <w:rPr>
          <w:rStyle w:val="FootnoteAnchor"/>
          <w:rtl w:val="true"/>
        </w:rPr>
        <w:footnoteReference w:id="161"/>
      </w:r>
      <w:r>
        <w:rPr>
          <w:rFonts w:ascii="IRNazanin" w:hAnsi="IRNazanin" w:eastAsia="IRNazanin"/>
          <w:color w:val="111111"/>
          <w:sz w:val="28"/>
          <w:sz w:val="28"/>
          <w:szCs w:val="28"/>
          <w:rtl w:val="true"/>
          <w:lang w:bidi="fa-IR"/>
        </w:rPr>
        <w:t>نیز مؤیّد این برداشت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استدلال جواب داده شده است به این‌که ماده استعفاف و تعفّف دلالت بر رجحان و اولویت دارد، چنان که در لغت، استعفاف را به معنی طلب عفاف معنی کرده‌اند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بنابراین استعفاف در آیه مبارکه، حمل بر استحباب</w:t>
      </w:r>
      <w:r>
        <w:rPr>
          <w:rStyle w:val="FootnoteAnchor"/>
          <w:rtl w:val="true"/>
        </w:rPr>
        <w:footnoteReference w:id="163"/>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دیدگاه اوّل، برخی دیگر از فقها</w:t>
      </w:r>
      <w:r>
        <w:rPr>
          <w:rStyle w:val="FootnoteAnchor"/>
          <w:rtl w:val="true"/>
        </w:rPr>
        <w:footnoteReference w:id="164"/>
      </w:r>
      <w:r>
        <w:rPr>
          <w:rFonts w:ascii="IRNazanin" w:hAnsi="IRNazanin" w:eastAsia="IRNazanin"/>
          <w:color w:val="111111"/>
          <w:sz w:val="28"/>
          <w:sz w:val="28"/>
          <w:szCs w:val="28"/>
          <w:rtl w:val="true"/>
          <w:lang w:bidi="fa-IR"/>
        </w:rPr>
        <w:t xml:space="preserve">معتقدند، برای ولی هر چند غنی باشد، جایز است به اندازه‌ای که عمل او قیمت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مولّیعلیه بردارد و بین غنی و فقیر در این حکم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جایز است، لیکن احوط و أولی آن است که در صورت عدم نیاز، از گرفتن آن اجتناب ورزد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این دسته از فقها برای اثبات نظریّه خود، به اموری استناد نموده‌اند، از جمله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اخبار وارد شده در این باب که به برخی از آنها در توضیح صورت اوّل اشاره شد، این اخبار، مسأله مورد بحث را نیز شامل میشود</w:t>
      </w:r>
      <w:r>
        <w:rPr>
          <w:rFonts w:eastAsia="IRNazanin" w:cs="IRNazanin"/>
          <w:color w:val="111111"/>
          <w:sz w:val="28"/>
          <w:szCs w:val="28"/>
          <w:rtl w:val="true"/>
          <w:lang w:bidi="fa-IR"/>
        </w:rPr>
        <w:t>.</w:t>
      </w:r>
      <w:bookmarkStart w:id="84" w:name="pg13713_164340"/>
    </w:p>
    <w:p>
      <w:pPr>
        <w:pStyle w:val="BookText"/>
        <w:rPr/>
      </w:pPr>
      <w:bookmarkEnd w:id="8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احترام عمل مسلم، به این معنی که عمل مسلمان محترم است و میتواند برای آن در صورتیکه قصد تبرّع نداشته باشد، اجرت درخواست نماید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آیت الله فاضل لنکرانی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برای دیگری عملی انجام دهد، به‌گونه‌ای که عمل انجام شده به امر آمر صورت پذیرد و خواسته او را تحقّق بخشد، میتواند در مقابل آن به استناد قاعده احترامِ عمل مسلمان، تقاضای اجرت داشته باشد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فقیهان‌دیگری نیز چنین گفته‌اند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مسأله مورد بحث، شارع مقدّس امر فرموده که ولی و قیم، اموال ایتام را حفظ و نگهداری و در جهت مصلحت آنها دخل و تصرّف نمایند و به دلیل احترام عمل مسلمان، حق دارند اجرة المثل را مطالبه نمایند، در غیر این صورت متحمّل ضرر خواهند شد که به حکم قاعدة نفی ضرر</w:t>
      </w:r>
      <w:r>
        <w:rPr>
          <w:rStyle w:val="FootnoteAnchor"/>
          <w:rtl w:val="true"/>
        </w:rPr>
        <w:footnoteReference w:id="169"/>
      </w:r>
      <w:r>
        <w:rPr>
          <w:rFonts w:ascii="IRNazanin" w:hAnsi="IRNazanin" w:eastAsia="IRNazanin"/>
          <w:color w:val="111111"/>
          <w:sz w:val="28"/>
          <w:sz w:val="28"/>
          <w:szCs w:val="28"/>
          <w:rtl w:val="true"/>
          <w:lang w:bidi="fa-IR"/>
        </w:rPr>
        <w:t>برداشته شده</w:t>
      </w:r>
      <w:r>
        <w:rPr>
          <w:rStyle w:val="FootnoteAnchor"/>
          <w:rtl w:val="true"/>
        </w:rPr>
        <w:footnoteReference w:id="170"/>
      </w:r>
      <w:r>
        <w:rPr>
          <w:rFonts w:ascii="IRNazanin" w:hAnsi="IRNazanin" w:eastAsia="IRNazanin"/>
          <w:color w:val="111111"/>
          <w:sz w:val="28"/>
          <w:sz w:val="28"/>
          <w:szCs w:val="28"/>
          <w:rtl w:val="true"/>
          <w:lang w:bidi="fa-IR"/>
        </w:rPr>
        <w:t>؛ البته در هر صورت چنان‌که برخی از فقها به آن تصریح نموده‌اند، لازم است احتیاط شود، زیرا در کتاب و سنّت نسبت به حفظ اموال ایتام تأکید فراوان شده است</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85" w:name="__RefHeading___Toc1259374_1468164448"/>
      <w:bookmarkStart w:id="86" w:name="_Toc32"/>
      <w:bookmarkEnd w:id="85"/>
      <w:r>
        <w:rPr/>
        <w:t>8</w:t>
      </w:r>
      <w:r>
        <w:rPr>
          <w:rtl w:val="true"/>
        </w:rPr>
        <w:t xml:space="preserve">- </w:t>
      </w:r>
      <w:r>
        <w:rPr>
          <w:rtl w:val="true"/>
        </w:rPr>
        <w:t>حق‌الزحمه ولی در حقوق مدنی</w:t>
      </w:r>
      <w:bookmarkEnd w:id="8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صاحب نظران در حقوق مدنی از قیاس ولی با قیّم نتیجه گرفته‌اند که حکم ماده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باب امکان گرفتن اجرت‌المثل برای قیّم، در مورد ولی قهری نیز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ماده مزبور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قیّم میتواند برای انجام امر قیمومت مطالبه اجرت کند؛ میزان اجرت مزبور با رعایت کار قیّم و مقدار اشتغالی که از امر قیمومت برای او حاصل میشود و محلّی که قیّم در آن جا اقامت دارد و میزان عایدی مولّیعلیه تعیین میگردد</w:t>
      </w:r>
      <w:r>
        <w:rPr>
          <w:rFonts w:eastAsia="IRNazanin" w:cs="IRNazanin"/>
          <w:color w:val="111111"/>
          <w:sz w:val="28"/>
          <w:szCs w:val="28"/>
          <w:rtl w:val="true"/>
          <w:lang w:bidi="fa-IR"/>
        </w:rPr>
        <w:t>».</w:t>
      </w:r>
      <w:bookmarkStart w:id="87" w:name="pg13713_164341"/>
    </w:p>
    <w:p>
      <w:pPr>
        <w:pStyle w:val="BookText"/>
        <w:rPr/>
      </w:pPr>
      <w:bookmarkEnd w:id="87"/>
      <w:r>
        <w:rPr>
          <w:rFonts w:ascii="IRNazanin" w:hAnsi="IRNazanin" w:eastAsia="IRNazanin"/>
          <w:color w:val="111111"/>
          <w:sz w:val="28"/>
          <w:sz w:val="28"/>
          <w:szCs w:val="28"/>
          <w:rtl w:val="true"/>
          <w:lang w:bidi="fa-IR"/>
        </w:rPr>
        <w:t>در توجیه این حکم گفته شده، اخذ اجرت، منافات با الزام قانونی ولی به انجام وظایف مزبور ندارد، زیرا عمل انسان محترم است و احترام به آن، دادن اجرت میباشد، مگر آن‌که از وظایفی باشد که نفع اجتماعی ایجاب نماید که مجّانی انجام گردد</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88" w:name="__RefHeading___Toc1259376_1468164448"/>
      <w:bookmarkStart w:id="89" w:name="_Toc33"/>
      <w:bookmarkEnd w:id="88"/>
      <w:r>
        <w:rPr/>
        <w:t>9</w:t>
      </w:r>
      <w:r>
        <w:rPr>
          <w:rtl w:val="true"/>
        </w:rPr>
        <w:t xml:space="preserve">- </w:t>
      </w:r>
      <w:r>
        <w:rPr>
          <w:rtl w:val="true"/>
        </w:rPr>
        <w:t>استیفای حقوق مختلف کودک</w:t>
      </w:r>
      <w:bookmarkEnd w:id="89"/>
    </w:p>
    <w:p>
      <w:pPr>
        <w:pStyle w:val="BookText"/>
        <w:rPr/>
      </w:pPr>
      <w:r>
        <w:rPr>
          <w:rFonts w:ascii="IRNazanin" w:hAnsi="IRNazanin" w:eastAsia="IRNazanin"/>
          <w:color w:val="111111"/>
          <w:sz w:val="28"/>
          <w:sz w:val="28"/>
          <w:szCs w:val="28"/>
          <w:rtl w:val="true"/>
          <w:lang w:bidi="fa-IR"/>
        </w:rPr>
        <w:t>اولیایکودک همان‌گونه که بر اموال او ولایت دارند و باید در جهت مصلحت او در آن تصرّف نمایند، بر تمامی حقوق وی که در ارتباط با امور مالی است نیز ولایت دارند و باید آن‌ها را به نفع کودک استیفا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مباحث مختلف از این حقوق بحث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ذکر مهم‌ترین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استیفای حق شفعه</w:t>
      </w:r>
      <w:r>
        <w:rPr>
          <w:rStyle w:val="FootnoteAnchor"/>
          <w:rtl w:val="true"/>
        </w:rPr>
        <w:footnoteReference w:id="1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برای صغیر ثابت است و مسئولیت استیفای آن را ولی او به عهده دارد</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امام خمینی قدس سره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شفعه برای صغیر و مجنون ثابت است و ولی آن را استیفا مینماید، البتّه چنان چه ولی، وصی باشد در صورتی میتواند استیفا نماید که در جهت مصلحت صغیر باشد؛ لیکن پدر و جدّ پدری اگر در استیفای آن مفسده و ضرر نباشد، میتوانند اقدام کنند، هرچند مصلحت کودک در آن نباشد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دلیل این حکم اجماع و اطلاق بعضی از روایات است مانند آن‌که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کودک متولّی کلیّه امور مربوط به وی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والِدَهُ هُوَ الَّذِی یَلیِ أَمْرَهُ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زیرااطلاق این جمله شامل کلیّه مسائل مالی و حقوقی مربوطه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روایات خاص نیز بر این حکم دلالت دارد، مانند آن‌که امام صادق از جدّش امیرالمؤمنین علیهما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در امور مربوطه به منزلة پدر اوست و چنان‌چه در جهت مصلحت او باشد، حق شفعه را استیفا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الْیَتِیمِ بِمَنْزِلَةِ أَبِیهِ یَأْخُذُ لَهُ الشُّفْعَةَ إِذا کانَ لَهُ رَغْبَةٌ</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هم‌چنین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با این‌که مصلحت کودک اقتضا دارد حقّ شفعه را استیفا ننماید، کودک، خود وقتی به سنّ بلوغ رسید میتواند به گرفتن آن اقدام نماید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استیفای حق خیار هرگاه معامله‌ای که توسط ولی بر اموال صغیر واقع شود، همانند دیگر معاملات برای صغیر، خیار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خیار مجلس، شرط، حیوان، عیب، رؤیت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ولی آن را استیفا مینماید، حتّی اگر ولی، مال خود را به صغیر بفروشد یا ملک او را برای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بسیاری از فقهای امامیّه برای صغیر خیار ثابت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هم‌چنین اگر پدری مال یکی از فرزندان صغیر خود را برای دیگری بخرد، آن دو دارای خیار میباشند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دلیل این حکم، اطلاق ادلّه خیار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خیار از آثار عقد معامله میباشد و مفروض این است که در خرید و فروش اموال کودک، عقد معامله توسط ولی صورت پذیرفته، پس باید خیار ثابت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هبه برای کودک</w:t>
      </w:r>
    </w:p>
    <w:p>
      <w:pPr>
        <w:pStyle w:val="BookText"/>
        <w:rPr/>
      </w:pPr>
      <w:r>
        <w:rPr>
          <w:rFonts w:ascii="IRNazanin" w:hAnsi="IRNazanin" w:eastAsia="IRNazanin"/>
          <w:color w:val="111111"/>
          <w:sz w:val="28"/>
          <w:sz w:val="28"/>
          <w:szCs w:val="28"/>
          <w:rtl w:val="true"/>
          <w:lang w:bidi="fa-IR"/>
        </w:rPr>
        <w:t>دیدگاه مشهور فقها این است که هبه</w:t>
      </w:r>
      <w:r>
        <w:rPr>
          <w:rStyle w:val="FootnoteAnchor"/>
          <w:rtl w:val="true"/>
        </w:rPr>
        <w:footnoteReference w:id="183"/>
      </w:r>
      <w:r>
        <w:rPr>
          <w:rFonts w:ascii="IRNazanin" w:hAnsi="IRNazanin" w:eastAsia="IRNazanin"/>
          <w:color w:val="111111"/>
          <w:sz w:val="28"/>
          <w:sz w:val="28"/>
          <w:szCs w:val="28"/>
          <w:rtl w:val="true"/>
          <w:lang w:bidi="fa-IR"/>
        </w:rPr>
        <w:t>از عقود جائز میباشد و نیاز به ایجاب و قبول 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مقابل این دیدگاه، بعضی معتقدند نیاز به ایجاب و قبول لفظی ندارد و به صورت معاطات</w:t>
      </w:r>
      <w:r>
        <w:rPr>
          <w:rStyle w:val="FootnoteAnchor"/>
          <w:rtl w:val="true"/>
        </w:rPr>
        <w:footnoteReference w:id="185"/>
      </w:r>
      <w:r>
        <w:rPr>
          <w:rFonts w:ascii="IRNazanin" w:hAnsi="IRNazanin" w:eastAsia="IRNazanin"/>
          <w:color w:val="111111"/>
          <w:sz w:val="28"/>
          <w:sz w:val="28"/>
          <w:szCs w:val="28"/>
          <w:rtl w:val="true"/>
          <w:lang w:bidi="fa-IR"/>
        </w:rPr>
        <w:t>نیز صحیح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و به فرموده بعضی از فقها، قبول آن با هر چیزی که دلالت بر رضایت داشته باشد، تحقّق مییابد، اعمّ از این‌که لفظ باشد یا فعل و یا اشاره و مانند آن‌ها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هدیه نیز همانند هبه میباشد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هم‌چنین دیدگاه مشهور میان فقها این است که در صحت هبه، قبض و گرفتن آن شرط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آن‌چه ذکر شد، اگر کسی به کودک چیزی هدیه دهد یا ببخشد، ولی او به نیابت از وی آن را قبول و قبض مینماید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پدر یا جدّ پدری، خود به کودک هدیه دهند، با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نظر کسانی که در هبه، عقد را لازم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لازم‌میشود و نیاز به قبول و قبض جدید ندارد، زیرا مفروض این است که در دست ولی</w:t>
      </w:r>
    </w:p>
    <w:p>
      <w:pPr>
        <w:pStyle w:val="BookText"/>
        <w:rPr/>
      </w:pPr>
      <w:r>
        <w:rPr>
          <w:rFonts w:ascii="IRNazanin" w:hAnsi="IRNazanin" w:eastAsia="IRNazanin"/>
          <w:color w:val="111111"/>
          <w:sz w:val="28"/>
          <w:sz w:val="28"/>
          <w:szCs w:val="28"/>
          <w:rtl w:val="true"/>
          <w:lang w:bidi="fa-IR"/>
        </w:rPr>
        <w:t>است و او به نیابت از صغیر آن را در اختیار دارد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آیت الله فاضل لنکرانی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و قبض از طرف صغیر در این‌گونه موارد با فرض این‌که آن‌چه هبه شده در دست ولی است، منعی ندارد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دلیل این حکم، علاوه بر عموم ادلّه ولایت ولی، روایاتی است که به طور خاص بر این مسأله دلالت دارد مانند این 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وهدیه مادام که موهوب‌له آن را قبض ننموده، جایز است و صاحبش تا زنده است میتواند آن را برگرداند، لیکن اگر به کودکی که در دامن اوست، هدیه داد و بر آن شاهد گرفت، دیگر نمیتواند آن را برگرداند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روایت دیگری از آن حضرت سؤال شده است که اگر پدر به فرزند خود هدیه‌داد آیا میتواند آن را پس بگیرد؟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اگر فرزند صغیر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این‌که به نیابت از او قبض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آن را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صَغِیراً</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گرفتن وقف به نیابت از صغیر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مورد توافق فقها است که در صحّت وقف</w:t>
      </w:r>
      <w:r>
        <w:rPr>
          <w:rStyle w:val="FootnoteAnchor"/>
          <w:rtl w:val="true"/>
        </w:rPr>
        <w:footnoteReference w:id="194"/>
      </w:r>
      <w:r>
        <w:rPr>
          <w:rFonts w:ascii="IRNazanin" w:hAnsi="IRNazanin" w:eastAsia="IRNazanin"/>
          <w:color w:val="111111"/>
          <w:sz w:val="28"/>
          <w:sz w:val="28"/>
          <w:szCs w:val="28"/>
          <w:rtl w:val="true"/>
          <w:lang w:bidi="fa-IR"/>
        </w:rPr>
        <w:t>، قبض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کسی ملکی را بر 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نماید، لازم است ولی آنها، آن را قبض و تحویل بگیرد؛ و اگر پدر یا جدّ پدری، آن‌چه را در اختیار دارد بر اولاد صغار خویش وقف نماید، صحیح است و نیاز به قبض جدید نیست</w:t>
      </w:r>
      <w:r>
        <w:rPr>
          <w:rFonts w:eastAsia="IRNazanin" w:cs="IRNazanin"/>
          <w:color w:val="111111"/>
          <w:sz w:val="28"/>
          <w:szCs w:val="28"/>
          <w:rtl w:val="true"/>
          <w:lang w:bidi="fa-IR"/>
        </w:rPr>
        <w:t>.</w:t>
      </w:r>
      <w:r>
        <w:rPr>
          <w:rStyle w:val="FootnoteAnchor"/>
          <w:rtl w:val="true"/>
        </w:rPr>
        <w:footnoteReference w:id="195"/>
      </w:r>
      <w:bookmarkStart w:id="90" w:name="pg13713_164345"/>
    </w:p>
    <w:p>
      <w:pPr>
        <w:pStyle w:val="BookText"/>
        <w:rPr/>
      </w:pPr>
      <w:bookmarkEnd w:id="90"/>
      <w:r>
        <w:rPr>
          <w:rFonts w:ascii="IRNazanin" w:hAnsi="IRNazanin" w:eastAsia="IRNazanin"/>
          <w:color w:val="111111"/>
          <w:sz w:val="28"/>
          <w:sz w:val="28"/>
          <w:szCs w:val="28"/>
          <w:rtl w:val="true"/>
          <w:lang w:bidi="fa-IR"/>
        </w:rPr>
        <w:t>امام خمینی قدس سره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ملکی را که در اختیار دارد بر اولاد صغار خود وقف نماید و همچنین هر یک از اولیا اگر ملکی را که در اختیار دارند، بر مولّیعلیه وقف نمایند، نیاز به قبض جدید نیست، هرچند احتیاط آن است که قصد کند به نیابت از صغار آن‌چه در اختیار دارد؛ بلکه این احتیاط، وجیه و پسندیده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آیت الله فاضل لنکرانی هم این نظریّه را پذیرفته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دلیل این حکم، علاوه بر اجماع</w:t>
      </w:r>
      <w:r>
        <w:rPr>
          <w:rStyle w:val="FootnoteAnchor"/>
          <w:rtl w:val="true"/>
        </w:rPr>
        <w:footnoteReference w:id="198"/>
      </w:r>
      <w:r>
        <w:rPr>
          <w:rFonts w:ascii="IRNazanin" w:hAnsi="IRNazanin" w:eastAsia="IRNazanin"/>
          <w:color w:val="111111"/>
          <w:sz w:val="28"/>
          <w:sz w:val="28"/>
          <w:szCs w:val="28"/>
          <w:rtl w:val="true"/>
          <w:lang w:bidi="fa-IR"/>
        </w:rPr>
        <w:t>، روایات است؛ مانند این‌که محمّد بن مسلم در حدیث صحیح از امام باقر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پدری، ملکی را بر اولاد کبار وقف نماید و آنان آن را قبض ننمایند تا از دنیا برود، آن ملک میراث متوّفی است و بین ورثه تقسیم میشود، ولی اگر بر فرزندان صغیر خود وقف نماید، وقف صحیح است، زیرا پدر متولّی کلیّه امور مربوط به صغیر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تَصَدَّقْ عَلی مَنْ لَمْ یُدْرِکْ مِنْ وُلْدِهِ فَهُوَ جائِزٌ، لأَنَّ والِدَهُ هُوَ الَّذِی یَلیِ أَمْرَهُ</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به عبارت دیگر، ولی به نیابت از صغیر، ملک را در اختیار دارد و به منزله قبض اوست، بدان جهت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هم در این باره وارد شده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وصیّت برای صغیر</w:t>
      </w:r>
    </w:p>
    <w:p>
      <w:pPr>
        <w:pStyle w:val="BookText"/>
        <w:rPr/>
      </w:pPr>
      <w:r>
        <w:rPr>
          <w:rFonts w:ascii="IRNazanin" w:hAnsi="IRNazanin" w:eastAsia="IRNazanin"/>
          <w:color w:val="111111"/>
          <w:sz w:val="28"/>
          <w:sz w:val="28"/>
          <w:szCs w:val="28"/>
          <w:rtl w:val="true"/>
          <w:lang w:bidi="fa-IR"/>
        </w:rPr>
        <w:t>بنابر این که در وصیّت تملیکی،</w:t>
      </w:r>
      <w:r>
        <w:rPr>
          <w:rStyle w:val="FootnoteAnchor"/>
          <w:rtl w:val="true"/>
        </w:rPr>
        <w:footnoteReference w:id="201"/>
      </w:r>
      <w:r>
        <w:rPr>
          <w:rFonts w:ascii="IRNazanin" w:hAnsi="IRNazanin" w:eastAsia="IRNazanin"/>
          <w:color w:val="111111"/>
          <w:sz w:val="28"/>
          <w:sz w:val="28"/>
          <w:szCs w:val="28"/>
          <w:rtl w:val="true"/>
          <w:lang w:bidi="fa-IR"/>
        </w:rPr>
        <w:t xml:space="preserve">قبول شرط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مشهور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صغیر به نیابت از او آن را قبول مینماید و دلیل آن، عموم ادلّه وصیّت و ولایت است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91" w:name="__RefHeading___Toc1259378_1468164448"/>
      <w:bookmarkStart w:id="92" w:name="_Toc34"/>
      <w:bookmarkEnd w:id="91"/>
      <w:r>
        <w:rPr/>
        <w:t>10</w:t>
      </w:r>
      <w:r>
        <w:rPr>
          <w:rtl w:val="true"/>
        </w:rPr>
        <w:t xml:space="preserve">- </w:t>
      </w:r>
      <w:r>
        <w:rPr>
          <w:rtl w:val="true"/>
        </w:rPr>
        <w:t>موارد سقوط ولایت اولیا بر اموال صغار</w:t>
      </w:r>
      <w:bookmarkEnd w:id="9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یکی از اولیا، محجور شود یا به هر علّتی ممنوع از تصرّف گردد، حقّ ولایت او بر اموال صغار ساقط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یکی از آن‌ها، کافر یا مجنون شود و یا بر اثر جنایت یا عدم لیاقت یا بر اثر بیماری، توانایی ادارة اموال مولّیعلیه را حتّی با گرفتن وکیل نداشته باشد ولایت آنها ساقط میگردد و موقتاً ولی بعدی در اموال صغیر، دخالت مینماید تا رفع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مباحثی که در این بخش مطرح میگردد، همانند مباحثی است که در بخش پنجم بحث از حضانت طفل گذشت و به جهت پرهیز از طولانی شدن، از ذکر آن در این بخش خودداری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مدنی نیز در مواد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سقوط ولایت اولیا پیش‌بینی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مادة اخیر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ولی قهری منحصر، به واسطه غیبت یا حبس یا به هر علّتی که نتواند به امور مولّیعلیه رسیدگی کند و کسی را هم از طرف خود معیّن نکرده باشد، حاکم یک نفر امین به پیشنهاد مدّعی العموم برای تصدّی و اداره اموال مولّیعلیه و سایر امور راجعه به او، موقّتاً معیّن خواهد کرد</w:t>
      </w:r>
      <w:r>
        <w:rPr>
          <w:rFonts w:eastAsia="IRNazanin" w:cs="IRNazanin"/>
          <w:color w:val="111111"/>
          <w:sz w:val="28"/>
          <w:szCs w:val="28"/>
          <w:rtl w:val="true"/>
          <w:lang w:bidi="fa-IR"/>
        </w:rPr>
        <w:t>».</w:t>
      </w:r>
      <w:bookmarkStart w:id="93" w:name="pg13713_164347"/>
    </w:p>
    <w:p>
      <w:pPr>
        <w:pStyle w:val="Heading2"/>
        <w:numPr>
          <w:ilvl w:val="1"/>
          <w:numId w:val="1"/>
        </w:numPr>
        <w:rPr/>
      </w:pPr>
      <w:bookmarkStart w:id="94" w:name="__RefHeading___Toc1259380_1468164448"/>
      <w:bookmarkStart w:id="95" w:name="_Toc35"/>
      <w:bookmarkEnd w:id="93"/>
      <w:bookmarkEnd w:id="94"/>
      <w:r>
        <w:rPr>
          <w:rtl w:val="true"/>
        </w:rPr>
        <w:t>فصل دهم</w:t>
      </w:r>
      <w:r>
        <w:rPr>
          <w:rtl w:val="true"/>
        </w:rPr>
        <w:t xml:space="preserve">: </w:t>
      </w:r>
      <w:r>
        <w:rPr>
          <w:rtl w:val="true"/>
        </w:rPr>
        <w:t>ولایت بر نکاح صغار</w:t>
      </w:r>
      <w:bookmarkEnd w:id="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1259382_1468164448"/>
      <w:bookmarkStart w:id="97" w:name="_Toc36"/>
      <w:bookmarkEnd w:id="96"/>
      <w:r>
        <w:rPr>
          <w:rtl w:val="true"/>
        </w:rPr>
        <w:t>اشاره</w:t>
      </w:r>
      <w:bookmarkStart w:id="98" w:name="pg13713_164349"/>
      <w:bookmarkEnd w:id="97"/>
    </w:p>
    <w:p>
      <w:pPr>
        <w:pStyle w:val="Heading3"/>
        <w:numPr>
          <w:ilvl w:val="2"/>
          <w:numId w:val="1"/>
        </w:numPr>
        <w:rPr/>
      </w:pPr>
      <w:bookmarkStart w:id="99" w:name="__RefHeading___Toc1259384_1468164448"/>
      <w:bookmarkStart w:id="100" w:name="_Toc37"/>
      <w:bookmarkEnd w:id="98"/>
      <w:bookmarkEnd w:id="99"/>
      <w:r>
        <w:rPr>
          <w:rtl w:val="true"/>
        </w:rPr>
        <w:t>گفتار اوّل</w:t>
      </w:r>
      <w:r>
        <w:rPr>
          <w:rtl w:val="true"/>
        </w:rPr>
        <w:t xml:space="preserve">: </w:t>
      </w:r>
      <w:r>
        <w:rPr>
          <w:rtl w:val="true"/>
        </w:rPr>
        <w:t>ولایت پدر، جدّ پدری، وصی و حاکم بر نکاح صغار</w:t>
      </w:r>
      <w:bookmarkEnd w:id="100"/>
    </w:p>
    <w:p>
      <w:pPr>
        <w:pStyle w:val="Heading4"/>
        <w:numPr>
          <w:ilvl w:val="3"/>
          <w:numId w:val="1"/>
        </w:numPr>
        <w:rPr/>
      </w:pPr>
      <w:bookmarkStart w:id="101" w:name="__RefHeading___Toc1259386_1468164448"/>
      <w:bookmarkStart w:id="102" w:name="_Toc38"/>
      <w:bookmarkEnd w:id="101"/>
      <w:r>
        <w:rPr/>
        <w:t>1</w:t>
      </w:r>
      <w:r>
        <w:rPr>
          <w:rtl w:val="true"/>
        </w:rPr>
        <w:t xml:space="preserve">- </w:t>
      </w:r>
      <w:r>
        <w:rPr>
          <w:rtl w:val="true"/>
        </w:rPr>
        <w:t>ولایت پدر و جدّ پدری</w:t>
      </w:r>
      <w:bookmarkEnd w:id="102"/>
    </w:p>
    <w:p>
      <w:pPr>
        <w:pStyle w:val="BookText"/>
        <w:rPr/>
      </w:pPr>
      <w:r>
        <w:rPr>
          <w:rFonts w:ascii="IRNazanin" w:hAnsi="IRNazanin" w:eastAsia="IRNazanin"/>
          <w:color w:val="111111"/>
          <w:sz w:val="28"/>
          <w:sz w:val="28"/>
          <w:szCs w:val="28"/>
          <w:rtl w:val="true"/>
          <w:lang w:bidi="fa-IR"/>
        </w:rPr>
        <w:t>به اتفاق فقها، پدر و جدّ پدری بر تزویج صغار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پدر جایز است دختر خود را که به حدّ بلوغ نرسیده تزویج نماید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هم‌چنین محقّق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پدر و جدّ پدری، کسی بر تزویج صغار ولایت ندارد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بسیاری از فقها اعمّ از گذشتگان</w:t>
      </w:r>
      <w:r>
        <w:rPr>
          <w:rStyle w:val="FootnoteAnchor"/>
          <w:rtl w:val="true"/>
        </w:rPr>
        <w:footnoteReference w:id="205"/>
      </w:r>
      <w:r>
        <w:rPr>
          <w:rFonts w:ascii="IRNazanin" w:hAnsi="IRNazanin" w:eastAsia="IRNazanin"/>
          <w:color w:val="111111"/>
          <w:sz w:val="28"/>
          <w:sz w:val="28"/>
          <w:szCs w:val="28"/>
          <w:rtl w:val="true"/>
          <w:lang w:bidi="fa-IR"/>
        </w:rPr>
        <w:t>و معاصرین،</w:t>
      </w:r>
      <w:r>
        <w:rPr>
          <w:rStyle w:val="FootnoteAnchor"/>
          <w:rtl w:val="true"/>
        </w:rPr>
        <w:footnoteReference w:id="206"/>
      </w:r>
      <w:r>
        <w:rPr>
          <w:rFonts w:ascii="IRNazanin" w:hAnsi="IRNazanin" w:eastAsia="IRNazanin"/>
          <w:color w:val="111111"/>
          <w:sz w:val="28"/>
          <w:sz w:val="28"/>
          <w:szCs w:val="28"/>
          <w:rtl w:val="true"/>
          <w:lang w:bidi="fa-IR"/>
        </w:rPr>
        <w:t>به این مسأله تصریح نموده‌اند</w:t>
      </w:r>
      <w:r>
        <w:rPr>
          <w:rFonts w:eastAsia="IRNazanin" w:cs="IRNazanin"/>
          <w:color w:val="111111"/>
          <w:sz w:val="28"/>
          <w:szCs w:val="28"/>
          <w:rtl w:val="true"/>
          <w:lang w:bidi="fa-IR"/>
        </w:rPr>
        <w:t>.</w:t>
      </w:r>
    </w:p>
    <w:p>
      <w:pPr>
        <w:pStyle w:val="Heading4"/>
        <w:numPr>
          <w:ilvl w:val="3"/>
          <w:numId w:val="1"/>
        </w:numPr>
        <w:rPr/>
      </w:pPr>
      <w:bookmarkStart w:id="103" w:name="__RefHeading___Toc1259388_1468164448"/>
      <w:bookmarkStart w:id="104" w:name="_Toc39"/>
      <w:bookmarkEnd w:id="103"/>
      <w:r>
        <w:rPr/>
        <w:t>2</w:t>
      </w:r>
      <w:r>
        <w:rPr>
          <w:rtl w:val="true"/>
        </w:rPr>
        <w:t xml:space="preserve">- </w:t>
      </w:r>
      <w:r>
        <w:rPr>
          <w:rtl w:val="true"/>
        </w:rPr>
        <w:t>ادلّه ولایت پدر و جدّ پدری بر تزویج صغار</w:t>
      </w:r>
      <w:bookmarkEnd w:id="1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زن‌ها را پیش از آن‌که با آن‌ها تماس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آمیزش‌جنسی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دهید، در حالی که مهری برای آن‌ها تعیین کرده‌اید، باید نصف آن‌چه را که تعیین کرده‌اید بپردازید، مگر این‌که آنها حق خود را ببخشند و یا</w:t>
      </w:r>
    </w:p>
    <w:p>
      <w:pPr>
        <w:pStyle w:val="BookText"/>
        <w:rPr/>
      </w:pPr>
      <w:r>
        <w:rPr>
          <w:rFonts w:ascii="IRNazanin" w:hAnsi="IRNazanin" w:eastAsia="IRNazanin"/>
          <w:color w:val="111111"/>
          <w:sz w:val="28"/>
          <w:sz w:val="28"/>
          <w:szCs w:val="28"/>
          <w:rtl w:val="true"/>
          <w:lang w:bidi="fa-IR"/>
        </w:rPr>
        <w:t>در صورتیکه صغیر یا سفیه باشند، ولی آنها، یعنی آن کس که گره ازدواج به دست اوست، آن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در روایت صحیح، از امام صادق علیه السلام نقل شده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کسی که امر نکاح به دست اوست و میتواند مهریه زن مطلّقه را ببخشد، ولی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بِیَدِهِ عُقْدَةُ النِّکاحِ هُوَ وَلِیُّ أَمْرِها</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ولی زن است که حق دارد مقداری از مهریّه را بگیرد و مقداری را ببخشد و حق ندارد تمام آن را ببخشد</w:t>
      </w:r>
      <w:r>
        <w:rPr>
          <w:rFonts w:eastAsia="IRNazanin" w:cs="IRNazanin"/>
          <w:color w:val="111111"/>
          <w:sz w:val="28"/>
          <w:szCs w:val="28"/>
          <w:rtl w:val="true"/>
          <w:lang w:bidi="fa-IR"/>
        </w:rPr>
        <w:t>.</w:t>
      </w:r>
    </w:p>
    <w:p>
      <w:pPr>
        <w:pStyle w:val="BookText"/>
        <w:rPr/>
      </w:pPr>
      <w:r>
        <w:rPr>
          <w:rStyle w:val="FootnoteAnchor"/>
          <w:rtl w:val="true"/>
        </w:rPr>
        <w:footnoteReference w:id="209"/>
      </w:r>
      <w:r>
        <w:rPr>
          <w:rFonts w:ascii="IRNazanin" w:hAnsi="IRNazanin" w:eastAsia="IRNazanin"/>
          <w:color w:val="111111"/>
          <w:sz w:val="28"/>
          <w:sz w:val="28"/>
          <w:szCs w:val="28"/>
          <w:rtl w:val="true"/>
          <w:lang w:bidi="fa-IR"/>
        </w:rPr>
        <w:t>بنابراین با توجه به روایاتی که در تفسیر آیه شریفه وارد شده، از این آیه استفاده میشود پدر و جدّ پدری، بر نکاح صغیر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از دیدن خون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نومیدند، اگر شک دارند که خون میبینند یا نه، عدّه طلاق آنان سه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دخترانی که هنوز خون ندیده‌اند و به سن حیض نرسیده‌اند، عدّه‌ای بر آنان نیست</w:t>
      </w:r>
      <w:r>
        <w:rPr>
          <w:rFonts w:eastAsia="IRNazanin" w:cs="IRNazanin"/>
          <w:color w:val="111111"/>
          <w:sz w:val="28"/>
          <w:szCs w:val="28"/>
          <w:rtl w:val="true"/>
          <w:lang w:bidi="fa-IR"/>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اللاّئِی یَئِسْنَ مِنَ الْمَحِیضِ مِنْ نِسائِکُمْ إِنِ ارْتَبْتُمْ فَعِدَّتُهُنَّ ثَلاثَةُ أَشْهُرٍ وَ اللاّئِی لَمْ یَحِضْنَ</w:t>
      </w:r>
      <w:r>
        <w:rPr>
          <w:rFonts w:eastAsia="Amiri" w:cs="Amiri" w:ascii="Amiri" w:hAnsi="Amiri"/>
          <w:color w:val="111111"/>
          <w:sz w:val="28"/>
          <w:szCs w:val="28"/>
          <w:rtl w:val="true"/>
          <w:lang w:bidi="ar-SA"/>
        </w:rPr>
        <w:t>)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بحث از عدّه طلاق در صورتی است که طلاق از نکاح صحیح واقع شود و بی تردید دختر قبل از بلوغ، صلاحیت امر ازدواج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مفاد این آیه شریفه دختری که به سن بلوغ نرسیده در صورتی نکاح و طلاق در مورد او صحیح است که ولی‌او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یا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تزویج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 که به چند دسته تقسیم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بر این که جایز است پدر و جدّ پدری دختر صغیر خود را به عقد نکاح دیگری در آورند و چنین عقدی نافذ است و بعد</w:t>
      </w:r>
    </w:p>
    <w:p>
      <w:pPr>
        <w:pStyle w:val="BookText"/>
        <w:rPr/>
      </w:pPr>
      <w:r>
        <w:rPr>
          <w:rFonts w:ascii="IRNazanin" w:hAnsi="IRNazanin" w:eastAsia="IRNazanin"/>
          <w:color w:val="111111"/>
          <w:sz w:val="28"/>
          <w:sz w:val="28"/>
          <w:szCs w:val="28"/>
          <w:rtl w:val="true"/>
          <w:lang w:bidi="fa-IR"/>
        </w:rPr>
        <w:t xml:space="preserve">از بلوغ، دختر نمیتواند آن را فسخ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با رعایت مصلحت او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ابن بزیع در روایت صحیح نقل میکند، از امام رضا علیه السلام سؤال کردم، دختر صغیری پدرش او را به عقد دیگری در آورده و در حالی که هنوز صغیر بوده، پدر فوت میکند، بعد از آن‌که به حدّ بلوغ رسید و در حالی که هنوز مدخول بها قرار نگرفته است، آیا ازدواج انجام شده بر او نافذ است یا این‌که اختیار دارد آن را فسخ نماید؟ حضرت‌فرمودند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ازدواج پدر بر او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است که از آن‌ها استفاده میشود، اگر عقد ازدواج که توسط پدر و جدّ پدری بر دختر صغیر وارد شده، متعارض یکدیگر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آن‌که، پدر، دختر را به عقد فردی درآورده و جدّ پدری فرد دیگری را مورد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نکاح‌جدّمقدم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دارند اگر بین دختر و پسری که به سنّ بلوغ نرسیده‌اند، عقد نکاح برقرار شود، از یکدیگر ارث میبرند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دلالت دارد در صورت ایجاد عقد نکاح بین دختر وپسر صغیر، باید توسط پدر یا کودک در صورتی که صاحب اموال باشد، مهریّه‌پرداخت شود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با این توضیح که ثبوت مهریّه، فرع صحّت نکاح است، زیرا عقد فاسد موجب مهریه نمیباشد و با عنایت به این‌که کودک، خود صلاحیت ایجاد عقد نکاح را ندارد، دلالت این دسته از روایات بر تزویج صغار اثبات میگردد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در این مسأله ادّعای اجماع نموده‌اند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bookmarkStart w:id="105" w:name="pg13713_164352"/>
    </w:p>
    <w:p>
      <w:pPr>
        <w:pStyle w:val="Heading4"/>
        <w:numPr>
          <w:ilvl w:val="3"/>
          <w:numId w:val="1"/>
        </w:numPr>
        <w:rPr/>
      </w:pPr>
      <w:bookmarkStart w:id="106" w:name="__RefHeading___Toc1259390_1468164448"/>
      <w:bookmarkStart w:id="107" w:name="_Toc40"/>
      <w:bookmarkEnd w:id="105"/>
      <w:bookmarkEnd w:id="106"/>
      <w:r>
        <w:rPr/>
        <w:t>3</w:t>
      </w:r>
      <w:r>
        <w:rPr>
          <w:rtl w:val="true"/>
        </w:rPr>
        <w:t xml:space="preserve">- </w:t>
      </w:r>
      <w:r>
        <w:rPr>
          <w:rtl w:val="true"/>
        </w:rPr>
        <w:t>تذکّر چند مطلب</w:t>
      </w:r>
      <w:bookmarkEnd w:id="1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فقها، فقط جدّ پدری در مورد تزویج صغار دارای ولایت است و جدّ مادری ولایت ندارد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تزویج صغار دارای ولایت نیست، این مسأله نیز مورد توافق و اجماع فقها است</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هم‌چنین برادر، عمو، دایی و دیگر اقوام صغار ولایت بر تزویج صغار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غیر از پدر، جدّ پدری دختر، ولایت بر تزویج ندارند و اگر او را تزویج نمودند، صحّت عقد نکاح متوقف بر رضایت او به ازدواج بعد از بلوغ وی میباشد، در غیر این‌صورت باطل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جدّ پدری مشروط به بقا پدر نیست، بلکه او دارای ولایت است، چه در حیات پدر و چه بعد از فوت او</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108" w:name="__RefHeading___Toc1259392_1468164448"/>
      <w:bookmarkStart w:id="109" w:name="_Toc41"/>
      <w:bookmarkEnd w:id="108"/>
      <w:r>
        <w:rPr/>
        <w:t>4</w:t>
      </w:r>
      <w:r>
        <w:rPr>
          <w:rtl w:val="true"/>
        </w:rPr>
        <w:t xml:space="preserve">- </w:t>
      </w:r>
      <w:r>
        <w:rPr>
          <w:rtl w:val="true"/>
        </w:rPr>
        <w:t>ولایت پدر و جدّ پدری بر تزویج صغار در حقوق مدنی</w:t>
      </w:r>
      <w:bookmarkEnd w:id="109"/>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به ولایت پدر و جدّ پدری بر تزویج صغار با 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آن ولایت میباشد،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اصلاح شده این ماده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نکاح دختر قبل از رسیدن به سنّ سیزده سال تمام شمسی و پسر قبل از رسیدن به سنّ پانزده سال تمام شمسی، منوطاست به اذن ولی، به شرط رعایت مصلحت با تشخیص دادگاه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دخالت خانواده صغیر در نکاح او می‌تواند بر دو مبنای مختلف استوار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از صغیر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نظر درباره کسی که از این پس عضو خانواده میشود، و نیک و بد او نه تنها به همسرش، به خانواده او نیز مربوط میشود</w:t>
      </w:r>
      <w:r>
        <w:rPr>
          <w:rFonts w:eastAsia="IRNazanin" w:cs="IRNazanin"/>
          <w:color w:val="111111"/>
          <w:sz w:val="28"/>
          <w:szCs w:val="28"/>
          <w:rtl w:val="true"/>
          <w:lang w:bidi="fa-IR"/>
        </w:rPr>
        <w:t>.</w:t>
      </w:r>
      <w:bookmarkStart w:id="110" w:name="pg13713_164353"/>
    </w:p>
    <w:p>
      <w:pPr>
        <w:pStyle w:val="BookText"/>
        <w:rPr/>
      </w:pPr>
      <w:bookmarkEnd w:id="110"/>
      <w:r>
        <w:rPr>
          <w:rFonts w:ascii="IRNazanin" w:hAnsi="IRNazanin" w:eastAsia="IRNazanin"/>
          <w:color w:val="111111"/>
          <w:sz w:val="28"/>
          <w:sz w:val="28"/>
          <w:szCs w:val="28"/>
          <w:rtl w:val="true"/>
          <w:lang w:bidi="fa-IR"/>
        </w:rPr>
        <w:t>در قانون مدنی، مبنای نخست پذیرفته شده بود، زیرا رضای ولی تنها در نکاح صغیر اثر داشت و شخص کبیر، جز در مورد دختر باکره، در انتخاب همسر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اجازه نکاح صغیر تنها با سرپرست قانونی او بود؛ اگر کودک، پدر یا جدّ پدری داشت، این اجازه را او میداد و سایر اعضای خانواده در این‌راه سهمی نداشتند و در صورت فوت اولیای قهری، تصویب اراده او با قیّم بود و احتمال داشت که قیم، شخص خارج از خانواده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اصلاح مادة فوق نیز دخالت خانواده هم‌چنان بیاثر ماند، ولی مبنای دیگری برای دخالت پدر و جدّ پدری مطرح شد که پیش از آن،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 شاخه‌ای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گستره تازه‌ای یافته و بر شخصی‌ترین چهره زندگی، یعنی انتخاب همسر نیز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میراثی از فقه که در قانون مدنی رسوخ کرده و به ندرت میتوان موردی برای آن سراغ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باید پذیرفت که دخالت ولی قهری در ازدواج فرزند صغیر خود کم‌تر چهره حمایتی دارد و شاخه‌ای از اقتدار پدری است که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 مولّیعلیه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تا از خطرهای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پدر، نسبی و محدود به مصلحت فرزند است و دختر و پسر صغیر از این حیث تفاوتی با هم ندارند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111" w:name="__RefHeading___Toc1259394_1468164448"/>
      <w:bookmarkStart w:id="112" w:name="_Toc42"/>
      <w:bookmarkEnd w:id="111"/>
      <w:r>
        <w:rPr/>
        <w:t>5</w:t>
      </w:r>
      <w:r>
        <w:rPr>
          <w:rtl w:val="true"/>
        </w:rPr>
        <w:t xml:space="preserve">- </w:t>
      </w:r>
      <w:r>
        <w:rPr>
          <w:rtl w:val="true"/>
        </w:rPr>
        <w:t>ولایت وصی بر نکاح صغار</w:t>
      </w:r>
      <w:bookmarkEnd w:id="112"/>
    </w:p>
    <w:p>
      <w:pPr>
        <w:pStyle w:val="BookText"/>
        <w:rPr/>
      </w:pPr>
      <w:r>
        <w:rPr>
          <w:rFonts w:ascii="IRNazanin" w:hAnsi="IRNazanin" w:eastAsia="IRNazanin"/>
          <w:color w:val="111111"/>
          <w:sz w:val="28"/>
          <w:sz w:val="28"/>
          <w:szCs w:val="28"/>
          <w:rtl w:val="true"/>
          <w:lang w:bidi="fa-IR"/>
        </w:rPr>
        <w:t>در مورد ولایت وصی، پدر یا جدّ پدری، بر نکاح صغار سه دیدگاه میان فقها مطرح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مانند شهید ثانی</w:t>
      </w:r>
      <w:r>
        <w:rPr>
          <w:rStyle w:val="FootnoteAnchor"/>
          <w:rtl w:val="true"/>
        </w:rPr>
        <w:footnoteReference w:id="222"/>
      </w:r>
      <w:r>
        <w:rPr>
          <w:rFonts w:ascii="IRNazanin" w:hAnsi="IRNazanin" w:eastAsia="IRNazanin"/>
          <w:color w:val="111111"/>
          <w:sz w:val="28"/>
          <w:sz w:val="28"/>
          <w:szCs w:val="28"/>
          <w:rtl w:val="true"/>
          <w:lang w:bidi="fa-IR"/>
        </w:rPr>
        <w:t>و صاحب مدارک</w:t>
      </w:r>
      <w:r>
        <w:rPr>
          <w:rStyle w:val="FootnoteAnchor"/>
          <w:rtl w:val="true"/>
        </w:rPr>
        <w:footnoteReference w:id="223"/>
      </w:r>
      <w:r>
        <w:rPr>
          <w:rFonts w:ascii="IRNazanin" w:hAnsi="IRNazanin" w:eastAsia="IRNazanin"/>
          <w:color w:val="111111"/>
          <w:sz w:val="28"/>
          <w:sz w:val="28"/>
          <w:szCs w:val="28"/>
          <w:rtl w:val="true"/>
          <w:lang w:bidi="fa-IR"/>
        </w:rPr>
        <w:t>و برخی دیگر</w:t>
      </w:r>
      <w:r>
        <w:rPr>
          <w:rStyle w:val="FootnoteAnchor"/>
          <w:rtl w:val="true"/>
        </w:rPr>
        <w:footnoteReference w:id="224"/>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وصی بر نکاح صغار، به‌طور مطلق ثابت است، اعمّ از این‌که 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جدّ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در این خصوص اجازه دخالت داده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دیدگاه</w:t>
      </w:r>
      <w:r>
        <w:rPr>
          <w:rStyle w:val="FootnoteAnchor"/>
          <w:rtl w:val="true"/>
        </w:rPr>
        <w:footnoteReference w:id="225"/>
      </w:r>
      <w:r>
        <w:rPr>
          <w:rFonts w:ascii="IRNazanin" w:hAnsi="IRNazanin" w:eastAsia="IRNazanin"/>
          <w:color w:val="111111"/>
          <w:sz w:val="28"/>
          <w:sz w:val="28"/>
          <w:szCs w:val="28"/>
          <w:rtl w:val="true"/>
          <w:lang w:bidi="fa-IR"/>
        </w:rPr>
        <w:t>به عموم آیه شریفه قرآن استدلال شده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پس از شنیدن وصیّت، آن را تغییر دهد و برخلاف حقیقت رفتار نماید، گناه این کار برای کسانی است که آن را تغییر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إِثْمُهُ عَلَی الَّذِینَ یُبَدِّلُونَهُ</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از این استدلال جواب داده شده که از آیه شریفه، حرمت تبدیل وصیّت استفاده میشود و در مقام اثبات ولایت وصی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دیدگاه اوّل، برخی از فقها بر این عقیده‌اند که وصی مطلقاً ولایت بر تزویج صغار ندارد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محقّق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ولایت بر تزویج صغار ندارد، هرچند موصی به او اجازه دخالت در نکاح صغیر را داده باشد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مستند این دیدگاه اصل عدم ولایت وصی بر نکاح صغیر است، به این معنی که اصل اوّلی این است که هیچ کس بر دیگری ولایت ندارد، مگر این‌که دلیلی بر خلاف آن اقامه شود و در این مورد دلیلی نداریم که وصی بر صغیر ولایت بر نکاح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اصل عدم صحّت عقد</w:t>
      </w:r>
      <w:r>
        <w:rPr>
          <w:rStyle w:val="FootnoteAnchor"/>
          <w:rtl w:val="true"/>
        </w:rPr>
        <w:footnoteReference w:id="229"/>
      </w:r>
      <w:r>
        <w:rPr>
          <w:rFonts w:ascii="IRNazanin" w:hAnsi="IRNazanin" w:eastAsia="IRNazanin"/>
          <w:color w:val="111111"/>
          <w:sz w:val="28"/>
          <w:sz w:val="28"/>
          <w:szCs w:val="28"/>
          <w:rtl w:val="true"/>
          <w:lang w:bidi="fa-IR"/>
        </w:rPr>
        <w:t>است، در صورتیکه صغیر بعد از بلوغ، آن را فسخ نماید</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دیگر روایاتی</w:t>
      </w:r>
      <w:r>
        <w:rPr>
          <w:rStyle w:val="FootnoteAnchor"/>
          <w:rtl w:val="true"/>
        </w:rPr>
        <w:footnoteReference w:id="231"/>
      </w:r>
      <w:r>
        <w:rPr>
          <w:rFonts w:ascii="IRNazanin" w:hAnsi="IRNazanin" w:eastAsia="IRNazanin"/>
          <w:color w:val="111111"/>
          <w:sz w:val="28"/>
          <w:sz w:val="28"/>
          <w:szCs w:val="28"/>
          <w:rtl w:val="true"/>
          <w:lang w:bidi="fa-IR"/>
        </w:rPr>
        <w:t>است که از آنها نیز جواب داده شده است</w:t>
      </w:r>
      <w:r>
        <w:rPr>
          <w:rFonts w:eastAsia="IRNazanin" w:cs="IRNazanin"/>
          <w:color w:val="111111"/>
          <w:sz w:val="28"/>
          <w:szCs w:val="28"/>
          <w:rtl w:val="true"/>
          <w:lang w:bidi="fa-IR"/>
        </w:rPr>
        <w:t>.</w:t>
      </w:r>
      <w:r>
        <w:rPr>
          <w:rStyle w:val="FootnoteAnchor"/>
          <w:rtl w:val="true"/>
        </w:rPr>
        <w:footnoteReference w:id="232"/>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از فقها دیدگاه میانه را پذیرفته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پدر یا جدّ پدری، برنکاح وصی تصریح نماید و به او در این‌باره اذن دهد، دارای ولایت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Style w:val="FootnoteAnchor"/>
          <w:rtl w:val="true"/>
        </w:rPr>
        <w:footnoteReference w:id="233"/>
      </w:r>
      <w:r>
        <w:rPr>
          <w:rFonts w:ascii="IRNazanin" w:hAnsi="IRNazanin" w:eastAsia="IRNazanin"/>
          <w:color w:val="111111"/>
          <w:sz w:val="28"/>
          <w:sz w:val="28"/>
          <w:szCs w:val="28"/>
          <w:rtl w:val="true"/>
          <w:lang w:bidi="fa-IR"/>
        </w:rPr>
        <w:t>و نیز شیخ طوسی</w:t>
      </w:r>
      <w:r>
        <w:rPr>
          <w:rStyle w:val="FootnoteAnchor"/>
          <w:rtl w:val="true"/>
        </w:rPr>
        <w:footnoteReference w:id="234"/>
      </w:r>
      <w:r>
        <w:rPr>
          <w:rFonts w:ascii="IRNazanin" w:hAnsi="IRNazanin" w:eastAsia="IRNazanin"/>
          <w:color w:val="111111"/>
          <w:sz w:val="28"/>
          <w:sz w:val="28"/>
          <w:szCs w:val="28"/>
          <w:rtl w:val="true"/>
          <w:lang w:bidi="fa-IR"/>
        </w:rPr>
        <w:t>و برخی از فقهای گذشته</w:t>
      </w:r>
      <w:r>
        <w:rPr>
          <w:rStyle w:val="FootnoteAnchor"/>
          <w:rtl w:val="true"/>
        </w:rPr>
        <w:footnoteReference w:id="235"/>
      </w:r>
      <w:r>
        <w:rPr>
          <w:rFonts w:ascii="IRNazanin" w:hAnsi="IRNazanin" w:eastAsia="IRNazanin"/>
          <w:color w:val="111111"/>
          <w:sz w:val="28"/>
          <w:sz w:val="28"/>
          <w:szCs w:val="28"/>
          <w:rtl w:val="true"/>
          <w:lang w:bidi="fa-IR"/>
        </w:rPr>
        <w:t>و برخی از معاصرین،</w:t>
      </w:r>
      <w:r>
        <w:rPr>
          <w:rStyle w:val="FootnoteAnchor"/>
          <w:rtl w:val="true"/>
        </w:rPr>
        <w:footnoteReference w:id="236"/>
      </w:r>
      <w:r>
        <w:rPr>
          <w:rFonts w:ascii="IRNazanin" w:hAnsi="IRNazanin" w:eastAsia="IRNazanin"/>
          <w:color w:val="111111"/>
          <w:sz w:val="28"/>
          <w:sz w:val="28"/>
          <w:szCs w:val="28"/>
          <w:rtl w:val="true"/>
          <w:lang w:bidi="fa-IR"/>
        </w:rPr>
        <w:t>این دیدگاه را پذیرفته‌اند</w:t>
      </w:r>
      <w:r>
        <w:rPr>
          <w:rFonts w:eastAsia="IRNazanin" w:cs="IRNazanin"/>
          <w:color w:val="111111"/>
          <w:sz w:val="28"/>
          <w:szCs w:val="28"/>
          <w:rtl w:val="true"/>
          <w:lang w:bidi="fa-IR"/>
        </w:rPr>
        <w:t>.</w:t>
      </w:r>
      <w:bookmarkStart w:id="113" w:name="pg13713_164355"/>
    </w:p>
    <w:p>
      <w:pPr>
        <w:pStyle w:val="BookText"/>
        <w:rPr/>
      </w:pPr>
      <w:bookmarkEnd w:id="113"/>
      <w:r>
        <w:rPr>
          <w:rFonts w:ascii="IRNazanin" w:hAnsi="IRNazanin" w:eastAsia="IRNazanin"/>
          <w:color w:val="111111"/>
          <w:sz w:val="28"/>
          <w:sz w:val="28"/>
          <w:szCs w:val="28"/>
          <w:rtl w:val="true"/>
          <w:lang w:bidi="fa-IR"/>
        </w:rPr>
        <w:t>برای اثبات این دیدگاه، به‌آیه شریفه قرآن</w:t>
      </w:r>
      <w:r>
        <w:rPr>
          <w:rStyle w:val="FootnoteAnchor"/>
          <w:rtl w:val="true"/>
        </w:rPr>
        <w:footnoteReference w:id="237"/>
      </w:r>
      <w:r>
        <w:rPr>
          <w:rFonts w:ascii="IRNazanin" w:hAnsi="IRNazanin" w:eastAsia="IRNazanin"/>
          <w:color w:val="111111"/>
          <w:sz w:val="28"/>
          <w:sz w:val="28"/>
          <w:szCs w:val="28"/>
          <w:rtl w:val="true"/>
          <w:lang w:bidi="fa-IR"/>
        </w:rPr>
        <w:t>و بعضی از روایات اسناد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در حدیث صحیح، ابوبصیر از امام صادق علیه السلام نقل میکند که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کسی که امر نکاح در اختیار اوست، پدر، برادر و مردی که به او وصیّت شده و کسی که حق دارد در اموال زن دخالت نماید، میباشد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مرحوم شیخ انصاری در رساله‌ای که در مسائل نکاح نوشته، به عموم روایتی که در توقیع صفّار از امام عسکری علیه السلام نقل شده،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میتواند به هر چیز وصیّت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لِلْمَیِّتِ ما أَوْصی بِهِ عَلی ما أَوْصی إنْ شاءَ اللهُ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ودرپایان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کلام به دلیل خصوصیّت مورد، نباید ترک شود</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114" w:name="__RefHeading___Toc1259396_1468164448"/>
      <w:bookmarkStart w:id="115" w:name="_Toc43"/>
      <w:bookmarkEnd w:id="114"/>
      <w:r>
        <w:rPr/>
        <w:t>6</w:t>
      </w:r>
      <w:r>
        <w:rPr>
          <w:rtl w:val="true"/>
        </w:rPr>
        <w:t xml:space="preserve">- </w:t>
      </w:r>
      <w:r>
        <w:rPr>
          <w:rtl w:val="true"/>
        </w:rPr>
        <w:t>ولایت حاکم بر نکاح صغار</w:t>
      </w:r>
      <w:bookmarkEnd w:id="115"/>
    </w:p>
    <w:p>
      <w:pPr>
        <w:pStyle w:val="BookText"/>
        <w:rPr/>
      </w:pPr>
      <w:r>
        <w:rPr>
          <w:rFonts w:ascii="IRNazanin" w:hAnsi="IRNazanin" w:eastAsia="IRNazanin"/>
          <w:color w:val="111111"/>
          <w:sz w:val="28"/>
          <w:sz w:val="28"/>
          <w:szCs w:val="28"/>
          <w:rtl w:val="true"/>
          <w:lang w:bidi="fa-IR"/>
        </w:rPr>
        <w:t>در این‌که آیا حاکم اجازه تزویج صغیری را که پدر و جدّ پدری ندارند دارد یا خیر؟ بین فقها اختلاف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فقهای امامیه این است که حاکم بر نکاح ایتام ولایت ندارد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ادلّه این نظریه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عدم ولایت است، مگر دلیلی برخلاف آن اقامه شود و در این‌جا چنین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روایاتی که اختیار تزویج صغیر را در انحصار پدر و جدّ پدری او قرار میدهد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حاکم از باب حسبه میباشد و در موردی که دختر و پسر نابالغ هستند، نکاح برای آنها ضرورتی ندارد و نیازی به نکاح نمیباشد تا حسبه در آن قابل فرض باشد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مقابل نظریّه اوّل، عدّه‌ای از فقها بر این باورندکه در صورت ضرورت و نیاز و با رعایت غبطه و مصلحت، حاکم بر نکاح کودکانِ بیسرپرست دارای ولایت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سیّد یزدی در عروة الوثقی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شرع میتواند صغیری را که فاقد پدر و جدّ پدری و وصی آن دو میباشد، در صورت نیاز با رعایت مصلحت تزویج نماید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مستند این نظریّه، اطلاق و عموم ادلّه ولایت حاکم است که در بحث ولایت کلّی حاکم و نیز ولایت بر اموال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معروفی که از پیامبر اعظم صلی الله علیه و آله با این مضمون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ولی کسی است که برای او ولی دیگری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اَلسُّلْطانُوَلِیُّ مَن لا وَلِیَّ لَهُ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هم‌چنین میتوان ولایت حاکم بر نکاح ایتام را از باب حسبه</w:t>
      </w:r>
      <w:r>
        <w:rPr>
          <w:rStyle w:val="FootnoteAnchor"/>
          <w:rtl w:val="true"/>
        </w:rPr>
        <w:footnoteReference w:id="247"/>
      </w:r>
      <w:r>
        <w:rPr>
          <w:rFonts w:ascii="IRNazanin" w:hAnsi="IRNazanin" w:eastAsia="IRNazanin"/>
          <w:color w:val="111111"/>
          <w:sz w:val="28"/>
          <w:sz w:val="28"/>
          <w:szCs w:val="28"/>
          <w:rtl w:val="true"/>
          <w:lang w:bidi="fa-IR"/>
        </w:rPr>
        <w:t>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قدر متیقّن از ادلّه‌ای که بر این حکم دلالت دارد، مواردی است که شارع مقدّس اجازة انجام آن را به مکلّف داده است و تزویج ایتام با فرض نیاز و رعایت مصلحت، از این امور است و با عنایت به این‌که یتیم سرپرستی غیر از حاکم شرعی ندارد، بنابراین باید حاکم یا کسی که به او اجازه داده است، در این‌باره دخالت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در این باره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یتیم و مجنون با فرض وجود مصلحت، لازم است و باید انجام شود و به ناچار باید شخصی متصدّی آن باشد و با فرض</w:t>
      </w:r>
      <w:bookmarkStart w:id="116" w:name="pg13713_164357"/>
    </w:p>
    <w:p>
      <w:pPr>
        <w:pStyle w:val="BookText"/>
        <w:rPr/>
      </w:pPr>
      <w:bookmarkEnd w:id="116"/>
      <w:r>
        <w:rPr>
          <w:rFonts w:ascii="IRNazanin" w:hAnsi="IRNazanin" w:eastAsia="IRNazanin"/>
          <w:color w:val="111111"/>
          <w:sz w:val="28"/>
          <w:sz w:val="28"/>
          <w:szCs w:val="28"/>
          <w:rtl w:val="true"/>
          <w:lang w:bidi="fa-IR"/>
        </w:rPr>
        <w:t>عدم وجود وصی، حاکم عهده‌دار این مسئولیت است، زیرا قدر متیقّن از کسی که میتواند عهده‌دار این مسئولیّت باشد، اوست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لازم به یادآوری است در حقوق مدنی، بحث از ولایتِ وصی و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دادستان‌ودادگاه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نکاح ایتام و کودکان بیسرپرست، به میان نیامده است</w:t>
      </w:r>
      <w:r>
        <w:rPr>
          <w:rFonts w:eastAsia="IRNazanin" w:cs="IRNazanin"/>
          <w:color w:val="111111"/>
          <w:sz w:val="28"/>
          <w:szCs w:val="28"/>
          <w:rtl w:val="true"/>
          <w:lang w:bidi="fa-IR"/>
        </w:rPr>
        <w:t>.</w:t>
      </w:r>
    </w:p>
    <w:p>
      <w:pPr>
        <w:pStyle w:val="Heading4"/>
        <w:numPr>
          <w:ilvl w:val="3"/>
          <w:numId w:val="1"/>
        </w:numPr>
        <w:rPr/>
      </w:pPr>
      <w:bookmarkStart w:id="117" w:name="__RefHeading___Toc1259398_1468164448"/>
      <w:bookmarkStart w:id="118" w:name="_Toc44"/>
      <w:bookmarkEnd w:id="117"/>
      <w:r>
        <w:rPr/>
        <w:t>7</w:t>
      </w:r>
      <w:r>
        <w:rPr>
          <w:rtl w:val="true"/>
        </w:rPr>
        <w:t xml:space="preserve">- </w:t>
      </w:r>
      <w:r>
        <w:rPr>
          <w:rtl w:val="true"/>
        </w:rPr>
        <w:t>شرایط ولی در اعمال ولایت بر نکاح صغار</w:t>
      </w:r>
      <w:bookmarkEnd w:id="118"/>
    </w:p>
    <w:p>
      <w:pPr>
        <w:pStyle w:val="BookText"/>
        <w:rPr/>
      </w:pPr>
      <w:r>
        <w:rPr>
          <w:rFonts w:ascii="IRNazanin" w:hAnsi="IRNazanin" w:eastAsia="IRNazanin"/>
          <w:color w:val="111111"/>
          <w:sz w:val="28"/>
          <w:sz w:val="28"/>
          <w:szCs w:val="28"/>
          <w:rtl w:val="true"/>
          <w:lang w:bidi="fa-IR"/>
        </w:rPr>
        <w:t>در فقه برای دارندگان ولایت بر تزویج صغار، شرایطی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محقّق حلی این است که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شرایط مانع است</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برخی دیگر مانند علامّه در قواعد</w:t>
      </w:r>
      <w:r>
        <w:rPr>
          <w:rStyle w:val="FootnoteAnchor"/>
          <w:rtl w:val="true"/>
        </w:rPr>
        <w:footnoteReference w:id="250"/>
      </w:r>
      <w:r>
        <w:rPr>
          <w:rFonts w:ascii="Amiri" w:hAnsi="Amiri" w:eastAsia="Amiri" w:cs="Amiri"/>
          <w:color w:val="111111"/>
          <w:sz w:val="28"/>
          <w:sz w:val="28"/>
          <w:szCs w:val="28"/>
          <w:rtl w:val="true"/>
          <w:lang w:bidi="ar-SA"/>
        </w:rPr>
        <w:t>و محقّق ثانی</w:t>
      </w:r>
      <w:r>
        <w:rPr>
          <w:rStyle w:val="FootnoteAnchor"/>
          <w:rtl w:val="true"/>
        </w:rPr>
        <w:footnoteReference w:id="251"/>
      </w:r>
      <w:r>
        <w:rPr>
          <w:rFonts w:ascii="IRNazanin" w:hAnsi="IRNazanin" w:eastAsia="IRNazanin"/>
          <w:color w:val="111111"/>
          <w:sz w:val="28"/>
          <w:sz w:val="28"/>
          <w:szCs w:val="28"/>
          <w:rtl w:val="true"/>
          <w:lang w:bidi="fa-IR"/>
        </w:rPr>
        <w:t>، عدم آنها را مسقط ولایت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با تعبیر شرایط،</w:t>
      </w:r>
      <w:r>
        <w:rPr>
          <w:rStyle w:val="FootnoteAnchor"/>
          <w:rtl w:val="true"/>
        </w:rPr>
        <w:footnoteReference w:id="252"/>
      </w:r>
      <w:r>
        <w:rPr>
          <w:rFonts w:ascii="IRNazanin" w:hAnsi="IRNazanin" w:eastAsia="IRNazanin"/>
          <w:color w:val="111111"/>
          <w:sz w:val="28"/>
          <w:sz w:val="28"/>
          <w:szCs w:val="28"/>
          <w:rtl w:val="true"/>
          <w:lang w:bidi="fa-IR"/>
        </w:rPr>
        <w:t>این بحث را پیگیری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هرصورت عمده اموری که در این خصوص ذکر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بنابراین پدر و جدّ پدری اگر کافر باشند، ولایت بر نکاح اطفال مسلمانِ خود ندارند؛ این حکم مورد توافق فقها است و برخی در مورد آن ادّعای اجماع نموده‌اند</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آن، آیه‌ای از قرآن و بعضی روایات است؛ در آیه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هرگز برای کافران بر اهل ایمان، راه سلطه و سیطره باز نخواهد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روایتی که بین فریقین مشهور است، از پیامبر مکرم اسلام صلی الله علیه و آله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اَلأِسْلامُ یَعْلُو وَلا یُعْلی عَلَیْهِ</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اسلام بلند مرتبه است و تحت سلطه قرار</w:t>
      </w:r>
    </w:p>
    <w:p>
      <w:pPr>
        <w:pStyle w:val="BookText"/>
        <w:rPr/>
      </w:pPr>
      <w:r>
        <w:rPr>
          <w:rFonts w:ascii="IRNazanin" w:hAnsi="IRNazanin" w:eastAsia="IRNazanin"/>
          <w:color w:val="111111"/>
          <w:sz w:val="28"/>
          <w:sz w:val="28"/>
          <w:szCs w:val="28"/>
          <w:rtl w:val="true"/>
          <w:lang w:bidi="fa-IR"/>
        </w:rPr>
        <w:t>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ولایت کافر بر فرزند مسلمان خود، سلطه بر اوست که به حکم این آیه و روایت، جایز نیست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باید دانست فرض مسلمان بودن طفل به این صورت است که مادرش یا جدّش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صورتی که طفل قبل از بلوغ، اسلام را بپذیرد و معتقد باشیم این پذیرش معتبر و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تنها فرضی که بلوغ به عنوان شرط ولایت مطرح است، جایی است که صغیر بر عبد یا امه‌ای مالکیت داشته باشد ولی، بر آن‌ها ولایت ندارد</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فرض هم با منتفی بودن مسائل عبد و امه جایی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 xml:space="preserve">افراد دیوانه و بیهوش و 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مستی او باعث بیعقلی ویگردد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صغیر ولایت ندارند؛</w:t>
      </w:r>
      <w:r>
        <w:rPr>
          <w:rStyle w:val="FootnoteAnchor"/>
          <w:rtl w:val="true"/>
        </w:rPr>
        <w:footnoteReference w:id="257"/>
      </w:r>
      <w:r>
        <w:rPr>
          <w:rFonts w:ascii="IRNazanin" w:hAnsi="IRNazanin" w:eastAsia="IRNazanin"/>
          <w:color w:val="111111"/>
          <w:sz w:val="28"/>
          <w:sz w:val="28"/>
          <w:szCs w:val="28"/>
          <w:rtl w:val="true"/>
          <w:lang w:bidi="fa-IR"/>
        </w:rPr>
        <w:t>زیرا اینان در ادراک و فهم مطالب، ضعیف یا عاجزند و قادر به رعایت مصلحت نیستند و به طور کلّی، از انجام اموری که مربوط به ولایت میگردد،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کمال</w:t>
      </w:r>
    </w:p>
    <w:p>
      <w:pPr>
        <w:pStyle w:val="BookText"/>
        <w:rPr/>
      </w:pPr>
      <w:r>
        <w:rPr>
          <w:rFonts w:ascii="IRNazanin" w:hAnsi="IRNazanin" w:eastAsia="IRNazanin"/>
          <w:color w:val="111111"/>
          <w:sz w:val="28"/>
          <w:sz w:val="28"/>
          <w:szCs w:val="28"/>
          <w:rtl w:val="true"/>
          <w:lang w:bidi="fa-IR"/>
        </w:rPr>
        <w:t>محقّق ثانی درباره رشد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سفاهت مانع از ولایت است، زیرا سفه سبب ولایت برسفیه است، به ناچار وی ولایتی بر غیر خودش ندارد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علاّمة 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ولایت یا به جهت اختلال عقل و ضعف قوای ادراکی است یا به دلیل پیری و عجز از قیام به وظایف ولایت، و یا این‌که عجز از رعایت مصلحت و غبطه یعنی سفاهت، سبب سلب ولایت گردیده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مصلحت</w:t>
      </w:r>
    </w:p>
    <w:p>
      <w:pPr>
        <w:pStyle w:val="BookText"/>
        <w:rPr/>
      </w:pPr>
      <w:r>
        <w:rPr>
          <w:rFonts w:ascii="IRNazanin" w:hAnsi="IRNazanin" w:eastAsia="IRNazanin"/>
          <w:color w:val="111111"/>
          <w:sz w:val="28"/>
          <w:sz w:val="28"/>
          <w:szCs w:val="28"/>
          <w:rtl w:val="true"/>
          <w:lang w:bidi="fa-IR"/>
        </w:rPr>
        <w:t>در خصوص این پرسش که در نکاح صغیر و صغیره آیا شرط است مصلحت طرفین رعایت گردد، یا عدم مفسده و ضررکافی است؟ دو نظریّه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معتقدند که صرف نبودن ضرر و مفسده کافی است</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دلیل این دیدگاه عموم و اطلاق روایات است</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اجماع</w:t>
      </w:r>
      <w:r>
        <w:rPr>
          <w:rStyle w:val="FootnoteAnchor"/>
          <w:rtl w:val="true"/>
        </w:rPr>
        <w:footnoteReference w:id="262"/>
      </w:r>
      <w:r>
        <w:rPr>
          <w:rFonts w:ascii="IRNazanin" w:hAnsi="IRNazanin" w:eastAsia="IRNazanin"/>
          <w:color w:val="111111"/>
          <w:sz w:val="28"/>
          <w:sz w:val="28"/>
          <w:szCs w:val="28"/>
          <w:rtl w:val="true"/>
          <w:lang w:bidi="fa-IR"/>
        </w:rPr>
        <w:t>است که بعضی آن را ادّعا نموده‌اند، و نیز مناسبت حکم و موضوع، زیرا از روایات استفاده میشود، جعل ولایت بر صغار برای جلوگیری از ضرر بر آنها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در مقابل این نظریّه، برخی معتقدند علاوه بر عدم ضرر، لازم است مصلحت طرفین نیز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یزدی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تزویج صغار که توسط پدر و جدّ پدری انجام میشود، در صورتی صحیح و نافذ است که عاری از مفسده باشد و به احتیاط واجب باید با رعایت مصلحت همراه باشد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بسیاری از اعلام فقهای معاصر نیز بر رعایت این شرط تأکید کرده‌اند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آیت الله خویی در توضیح کلام مرحوم سید یزدی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عاری بودن تزویج صغار از مفسده و ضرر مورد اتّفاق فقها است و احدی مخالفت نکرده و احتیاط در رعایت مصلحت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آیت الله فاضل لنکرانی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احتیاط لزومی این است که در نکاح صغار، مصلحت رعایت شود، زیرا به حکم استصحاب در صورت عدم رعایت مصلحت، عقد نکاح محقّق نمیگردد</w:t>
      </w:r>
      <w:r>
        <w:rPr>
          <w:rFonts w:eastAsia="IRNazanin" w:cs="IRNazanin"/>
          <w:color w:val="111111"/>
          <w:sz w:val="28"/>
          <w:szCs w:val="28"/>
          <w:rtl w:val="true"/>
          <w:lang w:bidi="fa-IR"/>
        </w:rPr>
        <w:t>.</w:t>
      </w:r>
      <w:r>
        <w:rPr>
          <w:rStyle w:val="FootnoteAnchor"/>
          <w:rtl w:val="true"/>
        </w:rPr>
        <w:footnoteReference w:id="267"/>
      </w:r>
      <w:bookmarkStart w:id="119" w:name="pg13713_164360"/>
    </w:p>
    <w:p>
      <w:pPr>
        <w:pStyle w:val="BookText"/>
        <w:rPr/>
      </w:pPr>
      <w:bookmarkEnd w:id="119"/>
      <w:r>
        <w:rPr>
          <w:rFonts w:ascii="IRNazanin" w:hAnsi="IRNazanin" w:eastAsia="IRNazanin"/>
          <w:color w:val="111111"/>
          <w:sz w:val="28"/>
          <w:sz w:val="28"/>
          <w:szCs w:val="28"/>
          <w:rtl w:val="true"/>
          <w:lang w:bidi="fa-IR"/>
        </w:rPr>
        <w:t>برای اثبات این نظریّه، به دلیل اولویت استناد شده است، با این تقریر که رعایت مصلحت در تصرّفات ولی بر اموال صغار، مورد توافق فقها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بنابراین، در ولایت بر نکاح به دلیل اهمّیت بیش‌تر آن، باید به طریق اولی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افزود که عرف در این‌گونه موارد رعایت مصلحت را میفهمد، به علاوه بعضی از روایات نیز میتواند مؤیّد این نظریّه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امام صادق علیه السلام در تعارض ولایت پدر و جدّ پدری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فردی مشخص را برای ازدواج با صغیره، مورد نظر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فرموده‌اند که اعمال ولایت توسط جدّ، رضایت بخش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الْجَدُّ مَرْضِیّاً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ظاهر کلام این است که آن‌چه انجام شده در جهت مصلحت صغیره باشد</w:t>
      </w:r>
      <w:r>
        <w:rPr>
          <w:rFonts w:eastAsia="IRNazanin" w:cs="IRNazanin"/>
          <w:color w:val="111111"/>
          <w:sz w:val="28"/>
          <w:szCs w:val="28"/>
          <w:rtl w:val="true"/>
          <w:lang w:bidi="fa-IR"/>
        </w:rPr>
        <w:t>.</w:t>
      </w:r>
    </w:p>
    <w:p>
      <w:pPr>
        <w:pStyle w:val="Heading4"/>
        <w:numPr>
          <w:ilvl w:val="3"/>
          <w:numId w:val="1"/>
        </w:numPr>
        <w:rPr/>
      </w:pPr>
      <w:bookmarkStart w:id="120" w:name="__RefHeading___Toc1259400_1468164448"/>
      <w:bookmarkStart w:id="121" w:name="_Toc45"/>
      <w:bookmarkEnd w:id="120"/>
      <w:r>
        <w:rPr/>
        <w:t>8</w:t>
      </w:r>
      <w:r>
        <w:rPr>
          <w:rtl w:val="true"/>
        </w:rPr>
        <w:t xml:space="preserve">- </w:t>
      </w:r>
      <w:r>
        <w:rPr>
          <w:rtl w:val="true"/>
        </w:rPr>
        <w:t>رعایت مصلحت در نکاح صغار از دیدگاه قانون مدنی</w:t>
      </w:r>
      <w:bookmarkEnd w:id="121"/>
    </w:p>
    <w:p>
      <w:pPr>
        <w:pStyle w:val="BookText"/>
        <w:rPr/>
      </w:pPr>
      <w:r>
        <w:rPr>
          <w:rFonts w:ascii="IRNazanin" w:hAnsi="IRNazanin" w:eastAsia="IRNazanin"/>
          <w:color w:val="111111"/>
          <w:sz w:val="28"/>
          <w:sz w:val="28"/>
          <w:szCs w:val="28"/>
          <w:rtl w:val="true"/>
          <w:lang w:bidi="fa-IR"/>
        </w:rPr>
        <w:t>قانون مدنی به پیروی از فقه امامیّه، رعایت مصلحت مولّیعلیه را لازم دانسته و نفوذ نکاح ولی قهری را مشروط بر این میداند که رعایت مصلحت درآن شده باشد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این مطلب در اصلاحیه 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مجلس شورای اسلامی در اصلاحیه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این گونه مقرر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تبصره ذیل 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موادی از قانون مدنی مصوّب </w:t>
      </w:r>
      <w:r>
        <w:rPr>
          <w:rFonts w:eastAsia="IRNazanin" w:cs="IRNazanin"/>
          <w:color w:val="111111"/>
          <w:sz w:val="28"/>
          <w:szCs w:val="28"/>
          <w:lang w:bidi="fa-IR"/>
        </w:rPr>
        <w:t>1380/8/14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ذیل اصلاح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دختر قبل از رسیدن به پانزده سال تمام شمسی و پسر قبل از رسیدن به هیجده سال تمام شمسی، منوط به تحصیل اجازه از دادگاه میباشد</w:t>
      </w:r>
      <w:r>
        <w:rPr>
          <w:rFonts w:eastAsia="IRNazanin" w:cs="IRNazanin"/>
          <w:color w:val="111111"/>
          <w:sz w:val="28"/>
          <w:szCs w:val="28"/>
          <w:rtl w:val="true"/>
          <w:lang w:bidi="fa-IR"/>
        </w:rPr>
        <w:t>».</w:t>
      </w:r>
      <w:r>
        <w:rPr>
          <w:rStyle w:val="FootnoteAnchor"/>
          <w:rtl w:val="true"/>
        </w:rPr>
        <w:footnoteReference w:id="27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اصلاحیه به تأیید شورای نگهبان نرسید و این شورا در رابطه با آن، چنین نظر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اصلاح تبصره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موادی از قانون مدنی مصوب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 xml:space="preserve">مصوب‌جلسة‌هشتم آبان ماه یکهزار و سیصد و هفتاد و نه مجلس شورای اسلامی، درجلسة مورخه </w:t>
      </w:r>
      <w:r>
        <w:rPr>
          <w:rFonts w:eastAsia="IRNazanin" w:cs="IRNazanin"/>
          <w:color w:val="111111"/>
          <w:sz w:val="28"/>
          <w:szCs w:val="28"/>
          <w:lang w:bidi="fa-IR"/>
        </w:rPr>
        <w:t>1379/8/18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نگهبان مطرح شد که خلاف شرع شناخته شد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این طرح به مجلس بازگردانده شد، لیکن مجلس متن فوق را بدون تغییر برای بار دوّم تصویب نمود و به همین دلیل جهت‌داوری و اعلام نظر نهایی به مجمع تشخیص مصلحت نظام ارسال گردید و در نهایت، مجمع مصوبه مجلس را با تغییراتی به شرح زیر تصویب نمود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اصلاح موادی از قانون مدنی مصوب </w:t>
      </w:r>
      <w:r>
        <w:rPr>
          <w:rFonts w:eastAsia="IRNazanin" w:cs="IRNazanin"/>
          <w:color w:val="111111"/>
          <w:sz w:val="28"/>
          <w:szCs w:val="28"/>
          <w:lang w:bidi="fa-IR"/>
        </w:rPr>
        <w:t>1370/8/14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تبصره آن به شرح ذیل اصلاح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نکاح دختر قبل از رسیدن به سنّ سیزده سال تمام شمسی و پسر قبل از رسیدن به پانزده سال تمام شمسی منوط است به اذن ولی به شرط رعایت مصلحت با تشخیص دادگاه صالح</w:t>
      </w:r>
      <w:r>
        <w:rPr>
          <w:rFonts w:eastAsia="IRNazanin" w:cs="IRNazanin"/>
          <w:color w:val="111111"/>
          <w:sz w:val="28"/>
          <w:szCs w:val="28"/>
          <w:rtl w:val="true"/>
          <w:lang w:bidi="fa-IR"/>
        </w:rPr>
        <w:t>».</w:t>
      </w:r>
      <w:r>
        <w:rPr>
          <w:rStyle w:val="FootnoteAnchor"/>
          <w:rtl w:val="true"/>
        </w:rPr>
        <w:footnoteReference w:id="273"/>
      </w:r>
      <w:bookmarkStart w:id="122" w:name="pg13713_164362"/>
    </w:p>
    <w:p>
      <w:pPr>
        <w:pStyle w:val="Heading3"/>
        <w:numPr>
          <w:ilvl w:val="2"/>
          <w:numId w:val="1"/>
        </w:numPr>
        <w:rPr/>
      </w:pPr>
      <w:bookmarkStart w:id="123" w:name="__RefHeading___Toc1259402_1468164448"/>
      <w:bookmarkStart w:id="124" w:name="_Toc46"/>
      <w:bookmarkEnd w:id="122"/>
      <w:bookmarkEnd w:id="123"/>
      <w:r>
        <w:rPr>
          <w:rtl w:val="true"/>
        </w:rPr>
        <w:t>گفتار دوّم</w:t>
      </w:r>
      <w:r>
        <w:rPr>
          <w:rtl w:val="true"/>
        </w:rPr>
        <w:t xml:space="preserve">: </w:t>
      </w:r>
      <w:r>
        <w:rPr>
          <w:rtl w:val="true"/>
        </w:rPr>
        <w:t>احکام وآثار نکاح صغار</w:t>
      </w:r>
      <w:bookmarkEnd w:id="124"/>
    </w:p>
    <w:p>
      <w:pPr>
        <w:pStyle w:val="Heading4"/>
        <w:numPr>
          <w:ilvl w:val="3"/>
          <w:numId w:val="1"/>
        </w:numPr>
        <w:rPr/>
      </w:pPr>
      <w:bookmarkStart w:id="125" w:name="__RefHeading___Toc1259404_1468164448"/>
      <w:bookmarkStart w:id="126" w:name="_Toc47"/>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در صورتی که بین دو کودک صغیر، یا صغیر و کبیر، عقد نکاح ایجاد شود، احکام و آثاری بر آن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احکام بدین قرار است</w:t>
      </w:r>
      <w:r>
        <w:rPr>
          <w:rFonts w:eastAsia="IRNazanin" w:cs="IRNazanin"/>
          <w:color w:val="111111"/>
          <w:sz w:val="28"/>
          <w:szCs w:val="28"/>
          <w:rtl w:val="true"/>
          <w:lang w:bidi="fa-IR"/>
        </w:rPr>
        <w:t>:</w:t>
      </w:r>
    </w:p>
    <w:p>
      <w:pPr>
        <w:pStyle w:val="Heading4"/>
        <w:numPr>
          <w:ilvl w:val="3"/>
          <w:numId w:val="1"/>
        </w:numPr>
        <w:rPr/>
      </w:pPr>
      <w:bookmarkStart w:id="127" w:name="__RefHeading___Toc1259406_1468164448"/>
      <w:bookmarkStart w:id="128" w:name="_Toc48"/>
      <w:bookmarkEnd w:id="127"/>
      <w:r>
        <w:rPr>
          <w:rtl w:val="true"/>
        </w:rPr>
        <w:t>الف</w:t>
      </w:r>
      <w:r>
        <w:rPr>
          <w:rtl w:val="true"/>
        </w:rPr>
        <w:t xml:space="preserve">: </w:t>
      </w:r>
      <w:r>
        <w:rPr>
          <w:rtl w:val="true"/>
        </w:rPr>
        <w:t>تضمین مهریّه</w:t>
      </w:r>
      <w:bookmarkEnd w:id="128"/>
    </w:p>
    <w:p>
      <w:pPr>
        <w:pStyle w:val="BookText"/>
        <w:rPr/>
      </w:pPr>
      <w:r>
        <w:rPr>
          <w:rFonts w:ascii="IRNazanin" w:hAnsi="IRNazanin" w:eastAsia="IRNazanin"/>
          <w:color w:val="111111"/>
          <w:sz w:val="28"/>
          <w:sz w:val="28"/>
          <w:szCs w:val="28"/>
          <w:rtl w:val="true"/>
          <w:lang w:bidi="fa-IR"/>
        </w:rPr>
        <w:t>اگر پدر یا دیگر اولیایی که در تزویج صغار ولایت دارند، اقدام به نکاح برای صغیر نمودند، باید مهریه همسر او را از اموال صغیر، در صورتیکه دارای ملک باشد،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پدر ضامن پرداخت مهریّه میباشد؛ این حکم مورد توافق فقها است و کسی مخالفت نکرده است</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129" w:name="__RefHeading___Toc1259408_1468164448"/>
      <w:bookmarkStart w:id="130" w:name="_Toc49"/>
      <w:bookmarkEnd w:id="129"/>
      <w:r>
        <w:rPr>
          <w:rtl w:val="true"/>
        </w:rPr>
        <w:t>ب</w:t>
      </w:r>
      <w:r>
        <w:rPr>
          <w:rtl w:val="true"/>
        </w:rPr>
        <w:t xml:space="preserve">: </w:t>
      </w:r>
      <w:r>
        <w:rPr>
          <w:rtl w:val="true"/>
        </w:rPr>
        <w:t>حرمت ازدواج</w:t>
      </w:r>
      <w:bookmarkEnd w:id="13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انجام عقد نکاح، زوج و زوجه با افرادی محرم می‌گردند و ازدواج با آن‌ها حرام میشود؛ مثل مادر زوجه صغیره که بر زوج صغیر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زوجة هر یک از پدر و پسری که برای او نکاح انجام شده، بر دیگری حرام میشود</w:t>
      </w:r>
      <w:r>
        <w:rPr>
          <w:rFonts w:eastAsia="IRNazanin" w:cs="IRNazanin"/>
          <w:color w:val="111111"/>
          <w:sz w:val="28"/>
          <w:szCs w:val="28"/>
          <w:rtl w:val="true"/>
          <w:lang w:bidi="fa-IR"/>
        </w:rPr>
        <w:t>.</w:t>
      </w:r>
      <w:r>
        <w:rPr>
          <w:rStyle w:val="FootnoteAnchor"/>
          <w:rtl w:val="true"/>
        </w:rPr>
        <w:footnoteReference w:id="275"/>
      </w:r>
      <w:bookmarkStart w:id="131" w:name="pg13713_164363"/>
    </w:p>
    <w:p>
      <w:pPr>
        <w:pStyle w:val="Heading4"/>
        <w:numPr>
          <w:ilvl w:val="3"/>
          <w:numId w:val="1"/>
        </w:numPr>
        <w:rPr/>
      </w:pPr>
      <w:bookmarkStart w:id="132" w:name="__RefHeading___Toc1259410_1468164448"/>
      <w:bookmarkStart w:id="133" w:name="_Toc50"/>
      <w:bookmarkEnd w:id="131"/>
      <w:bookmarkEnd w:id="132"/>
      <w:r>
        <w:rPr>
          <w:rtl w:val="true"/>
        </w:rPr>
        <w:t>ج</w:t>
      </w:r>
      <w:r>
        <w:rPr>
          <w:rtl w:val="true"/>
        </w:rPr>
        <w:t xml:space="preserve">: </w:t>
      </w:r>
      <w:r>
        <w:rPr>
          <w:rtl w:val="true"/>
        </w:rPr>
        <w:t>عدم اختیار بر فسخ نکاح بعد از بلوغ</w:t>
      </w:r>
      <w:bookmarkEnd w:id="133"/>
    </w:p>
    <w:p>
      <w:pPr>
        <w:pStyle w:val="BookText"/>
        <w:rPr/>
      </w:pPr>
      <w:r>
        <w:rPr>
          <w:rFonts w:ascii="IRNazanin" w:hAnsi="IRNazanin" w:eastAsia="IRNazanin"/>
          <w:color w:val="111111"/>
          <w:sz w:val="28"/>
          <w:sz w:val="28"/>
          <w:szCs w:val="28"/>
          <w:rtl w:val="true"/>
          <w:lang w:bidi="fa-IR"/>
        </w:rPr>
        <w:t>این پرسش مطرح است که آیا دختر یا پسر صغیر پس از بلوغ و رشد میتوانند عقدی را که قبل از بلوغ بین آنها ایجاد شده برهم زنند یا خیر؟</w:t>
      </w:r>
    </w:p>
    <w:p>
      <w:pPr>
        <w:pStyle w:val="BookText"/>
        <w:rPr/>
      </w:pPr>
      <w:r>
        <w:rPr>
          <w:rFonts w:ascii="IRNazanin" w:hAnsi="IRNazanin" w:eastAsia="IRNazanin"/>
          <w:color w:val="111111"/>
          <w:sz w:val="28"/>
          <w:sz w:val="28"/>
          <w:szCs w:val="28"/>
          <w:rtl w:val="true"/>
          <w:lang w:bidi="fa-IR"/>
        </w:rPr>
        <w:t xml:space="preserve">فقهای امامیّه معتقدند که عقد انجام شده از طرف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بوده و بعد از بلوغ حق برهم زدن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توافق</w:t>
      </w:r>
      <w:r>
        <w:rPr>
          <w:rStyle w:val="FootnoteAnchor"/>
          <w:rtl w:val="true"/>
        </w:rPr>
        <w:footnoteReference w:id="276"/>
      </w:r>
      <w:r>
        <w:rPr>
          <w:rFonts w:ascii="IRNazanin" w:hAnsi="IRNazanin" w:eastAsia="IRNazanin"/>
          <w:color w:val="111111"/>
          <w:sz w:val="28"/>
          <w:sz w:val="28"/>
          <w:szCs w:val="28"/>
          <w:rtl w:val="true"/>
          <w:lang w:bidi="fa-IR"/>
        </w:rPr>
        <w:t>است و بعضی ادّعای اجماع</w:t>
      </w:r>
      <w:r>
        <w:rPr>
          <w:rStyle w:val="FootnoteAnchor"/>
          <w:rtl w:val="true"/>
        </w:rPr>
        <w:footnoteReference w:id="277"/>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دیدگاه علاوه بر اجماع، روایات صحیحه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که، ابن بزیع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پدری دختر صغیر خود را ازدواج مینماید، سپس از دنیا میرود و دختر در حالی که هنوز با او نزدیکی نشده، به حدّ بلوغ میرسد، آیا حق دارد نکاح انجام شده را فسخ نماید؟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انجام شده صحیح و بر دختر نافذ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عَلَیْها تَزْوِیجُ أَبیِها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امّا این‌که آیا پسر صغیر هم بعد از بلوغ می</w:t>
      </w:r>
    </w:p>
    <w:p>
      <w:pPr>
        <w:pStyle w:val="BookText"/>
        <w:rPr/>
      </w:pPr>
      <w:r>
        <w:rPr>
          <w:rFonts w:ascii="IRNazanin" w:hAnsi="IRNazanin" w:eastAsia="IRNazanin"/>
          <w:color w:val="111111"/>
          <w:sz w:val="28"/>
          <w:sz w:val="28"/>
          <w:szCs w:val="28"/>
          <w:rtl w:val="true"/>
          <w:lang w:bidi="fa-IR"/>
        </w:rPr>
        <w:t>تواند عقد را بر هم زند یا نه، میان فقیهان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مشهور</w:t>
      </w:r>
      <w:r>
        <w:rPr>
          <w:rStyle w:val="FootnoteAnchor"/>
          <w:rtl w:val="true"/>
        </w:rPr>
        <w:footnoteReference w:id="279"/>
      </w:r>
      <w:r>
        <w:rPr>
          <w:rFonts w:ascii="IRNazanin" w:hAnsi="IRNazanin" w:eastAsia="IRNazanin"/>
          <w:color w:val="111111"/>
          <w:sz w:val="28"/>
          <w:sz w:val="28"/>
          <w:szCs w:val="28"/>
          <w:rtl w:val="true"/>
          <w:lang w:bidi="fa-IR"/>
        </w:rPr>
        <w:t>این است که پسر صغیر همانند دختر صغیرة بعد از بلوغ حق ابطال نکاح را ندارد، زیرا فرض بر این است که نکاح با رعایت مصلحت و با ولایت صحیح شرعی انجام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نیز بر این دیدگاه دلالت دارد، مانند آن‌که امام صادق علیه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عقدی که پدر واقع ساخته بر دختر و پسر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عَلَیْها تَزْوِیجُ الأَبِ وَیَجُوزُ عَلَی الْغُلامِ</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مقابل دیدگاه مشهور، عدّه‌ای از فقها مانند شیخ طوسی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
      </w:r>
      <w:r>
        <w:rPr>
          <w:rFonts w:ascii="Amiri" w:hAnsi="Amiri" w:eastAsia="Amiri" w:cs="Amiri"/>
          <w:color w:val="111111"/>
          <w:sz w:val="28"/>
          <w:sz w:val="28"/>
          <w:szCs w:val="28"/>
          <w:rtl w:val="true"/>
          <w:lang w:bidi="ar-SA"/>
        </w:rPr>
        <w:t>و ابن برّاج</w:t>
      </w:r>
      <w:r>
        <w:rPr>
          <w:rStyle w:val="FootnoteAnchor"/>
          <w:rtl w:val="true"/>
        </w:rPr>
        <w:footnoteReference w:id="282"/>
      </w:r>
      <w:r>
        <w:rPr>
          <w:rFonts w:ascii="IRNazanin" w:hAnsi="IRNazanin" w:eastAsia="IRNazanin"/>
          <w:color w:val="111111"/>
          <w:sz w:val="28"/>
          <w:sz w:val="28"/>
          <w:szCs w:val="28"/>
          <w:rtl w:val="true"/>
          <w:lang w:bidi="fa-IR"/>
        </w:rPr>
        <w:t>، ابن حمزه،</w:t>
      </w:r>
      <w:r>
        <w:rPr>
          <w:rStyle w:val="FootnoteAnchor"/>
          <w:rtl w:val="true"/>
        </w:rPr>
        <w:footnoteReference w:id="283"/>
      </w:r>
      <w:bookmarkStart w:id="134" w:name="pg13713_164364"/>
    </w:p>
    <w:p>
      <w:pPr>
        <w:pStyle w:val="BookText"/>
        <w:rPr/>
      </w:pPr>
      <w:bookmarkEnd w:id="134"/>
      <w:r>
        <w:rPr>
          <w:rFonts w:ascii="IRNazanin" w:hAnsi="IRNazanin" w:eastAsia="IRNazanin"/>
          <w:color w:val="111111"/>
          <w:sz w:val="28"/>
          <w:sz w:val="28"/>
          <w:szCs w:val="28"/>
          <w:rtl w:val="true"/>
          <w:lang w:bidi="fa-IR"/>
        </w:rPr>
        <w:t>و برخی دیگر</w:t>
      </w:r>
      <w:r>
        <w:rPr>
          <w:rStyle w:val="FootnoteAnchor"/>
          <w:rtl w:val="true"/>
        </w:rPr>
        <w:footnoteReference w:id="284"/>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صغیر بعد از بلوغ، خیار فسخ نکاح دارد و میتواند عقد را امضا یا ابطال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نظریّه،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ضرر بر زوج، زیرا اثبات مهر و نفقه بر وی ضرر بر اوست، در حالی که بر زوجه چنین ضرری وارد نمیگردد، از این رو از باب دفع ضرر، اگر خواست میتواند عقد را ابطال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دیگر، برخی از روایات</w:t>
      </w:r>
      <w:r>
        <w:rPr>
          <w:rStyle w:val="FootnoteAnchor"/>
          <w:rtl w:val="true"/>
        </w:rPr>
        <w:footnoteReference w:id="28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از هر دو دلیل جواب داده شده</w:t>
      </w:r>
      <w:r>
        <w:rPr>
          <w:rStyle w:val="FootnoteAnchor"/>
          <w:rtl w:val="true"/>
        </w:rPr>
        <w:footnoteReference w:id="286"/>
      </w:r>
      <w:r>
        <w:rPr>
          <w:rFonts w:ascii="IRNazanin" w:hAnsi="IRNazanin" w:eastAsia="IRNazanin"/>
          <w:color w:val="111111"/>
          <w:sz w:val="28"/>
          <w:sz w:val="28"/>
          <w:szCs w:val="28"/>
          <w:rtl w:val="true"/>
          <w:lang w:bidi="fa-IR"/>
        </w:rPr>
        <w:t>که تفصیل آنها خارج از مجال این تحقیق است</w:t>
      </w:r>
      <w:r>
        <w:rPr>
          <w:rFonts w:eastAsia="IRNazanin" w:cs="IRNazanin"/>
          <w:color w:val="111111"/>
          <w:sz w:val="28"/>
          <w:szCs w:val="28"/>
          <w:rtl w:val="true"/>
          <w:lang w:bidi="fa-IR"/>
        </w:rPr>
        <w:t>.</w:t>
      </w:r>
    </w:p>
    <w:p>
      <w:pPr>
        <w:pStyle w:val="Heading4"/>
        <w:numPr>
          <w:ilvl w:val="3"/>
          <w:numId w:val="1"/>
        </w:numPr>
        <w:rPr/>
      </w:pPr>
      <w:bookmarkStart w:id="135" w:name="__RefHeading___Toc1259412_1468164448"/>
      <w:bookmarkStart w:id="136" w:name="_Toc51"/>
      <w:bookmarkEnd w:id="135"/>
      <w:r>
        <w:rPr>
          <w:rtl w:val="true"/>
        </w:rPr>
        <w:t>د</w:t>
      </w:r>
      <w:r>
        <w:rPr>
          <w:rtl w:val="true"/>
        </w:rPr>
        <w:t xml:space="preserve">: </w:t>
      </w:r>
      <w:r>
        <w:rPr>
          <w:rtl w:val="true"/>
        </w:rPr>
        <w:t>حرمت نزدیکی با زوجه صغیره</w:t>
      </w:r>
      <w:bookmarkEnd w:id="136"/>
    </w:p>
    <w:p>
      <w:pPr>
        <w:pStyle w:val="BookText"/>
        <w:rPr/>
      </w:pPr>
      <w:r>
        <w:rPr>
          <w:rFonts w:ascii="IRNazanin" w:hAnsi="IRNazanin" w:eastAsia="IRNazanin"/>
          <w:color w:val="111111"/>
          <w:sz w:val="28"/>
          <w:sz w:val="28"/>
          <w:szCs w:val="28"/>
          <w:rtl w:val="true"/>
          <w:lang w:bidi="fa-IR"/>
        </w:rPr>
        <w:t>بر زوج حرام است، قبل از آن‌که زوجه صغیرة به سنّ بلوغ برسد با او نزدیکی نماید، اعمّ از این‌که با نکاح دائم، زوجیّت منعقد شده باشد یا با عقد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توافق‌فقها</w:t>
      </w:r>
      <w:r>
        <w:rPr>
          <w:rStyle w:val="FootnoteAnchor"/>
          <w:rtl w:val="true"/>
        </w:rPr>
        <w:footnoteReference w:id="28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آن علاوه بر اجماع،</w:t>
      </w:r>
      <w:r>
        <w:rPr>
          <w:rStyle w:val="FootnoteAnchor"/>
          <w:rtl w:val="true"/>
        </w:rPr>
        <w:footnoteReference w:id="288"/>
      </w:r>
      <w:r>
        <w:rPr>
          <w:rFonts w:ascii="IRNazanin" w:hAnsi="IRNazanin" w:eastAsia="IRNazanin"/>
          <w:color w:val="111111"/>
          <w:sz w:val="28"/>
          <w:sz w:val="28"/>
          <w:szCs w:val="28"/>
          <w:rtl w:val="true"/>
          <w:lang w:bidi="fa-IR"/>
        </w:rPr>
        <w:t>روایاتی است در حدّ استفاضه، از جمله، حلبی با سند صحیح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دختر صغیره‌ای را به عقد خود درآورد تا زمانیکه به سنّ نه سالگی نرسیده، نباید با او نزدیکی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الْجارِیَةَ وَهِیَ صَغِیرَةٌ فَلا یَدْخُلُ بِها حَتّی یَأْتِیَ لَها تِسْعُ سِنِینَ</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137" w:name="__RefHeading___Toc1259414_1468164448"/>
      <w:bookmarkStart w:id="138" w:name="_Toc52"/>
      <w:bookmarkEnd w:id="137"/>
      <w:r>
        <w:rPr>
          <w:rtl w:val="true"/>
        </w:rPr>
        <w:t xml:space="preserve">ه </w:t>
      </w:r>
      <w:r>
        <w:rPr>
          <w:rtl w:val="true"/>
        </w:rPr>
        <w:t xml:space="preserve">-: </w:t>
      </w:r>
      <w:r>
        <w:rPr>
          <w:rtl w:val="true"/>
        </w:rPr>
        <w:t>مجازات نزدیکی با زوجه صغیره</w:t>
      </w:r>
      <w:bookmarkEnd w:id="13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زوج با زوجه صغیرة خود نزدیکی نماید، احکامی بر آن مترتّب میشود، ازجمله‌این که</w:t>
      </w:r>
      <w:r>
        <w:rPr>
          <w:rFonts w:eastAsia="IRNazanin" w:cs="IRNazanin"/>
          <w:color w:val="111111"/>
          <w:sz w:val="28"/>
          <w:szCs w:val="28"/>
          <w:rtl w:val="true"/>
          <w:lang w:bidi="fa-IR"/>
        </w:rPr>
        <w:t>:</w:t>
      </w:r>
      <w:bookmarkStart w:id="139" w:name="pg13713_164365"/>
    </w:p>
    <w:p>
      <w:pPr>
        <w:pStyle w:val="BookText"/>
        <w:rPr/>
      </w:pPr>
      <w:bookmarkEnd w:id="13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زوجه صغیره با این عمل، افضاء</w:t>
      </w:r>
      <w:r>
        <w:rPr>
          <w:rStyle w:val="FootnoteAnchor"/>
          <w:rtl w:val="true"/>
        </w:rPr>
        <w:footnoteReference w:id="290"/>
      </w:r>
      <w:r>
        <w:rPr>
          <w:rFonts w:ascii="IRNazanin" w:hAnsi="IRNazanin" w:eastAsia="IRNazanin"/>
          <w:color w:val="111111"/>
          <w:sz w:val="28"/>
          <w:sz w:val="28"/>
          <w:szCs w:val="28"/>
          <w:rtl w:val="true"/>
          <w:lang w:bidi="fa-IR"/>
        </w:rPr>
        <w:t>نشده باشد، عقد نکاح باقی است، ولی جایزنیست زوج در آینده با زوجه نزدیکی نماید، بلکه میتواند با وی زندگی نماید و یا اورا طلاق دهد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انجام عمل زناشویی زوجه افضاء شده باشد، بر زوج حرام مؤبّد میگردد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افضای زوجة صغیره، بر زوج واجب است دیه یک انسان کامل را به او بپردازد؛ یعنی باید نصف دیة مرد به زن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توافق فقیهان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آیت الله فاضل لنکرانی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بین زوجین در فرض مسأله، طلاق صورت پذیرد، وجوب پرداخت دیه از زوجه برداشته نمیشود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در صورت افضای زوجه صغیره با نزدیکی بر زوج واجب است تا زمانیکه زوجه زنده است، نفقه او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حلبی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زوجه صغیره با عمل زناشویی افضاء گردیده، تا زنده است زوج باید نفقه او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الإِجْراءُ عَلَیْها ما دامَتْ حَیَّةً</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140" w:name="__RefHeading___Toc1259416_1468164448"/>
      <w:bookmarkStart w:id="141" w:name="_Toc53"/>
      <w:bookmarkEnd w:id="140"/>
      <w:r>
        <w:rPr>
          <w:rtl w:val="true"/>
        </w:rPr>
        <w:t>و</w:t>
      </w:r>
      <w:r>
        <w:rPr>
          <w:rtl w:val="true"/>
        </w:rPr>
        <w:t xml:space="preserve">: </w:t>
      </w:r>
      <w:r>
        <w:rPr>
          <w:rtl w:val="true"/>
        </w:rPr>
        <w:t>وجوب پرداخت نفقه زوجه صغیره</w:t>
      </w:r>
      <w:bookmarkEnd w:id="14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برخی از فقها استفاده میشود، پرداخت نفقه زوجه هر چند صغیره باشد، بر زوج کبیر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فقیهان معتقدند که عقد نکاح خود مقتضی نفقه میباشد، خواه تمکین نمودن زوجه در مقابل زوج ممکن باشد، مانند آن‌که زوجه کبیره است یا ممکن نباشد، مثل آن‌که زوجه به سنّ بلوغ نرسیده باشد</w:t>
      </w:r>
      <w:r>
        <w:rPr>
          <w:rFonts w:eastAsia="IRNazanin" w:cs="IRNazanin"/>
          <w:color w:val="111111"/>
          <w:sz w:val="28"/>
          <w:szCs w:val="28"/>
          <w:rtl w:val="true"/>
          <w:lang w:bidi="fa-IR"/>
        </w:rPr>
        <w:t>.</w:t>
      </w:r>
      <w:r>
        <w:rPr>
          <w:rStyle w:val="FootnoteAnchor"/>
          <w:rtl w:val="true"/>
        </w:rPr>
        <w:footnoteReference w:id="296"/>
      </w:r>
      <w:bookmarkStart w:id="142" w:name="pg13713_164366"/>
    </w:p>
    <w:p>
      <w:pPr>
        <w:pStyle w:val="BookText"/>
        <w:rPr/>
      </w:pPr>
      <w:bookmarkEnd w:id="142"/>
      <w:r>
        <w:rPr>
          <w:rFonts w:ascii="IRNazanin" w:hAnsi="IRNazanin" w:eastAsia="IRNazanin"/>
          <w:color w:val="111111"/>
          <w:sz w:val="28"/>
          <w:sz w:val="28"/>
          <w:szCs w:val="28"/>
          <w:rtl w:val="true"/>
          <w:lang w:bidi="fa-IR"/>
        </w:rPr>
        <w:t>مستند این دیدگاه اطلاق بعضی از آیات قرآن</w:t>
      </w:r>
      <w:r>
        <w:rPr>
          <w:rStyle w:val="FootnoteAnchor"/>
          <w:rtl w:val="true"/>
        </w:rPr>
        <w:footnoteReference w:id="297"/>
      </w:r>
      <w:r>
        <w:rPr>
          <w:rFonts w:ascii="IRNazanin" w:hAnsi="IRNazanin" w:eastAsia="IRNazanin"/>
          <w:color w:val="111111"/>
          <w:sz w:val="28"/>
          <w:sz w:val="28"/>
          <w:szCs w:val="28"/>
          <w:rtl w:val="true"/>
          <w:lang w:bidi="fa-IR"/>
        </w:rPr>
        <w:t>و روایات</w:t>
      </w:r>
      <w:r>
        <w:rPr>
          <w:rStyle w:val="FootnoteAnchor"/>
          <w:rtl w:val="true"/>
        </w:rPr>
        <w:footnoteReference w:id="298"/>
      </w:r>
      <w:r>
        <w:rPr>
          <w:rFonts w:ascii="IRNazanin" w:hAnsi="IRNazanin" w:eastAsia="IRNazanin"/>
          <w:color w:val="111111"/>
          <w:sz w:val="28"/>
          <w:sz w:val="28"/>
          <w:szCs w:val="28"/>
          <w:rtl w:val="true"/>
          <w:lang w:bidi="fa-IR"/>
        </w:rPr>
        <w:t>است، مانند این که در روایت موثّق،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حق زن بر مرد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زن این است که مرد باید خوراک و پوشاک او را تأمین نماید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اطلاق این روایت، صورت عدم امکان تمکین زوجه در مقابل زوج را شامل میشود، البته آن دسته از فقها که معتقدند شرط پرداخت نفقه، تمکین زوجه در مقابل زوج میباشد، آیات و روایات مورد اشاره را منصرف از فرض بحث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نسبت به زوجه صغیره دارای اطلاق نیست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هم‌چنین در فرضی که زوج صغیر است و زوجه کبیره، بسیاری از فقها</w:t>
      </w:r>
      <w:r>
        <w:rPr>
          <w:rStyle w:val="FootnoteAnchor"/>
          <w:rtl w:val="true"/>
        </w:rPr>
        <w:footnoteReference w:id="301"/>
      </w:r>
      <w:r>
        <w:rPr>
          <w:rFonts w:ascii="IRNazanin" w:hAnsi="IRNazanin" w:eastAsia="IRNazanin"/>
          <w:color w:val="111111"/>
          <w:sz w:val="28"/>
          <w:sz w:val="28"/>
          <w:szCs w:val="28"/>
          <w:rtl w:val="true"/>
          <w:lang w:bidi="fa-IR"/>
        </w:rPr>
        <w:t>معتقدند که پرداخت نفقه بر زوج هر چند صغیر باشد،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این‌که صغیر دارای تکلیف نیست، ولی او باید از اموالش بپردازد</w:t>
      </w:r>
      <w:r>
        <w:rPr>
          <w:rFonts w:eastAsia="IRNazanin" w:cs="IRNazanin"/>
          <w:color w:val="111111"/>
          <w:sz w:val="28"/>
          <w:szCs w:val="28"/>
          <w:rtl w:val="true"/>
          <w:lang w:bidi="fa-IR"/>
        </w:rPr>
        <w:t>.</w:t>
      </w:r>
    </w:p>
    <w:p>
      <w:pPr>
        <w:pStyle w:val="Heading4"/>
        <w:numPr>
          <w:ilvl w:val="3"/>
          <w:numId w:val="1"/>
        </w:numPr>
        <w:rPr/>
      </w:pPr>
      <w:bookmarkStart w:id="143" w:name="__RefHeading___Toc1259418_1468164448"/>
      <w:bookmarkStart w:id="144" w:name="_Toc54"/>
      <w:bookmarkEnd w:id="143"/>
      <w:r>
        <w:rPr>
          <w:rtl w:val="true"/>
        </w:rPr>
        <w:t>ز</w:t>
      </w:r>
      <w:r>
        <w:rPr>
          <w:rtl w:val="true"/>
        </w:rPr>
        <w:t xml:space="preserve">: </w:t>
      </w:r>
      <w:r>
        <w:rPr>
          <w:rtl w:val="true"/>
        </w:rPr>
        <w:t>عدم رعایت مصلحت در نکاح صغار</w:t>
      </w:r>
      <w:bookmarkEnd w:id="14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اقدام ولی نسبت به نکاح صغار باید در جهت غبطه و رعایت صلاح و سود آنان باشد، یا این‌که مستلزم مفسده و ضرر بر آنان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اختلاف رأیی که در این مورد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یعنی اگر ازدواج به مصلحت صغیر نباشد یا مضّر به حال او باشد، مانند این‌که با وجود دو خواستگار، ولی از نکاح دختر صغیره‌اش با فردصالح خودداری نماید و او را به عقد دیگری درآورد یا به کم‌تر از مهر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مهریه‌ای که برای دختران هم شأن او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نماید یا برای همسر پسر صغیر خود مهریّه‌ای بیش‌تر از مهر المثل در نظر بگیرد این پرسش مطرح است که آیا عقد نکاح باطل است یا متوقّف بر اجازه صغیر و صغیرة بعد از بلوغ میباشد؟ در این باره بین فقها اختلاف نظر وجود دارد</w:t>
      </w:r>
      <w:r>
        <w:rPr>
          <w:rFonts w:eastAsia="IRNazanin" w:cs="IRNazanin"/>
          <w:color w:val="111111"/>
          <w:sz w:val="28"/>
          <w:szCs w:val="28"/>
          <w:rtl w:val="true"/>
          <w:lang w:bidi="fa-IR"/>
        </w:rPr>
        <w:t>:</w:t>
      </w:r>
      <w:bookmarkStart w:id="145" w:name="pg13713_164367"/>
    </w:p>
    <w:p>
      <w:pPr>
        <w:pStyle w:val="BookText"/>
        <w:rPr/>
      </w:pPr>
      <w:bookmarkEnd w:id="145"/>
      <w:r>
        <w:rPr>
          <w:rFonts w:ascii="IRNazanin" w:hAnsi="IRNazanin" w:eastAsia="IRNazanin"/>
          <w:color w:val="111111"/>
          <w:sz w:val="28"/>
          <w:sz w:val="28"/>
          <w:szCs w:val="28"/>
          <w:rtl w:val="true"/>
          <w:lang w:bidi="fa-IR"/>
        </w:rPr>
        <w:t>دیدگاه مشهور فقها این است که در این‌گونه موارد، عقد به صورت فضولی واقع میشود و موقوف بر آن است که صغیر پس از بلوغ اجازه دهد یا ردّ نماید که در صورت اجازه، صحیح و در صورت ردّ، باطل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البته اگر ولی، دختر صغیرة خود را به مهریّه‌ای که کم‌تر از مهر المثل است، تزویج نماید، برخی از فقیهان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و مهریّه تعیین شده، باطل و متوقّف بر اجازه دختر صغیرة بعد از بلوغ میباشد، اگر آن را اجازه داد، صحیح، و الاّ باید زوج، مهر المثل را بپردازد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در مقابل این دیدگاه، بعضی از فقها معتقدند که عقد به کلّی باطل است و اجازه دختر صغیرة پس از بلوغ هم موجب صحّت آن نمیشود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146" w:name="__RefHeading___Toc1259420_1468164448"/>
      <w:bookmarkStart w:id="147" w:name="_Toc55"/>
      <w:bookmarkEnd w:id="146"/>
      <w:r>
        <w:rPr>
          <w:rtl w:val="true"/>
        </w:rPr>
        <w:t>ح</w:t>
      </w:r>
      <w:r>
        <w:rPr>
          <w:rtl w:val="true"/>
        </w:rPr>
        <w:t xml:space="preserve">: </w:t>
      </w:r>
      <w:r>
        <w:rPr>
          <w:rtl w:val="true"/>
        </w:rPr>
        <w:t>توارث بین صغیرین</w:t>
      </w:r>
      <w:bookmarkEnd w:id="14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عقد نکاح بین دو صغیر با رعایت مصلحت انجام پذیرد، صحیح و نافذاست و اگر یکی از دو صغیر قبل از بلوغ فوت نماید، دیگری از او ارث میبرد</w:t>
      </w:r>
      <w:r>
        <w:rPr>
          <w:rFonts w:eastAsia="IRNazanin" w:cs="IRNazanin"/>
          <w:color w:val="111111"/>
          <w:sz w:val="28"/>
          <w:szCs w:val="28"/>
          <w:rtl w:val="true"/>
          <w:lang w:bidi="fa-IR"/>
        </w:rPr>
        <w:t>.</w:t>
      </w:r>
      <w:r>
        <w:rPr>
          <w:rStyle w:val="FootnoteAnchor"/>
          <w:rtl w:val="true"/>
        </w:rPr>
        <w:footnoteReference w:id="305"/>
      </w:r>
      <w:bookmarkStart w:id="148" w:name="pg13713_164368"/>
    </w:p>
    <w:p>
      <w:pPr>
        <w:pStyle w:val="Heading3"/>
        <w:numPr>
          <w:ilvl w:val="2"/>
          <w:numId w:val="1"/>
        </w:numPr>
        <w:rPr/>
      </w:pPr>
      <w:bookmarkStart w:id="149" w:name="__RefHeading___Toc1259422_1468164448"/>
      <w:bookmarkStart w:id="150" w:name="_Toc56"/>
      <w:bookmarkEnd w:id="148"/>
      <w:bookmarkEnd w:id="149"/>
      <w:r>
        <w:rPr>
          <w:rtl w:val="true"/>
        </w:rPr>
        <w:t>گفتار سوم</w:t>
      </w:r>
      <w:r>
        <w:rPr>
          <w:rtl w:val="true"/>
        </w:rPr>
        <w:t xml:space="preserve">: </w:t>
      </w:r>
      <w:r>
        <w:rPr>
          <w:rtl w:val="true"/>
        </w:rPr>
        <w:t>تحقیق در مسأله ولایت بر ازدواج</w:t>
      </w:r>
      <w:bookmarkEnd w:id="150"/>
    </w:p>
    <w:p>
      <w:pPr>
        <w:pStyle w:val="Heading4"/>
        <w:numPr>
          <w:ilvl w:val="3"/>
          <w:numId w:val="1"/>
        </w:numPr>
        <w:rPr/>
      </w:pPr>
      <w:bookmarkStart w:id="151" w:name="__RefHeading___Toc1259424_1468164448"/>
      <w:bookmarkStart w:id="152" w:name="_Toc57"/>
      <w:bookmarkEnd w:id="151"/>
      <w:r>
        <w:rPr/>
        <w:t>1</w:t>
      </w:r>
      <w:r>
        <w:rPr>
          <w:rtl w:val="true"/>
        </w:rPr>
        <w:t xml:space="preserve">- </w:t>
      </w:r>
      <w:r>
        <w:rPr>
          <w:rtl w:val="true"/>
        </w:rPr>
        <w:t>ایراد بر ولایت بر ازدواج صغار</w:t>
      </w:r>
      <w:bookmarkEnd w:id="152"/>
    </w:p>
    <w:p>
      <w:pPr>
        <w:pStyle w:val="BookText"/>
        <w:rPr/>
      </w:pPr>
      <w:r>
        <w:rPr>
          <w:rFonts w:ascii="IRNazanin" w:hAnsi="IRNazanin" w:eastAsia="IRNazanin"/>
          <w:color w:val="111111"/>
          <w:sz w:val="28"/>
          <w:sz w:val="28"/>
          <w:szCs w:val="28"/>
          <w:rtl w:val="true"/>
          <w:lang w:bidi="fa-IR"/>
        </w:rPr>
        <w:t>در مسأله ولایت بر ازدواج صغار، این ایراد مطرح است که انتخاب همسر از طبیعیترین حقوق هر انسان است و از لوازم احترام به شخصیّت اوست و با ولایت نمیتوان خصوصیترین چهرة زندگی را بر او تحمیل کرد، از این رو اعمال ولایت و انتخاب همسر توسط پدر و جدّ پدری برای کودک، او را از طبیعیترین حق مشروع خود محروم میسازد و به شخصیت طفل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صدمه‌های ناشی از چنین اقدامی، جبران‌ناپذیر است، زیرا کودک تا رسیدن به سن بلوغ، باید همسر ناخواسته را با تمام ضررهای مادّی و معنوی آن پذیرا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نیز بر فرض که بتواند تجاوز ولی قهری را از حدود نمایندگی اثبات کند و نکاح فضولی را بر هم بزند، هیچ چیز نمیتواند گذشته دردناک را به او بازگرداند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مسأله اختیار در انتخاب همسر چنان دارای اهمّیت است، که در 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 مدنی، سیاسی مصوّب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مجمع عمومی سازمان ملل متحد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نکاح و تشکیل خانواده برای زنان و مردان از زمانی که به سنّ ازدواج میرسند، به رسمیّت شناخته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نکاحی بدون رضایت آزادانه و کامل طرفین آن، منعقد نمیشود</w:t>
      </w:r>
      <w:r>
        <w:rPr>
          <w:rFonts w:eastAsia="IRNazanin" w:cs="IRNazanin"/>
          <w:color w:val="111111"/>
          <w:sz w:val="28"/>
          <w:szCs w:val="28"/>
          <w:rtl w:val="true"/>
          <w:lang w:bidi="fa-IR"/>
        </w:rPr>
        <w:t>.</w:t>
      </w:r>
      <w:bookmarkStart w:id="153" w:name="pg13713_164369"/>
    </w:p>
    <w:p>
      <w:pPr>
        <w:pStyle w:val="BookText"/>
        <w:rPr/>
      </w:pPr>
      <w:bookmarkEnd w:id="153"/>
      <w:r>
        <w:rPr>
          <w:rFonts w:ascii="IRNazanin" w:hAnsi="IRNazanin" w:eastAsia="IRNazanin"/>
          <w:color w:val="111111"/>
          <w:sz w:val="28"/>
          <w:sz w:val="28"/>
          <w:szCs w:val="28"/>
          <w:rtl w:val="true"/>
          <w:lang w:bidi="fa-IR"/>
        </w:rPr>
        <w:t>خلاصه این که؛ ولایت بر نکاح صغار که نتیجة آن، انتخاب همسر برای کودک بدون دخالت و رضایت وی میباشد، تعدّی به حق و آزادی کودک است و قابل پذیرش و عمل نمیباشد</w:t>
      </w:r>
      <w:r>
        <w:rPr>
          <w:rFonts w:eastAsia="IRNazanin" w:cs="IRNazanin"/>
          <w:color w:val="111111"/>
          <w:sz w:val="28"/>
          <w:szCs w:val="28"/>
          <w:rtl w:val="true"/>
          <w:lang w:bidi="fa-IR"/>
        </w:rPr>
        <w:t>.</w:t>
      </w:r>
    </w:p>
    <w:p>
      <w:pPr>
        <w:pStyle w:val="Heading4"/>
        <w:numPr>
          <w:ilvl w:val="3"/>
          <w:numId w:val="1"/>
        </w:numPr>
        <w:rPr/>
      </w:pPr>
      <w:bookmarkStart w:id="154" w:name="__RefHeading___Toc1259426_1468164448"/>
      <w:bookmarkStart w:id="155" w:name="_Toc58"/>
      <w:bookmarkEnd w:id="154"/>
      <w:r>
        <w:rPr/>
        <w:t>2</w:t>
      </w:r>
      <w:r>
        <w:rPr>
          <w:rtl w:val="true"/>
        </w:rPr>
        <w:t xml:space="preserve">- </w:t>
      </w:r>
      <w:r>
        <w:rPr>
          <w:rtl w:val="true"/>
        </w:rPr>
        <w:t>مترقّی بودن حکم ولایت بر نکاح صغار</w:t>
      </w:r>
      <w:bookmarkEnd w:id="155"/>
    </w:p>
    <w:p>
      <w:pPr>
        <w:pStyle w:val="BookText"/>
        <w:rPr/>
      </w:pPr>
      <w:r>
        <w:rPr>
          <w:rFonts w:ascii="IRNazanin" w:hAnsi="IRNazanin" w:eastAsia="IRNazanin"/>
          <w:color w:val="111111"/>
          <w:sz w:val="28"/>
          <w:sz w:val="28"/>
          <w:szCs w:val="28"/>
          <w:rtl w:val="true"/>
          <w:lang w:bidi="fa-IR"/>
        </w:rPr>
        <w:t>مسأله ولایت بر نکاح صغار مانند دیگر احکام اسلام، حکمی مترقّی و نشان‌گر جامعیّت و فراگیر بودن احکام اسلام در تمام حالات و صور زندگی بشر است، و در تشریع آن، حقوق دختر و پسر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لازم است چند مطلب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دوران‌های گذشته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گذشته‌ای نه چندان دور موقعیت اجتماعی، فرهنگی و حقوقی زن نسبت به شرایط کنونی، بسیار متفاوت بوده است، زنان به رغم احکام و تعالیم مترقّی ادیان الهی، از بسیاری از حقوق طبیعی و انسانی خود محروم مانده بودند؛ محرومیت آنان تنها در زمینه استقلال مالی، مشارکت در امور اجتماعی، دانش اندوزی و امثال آن خلاصه نمیشد، بلکه در ازدواج و همسرگزینی که از حقوق اوّلیه بشر میباشد، از حقوق مسلّم خود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جاهلیت، پدران خود را صاحب اختیار دختران، خواهران و گاهی مادران خود میدانستند و در انتخاب شوهر اراده و اختیاری برای آنها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 حق مطلق پدر یا برادر بود و در نبود آنها عمو و دایی دارای حق مطلق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به خود اجازه میدادند دخترانی که هنوز از مادر متولد نشده‌اند به عقد مرد دیگری درآورند که هر وقت متولّد و بزرگ شد، آن مرد حق داشته باشد که آن دختر را برای خود ببرد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نکاح شغار یکی دیگر از مظاهر اختیارداری مطلق پدران نسبت به دختران بود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در تمام کشورها و ممالک دنیای آن روز، کم و بیش چنین وضعیتی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این‌که در دوره ساسانیان نسبت به ممالک دیگر رشد یافته‌تر بودند، در انتخاب شوهر هیچ‌گونه حقّی برای دختر قائل نبودند در مورد پسر نیز هنگامی که به سنّ بلوغ و رشد میرسید چه بسا پدر، یکی از زنان متعدد خود را به عقد زناشویی وی در میآورد و برای این‌که ازدواج کاملاً قانونی باشد، لازم بود که پدر، برادر، عمو یا قیّم دختر، قباله عقد را امضا کند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در هند نیز زنان مجبور بودند به شوهری که پدر یا برادر برای آنان انتخاب میکرد، رضایت دهند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با بررسی تاریخ و شرایط خاص اجتماعی صدر اسلام، به ویژه در زمینه تزویج، میتوان این نتیجه را گرفت که تشریع قانون ولایت بر تزویج صغار، برای پدر و جدّ پدری در موقعیّت و شرایط خاص آن دوره، نه تنها حقّی را از فرزندان ضایع نکرده، بلکه خدمت بزرگی نیز به آنان نموده است، زیرا در شرایطی که برخی از خویشاوندان به خصوص خویشاوندان پدری، به خود حق میدادند سرنوشت دختر یا پسری را به میل خود تعیین نموده و برای او همسر انتخاب نمایند، اسلام این سنّت غلط را نسخ نمود و انتخاب همسر را پس از بلوغ، حق دختر و پسر و پیش از بلوغ در صورت نیاز فقط در اختیار پدر و جدّ پدری قرار داده که هم نسبت به فرزند خود دلسوزتر هستند و هم به مصالح او آشناتر میباشند، در عین حال نفوذ تصرّفات آنان را مشروط به عدم مفسده یا مصلحت فرزند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دقّت در روایات معلوم میگردد که پاره‌ای از آن‌ها در زمینه نفی ولایت خویشان غیر از پدر و جدّ پدری وارد شده‌اند و این مسأله، خود نشان‌گر شیوع و متداول بودن اعمال ولایت از ناحیه آنان بوده است به طوری که این روایات در صدد از بین بردن این ذهنیّت یا در پاسخ به پرسش اصحاب وارد شده‌اند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بودن مفهوم مصلحت و عدم ضرر</w:t>
      </w:r>
    </w:p>
    <w:p>
      <w:pPr>
        <w:pStyle w:val="BookText"/>
        <w:rPr/>
      </w:pPr>
      <w:r>
        <w:rPr>
          <w:rFonts w:ascii="IRNazanin" w:hAnsi="IRNazanin" w:eastAsia="IRNazanin"/>
          <w:color w:val="111111"/>
          <w:sz w:val="28"/>
          <w:sz w:val="28"/>
          <w:szCs w:val="28"/>
          <w:rtl w:val="true"/>
          <w:lang w:bidi="fa-IR"/>
        </w:rPr>
        <w:t>در مباحث گذشته بیان شد که اعمال ولایت و اقدام بر نکاح صغار توسط ولی شرعی مشروط به حفظ منافع و مصالح طفل یا احراز عدم مفسده و ضرر بر اوست و بر ولی جایز نیست کاری را بر خلاف مصلحت طفل در تصرفات مالی و غیر مالی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واژه‌های مصلحت، منفعت، صلاح و صرفه و عدم ضرر، مفاهیم عامی هستند که نمیتوان مصادیق آنها را منحصر در مواردی خاص دانست، بلکه از معیارهای نسبی برخوردارند و در هر زمینه و هرگونه تصرّفی، معیار خاص خود و معنای مخصوص به خود را مییابند، مثلاً در زمینه تصرّفات مالی، رعایت مصلحت به این است که ولی طفل مانع اتلاف مال او شود و آن را در جهت سودآوری به جریان اندازد و از جهت مادّی ضرری متوجه طفل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ازدواج، ازدواجی به صلاح و صرفه است که هدف و مقصود نهایی از آن را برای انسان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علاوه بر این‌که ضامن بقای نسل انسان میباشد، تأمین کننده آرامش و سلامت و امنیت جامعه و مانع انحراف‌ها و کج‌رویهای فردی و اجتماعی و تضمین کننده بهداشت جسمی و روانی انسان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شریفه قرآن و احادیث نیز یکی از مهم‌ترین اهداف ازدواج، ایجاد انس و الفت و سکینه</w:t>
      </w:r>
      <w:r>
        <w:rPr>
          <w:rStyle w:val="FootnoteAnchor"/>
          <w:rtl w:val="true"/>
        </w:rPr>
        <w:footnoteReference w:id="312"/>
      </w:r>
      <w:r>
        <w:rPr>
          <w:rFonts w:ascii="IRNazanin" w:hAnsi="IRNazanin" w:eastAsia="IRNazanin"/>
          <w:color w:val="111111"/>
          <w:sz w:val="28"/>
          <w:sz w:val="28"/>
          <w:szCs w:val="28"/>
          <w:rtl w:val="true"/>
          <w:lang w:bidi="fa-IR"/>
        </w:rPr>
        <w:t>و آرامش روحی بیان شده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با توجه به این واقعیّت، میتوان نتیجه گرفت که مصلحت در ازدواج این است که انسان را به اهداف فوق برساند، از این رو در تزویج ولایی، ولی نمیتواند تمام توجه خود را به امور مادّی معطوف دارد و فقط بالا بودن مهریّه یا توانایی زوج را در نظر بگیرد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آرامش و تعادل روحی و روانی در ازدواج، زمانی حاصل میشود که زن و شوهر نسبت به یکدیگر تمایل داشته و مودّت و دوستی بین آنان حکم‌فرما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زوجین به هر علّت نسبت به یکدیگر بیرغبت بوده و اکراه داشته باشند، صفا و آرامش در زندگی آنان وجود نخواهد داشت، بلکه چه بسا کانون</w:t>
      </w:r>
    </w:p>
    <w:p>
      <w:pPr>
        <w:pStyle w:val="BookText"/>
        <w:rPr/>
      </w:pPr>
      <w:r>
        <w:rPr>
          <w:rFonts w:ascii="IRNazanin" w:hAnsi="IRNazanin" w:eastAsia="IRNazanin"/>
          <w:color w:val="111111"/>
          <w:sz w:val="28"/>
          <w:sz w:val="28"/>
          <w:szCs w:val="28"/>
          <w:rtl w:val="true"/>
          <w:lang w:bidi="fa-IR"/>
        </w:rPr>
        <w:t>خانواده به عرصه جنگ و نزاع تبدیل شده و به جای این‌که موجب آرامش و تسکین خاطر یکدیگر باشند، هر یک موجب آزردگی خاطر دیگری را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مطالبی که گذشت، نتیجه میگیریم که مصلحت دارای مفهوم نسبی و معیار عرفی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تصرّفی، معیاری خاص وجود دارد، معیار مصلحت در تصرّفات مادّی، نفع و زیان مادّی و معیار مصلحت در تزویج، فراهم آمدن ازدواج سالم و موفقی است که توافق و همگونی زوجین تا حدّ امکان در آن لحاظ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هر تصرّفی وابسته به شرایط مختلف زمانی، مکانی و اوضاع و احوال اجتماعی و فرهنگی هر جامعه میباشد؛ ممکن است در شرایط زمانی و مکانی خاص، تصرّفی به صلاح و صرفه باشد، در حالی که در زمان و شرایطی متفاوت، مصلحتی در انجام آن نبوده، بلکه مصلحت در ترک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تزویج کودکان در سنین کودکی نیز یکی از مصادیق همین مسأله است، زیرا در گذشته که غالباً پدر و بزرگ‌ترهای خانواده عهده‌دار انتخاب همسر برای فرزندان بوده‌اند، تزویج ولایی کودکان با رعایت شرایط لازم، خلاف مصلحت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که جوانان در انتخاب همسر، استقلال یافته و نظر آنان در برگزیدن شریک زندگی نقش تعیین کننده‌ای دارد، اعمال این ولایت معمولاً خالی از مصلحت است، بلکه دارای مفسده میباشد، به‌ویژه آن‌که در شرایط کنونی معیار انتخاب همسر نسبت به گذشته بسیار گوناگون شده و عواملی از قبیل سطح تحصیلات، اعتقادات، بینش وتفکّر فردی و اجتماعی، نوع شغل و برخی عوامل دیگر، معیارهای عمده‌ای در گزینش همسر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تشخیص مصلحت، بلکه عدم ضرر، عرف و عقلا و نوع خردمندان جامعه میباشند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 وضعیت کنونی بسیار محتمل است که اگر ولی، دختر و پسری را به عقد یکدیگر درآورد، آنها پس از بلوغ نسبت به ازدواج انجام شده، ناراضی و ناخشنود</w:t>
      </w:r>
    </w:p>
    <w:p>
      <w:pPr>
        <w:pStyle w:val="BookText"/>
        <w:rPr/>
      </w:pPr>
      <w:r>
        <w:rPr>
          <w:rFonts w:ascii="IRNazanin" w:hAnsi="IRNazanin" w:eastAsia="IRNazanin"/>
          <w:color w:val="111111"/>
          <w:sz w:val="28"/>
          <w:sz w:val="28"/>
          <w:szCs w:val="28"/>
          <w:rtl w:val="true"/>
          <w:lang w:bidi="fa-IR"/>
        </w:rPr>
        <w:t>باشند و از آن جا که طبق دیدگاه مشهور فقها، خیار فسخ نیز ندارند، انجام چنین ازدواجی گاهی آن‌ها را دستخوش مسائل و مشکلات سختی میسازد که رهایی از آنها خالی از اشکال نیست و چه بسا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اعمال ولایت قهری در ازدواج صغار، در عرف این زمان در غالب موارد و چه بسا در اکثریت قریب به اتّفاق، خالی از مصلحت است، بلکه دارای مفسده میباشد و مجوزّی برای انجام آن نیست مگر در موارد نادر و استثنایی که مصلحت و عدم ضرر احراز شود، در این‌گونه موارد نیز چون مرجع تشخیص مصلحت، نظر نوع مردم میباشد برای جلوگیری از سوء استفاده، لازم است احراز مصلحت توسط قاضی و سیستم قضایی تأیید شود و سپس اولیا بر این امر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با عنایت به آن‌چه ذکر شد، بعد از انقلاب در ماده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اصلاحاتی اعمال شد که پیش‌تر اشاره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مصلحت حقیقی صغار با ازدواج ولایی</w:t>
      </w:r>
    </w:p>
    <w:p>
      <w:pPr>
        <w:pStyle w:val="BookText"/>
        <w:rPr/>
      </w:pPr>
      <w:r>
        <w:rPr>
          <w:rFonts w:ascii="IRNazanin" w:hAnsi="IRNazanin" w:eastAsia="IRNazanin"/>
          <w:color w:val="111111"/>
          <w:sz w:val="28"/>
          <w:sz w:val="28"/>
          <w:szCs w:val="28"/>
          <w:rtl w:val="true"/>
          <w:lang w:bidi="fa-IR"/>
        </w:rPr>
        <w:t>هر چند در شرایط کنونی معیار انتخاب همسر نسبت به گذشته دگرگون شده و جوانان در انتخاب همسر برای خود، نقش تعیین کننده دارند، از سوی دیگر میتوان ادّعا کرد بسیاری از همین جوانان، دارای بلوغ فکری در امر ازدواج نیستند و نمیتوانند مصحلت خود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والا و مقدّس ازدواج را آرامش و آسایش زن و شوهر و گام نهادن به سوی کمال انسانی را به درستی مورد توجّه قرار نمیدهند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ادّعا، کثرت طلاق در جامعه کنونی نسبت به گذشته است که متأسفانه هر سال به آمار آن اضافه میشود و بسیاری از ازدواج‌ها در همان ماه‌های اوّل به اختلاف و جدایی منجر میشود؛ مگر نه این است که دختر و پسر برای زندگی مشترک در تمام عمر پا به عرصه انتخاب و ازدواج میگذارند و روزها و ماه‌های اولیّه به یکدیگر علاقه‌مند میباشند، ولی این علاقه مدّت زمان طولانی دوام ندارد و در ماه‌ها و یا سال‌های اول زندگی به سردی میگراید و در بسیاری از موارد با داشتن فرزند و یا فرزندانی، کانون خانواده متلاشی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و نابسامانیهایی که با جدایی پدر و مادر بر فرزندان وارد میشود و در جامعه کم نیستند و نیز اختلافاتی که میان بستگان طرفین بروز میکند و مشکلاتی که برای زنان در این رابطه به وجود میآید، با معیار و آمارهای مادّی قابل سنجش نیست تا بیان شود در هر طلاق چقدر به افراد و جامعه خسارت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مشکلات برای این است که دختر و پسر در انتخاب همسر خود به بلوغ فکری لازم نرسیده‌اند، بلکه باید آن‌ها را کمک کرد تا با معیارهای صحیح، انتخاب همسر نمایند و در موارد استثنایی اگر ولی صغیر با رعایت آن‌چه ذکر شد، تشخیص دهد که ازدواج زود هنگام به مصلحت کودک است، با این شرط که نوع عقلا این تشخیص را سرزنش نکنند، این ازدواج میتواند خیر و برکت را به دنبال داشته باشد، و بر فرض که بعد از بلوغ و در برهه‌ای از زندگی خود به یکدیگر علاقه نداشته باشند، حفظ مصالح آن‌ها ایجاب میکند با یکدیگر بسازند و به این زندگی خوش‌بین و 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سفارش به پرهیز از اختلاف و جدایی در زندگی مرد و زن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به طور شایسته رفتار کنید و اگر از زنان خود به هر جهت کراهت داشتید، تصمیم به جدایی و طلاق نگیرید، چه بسا از چیزی کراهت دارید و خداوند در آن نیکی فراوان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 فَإِنْ کَرِهْتُمُوهُنَّ فَعَسی أَنْ تَکْرَهُوا شَیْئاً وَ یَجْعَلَ اللّهُ فِیهِ خَیْراً کَثِیراً</w:t>
      </w:r>
      <w:r>
        <w:rPr>
          <w:rFonts w:eastAsia="IRNazanin" w:cs="IRNazanin"/>
          <w:color w:val="111111"/>
          <w:sz w:val="28"/>
          <w:szCs w:val="28"/>
          <w:rtl w:val="true"/>
          <w:lang w:bidi="fa-IR"/>
        </w:rPr>
        <w:t>)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یعنی اگر به هر دلیل زنان در نظر شما ناخوشایند باشند فوراً تصمیم به جدایی یا بدرفتاری نگیرید و تا آن‌جا که در توان دارید، مدارا کنید، زیرا ممکن است شما در تشخیص خود گرفتار اشتباه شده باشید و آن‌چه را نمیپسندید، خداوند در آن خیر و برکت و سود فراوان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بودن علّت تشریع احکام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آن‌چه ذکر شد، باید گفت بنا نیست ما انسان‌ها به تمام علّت تشریع احکام، آگاهی داشته باشیم و اگر نتوانستیم با عقل قاصر خود بفهمیم، آن را توجیه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این است که ولایت پدر و جدّ پدری بر ازدواج صغار، با دلیل قطعی فقهی ثابت شده و فقهای اسلام اعمّ از شیعه و سنّی در ادوار مختلف طبق آن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تشریع این حکم بیگمان فلسفه و حکمت‌هایی وجود دارد و رعایت آن، مصالح صغار و پدر و مادر و در نتیجه جامعه را در پی خواهد داشت، هرچند ما به آن آگاهی نداشته باشیم، بلکه در نگاه نخست چندان جالب و مترقّی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شبهه و تردید در احکام الهی به‌ویژه در این‌گونه موارد، بیش‌تر متأثر از افکار انحرافی و بیبندوباری غربی است که قائل به آزادی بیقید و شرط جوانان در مسائل جنسی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این است که نسبت به این گونه افکار، ولایت ولی بر تزویج برخلاف آزادی است، لیکن با نگرش به احکام نورانی قرآن که به زنان دستور میدهد در سخن گفتن نیز جانب احتیاط را رعایت کنند و به گونه‌ای حرف نزنید که بیماردلان هوس‌و مکر شهوانی در سر بپرورانند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Fonts w:eastAsia="IRNazanin" w:cs="IRNazanin"/>
          <w:color w:val="111111"/>
          <w:sz w:val="28"/>
          <w:szCs w:val="28"/>
          <w:rtl w:val="true"/>
          <w:lang w:bidi="fa-IR"/>
        </w:rPr>
        <w:t xml:space="preserve">) . </w:t>
      </w:r>
      <w:r>
        <w:rPr>
          <w:rStyle w:val="FootnoteAnchor"/>
          <w:rtl w:val="true"/>
        </w:rPr>
        <w:footnoteReference w:id="315"/>
      </w:r>
      <w:r>
        <w:rPr>
          <w:rFonts w:ascii="IRNazanin" w:hAnsi="IRNazanin" w:eastAsia="IRNazanin"/>
          <w:color w:val="111111"/>
          <w:sz w:val="28"/>
          <w:sz w:val="28"/>
          <w:szCs w:val="28"/>
          <w:rtl w:val="true"/>
          <w:lang w:bidi="fa-IR"/>
        </w:rPr>
        <w:t>و به مردان و زنان امر مینماید، چشمان خود را از نگاه به نامحرم و هوس‌آلود فرو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یَغْضُضْنَ مِنْ أَبْصارِهِنَّ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این‌حکم برخلاف آزادی نیست، بلکه حکایت از لطف پروردگار دارد که مقرّر داشته، پدر و جدّ پدری باتوجه به تجربیّات خود و واقعیت‌های موجود و علاقه‌ای که به سرنوشت فرزندان دارند، آن‌ها را در انتخاب همسر و مسائل جنسی که شعله‌های آن از روزهای نخست نوجوانی در وجود آنها شعله‌ور است، یاری و کمک کنند و اگر نیاز شد قبل از بلوغ در این‌باره تصمیم بگیرند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بعید نیست حتّی در دوران کنونی با همه تحوّلاتی که در امر ازدواج به وجود آمده، در مواردی اعمال این حکم به نفع و مصلحت بعضی از کودکان باشد و میتواند از هرج و مرج و گسستگی که در مسائل جنسی در جامعه به وجود آمده، جلوگیری به عمل آورد و در همان سال‌های اوّل عمر، نوجوان خود را وابسته به فردی ببیند و دیگر در پی این و آن نرود و از برنامه‌های ضد اخلاقی گریزان باشد</w:t>
      </w:r>
      <w:r>
        <w:rPr>
          <w:rFonts w:eastAsia="IRNazanin" w:cs="IRNazanin"/>
          <w:color w:val="111111"/>
          <w:sz w:val="28"/>
          <w:szCs w:val="28"/>
          <w:rtl w:val="true"/>
          <w:lang w:bidi="fa-IR"/>
        </w:rPr>
        <w:t>.</w:t>
      </w:r>
      <w:bookmarkStart w:id="156" w:name="pg13713_164376"/>
    </w:p>
    <w:p>
      <w:pPr>
        <w:pStyle w:val="BookText"/>
        <w:rPr/>
      </w:pPr>
      <w:bookmarkEnd w:id="156"/>
      <w:r>
        <w:rPr>
          <w:rFonts w:ascii="IRNazanin" w:hAnsi="IRNazanin" w:eastAsia="IRNazanin"/>
          <w:color w:val="111111"/>
          <w:sz w:val="28"/>
          <w:sz w:val="28"/>
          <w:szCs w:val="28"/>
          <w:rtl w:val="true"/>
          <w:lang w:bidi="fa-IR"/>
        </w:rPr>
        <w:t>البتّه این نظریه نیاز به بررسی و کارشناسی بیش‌تر دارد و لازم است در این‌باره بیش‌تر تحقیق شود تا ضمن گسترش فرهنگ قرآنی در جامعه راه‌کار عملی آن نیز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حکم و اجرای آن</w:t>
      </w:r>
    </w:p>
    <w:p>
      <w:pPr>
        <w:pStyle w:val="BookText"/>
        <w:rPr/>
      </w:pPr>
      <w:r>
        <w:rPr>
          <w:rFonts w:ascii="IRNazanin" w:hAnsi="IRNazanin" w:eastAsia="IRNazanin"/>
          <w:color w:val="111111"/>
          <w:sz w:val="28"/>
          <w:sz w:val="28"/>
          <w:szCs w:val="28"/>
          <w:rtl w:val="true"/>
          <w:lang w:bidi="fa-IR"/>
        </w:rPr>
        <w:t>آخرین جوابی که برای این ایراد به ذهن میرسد، این است‌که لازمه تشریع حکم، اجرای آن در سطح وسیع نیست، بلکه چه بسا حکم یا احکامی در اسلام تشریع شده و اجرای آن مربوط به زمان ضرورت و نیاز است، مانند جواز اکل میته، جواز تصرّف در اموال دیگران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بر تزویج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این‌چنین میباشد و فقط در صورت ضرورت، ولی مجاز به اعمال این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گفته شد، معلوم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ولایی ازدواج صغار ناظر به دوران‌های گذشته و زمان صدر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ازدواج صغار باید رعایت مصلحت شود و چون مصلحت امر نسبی و عرفی است، رعایت آن در ازدواج صغار در این زمان کم‌تر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موردی ولی با رعایت مصلحت، به ازدواج صغار اقدام نمود، لازم است کودک به این ازدواج راضی باشد، چرا که خیر او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تردید ولایت بر ازدواج صغار دارای علت‌ها و حکمت‌هایی است و عمل‌به‌آن حتّی در زمان کنونی میتواند از اشاعه فساد جنسی، در بین جوانان جلوگیری به‌عمل‌آورد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ولایت بر ازدواج صغار، در موارد ضروری اعمال میگردد</w:t>
      </w:r>
      <w:r>
        <w:rPr>
          <w:rFonts w:eastAsia="IRNazanin" w:cs="IRNazanin"/>
          <w:color w:val="111111"/>
          <w:sz w:val="28"/>
          <w:szCs w:val="28"/>
          <w:rtl w:val="true"/>
          <w:lang w:bidi="fa-IR"/>
        </w:rPr>
        <w:t>.</w:t>
      </w:r>
    </w:p>
    <w:p>
      <w:pPr>
        <w:pStyle w:val="Heading4"/>
        <w:numPr>
          <w:ilvl w:val="3"/>
          <w:numId w:val="1"/>
        </w:numPr>
        <w:rPr/>
      </w:pPr>
      <w:bookmarkStart w:id="157" w:name="__RefHeading___Toc1259428_1468164448"/>
      <w:bookmarkStart w:id="158" w:name="_Toc59"/>
      <w:bookmarkEnd w:id="157"/>
      <w:r>
        <w:rPr/>
        <w:t>3</w:t>
      </w:r>
      <w:r>
        <w:rPr>
          <w:rtl w:val="true"/>
        </w:rPr>
        <w:t xml:space="preserve">- </w:t>
      </w:r>
      <w:r>
        <w:rPr>
          <w:rtl w:val="true"/>
        </w:rPr>
        <w:t>اسلام و مسأله ازدواج جوانان</w:t>
      </w:r>
      <w:bookmarkEnd w:id="15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سخن در تحقیق پیرامون حکم ولایت بر ازدواج صغار به میان آمد، مناسب است به نظر اسلام در مورد ازدواج جوانان نیز اشاره شود، هر چند تحقیق کامل در این خصوص مجال بیشتری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تربیت جنسی یکی از دشوارترین مسائل تربیتی است و درباره آن نظرهای گوناگون اظهار شده که برخی از آن‌ها چنان سردرگم و نادرست است که نه تنها سودی نمیرساند، بلکه موجب انحراف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اظهار نظرهایی معمولاً زندگی جنسی انسان هم ردیف زندگی جنسی سایر حیوانات معرفی شده است و اطفای غریزه جنسی و نتیجه طبیعی آن یعنی زاد و ولد، هدف اصلی است، بلکه گاه زاد و ولد را نیز مزاحم تلقّی کرده‌اند و فقط در حدّ پاسخ گویی به یک هیجان درونی از هر طریق ممکن بسنده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دیدگاه اسلام، زندگی جنسی انسان با سایر حیوانات تمایز دارد و در همین تمایز است که هدف تربیت جنسی جلوه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آزادی کامل غریزه جنسی و بیبند و باری و ارضای آن از هر طریق ممکن و خارج از ضوابطی که معیّن کرده، مخالف است و آن را خطا و گناه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غریزه جنسی و ارضای آن را امری منفور، زشت و برخلاف فضایل انسانی نمیشمارد و اعراض از آن را کمال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نظام اخلاقی و تربیتی اسلام، افراط و تفریط در امر غریزه جنسی خلاف مقتضای طبیعت انسان است و راه سوّم یعنی رعایت اعتدال را توصیه نموده و برای هدایت صحیح غریزه جنسی و مهار آن، ضابطه و مقرّراتی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یک طرف، ازدواج و تشکیل خانواده را امری پسندیده بلکه عبادت دانسته و به آن توصیه و تأکید کرده و ترک ازدواج را امری ناپسند شمرده است و از طرف دیگر، بیبند و باری و هرگونه ارضای غریزه جنسی را از غیر طریق ازدواج، گناه و انحراف از مسیر طبیعی میداند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با توجه به اهمیت موضوع، ضرورت دارد پدران و مادران و دیگر مربیان نسبت به امور جنسی فرزندان و تربیت آنها در این خصوص عنایت ویژه داشته و حساسیت نشان دهند، و آنان را به مسائل مربوط به آن آگاهی دهند، تا کودکان و نوجوانان امروز، در آینده بتوانند وظیفه همسری خویش را به درستی ایفا کرده، کانون خانواده آنان به چراغ عشق و تعهد روشن شود و در کنار هم به آرامش توأم با رحمت و مودّت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انحرافات جنسی در کودکان و نوجوانان، ناآگاهی و بیخبری آنان از ماهیت و چگونگی عملکرد غریزه جنسی و عواقب انحراف و آلودگی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نوجوانان به لحاظ نداشتن آگاهی و تجربه لازم، به صورت طبیعی در معرض برخی از خطاها و لغزش‌ها هستند، از این رو بر پدر و مادر و مربیان است که به مرور زمان آنان را با مسائل مربوط به مراحل مختلف سنی خود آشنا سازند، زیرا بیخبری و کم اطلاعی نوجوانان موجب میشود که در تحریکات به عمل آمده براساس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بنابراین لازم است جوانان و نوجوانان را به رعایت آن‌چه در دوره بلوغ، لازم است آشنا کرد، و به تدریج ظرفیت آن‌ها را برای تشکیل خانواده‌ای سالم و متعادل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منظور علاوه بر آن‌چه ذکر شد، موارد زیر نیز دارای اهمیت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اولیا و مربیان در زمینه روش‌های کنترل و مراقبت بهداشتی نوجوانان دردوران 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و احکام دوران بلوغ به دختران و پسران نوجوان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نسل جوان در زمینه آسیب‌های روانی، اجتماعی و تربیتی ناشی از روابط نامشروع دختر و پسر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تفکیک برنامه‌های جمعی و تحصیل دختران و پسران در دوران بلوغ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حدود شرعی معاشرت با جنس مخالف و تبیین فلسفه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عوامل محرّک محیطی، فیزیکی و روانی در جهت بهداشت جسمی و جنسی‌نوجوانان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ارتباطات، تماس‌ها و رؤیت‌های تحریک کننده در بین دختران و پسران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برنامه غذایی مناسب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برای فعالیت‌های بدنی و فکری به منظور تعدیل غریزه جنسی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الگوسازی وضعیت مطلوب رفتار و روابط دختر و پسر در محیطهای آموزشی، فرهنگی و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روحیه غیرت‌مندی جوانان نسب به حراست از نوامیس و عفت و شرف‌خانوادگی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خانواده‌ها در تسهیل امر ازدواج نسل جوان و عدم سخت‌گیری و تشریفات‌بیمورد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آری، ازدواج جوانان و تسهیل آن، مهمترین عامل برای جلوگیری از انحرافات جنسی و کمک به عفت عمومی و ایجاد زمینه سعادت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پیامبر اکرم صلی الله علیه و آله کمک به ازدواج جوانان را از حقوق آن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الْوَلَدِ عَلی والِدِهِ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وَیُزَوِّجُهُ إِذا بَلَغَ</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شاید فرزندان به خاطر کم تجربگی، تنگ‌دستی، آرزوهای طولانی و اندیشه‌های رؤیایی در امر ازدواج، دچار انحراف یا تردید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پدران است که آن‌ها را در انتخاب صحیح و مناسب همسر، یاری رسانند و مقدمات این امر مقدس را برای آنان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روایت شده است که جبرئیل بر پیامبر اعظم صلی الله علیه و آله فرود آمد و سلام خدا را ابلاغ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دوشیزگان همانند میوه بر درختان هستند، آن‌گاه که میرسند اگر چیده نشوند تابش آفتاب آن را تباه میکند و یا وزش باد آنها را دگرگون میسازد</w:t>
      </w:r>
      <w:r>
        <w:rPr>
          <w:rFonts w:eastAsia="IRNazanin" w:cs="IRNazanin"/>
          <w:color w:val="111111"/>
          <w:sz w:val="28"/>
          <w:szCs w:val="28"/>
          <w:rtl w:val="true"/>
          <w:lang w:bidi="fa-IR"/>
        </w:rPr>
        <w:t>.</w:t>
      </w:r>
      <w:r>
        <w:rPr>
          <w:rStyle w:val="FootnoteAnchor"/>
          <w:rtl w:val="true"/>
        </w:rPr>
        <w:footnoteReference w:id="3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حضرت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فرزندش به سن ازدواج برسد و او امکان داشته باشد، ولی اسباب ازدواج وی را فراهم نکند و کار خلافی از فرزند سربزند، گناهش به گردن پدر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 وَلَدَهُ النِّکاحَ وَعِنْدَهُ مایُنْکِحُهُ فَلَمْ یُنْکِحْهُ ثُمَّ احْدَثَ حَدَثاً فَالإِثْمُ عَلَیْهِ</w:t>
      </w:r>
      <w:r>
        <w:rPr>
          <w:rFonts w:eastAsia="IRNazanin" w:cs="IRNazanin"/>
          <w:color w:val="111111"/>
          <w:sz w:val="28"/>
          <w:szCs w:val="28"/>
          <w:rtl w:val="true"/>
          <w:lang w:bidi="fa-IR"/>
        </w:rPr>
        <w:t>».</w:t>
      </w:r>
      <w:r>
        <w:rPr>
          <w:rStyle w:val="FootnoteAnchor"/>
          <w:rtl w:val="true"/>
        </w:rPr>
        <w:footnoteReference w:id="320"/>
      </w:r>
      <w:bookmarkStart w:id="159" w:name="pg13713_164381"/>
    </w:p>
    <w:p>
      <w:pPr>
        <w:pStyle w:val="Heading2"/>
        <w:numPr>
          <w:ilvl w:val="1"/>
          <w:numId w:val="1"/>
        </w:numPr>
        <w:rPr/>
      </w:pPr>
      <w:bookmarkStart w:id="160" w:name="__RefHeading___Toc1259430_1468164448"/>
      <w:bookmarkStart w:id="161" w:name="_Toc60"/>
      <w:bookmarkEnd w:id="159"/>
      <w:bookmarkEnd w:id="160"/>
      <w:r>
        <w:rPr>
          <w:rtl w:val="true"/>
        </w:rPr>
        <w:t>فصل یازدهم</w:t>
      </w:r>
      <w:r>
        <w:rPr>
          <w:rtl w:val="true"/>
        </w:rPr>
        <w:t xml:space="preserve">: </w:t>
      </w:r>
      <w:r>
        <w:rPr>
          <w:rtl w:val="true"/>
        </w:rPr>
        <w:t>اعتقادات کودک</w:t>
      </w:r>
      <w:bookmarkEnd w:id="16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1259432_1468164448"/>
      <w:bookmarkStart w:id="163" w:name="_Toc61"/>
      <w:bookmarkEnd w:id="162"/>
      <w:r>
        <w:rPr>
          <w:rtl w:val="true"/>
        </w:rPr>
        <w:t>اشاره</w:t>
      </w:r>
      <w:bookmarkStart w:id="164" w:name="pg13713_164383"/>
      <w:bookmarkEnd w:id="163"/>
    </w:p>
    <w:p>
      <w:pPr>
        <w:pStyle w:val="Heading3"/>
        <w:numPr>
          <w:ilvl w:val="2"/>
          <w:numId w:val="1"/>
        </w:numPr>
        <w:rPr/>
      </w:pPr>
      <w:bookmarkStart w:id="165" w:name="__RefHeading___Toc1259434_1468164448"/>
      <w:bookmarkStart w:id="166" w:name="_Toc62"/>
      <w:bookmarkEnd w:id="164"/>
      <w:bookmarkEnd w:id="165"/>
      <w:r>
        <w:rPr>
          <w:rtl w:val="true"/>
        </w:rPr>
        <w:t>گفتار اوّل</w:t>
      </w:r>
      <w:r>
        <w:rPr>
          <w:rtl w:val="true"/>
        </w:rPr>
        <w:t xml:space="preserve">: </w:t>
      </w:r>
      <w:r>
        <w:rPr>
          <w:rtl w:val="true"/>
        </w:rPr>
        <w:t>پاکی و طهارت روحی کودک</w:t>
      </w:r>
      <w:bookmarkEnd w:id="166"/>
    </w:p>
    <w:p>
      <w:pPr>
        <w:pStyle w:val="Heading4"/>
        <w:numPr>
          <w:ilvl w:val="3"/>
          <w:numId w:val="1"/>
        </w:numPr>
        <w:rPr/>
      </w:pPr>
      <w:bookmarkStart w:id="167" w:name="__RefHeading___Toc1259436_1468164448"/>
      <w:bookmarkStart w:id="168" w:name="_Toc63"/>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برای بیان پاکی و طهارت روحی کودک مناسب است مطالبی در مورد مفهوم، جایگاه و ویژگیهای آن طی چند بند ارائه شود</w:t>
      </w:r>
      <w:r>
        <w:rPr>
          <w:rFonts w:eastAsia="IRNazanin" w:cs="IRNazanin"/>
          <w:color w:val="111111"/>
          <w:sz w:val="28"/>
          <w:szCs w:val="28"/>
          <w:rtl w:val="true"/>
          <w:lang w:bidi="fa-IR"/>
        </w:rPr>
        <w:t>.</w:t>
      </w:r>
    </w:p>
    <w:p>
      <w:pPr>
        <w:pStyle w:val="Heading4"/>
        <w:numPr>
          <w:ilvl w:val="3"/>
          <w:numId w:val="1"/>
        </w:numPr>
        <w:rPr/>
      </w:pPr>
      <w:bookmarkStart w:id="169" w:name="__RefHeading___Toc1259438_1468164448"/>
      <w:bookmarkStart w:id="170" w:name="_Toc64"/>
      <w:bookmarkEnd w:id="169"/>
      <w:r>
        <w:rPr/>
        <w:t>1</w:t>
      </w:r>
      <w:r>
        <w:rPr>
          <w:rtl w:val="true"/>
        </w:rPr>
        <w:t xml:space="preserve">- </w:t>
      </w:r>
      <w:r>
        <w:rPr>
          <w:rtl w:val="true"/>
        </w:rPr>
        <w:t xml:space="preserve">طهارت روحی کودک </w:t>
      </w:r>
      <w:r>
        <w:rPr>
          <w:rtl w:val="true"/>
        </w:rPr>
        <w:t>(</w:t>
      </w:r>
      <w:r>
        <w:rPr>
          <w:rtl w:val="true"/>
        </w:rPr>
        <w:t>فطرت توحیدی</w:t>
      </w:r>
      <w:r>
        <w:rPr>
          <w:rtl w:val="true"/>
        </w:rPr>
        <w:t>)</w:t>
      </w:r>
      <w:bookmarkEnd w:id="170"/>
    </w:p>
    <w:p>
      <w:pPr>
        <w:pStyle w:val="BookText"/>
        <w:rPr/>
      </w:pPr>
      <w:r>
        <w:rPr>
          <w:rFonts w:ascii="IRNazanin" w:hAnsi="IRNazanin" w:eastAsia="IRNazanin"/>
          <w:color w:val="111111"/>
          <w:sz w:val="28"/>
          <w:sz w:val="28"/>
          <w:szCs w:val="28"/>
          <w:rtl w:val="true"/>
          <w:lang w:bidi="fa-IR"/>
        </w:rPr>
        <w:t xml:space="preserve">خداوند متعال، کودک را با طهارت روحی که در آیات و روایات، فطرت توحیدی نامیده شده و امروزه از آن با نام وجدان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یادمیشود، آفریده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وجدان، نیروی درک کننده نفس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وجدانیات هم واقعیّت‌ها و حقایقی است که وجدان آنها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مقصود از وجدان توحیدی که خداوند متعال در نهادش به ودیعه گذارده، این است که به فطرت طبیعی و باطنی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در حدّ درک و فهم اشیاء رسیده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میکند که قدرت نامحدود و نیروی ثابت ولا یتغیّری گرداننده جهان هستی است</w:t>
      </w:r>
      <w:r>
        <w:rPr>
          <w:rFonts w:eastAsia="IRNazanin" w:cs="IRNazanin"/>
          <w:color w:val="111111"/>
          <w:sz w:val="28"/>
          <w:szCs w:val="28"/>
          <w:rtl w:val="true"/>
          <w:lang w:bidi="fa-IR"/>
        </w:rPr>
        <w:t>.</w:t>
      </w:r>
      <w:bookmarkStart w:id="171" w:name="pg13713_164384"/>
    </w:p>
    <w:p>
      <w:pPr>
        <w:pStyle w:val="BookText"/>
        <w:rPr/>
      </w:pPr>
      <w:bookmarkEnd w:id="171"/>
      <w:r>
        <w:rPr>
          <w:rFonts w:ascii="IRNazanin" w:hAnsi="IRNazanin" w:eastAsia="IRNazanin"/>
          <w:color w:val="111111"/>
          <w:sz w:val="28"/>
          <w:sz w:val="28"/>
          <w:szCs w:val="28"/>
          <w:rtl w:val="true"/>
          <w:lang w:bidi="fa-IR"/>
        </w:rPr>
        <w:t>وجود آیین‌ها و مذهب‌های مختلف و عقاید گوناگون در تمام ادوار تاریخ بین ملل و اقوام، دلالت دارد که خمیر مایة اصلی دین و خداشناسی در سرشت کودک و همه بشر وجود دارد و همه در پی گمگشته خویش میگردند</w:t>
      </w:r>
      <w:r>
        <w:rPr>
          <w:rFonts w:eastAsia="IRNazanin" w:cs="IRNazanin"/>
          <w:color w:val="111111"/>
          <w:sz w:val="28"/>
          <w:szCs w:val="28"/>
          <w:rtl w:val="true"/>
          <w:lang w:bidi="fa-IR"/>
        </w:rPr>
        <w:t>.</w:t>
      </w:r>
    </w:p>
    <w:p>
      <w:pPr>
        <w:pStyle w:val="Heading4"/>
        <w:numPr>
          <w:ilvl w:val="3"/>
          <w:numId w:val="1"/>
        </w:numPr>
        <w:rPr/>
      </w:pPr>
      <w:bookmarkStart w:id="172" w:name="__RefHeading___Toc1259440_1468164448"/>
      <w:bookmarkStart w:id="173" w:name="_Toc65"/>
      <w:bookmarkEnd w:id="172"/>
      <w:r>
        <w:rPr/>
        <w:t>2</w:t>
      </w:r>
      <w:r>
        <w:rPr>
          <w:rtl w:val="true"/>
        </w:rPr>
        <w:t xml:space="preserve">- </w:t>
      </w:r>
      <w:r>
        <w:rPr>
          <w:rtl w:val="true"/>
        </w:rPr>
        <w:t>فطرت توحیدی در قرآن و احادیث</w:t>
      </w:r>
      <w:bookmarkEnd w:id="173"/>
    </w:p>
    <w:p>
      <w:pPr>
        <w:pStyle w:val="BookText"/>
        <w:rPr/>
      </w:pP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حنیف رویآور، به آیین فطرت متوجّه شو، به آن فطرت پاکی که خداوند تمام بشر را به آن فطرت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قانون ثابت خلقت، این است آیین استوار و تزلزل‌ناپذیر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حَنِیفاً فِطْرَتَ اللّهِ الَّتِی فَطَرَ النّاسَ عَلَیْها لا تَبْدِیلَ لِخَلْقِ اللّهِ ذلِکَ الدِّینُ الْقَیِّمُ</w:t>
      </w:r>
      <w:r>
        <w:rPr>
          <w:rFonts w:eastAsia="IRNazanin" w:cs="IRNazanin"/>
          <w:color w:val="111111"/>
          <w:sz w:val="28"/>
          <w:szCs w:val="28"/>
          <w:rtl w:val="true"/>
          <w:lang w:bidi="fa-IR"/>
        </w:rPr>
        <w:t>)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 گفته برخی از مفسّران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به عبودیت پروردگار در ذات بشر به ودیعت سپرده شده و همه درجات آن، ظهور فطرت و کشف اسرار آن است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این آیه بیان‌گر چند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خداشناسی، بلکه دین و آیین به‌طور کلّی و در تمام ابعاد، امری فطری است و باید چنین باشد؛ زیرا مطالعات توحیدی بیان‌گر این حقیقت است که بین دستگاه تکوین و تشریع، هماهنگی لازم وجود دارد و آن‌چه در شرع وارد شده است، بی گمان ریشه‌ای در فطرت دارد و آن‌چه در تکوین و نهاد آدمی است، مکمّلی برای قوانین شرع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صورت خالص و عاری از هرگونه آلودگی، در درون جان آدمی وجود دارد و انحرافات امری عارضی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تَبْدِیلَ لِخَلْقِ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مسأله فطری بودن دین و مذهب است و عدم امکان تغییر این فطرت الهی است، هرچند بسیاری از مردم بر اثر عدم رشد کافی، قادر به درک این واقعیّت نباشند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به هر حال از نخستین روزی که انسان قدم به عالم هستی گذارد، این نور الهی در وجود او شعله‌ور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که در تفسیر این آیه مبارکه وارد شده نیز این مدعی را اثبات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میتوان به روایات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از امام صادق علیه السلام نقل میکند که در تفسیر این آیه شریفه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بشر را با فطرت خدا پرستی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فَطَرَهُمْ عَلَی التُّوحِیدِ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همین مضمون را هشام از آن حضرت نقل نموده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 دین حنیف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است، فطرتی که خداوند در نهاد تمام افراد بشر آفریده است و تغییر و تبدیل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الْحَنِیفِیَّةُ مِنَ الْفِطْرَةِ الَّتِی فَطَرَ اللهُ النّاسَ عَلَیْها، لا تَبْدِیلَ لِخَلْقِ اللهِ</w:t>
      </w:r>
      <w:r>
        <w:rPr>
          <w:rFonts w:eastAsia="IRNazanin" w:cs="IRNazanin"/>
          <w:color w:val="111111"/>
          <w:sz w:val="28"/>
          <w:szCs w:val="28"/>
          <w:rtl w:val="true"/>
          <w:lang w:bidi="fa-IR"/>
        </w:rPr>
        <w:t>».</w:t>
      </w:r>
      <w:r>
        <w:rPr>
          <w:rStyle w:val="FootnoteAnchor"/>
        </w:rPr>
        <w:footnoteReference w:id="326"/>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جوامع روایی با تعبیرهای مختلف از پیامبر اکرم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نوزادی با فطرت خداشناسی و معرفت الهی متولّد میشود، آنگاه پدر و مادر او را به آیین یهودیت و نصرانیت بار میآورند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مَوْلُودٍ یُولَدُ عَلَی الْفِطْرَةِ حَتّی یَکُونُ أَبَواهُ یُهَوِّدانِهِ وَیُنَصِّرانِهِ</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و در بیان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الْفِطْرَةِ، یَعْنِی عَلَی الْمَعْرِفَةِ بِأَنَّ اللهَ عَزَّوَجَلَّ خالَقَهُ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مفاد این حدیث شریف این است که اساس پذیرش دین، در فطرت تمام کودکان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که مربیّان فرزندان هستند، از این سرمایه فطری استفاده میکنند و فرزند خود را به آیینی که مایلند و به راهی که در نظر دارند، سوق میدهند، اگر اصل تقاضای خداشناسی در فطرت بشر نمیبود و سرشت آدمی در خواست آن را نمیداشت و عرضه مذهب‌های مختلف از طرف پدران و مادران بیفایده بود بشر هرگز در مدّت عمر خویش، دینی را با علاقه نمیپذیرفت و از آن پیروی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در وجود انسان است که در ساخت آن اختیاری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نادانی، خشنودی، خشم، خواب، بیداری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أَشْیاءَ لَیْسَ لِلْعِبادِ فِیها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وَالْجَهْلُ والرِّضا وَالْغَضَبُ وَالنَّوْمُ وَالْیَقَظَةُ</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برای روشن شدن معنی حدیث بایدگفت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طفل از مادر متولد میشود، صفحه خاطرش از نقش علم خالی است و هیچ دانشی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w:t>
      </w:r>
      <w:r>
        <w:rPr>
          <w:rFonts w:eastAsia="Amiri" w:cs="Amiri" w:ascii="Amiri" w:hAnsi="Amiri"/>
          <w:color w:val="111111"/>
          <w:sz w:val="28"/>
          <w:szCs w:val="28"/>
          <w:rtl w:val="true"/>
          <w:lang w:bidi="ar-SA"/>
        </w:rPr>
        <w:t xml:space="preserve">) . </w:t>
      </w:r>
      <w:r>
        <w:rPr>
          <w:rStyle w:val="FootnoteAnchor"/>
          <w:rtl w:val="true"/>
        </w:rPr>
        <w:footnoteReference w:id="330"/>
      </w:r>
      <w:r>
        <w:rPr>
          <w:rFonts w:ascii="IRNazanin" w:hAnsi="IRNazanin" w:eastAsia="IRNazanin"/>
          <w:color w:val="111111"/>
          <w:sz w:val="28"/>
          <w:sz w:val="28"/>
          <w:szCs w:val="28"/>
          <w:rtl w:val="true"/>
          <w:lang w:bidi="fa-IR"/>
        </w:rPr>
        <w:t>ولی خداوند متعال برای تأمین زندگی و ادامه حیات بشری، نوزاد را با غرائزی از قبیل، شهوت، غضب، خواب، بیداری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امام صادق علیه السلام با عنایت به این که نوزاد از علم خالی و از دانش بیخبر است، فطرت، معرفت را از افاضات و موهبت‌های واقعی خداوند در وجود کودک معرفی فرموده و در ردیف دیگر غرائز خدادادی آورده است و همان‌طور که فراگرفتن غرائز در اختیار کودک نیست، همچنین معرفت فطری از حدود اختیار بشر خارج است و خداوند بزرگ معرفت را مانند دیگر غرائز در سرشت او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وجدان و معرفت توحیدی در باطن بشر ساخته و پرداخته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خداوند است و مردم را در ساخت آن دستی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صُنْعِ اللهِ لَیْسَ لِلْعِبادِ فیِها صُنْعٌ</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همین مضمون را ابی بصیر نیز از امام صادق علیه السلام نقل نموده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روایاتی که ذکر شد و اخبار دیگری که در این‌باره رسیده است، به خوبی استفاده میشود که اسلام با صراحت، معرفت خداجویی را فطری بشر و جزیی از سرشت او میداند و آن را مانند دیگر غرائز از سرمایه‌های طبیعی انسان میشناسد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الهی در امر معرفت خدا نسبت به بشر نقش معلّم ندارند، بلکه مذکّرند؛ وظیفه آن‌ها یادآوری مردم و عقب زدن پرده‌های غفلت از روی ضمیر باطن و فطرت</w:t>
      </w:r>
      <w:bookmarkStart w:id="174" w:name="pg13713_164387"/>
    </w:p>
    <w:p>
      <w:pPr>
        <w:pStyle w:val="BookText"/>
        <w:rPr/>
      </w:pPr>
      <w:bookmarkEnd w:id="17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آمده‌اند تا فطرت خداشناسی که در باطن مردم است را بیدار نمایند و از راه تفکّر و تدبّر در آیات، معرفت اجمالی فطری را به مقام شامخ ایمان استدلالی، عقلی و تفصیلی برسانند و از راه مطالعه در آیات الهی و توجّه به محاسبه دقیق جهان، به خداوند عالم حکیم، مؤمن و معتقد شوند و در مقام حق‌شناسی، بندگی و اطاعت از او نمایند</w:t>
      </w:r>
      <w:r>
        <w:rPr>
          <w:rFonts w:eastAsia="IRNazanin" w:cs="IRNazanin"/>
          <w:color w:val="111111"/>
          <w:sz w:val="28"/>
          <w:szCs w:val="28"/>
          <w:rtl w:val="true"/>
          <w:lang w:bidi="fa-IR"/>
        </w:rPr>
        <w:t>.</w:t>
      </w:r>
      <w:r>
        <w:rPr>
          <w:rStyle w:val="FootnoteAnchor"/>
          <w:rtl w:val="true"/>
        </w:rPr>
        <w:footnoteReference w:id="333"/>
      </w:r>
    </w:p>
    <w:p>
      <w:pPr>
        <w:pStyle w:val="Heading4"/>
        <w:numPr>
          <w:ilvl w:val="3"/>
          <w:numId w:val="1"/>
        </w:numPr>
        <w:rPr/>
      </w:pPr>
      <w:bookmarkStart w:id="175" w:name="__RefHeading___Toc1259442_1468164448"/>
      <w:bookmarkStart w:id="176" w:name="_Toc66"/>
      <w:bookmarkEnd w:id="175"/>
      <w:r>
        <w:rPr/>
        <w:t>3</w:t>
      </w:r>
      <w:r>
        <w:rPr>
          <w:rtl w:val="true"/>
        </w:rPr>
        <w:t xml:space="preserve">- </w:t>
      </w:r>
      <w:r>
        <w:rPr>
          <w:rtl w:val="true"/>
        </w:rPr>
        <w:t>فطرت توحیدی جاذبه‌ای نیرومند</w:t>
      </w:r>
      <w:bookmarkEnd w:id="176"/>
    </w:p>
    <w:p>
      <w:pPr>
        <w:pStyle w:val="BookText"/>
        <w:rPr/>
      </w:pPr>
      <w:r>
        <w:rPr>
          <w:rFonts w:ascii="IRNazanin" w:hAnsi="IRNazanin" w:eastAsia="IRNazanin"/>
          <w:color w:val="111111"/>
          <w:sz w:val="28"/>
          <w:sz w:val="28"/>
          <w:szCs w:val="28"/>
          <w:rtl w:val="true"/>
          <w:lang w:bidi="fa-IR"/>
        </w:rPr>
        <w:t>بدون شک همان‌گونه که ادلّه عقلی و منطقی به انسان جهت میدهد، در درون جان او نیز جاذبه‌هایی وجود دارد که آگاهانه و یا ناخودآگاه برای او تعیین جهت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وجودی آن‌ها این است که در مسائل حیاتی همیشه انسان نمیتواند به انتظار عقل و منطق بنشیند، چرا که این کار گاهی سبب تعطیل هدف‌های حیاتی میشود، مثلاً اگر انسان برای خوردن غذا یا آمیزش جنسی، بخواهد از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بقا و لزوم تداوم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بگیرد و طبق آن حرکت کند باید نوع او منقرض شده باشد، ولی غریزه و جاذبه جنسی از یک سو و اشتها به تغذیه از سوی دیگر خواه ناخواه او را به سوی این هدف میکشاند و هر قدر هدف‌ها حیاتیتر و عمومیتر باشد، این جاذبه‌ها نیرومندتر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باید توجّه داشت که این کشش‌ها و جاذبه‌ها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ناآگاه است، یعنی نیاز وساطت عقل و شعور ندارد، همان‌گونه که حیوان بدون نیاز به تفکّر، به‌سوی غذا و جنس مخالف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تأثیر آن به صورت آگاهانه است، یعنی این جاذبة درونی، در عقل و اندیشه اثر میگذارد و او را وادار به انتخاب طریق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قسم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Style w:val="FootnoteAnchor"/>
          <w:rtl w:val="true"/>
        </w:rPr>
        <w:footnoteReference w:id="334"/>
      </w:r>
      <w:r>
        <w:rPr>
          <w:rFonts w:ascii="IRNazanin" w:hAnsi="IRNazanin" w:eastAsia="IRNazanin"/>
          <w:color w:val="111111"/>
          <w:sz w:val="28"/>
          <w:sz w:val="28"/>
          <w:szCs w:val="28"/>
          <w:rtl w:val="true"/>
          <w:lang w:bidi="fa-IR"/>
        </w:rPr>
        <w:t>و اگر گفته میشود، خداگرایی و خداپرستی به صورت یک فطرت در درون جان کودک به ودیعه گذارده شده، مقصود همین معنی است</w:t>
      </w:r>
      <w:r>
        <w:rPr>
          <w:rFonts w:eastAsia="IRNazanin" w:cs="IRNazanin"/>
          <w:color w:val="111111"/>
          <w:sz w:val="28"/>
          <w:szCs w:val="28"/>
          <w:rtl w:val="true"/>
          <w:lang w:bidi="fa-IR"/>
        </w:rPr>
        <w:t>.</w:t>
      </w:r>
      <w:bookmarkStart w:id="177" w:name="pg13713_164388"/>
    </w:p>
    <w:p>
      <w:pPr>
        <w:pStyle w:val="Heading4"/>
        <w:numPr>
          <w:ilvl w:val="3"/>
          <w:numId w:val="1"/>
        </w:numPr>
        <w:rPr/>
      </w:pPr>
      <w:bookmarkStart w:id="178" w:name="__RefHeading___Toc1259444_1468164448"/>
      <w:bookmarkStart w:id="179" w:name="_Toc67"/>
      <w:bookmarkEnd w:id="177"/>
      <w:bookmarkEnd w:id="178"/>
      <w:r>
        <w:rPr/>
        <w:t>4</w:t>
      </w:r>
      <w:r>
        <w:rPr>
          <w:rtl w:val="true"/>
        </w:rPr>
        <w:t xml:space="preserve">- </w:t>
      </w:r>
      <w:r>
        <w:rPr>
          <w:rtl w:val="true"/>
        </w:rPr>
        <w:t>فطری و واقعی بودن فطرت توحیدی</w:t>
      </w:r>
      <w:bookmarkEnd w:id="179"/>
    </w:p>
    <w:p>
      <w:pPr>
        <w:pStyle w:val="BookText"/>
        <w:rPr/>
      </w:pPr>
      <w:r>
        <w:rPr>
          <w:rFonts w:ascii="IRNazanin" w:hAnsi="IRNazanin" w:eastAsia="IRNazanin"/>
          <w:color w:val="111111"/>
          <w:sz w:val="28"/>
          <w:sz w:val="28"/>
          <w:szCs w:val="28"/>
          <w:rtl w:val="true"/>
          <w:lang w:bidi="fa-IR"/>
        </w:rPr>
        <w:t>از مطالب گذشته واضح شد فطرت توحیدی، این واقعیّتی که در نهاد انسان‌ها وجود دارد یک پدیدة ساختگی و ادّعایی نیست و در اثر وراثت‌های اجتماعی و تعالیم مذهبی و آموزش و پرورش به وجود نیامده است، بلکه یک امر سرشتی و یک ندای فطری است که با خلقت بشر آفریده شده و تا پایان با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کسانی در شرایط خاصی با یکی از تمایلات فطری خود مبارزه کنند و آن را در مزاج خویش، خاموش نمایند، ولی عمل آنان هرگز نمیتواند واقعیت فطری و خاصیت سرشتی نوع بشر را به کلّی تغییر دهد و یا از بین ببرد؛ این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بودن خداگرایی در وجود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 ادلّه زیر اثبات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اعتقاد مذهبی و ایمان به خدا در طول تاریخ پرماجرای بشر، خود نشانه‌ای بر فطری بودن آن است، چرا که اگر عادت بود، نه جنبه عمومی و همگانی داشت و نه دائمی و همیشگی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و جاودانگی آن دلیلی است بر این‌که ریشه فطری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بزرگ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تاریخ بشر را بررسی کرده‌اند،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به صورت یک استثنا در جوامع انسانی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کاوش‌هایی که پیرامون انسان‌های قبل از تاریخ از طریق حفاریها انجام شده است نیز این مطلب را تأیید میکند، هم‌چنان که جامعه‌شناس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ساموئل کنیگ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اسلاف انسان‌های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نئاندرتال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دارای مذهب بوده‌اند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عینی در دنیای امروز نشان میدهد با تمام تلاش و کوششی که بعضی از رژیم‌های استبدادی برای محو مذهب و آثار مذهبی از راه‌های مختلف انجام داده‌اند، نتوانسته‌اند مذهب را از اعماق این جوامع ریشه‌کن سازند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دستاوردهای اخیر روانکاوان و روانشناسان در زمینه ابعاد روحی انسان، شاهد دیگری بر این مدّعا است؛ آن‌ها میگویند که بررسی در ابعاد روح انسان، نشان میدهد</w:t>
      </w:r>
    </w:p>
    <w:p>
      <w:pPr>
        <w:pStyle w:val="BookText"/>
        <w:rPr/>
      </w:pPr>
      <w:r>
        <w:rPr>
          <w:rFonts w:ascii="IRNazanin" w:hAnsi="IRNazanin" w:eastAsia="IRNazanin"/>
          <w:color w:val="111111"/>
          <w:sz w:val="28"/>
          <w:sz w:val="28"/>
          <w:szCs w:val="28"/>
          <w:rtl w:val="true"/>
          <w:lang w:bidi="fa-IR"/>
        </w:rPr>
        <w:t xml:space="preserve">که یک بُعد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این بُعد مذهبی را سرچشمه ابعاد سه‌گانه دیگر، یعنی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رویدادهایی دیده میشود که جز از طریق اصالت حس مذهبی قابل تفسیر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را میبینیم که همه امکانات مادّی خود را عاشقانه فدای عواطف مذهبی کرده و میکنند و همه آن‌چه را که دارند با گذشت بینظیری، در پای مذهب خود ریخته و حتّی جان خویش را فدا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شهیدانی که در میدان‌های جنگ برای پیشبرد اهداف الهی شربت شهادت را با شوق نوشیدند، جز با این تحلیل قابل تفسیر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انسان در تنگناها و سختیها به یک نیروی مرموز ماورای طبیعی و تقاضای حلّ مشکلات و فرونشستن طوفان‌های سخت زندگی از درگاه او نیز گواه دیگری بر اصالت این جاذبه درونی و الهام فطری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جواب مردی که از فطرت خداجویی پرسش نموده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کشتی در دریا میشکند، مسافر کشتی اسیر دست امواج خروشان دریا میشود، در آن نزدیکی نه کشتی دیگری است که او را برهاند و نه شناگری است که نجاتش دهد، تمام درها را بسته میبیند، به هیچ چیز و هیچ کس امیدی ندارد، در آن وقتی که در آب غوطه‌ور است، در آن موقع حسّاس، در آن لحظه خطرناک و در آن حال یأس و ناامیدی، تنها یک امید فطری و یک تکیه‌گاه وجدانی در خود حس میکند و از اعماق قلبش یک نور امید زبانه میکشد، اینجاست که دلش به یک قدرت نامحدود و توانا توجّه میکند و از او کمک میخواهد، تنها اوست که میتواند نجاتش دهد و او را از این خطر هولناک برهاند، آن حقیقت که میتواند در این حالت، تنها تکیه‌گاه امید باشد، چیزی است که دل با التماس به او مینگرد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تَعَلَّقَ قَلْبُکَ هُنالِکَ أَنَّ شَیْئاً مِنَ الأَشْیاءِ قادِرٌ عَلی أَنْ یُخَلِّصَکَ مِنْ وَرْطَتِکَ؟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الصّادِقُعلیه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الشَّیْءُ هُوَ اللهُ الْقادِرُ عَلَی الإِنْجاءِ حَیْثُ لامُنْجِیَ وَعَلَی الإِغاثَةِ حَیْثُ لامُغِیثَ</w:t>
      </w:r>
      <w:r>
        <w:rPr>
          <w:rFonts w:eastAsia="IRNazanin" w:cs="IRNazanin"/>
          <w:color w:val="111111"/>
          <w:sz w:val="28"/>
          <w:szCs w:val="28"/>
          <w:rtl w:val="true"/>
          <w:lang w:bidi="fa-IR"/>
        </w:rPr>
        <w:t>».</w:t>
      </w:r>
      <w:r>
        <w:rPr>
          <w:rStyle w:val="FootnoteAnchor"/>
          <w:rtl w:val="true"/>
        </w:rPr>
        <w:footnoteReference w:id="337"/>
      </w:r>
      <w:bookmarkStart w:id="180" w:name="pg13713_164390"/>
    </w:p>
    <w:p>
      <w:pPr>
        <w:pStyle w:val="Heading4"/>
        <w:numPr>
          <w:ilvl w:val="3"/>
          <w:numId w:val="1"/>
        </w:numPr>
        <w:rPr/>
      </w:pPr>
      <w:bookmarkStart w:id="181" w:name="__RefHeading___Toc1259446_1468164448"/>
      <w:bookmarkStart w:id="182" w:name="_Toc68"/>
      <w:bookmarkEnd w:id="180"/>
      <w:bookmarkEnd w:id="181"/>
      <w:r>
        <w:rPr/>
        <w:t>5</w:t>
      </w:r>
      <w:r>
        <w:rPr>
          <w:rtl w:val="true"/>
        </w:rPr>
        <w:t xml:space="preserve">- </w:t>
      </w:r>
      <w:r>
        <w:rPr>
          <w:rtl w:val="true"/>
        </w:rPr>
        <w:t>نتیجه بحث</w:t>
      </w:r>
      <w:bookmarkEnd w:id="182"/>
    </w:p>
    <w:p>
      <w:pPr>
        <w:pStyle w:val="BookText"/>
        <w:rPr/>
      </w:pPr>
      <w:r>
        <w:rPr>
          <w:rFonts w:ascii="IRNazanin" w:hAnsi="IRNazanin" w:eastAsia="IRNazanin"/>
          <w:color w:val="111111"/>
          <w:sz w:val="28"/>
          <w:sz w:val="28"/>
          <w:szCs w:val="28"/>
          <w:rtl w:val="true"/>
          <w:lang w:bidi="fa-IR"/>
        </w:rPr>
        <w:t>از آن‌چه ذکر شد، روشن گردید فطرت توحیدی که خداوند حکیم در وجود انسان قرار داده و کودک را از آن بهره‌مند ساخته، موجب طهارت و پاکی روح میباشد و زمینه خداگرایی و قبول اعتقادات دینی و مذهبی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از بزرگترین پایگاه‌های تربیت سعادت‌بخش بشر است و اساس بنیادین دعوت انبیای الهی، متّکی به این اصل طبیعی با کمک عقل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این‌باره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خود را برانگیخت و پیاپی بین مردم فرستاد تا بشر را به ادای پیمان فطرت وادارند و نعمت‌های فراموش شده خدا را یادآوری کنند و با فعالیت‌های تبلیغی خود نیروهای نهفته عقل مردم را برانگیخته و بکار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فَبَعَثَ فِیهِمْ رُسُلَهُ وَ واتَرَ إِلَیْهِمْ أَنْبِیاءَهُ لِیَسْتَأْدوُهُمْ مِیثاقَ فِطْرَتِهِ وَیُذَکِّروُهُم مَنْسِیَّ نِعْمَتِهِ وَیَحْتَجُّوا عَلَیْهِمْ بِالتَّبْلِیغِ وَیُثیِرُوا لَهُمْ دَفائِنَ الْعُقُولِ</w:t>
      </w:r>
      <w:r>
        <w:rPr>
          <w:rFonts w:eastAsia="IRNazanin" w:cs="IRNazanin"/>
          <w:color w:val="111111"/>
          <w:sz w:val="28"/>
          <w:szCs w:val="28"/>
          <w:rtl w:val="true"/>
          <w:lang w:bidi="fa-IR"/>
        </w:rPr>
        <w:t>».</w:t>
      </w:r>
      <w:r>
        <w:rPr>
          <w:rStyle w:val="FootnoteAnchor"/>
          <w:rtl w:val="true"/>
        </w:rPr>
        <w:footnoteReference w:id="338"/>
      </w:r>
      <w:bookmarkStart w:id="183" w:name="pg13713_164391"/>
    </w:p>
    <w:p>
      <w:pPr>
        <w:pStyle w:val="Heading3"/>
        <w:numPr>
          <w:ilvl w:val="2"/>
          <w:numId w:val="1"/>
        </w:numPr>
        <w:rPr/>
      </w:pPr>
      <w:bookmarkStart w:id="184" w:name="__RefHeading___Toc1259448_1468164448"/>
      <w:bookmarkStart w:id="185" w:name="_Toc69"/>
      <w:bookmarkEnd w:id="183"/>
      <w:bookmarkEnd w:id="184"/>
      <w:r>
        <w:rPr>
          <w:rtl w:val="true"/>
        </w:rPr>
        <w:t>گفتار دوّم</w:t>
      </w:r>
      <w:r>
        <w:rPr>
          <w:rtl w:val="true"/>
        </w:rPr>
        <w:t xml:space="preserve">: </w:t>
      </w:r>
      <w:r>
        <w:rPr>
          <w:rtl w:val="true"/>
        </w:rPr>
        <w:t>طهارت جسمی کودک</w:t>
      </w:r>
      <w:bookmarkEnd w:id="185"/>
    </w:p>
    <w:p>
      <w:pPr>
        <w:pStyle w:val="Heading4"/>
        <w:numPr>
          <w:ilvl w:val="3"/>
          <w:numId w:val="1"/>
        </w:numPr>
        <w:rPr/>
      </w:pPr>
      <w:bookmarkStart w:id="186" w:name="__RefHeading___Toc1259450_1468164448"/>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بیتردید، اسلام سبب طهارت جسم و جان مسلمان میباشد</w:t>
      </w:r>
      <w:r>
        <w:rPr>
          <w:rStyle w:val="FootnoteAnchor"/>
          <w:rtl w:val="true"/>
        </w:rPr>
        <w:footnoteReference w:id="339"/>
      </w:r>
      <w:r>
        <w:rPr>
          <w:rFonts w:ascii="IRNazanin" w:hAnsi="IRNazanin" w:eastAsia="IRNazanin"/>
          <w:color w:val="111111"/>
          <w:sz w:val="28"/>
          <w:sz w:val="28"/>
          <w:szCs w:val="28"/>
          <w:rtl w:val="true"/>
          <w:lang w:bidi="fa-IR"/>
        </w:rPr>
        <w:t>و این طهارت گاهی مباشرتاً تحقّق مییابد، به این معنی که فرد بالغ عاقل یا کودک ممیّز عاقل، با قبول اسلام از کفر پاک میگردد و گاهی با تبعیّت، مانند آن‌که کودک به تبعیّت از پدر یا مادر و یا هر دو نفر، حکم به مسلمان بودنش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تبعیّت دارای اقسامی است که در ادامه به شرح آن میپردازیم</w:t>
      </w:r>
      <w:r>
        <w:rPr>
          <w:rFonts w:eastAsia="IRNazanin" w:cs="IRNazanin"/>
          <w:color w:val="111111"/>
          <w:sz w:val="28"/>
          <w:szCs w:val="28"/>
          <w:rtl w:val="true"/>
          <w:lang w:bidi="fa-IR"/>
        </w:rPr>
        <w:t>:</w:t>
      </w:r>
    </w:p>
    <w:p>
      <w:pPr>
        <w:pStyle w:val="Heading4"/>
        <w:numPr>
          <w:ilvl w:val="3"/>
          <w:numId w:val="1"/>
        </w:numPr>
        <w:rPr/>
      </w:pPr>
      <w:bookmarkStart w:id="188" w:name="__RefHeading___Toc1259452_1468164448"/>
      <w:bookmarkStart w:id="189" w:name="_Toc71"/>
      <w:bookmarkEnd w:id="188"/>
      <w:r>
        <w:rPr/>
        <w:t>1</w:t>
      </w:r>
      <w:r>
        <w:rPr>
          <w:rtl w:val="true"/>
        </w:rPr>
        <w:t xml:space="preserve">- </w:t>
      </w:r>
      <w:r>
        <w:rPr>
          <w:rtl w:val="true"/>
        </w:rPr>
        <w:t>تبعیّت کودک از پدر و مادر مسلمان خود</w:t>
      </w:r>
      <w:bookmarkEnd w:id="189"/>
    </w:p>
    <w:p>
      <w:pPr>
        <w:pStyle w:val="BookText"/>
        <w:rPr/>
      </w:pPr>
      <w:r>
        <w:rPr>
          <w:rFonts w:ascii="IRNazanin" w:hAnsi="IRNazanin" w:eastAsia="IRNazanin"/>
          <w:color w:val="111111"/>
          <w:sz w:val="28"/>
          <w:sz w:val="28"/>
          <w:szCs w:val="28"/>
          <w:rtl w:val="true"/>
          <w:lang w:bidi="fa-IR"/>
        </w:rPr>
        <w:t>این حکم مورد توافق فقها، بلکه اجماعی است که اگر پدر و مادر طفل یا یکی از آنها مسلمان باشند، کودک نیز به تبعیّت از آنها پاک و حکم به مسلمان بودنش می‌شود، اعمّ از این‌که هر دو در حین انعقاد نطفه کودک، مسلمان باشند و این اعتقاد تا زمان بلوغ وی ادامه داشته باشد، یا یکی از آنها این‌گونه باشد و نیز اعمّ این‌که یکی از آنها یا هر دو بعد از آن‌که در برهه‌ای از زمان مسلمان بودند، مرتد و کافر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پدر و مادر طفل در حین انعقاد او کافر باشند و سپس هر دو، یا یکی از آنها مسلمان شوند، این حکم جاری است و در این حکم بین طفل ممیّز و غیر ممیّز فرقی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صورت‌هایی که ذکر شد، حکم به مسلمان بودن طفل و طهارت جسم و جان وی میگردد؛ این مسأله مورد توافق فقیهان امامیّه است و کسی در آن تردید ننموده است</w:t>
      </w:r>
      <w:r>
        <w:rPr>
          <w:rFonts w:eastAsia="IRNazanin" w:cs="IRNazanin"/>
          <w:color w:val="111111"/>
          <w:sz w:val="28"/>
          <w:szCs w:val="28"/>
          <w:rtl w:val="true"/>
          <w:lang w:bidi="fa-IR"/>
        </w:rPr>
        <w:t>.</w:t>
      </w:r>
      <w:r>
        <w:rPr>
          <w:rStyle w:val="FootnoteAnchor"/>
          <w:rtl w:val="true"/>
        </w:rPr>
        <w:footnoteReference w:id="340"/>
      </w:r>
      <w:bookmarkStart w:id="190" w:name="pg13713_164392"/>
    </w:p>
    <w:p>
      <w:pPr>
        <w:pStyle w:val="Heading4"/>
        <w:numPr>
          <w:ilvl w:val="3"/>
          <w:numId w:val="1"/>
        </w:numPr>
        <w:rPr/>
      </w:pPr>
      <w:bookmarkStart w:id="191" w:name="__RefHeading___Toc1259454_1468164448"/>
      <w:bookmarkStart w:id="192" w:name="_Toc72"/>
      <w:bookmarkEnd w:id="190"/>
      <w:bookmarkEnd w:id="191"/>
      <w:r>
        <w:rPr/>
        <w:t>2</w:t>
      </w:r>
      <w:r>
        <w:rPr>
          <w:rtl w:val="true"/>
        </w:rPr>
        <w:t xml:space="preserve">- </w:t>
      </w:r>
      <w:r>
        <w:rPr>
          <w:rtl w:val="true"/>
        </w:rPr>
        <w:t>دلایل تبعیّت کودک از پدر و مادر</w:t>
      </w:r>
      <w:bookmarkEnd w:id="1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فرزندانشان به پیروی از آنها ایمان اختیار کردند را، در بهشت به آنها ملحق میکنیم، بیآن‌که از عمل آنها چیزی بکاهیم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 وَ ما أَلَتْناهُمْ مِنْ عَمَلِهِمْ مِنْ شَیْءٍ</w:t>
      </w:r>
      <w:r>
        <w:rPr>
          <w:rFonts w:eastAsia="IRNazanin" w:cs="IRNazanin"/>
          <w:color w:val="111111"/>
          <w:sz w:val="28"/>
          <w:szCs w:val="28"/>
          <w:rtl w:val="true"/>
          <w:lang w:bidi="fa-IR"/>
        </w:rPr>
        <w:t>)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برخی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را به معنی فرزند، اعمّ از صغیر و کبیر دانسته‌اند، در این صورت از آیه استفاده میشود، کودکان مسلمان در احکام اسلام مثل مسأله مورد بحث، ملحق به پدر و مادر خویش میباشند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و گفته‌اند، معنی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کودکان را در ایمان، تابع پدر و مادر خود قرار دادیم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معروف و مشهوری که پیش‌تر ذکر شد، 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هرکودک بر فطرت توحید و خداشناسی متولّد میشود و پدر و مادر او را به آیین یهودیّت و یا نصرانیّت سوق میدهند؛</w:t>
      </w:r>
      <w:r>
        <w:rPr>
          <w:rStyle w:val="FootnoteAnchor"/>
          <w:rtl w:val="true"/>
        </w:rPr>
        <w:footnoteReference w:id="344"/>
      </w:r>
      <w:r>
        <w:rPr>
          <w:rFonts w:ascii="IRNazanin" w:hAnsi="IRNazanin" w:eastAsia="IRNazanin"/>
          <w:color w:val="111111"/>
          <w:sz w:val="28"/>
          <w:sz w:val="28"/>
          <w:szCs w:val="28"/>
          <w:rtl w:val="true"/>
          <w:lang w:bidi="fa-IR"/>
        </w:rPr>
        <w:t>همین مضمون به طریق صحیح، از امام صادق علیه السلام نیز روایت شده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بعضی از فقها از جمله شیخ طوسی به این حدیث برای تبعیّت کودک از پدر یا مادر مسلمان خود، استناد نموده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مادری که از شوهر مُشرک خود حامله شده، مسلمان شود یا از او فرزند غیر بالغ داشته باشد، به تبعیّت از مادر، حکم به اسلام کودک و نیز جنینی که آن زن در رحم دارد، میشود</w:t>
      </w:r>
      <w:r>
        <w:rPr>
          <w:rFonts w:eastAsia="IRNazanin" w:cs="IRNazanin"/>
          <w:color w:val="111111"/>
          <w:sz w:val="28"/>
          <w:szCs w:val="28"/>
          <w:rtl w:val="true"/>
          <w:lang w:bidi="fa-IR"/>
        </w:rPr>
        <w:t>.</w:t>
      </w:r>
      <w:r>
        <w:rPr>
          <w:rStyle w:val="FootnoteAnchor"/>
          <w:rtl w:val="true"/>
        </w:rPr>
        <w:footnoteReference w:id="34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نمودم، مردی در بین کفّار، اسلام را میپذیرد، سپس مسلمانان بر شهر آنها مسلّط شده، آنها را اسیر مینمایند؟</w:t>
      </w:r>
      <w:bookmarkStart w:id="193" w:name="pg13713_164393"/>
    </w:p>
    <w:p>
      <w:pPr>
        <w:pStyle w:val="BookText"/>
        <w:rPr/>
      </w:pPr>
      <w:bookmarkEnd w:id="193"/>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شدن آن شخص، برای آزادی خود و فرزندان صغیرش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حکم فرزندان از او تبعیّت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فرزندان را نمیتوان به اسارت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إِسْلامُهُ إِسْلامٌ لِنَفْسِهِ وَلِوُلْدِهِ الصِّغارِ وَهُمْ أَحْرارٌ</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برخی از فقیهان از جمله صاحب جواهر</w:t>
      </w:r>
      <w:r>
        <w:rPr>
          <w:rStyle w:val="FootnoteAnchor"/>
          <w:rtl w:val="true"/>
        </w:rPr>
        <w:footnoteReference w:id="348"/>
      </w:r>
      <w:r>
        <w:rPr>
          <w:rFonts w:ascii="IRNazanin" w:hAnsi="IRNazanin" w:eastAsia="IRNazanin"/>
          <w:color w:val="111111"/>
          <w:sz w:val="28"/>
          <w:sz w:val="28"/>
          <w:szCs w:val="28"/>
          <w:rtl w:val="true"/>
          <w:lang w:bidi="fa-IR"/>
        </w:rPr>
        <w:t>به این روایت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در این زمینه وجود دارد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این مسأله را اجماعی دانسته‌اند</w:t>
      </w:r>
      <w:r>
        <w:rPr>
          <w:rStyle w:val="FootnoteAnchor"/>
          <w:rtl w:val="true"/>
        </w:rPr>
        <w:footnoteReference w:id="350"/>
      </w:r>
      <w:r>
        <w:rPr>
          <w:rFonts w:ascii="IRNazanin" w:hAnsi="IRNazanin" w:eastAsia="IRNazanin"/>
          <w:color w:val="111111"/>
          <w:sz w:val="28"/>
          <w:sz w:val="28"/>
          <w:szCs w:val="28"/>
          <w:rtl w:val="true"/>
          <w:lang w:bidi="fa-IR"/>
        </w:rPr>
        <w:t>و برخی آن را از ضروریّات فقه امامیّه بر شمره‌اند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البته برخی از فقها، مانند علاّمه حلّی</w:t>
      </w:r>
      <w:r>
        <w:rPr>
          <w:rStyle w:val="FootnoteAnchor"/>
          <w:rtl w:val="true"/>
        </w:rPr>
        <w:footnoteReference w:id="352"/>
      </w:r>
      <w:r>
        <w:rPr>
          <w:rFonts w:ascii="IRNazanin" w:hAnsi="IRNazanin" w:eastAsia="IRNazanin"/>
          <w:color w:val="111111"/>
          <w:sz w:val="28"/>
          <w:sz w:val="28"/>
          <w:szCs w:val="28"/>
          <w:rtl w:val="true"/>
          <w:lang w:bidi="fa-IR"/>
        </w:rPr>
        <w:t>، صاحب جواهر،</w:t>
      </w:r>
      <w:r>
        <w:rPr>
          <w:rStyle w:val="FootnoteAnchor"/>
          <w:rtl w:val="true"/>
        </w:rPr>
        <w:footnoteReference w:id="353"/>
      </w:r>
      <w:r>
        <w:rPr>
          <w:rFonts w:ascii="IRNazanin" w:hAnsi="IRNazanin" w:eastAsia="IRNazanin"/>
          <w:color w:val="111111"/>
          <w:sz w:val="28"/>
          <w:sz w:val="28"/>
          <w:szCs w:val="28"/>
          <w:rtl w:val="true"/>
          <w:lang w:bidi="fa-IR"/>
        </w:rPr>
        <w:t>آیت الله حکیم</w:t>
      </w:r>
      <w:r>
        <w:rPr>
          <w:rStyle w:val="FootnoteAnchor"/>
          <w:rtl w:val="true"/>
        </w:rPr>
        <w:footnoteReference w:id="354"/>
      </w:r>
      <w:r>
        <w:rPr>
          <w:rFonts w:ascii="IRNazanin" w:hAnsi="IRNazanin" w:eastAsia="IRNazanin"/>
          <w:color w:val="111111"/>
          <w:sz w:val="28"/>
          <w:sz w:val="28"/>
          <w:szCs w:val="28"/>
          <w:rtl w:val="true"/>
          <w:lang w:bidi="fa-IR"/>
        </w:rPr>
        <w:t>و دیگران،</w:t>
      </w:r>
      <w:r>
        <w:rPr>
          <w:rStyle w:val="FootnoteAnchor"/>
          <w:rtl w:val="true"/>
        </w:rPr>
        <w:footnoteReference w:id="355"/>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حالات حکم به طهارت و مسلمان بودن کودک به تبعیّت از جدّ یا جدّه‌اش میشود، بنابراین اگر هر دو یا یکی از جدّ یا جدّه او مسلمان شوند، اعمّ از این‌که جدّ و جدّه پدری باشند یا مادری، کودک نیز به تبعیّت از آنها مسلمان میباشد، مشروط به این‌که پدر طفل در قید حیات نباشد؛ زیرا در این صورت بر جدّ، اطلاق پدر کودک صحیح است</w:t>
      </w:r>
      <w:r>
        <w:rPr>
          <w:rFonts w:eastAsia="IRNazanin" w:cs="IRNazanin"/>
          <w:color w:val="111111"/>
          <w:sz w:val="28"/>
          <w:szCs w:val="28"/>
          <w:rtl w:val="true"/>
          <w:lang w:bidi="fa-IR"/>
        </w:rPr>
        <w:t>.</w:t>
      </w:r>
    </w:p>
    <w:p>
      <w:pPr>
        <w:pStyle w:val="Heading4"/>
        <w:numPr>
          <w:ilvl w:val="3"/>
          <w:numId w:val="1"/>
        </w:numPr>
        <w:rPr/>
      </w:pPr>
      <w:bookmarkStart w:id="194" w:name="__RefHeading___Toc1259456_1468164448"/>
      <w:bookmarkStart w:id="195" w:name="_Toc73"/>
      <w:bookmarkEnd w:id="194"/>
      <w:r>
        <w:rPr/>
        <w:t>3</w:t>
      </w:r>
      <w:r>
        <w:rPr>
          <w:rtl w:val="true"/>
        </w:rPr>
        <w:t xml:space="preserve">- </w:t>
      </w:r>
      <w:r>
        <w:rPr>
          <w:rtl w:val="true"/>
        </w:rPr>
        <w:t>تبعیّت کودک از دار الاسلام</w:t>
      </w:r>
      <w:bookmarkEnd w:id="19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کودکی که دارای هویّت نیست و پدر و مادر شناخته شده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لقیط</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دردارالاسلام</w:t>
      </w:r>
      <w:r>
        <w:rPr>
          <w:rStyle w:val="FootnoteAnchor"/>
          <w:rtl w:val="true"/>
        </w:rPr>
        <w:footnoteReference w:id="357"/>
      </w:r>
      <w:r>
        <w:rPr>
          <w:rFonts w:ascii="IRNazanin" w:hAnsi="IRNazanin" w:eastAsia="IRNazanin"/>
          <w:color w:val="111111"/>
          <w:sz w:val="28"/>
          <w:sz w:val="28"/>
          <w:szCs w:val="28"/>
          <w:rtl w:val="true"/>
          <w:lang w:bidi="fa-IR"/>
        </w:rPr>
        <w:t>یعنی ممالک و شهرهای مسلمان‌نشین پیدا شود، طبق نظریّه مشهور بین</w:t>
      </w:r>
      <w:bookmarkStart w:id="196" w:name="pg13713_164394"/>
    </w:p>
    <w:p>
      <w:pPr>
        <w:pStyle w:val="BookText"/>
        <w:rPr/>
      </w:pPr>
      <w:bookmarkEnd w:id="196"/>
      <w:r>
        <w:rPr>
          <w:rFonts w:ascii="IRNazanin" w:hAnsi="IRNazanin" w:eastAsia="IRNazanin"/>
          <w:color w:val="111111"/>
          <w:sz w:val="28"/>
          <w:sz w:val="28"/>
          <w:szCs w:val="28"/>
          <w:rtl w:val="true"/>
          <w:lang w:bidi="fa-IR"/>
        </w:rPr>
        <w:t>فقها، به تبعیّت از دار الاسلام، حکم به مسلمان بودنش میشود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برخی در این‌باره ادّعای عدم خلاف نموده‌اند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برای اثبات این نظریّه، به برخی از روایات که در مباحث گذشته ذکر شد، مانند روایت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مَوْلُودٍ یُولَدُ إلّا عَلَی الْفِطْرَةِ فَأَبَواهُ اللَّذانِ یُهَوِّدانِهِ وَیُنَصِّرانِهِ وَیُمَجِّسانِهِ</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روایاتی که دلالت دارند صدقه</w:t>
      </w:r>
      <w:r>
        <w:rPr>
          <w:rStyle w:val="FootnoteAnchor"/>
          <w:rtl w:val="true"/>
        </w:rPr>
        <w:footnoteReference w:id="361"/>
      </w:r>
      <w:r>
        <w:rPr>
          <w:rFonts w:ascii="IRNazanin" w:hAnsi="IRNazanin" w:eastAsia="IRNazanin"/>
          <w:color w:val="111111"/>
          <w:sz w:val="28"/>
          <w:sz w:val="28"/>
          <w:szCs w:val="28"/>
          <w:rtl w:val="true"/>
          <w:lang w:bidi="fa-IR"/>
        </w:rPr>
        <w:t>و وقف بر لقیط جایز است، میتوان استدلال کرد، زیرا وقف مؤمن بر کافر، باطل و غیر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روایاتی که میگوید، قذف لقیط موجب حدّ است، میتوان استناد جست،</w:t>
      </w:r>
      <w:r>
        <w:rPr>
          <w:rStyle w:val="FootnoteAnchor"/>
          <w:rtl w:val="true"/>
        </w:rPr>
        <w:footnoteReference w:id="362"/>
      </w:r>
      <w:r>
        <w:rPr>
          <w:rFonts w:ascii="IRNazanin" w:hAnsi="IRNazanin" w:eastAsia="IRNazanin"/>
          <w:color w:val="111111"/>
          <w:sz w:val="28"/>
          <w:sz w:val="28"/>
          <w:szCs w:val="28"/>
          <w:rtl w:val="true"/>
          <w:lang w:bidi="fa-IR"/>
        </w:rPr>
        <w:t>زیرا برای اجرای حدّ، شرط است کسی که مورد قذف قرار میگیرد، مسلمان باشد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افزون بر این، سیره قطعی، وجود دارد بر این‌که امامیّه، لقیطِ دارالاسلام را مسلمان میداند و احکام اسلام در مورد او به اجرا در میآورد</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197" w:name="__RefHeading___Toc1259458_1468164448"/>
      <w:bookmarkStart w:id="198" w:name="_Toc74"/>
      <w:bookmarkEnd w:id="197"/>
      <w:r>
        <w:rPr/>
        <w:t>4</w:t>
      </w:r>
      <w:r>
        <w:rPr>
          <w:rtl w:val="true"/>
        </w:rPr>
        <w:t xml:space="preserve">- </w:t>
      </w:r>
      <w:r>
        <w:rPr>
          <w:rtl w:val="true"/>
        </w:rPr>
        <w:t>طهارت کودک با پذیرش اسلام</w:t>
      </w:r>
      <w:bookmarkEnd w:id="1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اختلافی نیست، بلکه به اجماع ثابت شده است که پذیرش اسلام توسط کودک غیر ممیّز، صحیح نیست و حکم به اسلام وی نمیشود و این‌گونه کودکان فقط با تبعیّت حکم به طهارت و مسلمان بودنشان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 ممیّز، یعنی کودکی که دارای فهم و شعور نسبی است، چنان‌چه پدر و مادرش کافر باشند، اگر خودش به طور مستقل اسلام را بپذیرد، به این معنی که اگر قدرت بر نطق و تکلّم دارد، شهادتین را به زبان آورد و اگر چنین نیست، با اشاره، مقصود خود را بفهماند، تردید 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بودن اسلام کودک</w:t>
      </w:r>
    </w:p>
    <w:p>
      <w:pPr>
        <w:pStyle w:val="BookText"/>
        <w:rPr/>
      </w:pPr>
      <w:r>
        <w:rPr>
          <w:rFonts w:ascii="IRNazanin" w:hAnsi="IRNazanin" w:eastAsia="IRNazanin"/>
          <w:color w:val="111111"/>
          <w:sz w:val="28"/>
          <w:sz w:val="28"/>
          <w:szCs w:val="28"/>
          <w:rtl w:val="true"/>
          <w:lang w:bidi="fa-IR"/>
        </w:rPr>
        <w:t>بعضی از فقها معتقدند که پذیرش اسلام توسط چنین کودکی صحیح نیست</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این‌عدّه برای اثبات دیدگاه خود، به حدیث رفع</w:t>
      </w:r>
      <w:r>
        <w:rPr>
          <w:rStyle w:val="FootnoteAnchor"/>
          <w:rtl w:val="true"/>
        </w:rPr>
        <w:footnoteReference w:id="366"/>
      </w:r>
      <w:r>
        <w:rPr>
          <w:rFonts w:ascii="IRNazanin" w:hAnsi="IRNazanin" w:eastAsia="IRNazanin"/>
          <w:color w:val="111111"/>
          <w:sz w:val="28"/>
          <w:sz w:val="28"/>
          <w:szCs w:val="28"/>
          <w:rtl w:val="true"/>
          <w:lang w:bidi="fa-IR"/>
        </w:rPr>
        <w:t>و این‌که گفتار کودک دارای اعتبارنیست، استناد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اسلامِ کودک منافات دارد با آن‌چه در حدّ ضرورت است، مبنی بر این‌که کودک مرفوع القلم است و گفتار او در پذیرش یا کفر، دارای اعتبار نیست، بلکه اسلام و کفر او فقط با تبعیّت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لیکن در جواب اینان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با آن‌چه که بسیاری از این فقها</w:t>
      </w:r>
      <w:r>
        <w:rPr>
          <w:rStyle w:val="FootnoteAnchor"/>
          <w:rtl w:val="true"/>
        </w:rPr>
        <w:footnoteReference w:id="368"/>
      </w:r>
      <w:r>
        <w:rPr>
          <w:rFonts w:ascii="IRNazanin" w:hAnsi="IRNazanin" w:eastAsia="IRNazanin"/>
          <w:color w:val="111111"/>
          <w:sz w:val="28"/>
          <w:sz w:val="28"/>
          <w:szCs w:val="28"/>
          <w:rtl w:val="true"/>
          <w:lang w:bidi="fa-IR"/>
        </w:rPr>
        <w:t>پذیرفته‌اند، مبنی بر این‌که عبادات صبی مشروعیّت دارد، در تناقض است و اگر گفتار او در تمام امور بیاعتبار باشد، نمیتواند عباداتش مشروعیّت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دلالت دارد بر این‌که احکام الزامی و مشقّت‌آور از باب امتنان از کودک برداشته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مکلّف به انجام احکام الزام‌آور که مخالفت آن موجب گناه باشد، نیست و امّا احکام استحبابی که شرعاً وعقلاً پسندیده میباشد، از کودک برداشته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امتنانی بودن حدیث رفع نیز چنین است، بنابراین شامل اسلام کودک نمیشود، زیرا رفع آن هیچ‌گونه امتنانی در برندارد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از محققّین، مورد و موضوع حدیث رفع، امور اعتباری است که‌وضع و رفع آن در اختیار شارع باشد و اسلام از امور اعتباری نیست تا حدیث رفع آن‌را بردارد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بودن اسلام کودک</w:t>
      </w:r>
    </w:p>
    <w:p>
      <w:pPr>
        <w:pStyle w:val="BookText"/>
        <w:rPr/>
      </w:pPr>
      <w:r>
        <w:rPr>
          <w:rFonts w:ascii="IRNazanin" w:hAnsi="IRNazanin" w:eastAsia="IRNazanin"/>
          <w:color w:val="111111"/>
          <w:sz w:val="28"/>
          <w:sz w:val="28"/>
          <w:szCs w:val="28"/>
          <w:rtl w:val="true"/>
          <w:lang w:bidi="fa-IR"/>
        </w:rPr>
        <w:t>در مقابل دیدگاه اوّل، بسیاری از فقیهان بر این باورند که اسلامِ کودک با فرض این‌که ممیّز و عاقل باشد و با بصیرت، اسلام را بپذیرد، صحیح است، زیرا چه بسا برخی از کودکان از بزرگترها با فهم‌تر و بصیر و زیرک‌تر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خلاف</w:t>
      </w:r>
      <w:r>
        <w:rPr>
          <w:rStyle w:val="FootnoteAnchor"/>
          <w:rtl w:val="true"/>
        </w:rPr>
        <w:footnoteReference w:id="370"/>
      </w:r>
      <w:r>
        <w:rPr>
          <w:rFonts w:ascii="IRNazanin" w:hAnsi="IRNazanin" w:eastAsia="IRNazanin"/>
          <w:color w:val="111111"/>
          <w:sz w:val="28"/>
          <w:sz w:val="28"/>
          <w:szCs w:val="28"/>
          <w:rtl w:val="true"/>
          <w:lang w:bidi="fa-IR"/>
        </w:rPr>
        <w:t>، این دیدگاه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w:t>
      </w:r>
      <w:r>
        <w:rPr>
          <w:rStyle w:val="FootnoteAnchor"/>
          <w:rtl w:val="true"/>
        </w:rPr>
        <w:footnoteReference w:id="371"/>
      </w:r>
      <w:r>
        <w:rPr>
          <w:rFonts w:ascii="IRNazanin" w:hAnsi="IRNazanin" w:eastAsia="IRNazanin"/>
          <w:color w:val="111111"/>
          <w:sz w:val="28"/>
          <w:sz w:val="28"/>
          <w:szCs w:val="28"/>
          <w:rtl w:val="true"/>
          <w:lang w:bidi="fa-IR"/>
        </w:rPr>
        <w:t>از فقهای قرن ششم و شهید اوّل</w:t>
      </w:r>
      <w:r>
        <w:rPr>
          <w:rStyle w:val="FootnoteAnchor"/>
          <w:rtl w:val="true"/>
        </w:rPr>
        <w:footnoteReference w:id="372"/>
      </w:r>
      <w:r>
        <w:rPr>
          <w:rFonts w:ascii="IRNazanin" w:hAnsi="IRNazanin" w:eastAsia="IRNazanin"/>
          <w:color w:val="111111"/>
          <w:sz w:val="28"/>
          <w:sz w:val="28"/>
          <w:szCs w:val="28"/>
          <w:rtl w:val="true"/>
          <w:lang w:bidi="fa-IR"/>
        </w:rPr>
        <w:t>نیز این دیدگاه را قریب به واقع دانسته‌اند، هم‌چنین محقّق اردبیلی از این نظریه طرفداری کرده</w:t>
      </w:r>
      <w:r>
        <w:rPr>
          <w:rStyle w:val="FootnoteAnchor"/>
          <w:rtl w:val="true"/>
        </w:rPr>
        <w:footnoteReference w:id="373"/>
      </w:r>
      <w:r>
        <w:rPr>
          <w:rFonts w:ascii="IRNazanin" w:hAnsi="IRNazanin" w:eastAsia="IRNazanin"/>
          <w:color w:val="111111"/>
          <w:sz w:val="28"/>
          <w:sz w:val="28"/>
          <w:szCs w:val="28"/>
          <w:rtl w:val="true"/>
          <w:lang w:bidi="fa-IR"/>
        </w:rPr>
        <w:t>و سید یزدی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قویتر این است که اگر کودکِ ممیّز با بصیرت، اسلام را بپذیرد، قبول شود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بسیاری از فقهای معاصر،</w:t>
      </w:r>
      <w:r>
        <w:rPr>
          <w:rStyle w:val="FootnoteAnchor"/>
          <w:rtl w:val="true"/>
        </w:rPr>
        <w:footnoteReference w:id="375"/>
      </w:r>
      <w:r>
        <w:rPr>
          <w:rFonts w:ascii="IRNazanin" w:hAnsi="IRNazanin" w:eastAsia="IRNazanin"/>
          <w:color w:val="111111"/>
          <w:sz w:val="28"/>
          <w:sz w:val="28"/>
          <w:szCs w:val="28"/>
          <w:rtl w:val="true"/>
          <w:lang w:bidi="fa-IR"/>
        </w:rPr>
        <w:t>از جمله آیت الله فاضل لنکرانی</w:t>
      </w:r>
      <w:r>
        <w:rPr>
          <w:rStyle w:val="FootnoteAnchor"/>
          <w:rtl w:val="true"/>
        </w:rPr>
        <w:footnoteReference w:id="376"/>
      </w:r>
      <w:r>
        <w:rPr>
          <w:rFonts w:ascii="IRNazanin" w:hAnsi="IRNazanin" w:eastAsia="IRNazanin"/>
          <w:color w:val="111111"/>
          <w:sz w:val="28"/>
          <w:sz w:val="28"/>
          <w:szCs w:val="28"/>
          <w:rtl w:val="true"/>
          <w:lang w:bidi="fa-IR"/>
        </w:rPr>
        <w:t>نیز به این نظریّه قائل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ادلّه صحّت اسلام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معرفت نسبت به اصول دین، وجوب عقلی دارد، به این معنی که به حکم عقل، شکرگزاری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مهم به دست نمیآید، مگر با معرفت نسبت به پروردگار متعال، و با فرض این‌که کودک ممیّز اجمالاً قادر به ادراک این معنی است، به حکم عقل بر او نیز همانند مکلّفین واجب است در این‌باره کسب معرفت نماید، زیرا در حکم عقل، تخصیص نیست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اردبیلی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ممیّز در صورتیکه قادر بر استدلال و فهم ادلّه وجود واجب و توحید و آن‌چه متوقف بر آن است باشند، ممکن است</w:t>
      </w:r>
    </w:p>
    <w:p>
      <w:pPr>
        <w:pStyle w:val="BookText"/>
        <w:rPr/>
      </w:pPr>
      <w:r>
        <w:rPr>
          <w:rFonts w:ascii="IRNazanin" w:hAnsi="IRNazanin" w:eastAsia="IRNazanin"/>
          <w:color w:val="111111"/>
          <w:sz w:val="28"/>
          <w:sz w:val="28"/>
          <w:szCs w:val="28"/>
          <w:rtl w:val="true"/>
          <w:lang w:bidi="fa-IR"/>
        </w:rPr>
        <w:t>تحصیل آن بر آنها واجب باشد؛ زیرا دلیل وجوب معرفت خداوند، عقلی است، پس هر کس آن را میفهمد مشمول این حکم قرار میگیرد و اختصاص به افراد بالغ ندارد و در ادلّه عقلی، استثنایی وجود ندارد، بنابراین بعید نیست اطفال ممیّز، مکلّف به تحصیل معرفت خداوند باشند، بلکه بر آنان واجب شود، و اگر بر آنها واجب باشد باید اسلام آنها پذیرفته شود و احکام اسلام بر آن مترتب گردد</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قریب به این مضمون در مفتاح الکرامه</w:t>
      </w:r>
      <w:r>
        <w:rPr>
          <w:rStyle w:val="FootnoteAnchor"/>
          <w:rtl w:val="true"/>
        </w:rPr>
        <w:footnoteReference w:id="379"/>
      </w:r>
      <w:r>
        <w:rPr>
          <w:rFonts w:ascii="IRNazanin" w:hAnsi="IRNazanin" w:eastAsia="IRNazanin"/>
          <w:color w:val="111111"/>
          <w:sz w:val="28"/>
          <w:sz w:val="28"/>
          <w:szCs w:val="28"/>
          <w:rtl w:val="true"/>
          <w:lang w:bidi="fa-IR"/>
        </w:rPr>
        <w:t>و منیة الطالب</w:t>
      </w:r>
      <w:r>
        <w:rPr>
          <w:rStyle w:val="FootnoteAnchor"/>
          <w:rtl w:val="true"/>
        </w:rPr>
        <w:footnoteReference w:id="380"/>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صحت اسلام کودک به دو لحاظ میتواند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مانع شرعی باشد، به این معنی که دلیل شرعی بر عدم صحّت اسلام کودک دلالت داشته باشد و فرض بر این است چنین دلیلی وجود ندارد، زیرا ادلّه‌ای چون حدیث رفع چنین مسائلی را شامل نمیشود و به اصطلاح، وجوب معرفت نسبت به خداوند متعال از موضوع حدیث رفع خارج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دلیل مانع عقلی باشد، ولی این مانع هم وجود ندارد، بلکه همان گونه که توضیح داده شده، عقل، معرفت نسبت به خداوند را پسندیده، بلکه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ایمان از امور واقعی میباشند و پذیرش آن از کودک ممیّز عاقل ممکن است، همان‌گونه که بالغ آن را میپذپرد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اسلام دائر مدار اقرار به شهادتین است و با آن، احکام اسلام، مانند احترام خون و مال مترتّب میگردد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بسیاری بر این مدّعا دلالت دارد و اطلاق آنها شامل افراد بالغ و غیر بالغ هر دو میباشد، از جمله آن‌که، سماعه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پذیرش اسلام، اقرار به شهادتین، یعنی این‌که خدایی به جز خدای یکتا نیست و تصدیق به رسالت نبی اکرم صلی الله علیه و آله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اقرار، جان و خون مردم محفوظ و محترم میماند و احکام نکاح و ارث بر آن مترتب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ازدواج مسلمان با چنین فردی جایز است</w:t>
      </w:r>
      <w:bookmarkStart w:id="199" w:name="pg13713_164398"/>
    </w:p>
    <w:p>
      <w:pPr>
        <w:pStyle w:val="BookText"/>
        <w:rPr/>
      </w:pPr>
      <w:bookmarkEnd w:id="199"/>
      <w:r>
        <w:rPr>
          <w:rFonts w:ascii="Amiri" w:hAnsi="Amiri" w:eastAsia="Amiri" w:cs="Amiri"/>
          <w:color w:val="111111"/>
          <w:sz w:val="28"/>
          <w:sz w:val="28"/>
          <w:szCs w:val="28"/>
          <w:rtl w:val="true"/>
          <w:lang w:bidi="ar-SA"/>
        </w:rPr>
        <w:t>و از مسلمان ارث میبرد و مسلمان نیز از او ارث میبرد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بسیاری از مردم با استناد به ظاهر این حکم، مسلمان میباشند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شَهادَةُ أَنْ لا إِلهَ إِلاّ اللهُ، وَالتَّصْدِیقُ بِرَسُولِ اللهِصلی الله علیه و آله بِهِ حُقِنَتِ الدِّماءُ وَعَلَیْهِ جَرَتِ الْمَناکِحُ وَالْمَواریِثُ وَعَلی ظاهِرِهِ جَماعَةُ النّاسِ</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وروایات دیگر</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 مشروعیت</w:t>
      </w:r>
      <w:r>
        <w:rPr>
          <w:rStyle w:val="FootnoteAnchor"/>
          <w:rtl w:val="true"/>
        </w:rPr>
        <w:footnoteReference w:id="383"/>
      </w:r>
      <w:r>
        <w:rPr>
          <w:rFonts w:ascii="IRNazanin" w:hAnsi="IRNazanin" w:eastAsia="IRNazanin"/>
          <w:color w:val="111111"/>
          <w:sz w:val="28"/>
          <w:sz w:val="28"/>
          <w:szCs w:val="28"/>
          <w:rtl w:val="true"/>
          <w:lang w:bidi="fa-IR"/>
        </w:rPr>
        <w:t>و صحّت عبادات کودک ممیّز دلالت دارد، صحّت اسلام او را نیز اثبات میداند، چرا که با آن ادلّه اثبات میشود خطاب‌های شارع در ابواب مختلف، عبادات کودک ممیّز را نیز شامل میگردد، زیرا فرض بر این است چنین کودکی قادر به درک و فهم خطابی که به او متوجّه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مقتضای اطلاق ادلّه، قبول اسلام توسط کودک ممیّز عاقل، صحیح است و از تبعیّت پدر و مادر کافر خود، خارج میشود و باید با او به عنوان یک مسلمان عمل شود و احکام اسلام به عنوان کودک مسلمان، در مورد وی اجرا گردد</w:t>
      </w:r>
      <w:r>
        <w:rPr>
          <w:rFonts w:eastAsia="IRNazanin" w:cs="IRNazanin"/>
          <w:color w:val="111111"/>
          <w:sz w:val="28"/>
          <w:szCs w:val="28"/>
          <w:rtl w:val="true"/>
          <w:lang w:bidi="fa-IR"/>
        </w:rPr>
        <w:t>.</w:t>
      </w:r>
    </w:p>
    <w:p>
      <w:pPr>
        <w:pStyle w:val="Heading4"/>
        <w:numPr>
          <w:ilvl w:val="3"/>
          <w:numId w:val="1"/>
        </w:numPr>
        <w:rPr/>
      </w:pPr>
      <w:bookmarkStart w:id="200" w:name="__RefHeading___Toc1259460_1468164448"/>
      <w:bookmarkStart w:id="201" w:name="_Toc75"/>
      <w:bookmarkEnd w:id="200"/>
      <w:r>
        <w:rPr/>
        <w:t>5</w:t>
      </w:r>
      <w:r>
        <w:rPr>
          <w:rtl w:val="true"/>
        </w:rPr>
        <w:t xml:space="preserve">- </w:t>
      </w:r>
      <w:r>
        <w:rPr>
          <w:rtl w:val="true"/>
        </w:rPr>
        <w:t>آزادی عقیده در کنوانسیون حقوق کودک</w:t>
      </w:r>
      <w:bookmarkEnd w:id="201"/>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کودک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دارای حق آزادی ابراز عقیده میباشد، این حق شامل آزادی جستجو، دریافت و رساندن اطلاعات و عقاید از هر نوع، بدون توجّه به مرزها، کتبی یا شفاهی یا چاپ شده، به شکل آثار هنری یا از طریق هر رسانه دیگری به انتخاب کودک میباشد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کشورهای طرف کنوانسیون، حق آزادی فکر، عقیده و مذهب را برای کودک محترم خواهند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بند سوّم ماده مزبور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اظهار مذهب و عقاید، فقط طبق محدودیت‌هایی که در قانون تصریح شده و برای حفظ امنیت، نظم، سلامت و اخلاقیات عمومی و یا حقوق آزادیهای اساسی دیگران لازم است، محدود میشود</w:t>
      </w:r>
      <w:r>
        <w:rPr>
          <w:rFonts w:eastAsia="IRNazanin" w:cs="IRNazanin"/>
          <w:color w:val="111111"/>
          <w:sz w:val="28"/>
          <w:szCs w:val="28"/>
          <w:rtl w:val="true"/>
          <w:lang w:bidi="fa-IR"/>
        </w:rPr>
        <w:t>».</w:t>
      </w:r>
      <w:bookmarkStart w:id="202" w:name="pg13713_164399"/>
    </w:p>
    <w:p>
      <w:pPr>
        <w:pStyle w:val="Heading4"/>
        <w:numPr>
          <w:ilvl w:val="3"/>
          <w:numId w:val="1"/>
        </w:numPr>
        <w:rPr/>
      </w:pPr>
      <w:bookmarkStart w:id="203" w:name="__RefHeading___Toc1259462_1468164448"/>
      <w:bookmarkStart w:id="204" w:name="_Toc76"/>
      <w:bookmarkEnd w:id="202"/>
      <w:bookmarkEnd w:id="203"/>
      <w:r>
        <w:rPr/>
        <w:t>6</w:t>
      </w:r>
      <w:r>
        <w:rPr>
          <w:rtl w:val="true"/>
        </w:rPr>
        <w:t xml:space="preserve">- </w:t>
      </w:r>
      <w:r>
        <w:rPr>
          <w:rtl w:val="true"/>
        </w:rPr>
        <w:t>نقد و بررسی</w:t>
      </w:r>
      <w:bookmarkEnd w:id="204"/>
    </w:p>
    <w:p>
      <w:pPr>
        <w:pStyle w:val="BookText"/>
        <w:rPr/>
      </w:pPr>
      <w:r>
        <w:rPr>
          <w:rFonts w:ascii="IRNazanin" w:hAnsi="IRNazanin" w:eastAsia="IRNazanin"/>
          <w:color w:val="111111"/>
          <w:sz w:val="28"/>
          <w:sz w:val="28"/>
          <w:szCs w:val="28"/>
          <w:rtl w:val="true"/>
          <w:lang w:bidi="fa-IR"/>
        </w:rPr>
        <w:t xml:space="preserve">هرچند در بند اخیر ماده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آزادی عقیده کودک به صورت محدود مرزبندی شده است، ولی در مجموع به نظر میرسد اعمال این ماده در مورد کودک، موجب تضییع و نادیده گرفتن بزرگترین حق وی، یعنی اعتقادات او خواهد شد، زیرا در دنیای کنونی عقاید و مذاهب انحرافی و گمراه‌کننده که بر خلاف عقل و فطرت و علم است، وجود دارد، از این رو اگر کودک که دارای ذهن مستعد، فکر روشن، امّا بیتجربه و ناآگاه میباشد، آزادانه بتواند هر مذهبی که تمایل داشت برای خود انتخاب کند و والدین او در قبال او مسئولیّتی نداشته باشند، چه ضمانتی وجود دارد که مذاهب انحرافی انتخاب نکند، به‌ویژه آن‌که در متن مواد مزبور آمده است، عقایدی که کودک میتواند انتخاب کند منحصر به مرز جغرافیایی کشوری که در آن سکونت دارد، کتبی، یا شفاهی، یا چاپ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به هر طریق و به هر وسیله به او رسیده باشد، آزاد است آن را انتخاب نموده و ابراز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این ماده، ابطال و پوچی آن را اثبات مینماید، فرض کنید در خانواده‌ای، پنج کودک وجود دارد هر کدام برای خود مذهبی مستقل و مختلف از دیگران انتخاب کند و در یک مدرسه‌ای که صد کودک در حال تحصیل میباشند، ده‌ها مذهب گوناگون انتخاب شود آیا زندگی در چنین جامعه‌ای امکان دارد؟ آیا در مرحله عمل، امکان اجرای هر کدام از این مذاهب مختلف میباشد؟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عقیده که در اسلام پیش‌بینی شده، مصلحت و سعادت کودک را به دنبال دارد، برخلاف آن‌چه در کنوانسیون حقوق کودک آمده که اجرای آن، موجب ضلالت و گمراهی کودک خواهد شد</w:t>
      </w:r>
      <w:r>
        <w:rPr>
          <w:rFonts w:eastAsia="IRNazanin" w:cs="IRNazanin"/>
          <w:color w:val="111111"/>
          <w:sz w:val="28"/>
          <w:szCs w:val="28"/>
          <w:rtl w:val="true"/>
          <w:lang w:bidi="fa-IR"/>
        </w:rPr>
        <w:t>.</w:t>
      </w:r>
      <w:bookmarkStart w:id="205" w:name="pg13713_164400"/>
    </w:p>
    <w:p>
      <w:pPr>
        <w:pStyle w:val="Heading3"/>
        <w:numPr>
          <w:ilvl w:val="2"/>
          <w:numId w:val="1"/>
        </w:numPr>
        <w:rPr/>
      </w:pPr>
      <w:bookmarkStart w:id="206" w:name="__RefHeading___Toc1259464_1468164448"/>
      <w:bookmarkStart w:id="207" w:name="_Toc77"/>
      <w:bookmarkEnd w:id="205"/>
      <w:bookmarkEnd w:id="206"/>
      <w:r>
        <w:rPr>
          <w:rtl w:val="true"/>
        </w:rPr>
        <w:t>گفتار سوّم</w:t>
      </w:r>
      <w:r>
        <w:rPr>
          <w:rtl w:val="true"/>
        </w:rPr>
        <w:t xml:space="preserve">: </w:t>
      </w:r>
      <w:r>
        <w:rPr>
          <w:rtl w:val="true"/>
        </w:rPr>
        <w:t>رعایت احکام مذهبی نسبت به کودک فوت شده</w:t>
      </w:r>
      <w:bookmarkEnd w:id="207"/>
    </w:p>
    <w:p>
      <w:pPr>
        <w:pStyle w:val="Heading4"/>
        <w:numPr>
          <w:ilvl w:val="3"/>
          <w:numId w:val="1"/>
        </w:numPr>
        <w:rPr/>
      </w:pPr>
      <w:bookmarkStart w:id="208" w:name="__RefHeading___Toc1259466_1468164448"/>
      <w:bookmarkStart w:id="209" w:name="_Toc78"/>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در اسلام، جسم بی‌جان مسلمان نیز دارای احترام است و مُردگان با انجام مراسم و تشریفات خاص در وقت احتضار و جان دادن و بعد از آن، تکریم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مراسمی که برای مُرده شخصِ بالغ پیش‌بینی شده، در مورد کودکان غیر بالغ نیز اجرا میگردد؛ در ادامه فهرست‌وار به این آداب و مراسم اشاره میشود</w:t>
      </w:r>
      <w:r>
        <w:rPr>
          <w:rFonts w:eastAsia="IRNazanin" w:cs="IRNazanin"/>
          <w:color w:val="111111"/>
          <w:sz w:val="28"/>
          <w:szCs w:val="28"/>
          <w:rtl w:val="true"/>
          <w:lang w:bidi="fa-IR"/>
        </w:rPr>
        <w:t>:</w:t>
      </w:r>
    </w:p>
    <w:p>
      <w:pPr>
        <w:pStyle w:val="Heading4"/>
        <w:numPr>
          <w:ilvl w:val="3"/>
          <w:numId w:val="1"/>
        </w:numPr>
        <w:rPr/>
      </w:pPr>
      <w:bookmarkStart w:id="210" w:name="__RefHeading___Toc1259468_1468164448"/>
      <w:bookmarkStart w:id="211" w:name="_Toc79"/>
      <w:bookmarkEnd w:id="210"/>
      <w:r>
        <w:rPr/>
        <w:t>1</w:t>
      </w:r>
      <w:r>
        <w:rPr>
          <w:rtl w:val="true"/>
        </w:rPr>
        <w:t xml:space="preserve">- </w:t>
      </w:r>
      <w:r>
        <w:rPr>
          <w:rtl w:val="true"/>
        </w:rPr>
        <w:t>تلقین محتضر</w:t>
      </w:r>
      <w:bookmarkEnd w:id="211"/>
    </w:p>
    <w:p>
      <w:pPr>
        <w:pStyle w:val="BookText"/>
        <w:rPr/>
      </w:pPr>
      <w:r>
        <w:rPr>
          <w:rFonts w:ascii="IRNazanin" w:hAnsi="IRNazanin" w:eastAsia="IRNazanin"/>
          <w:color w:val="111111"/>
          <w:sz w:val="28"/>
          <w:sz w:val="28"/>
          <w:szCs w:val="28"/>
          <w:rtl w:val="true"/>
          <w:lang w:bidi="fa-IR"/>
        </w:rPr>
        <w:t xml:space="preserve">تلقین و تذکّر به کودک ممیّزی که در حال احتضار است با جملة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تصریح کرده‌اند که در این حکم فرقی بین صغیر و کبیر نیست</w:t>
      </w:r>
      <w:r>
        <w:rPr>
          <w:rFonts w:eastAsia="IRNazanin" w:cs="IRNazanin"/>
          <w:color w:val="111111"/>
          <w:sz w:val="28"/>
          <w:szCs w:val="28"/>
          <w:rtl w:val="true"/>
          <w:lang w:bidi="fa-IR"/>
        </w:rPr>
        <w:t>.</w:t>
      </w:r>
      <w:r>
        <w:rPr>
          <w:rStyle w:val="FootnoteAnchor"/>
          <w:rtl w:val="true"/>
        </w:rPr>
        <w:footnoteReference w:id="384"/>
      </w:r>
    </w:p>
    <w:p>
      <w:pPr>
        <w:pStyle w:val="Heading4"/>
        <w:numPr>
          <w:ilvl w:val="3"/>
          <w:numId w:val="1"/>
        </w:numPr>
        <w:rPr/>
      </w:pPr>
      <w:bookmarkStart w:id="212" w:name="__RefHeading___Toc1259470_1468164448"/>
      <w:bookmarkStart w:id="213" w:name="_Toc80"/>
      <w:bookmarkEnd w:id="212"/>
      <w:r>
        <w:rPr/>
        <w:t>2</w:t>
      </w:r>
      <w:r>
        <w:rPr>
          <w:rtl w:val="true"/>
        </w:rPr>
        <w:t xml:space="preserve">- </w:t>
      </w:r>
      <w:r>
        <w:rPr>
          <w:rtl w:val="true"/>
        </w:rPr>
        <w:t>خواباندن محتضر به طرف قبله</w:t>
      </w:r>
      <w:bookmarkEnd w:id="213"/>
    </w:p>
    <w:p>
      <w:pPr>
        <w:pStyle w:val="BookText"/>
        <w:rPr/>
      </w:pPr>
      <w:r>
        <w:rPr>
          <w:rFonts w:ascii="IRNazanin" w:hAnsi="IRNazanin" w:eastAsia="IRNazanin"/>
          <w:color w:val="111111"/>
          <w:sz w:val="28"/>
          <w:sz w:val="28"/>
          <w:szCs w:val="28"/>
          <w:rtl w:val="true"/>
          <w:lang w:bidi="fa-IR"/>
        </w:rPr>
        <w:t>توجیه محتضر به طرف قبله در مورد مکلّفین واجب است؛ در این حکم نیز فرقی بین کودک و بالغ نیست</w:t>
      </w:r>
      <w:r>
        <w:rPr>
          <w:rFonts w:eastAsia="IRNazanin" w:cs="IRNazanin"/>
          <w:color w:val="111111"/>
          <w:sz w:val="28"/>
          <w:szCs w:val="28"/>
          <w:rtl w:val="true"/>
          <w:lang w:bidi="fa-IR"/>
        </w:rPr>
        <w:t>.</w:t>
      </w:r>
      <w:r>
        <w:rPr>
          <w:rStyle w:val="FootnoteAnchor"/>
          <w:rtl w:val="true"/>
        </w:rPr>
        <w:footnoteReference w:id="38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نحو کفایی واجب است، میّت را در حال احتضار و نزع به طرف قبله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باشد یا زن، صغیر باشد یا کبیر</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اطلاق روایات وارد شده در این زمینه میباشد</w:t>
      </w:r>
      <w:r>
        <w:rPr>
          <w:rFonts w:eastAsia="IRNazanin" w:cs="IRNazanin"/>
          <w:color w:val="111111"/>
          <w:sz w:val="28"/>
          <w:szCs w:val="28"/>
          <w:rtl w:val="true"/>
          <w:lang w:bidi="fa-IR"/>
        </w:rPr>
        <w:t>.</w:t>
      </w:r>
      <w:r>
        <w:rPr>
          <w:rStyle w:val="FootnoteAnchor"/>
          <w:rtl w:val="true"/>
        </w:rPr>
        <w:footnoteReference w:id="387"/>
      </w:r>
      <w:bookmarkStart w:id="214" w:name="pg13713_164401"/>
    </w:p>
    <w:p>
      <w:pPr>
        <w:pStyle w:val="Heading4"/>
        <w:numPr>
          <w:ilvl w:val="3"/>
          <w:numId w:val="1"/>
        </w:numPr>
        <w:rPr/>
      </w:pPr>
      <w:bookmarkStart w:id="215" w:name="__RefHeading___Toc1259472_1468164448"/>
      <w:bookmarkStart w:id="216" w:name="_Toc81"/>
      <w:bookmarkEnd w:id="214"/>
      <w:bookmarkEnd w:id="215"/>
      <w:r>
        <w:rPr/>
        <w:t>3</w:t>
      </w:r>
      <w:r>
        <w:rPr>
          <w:rtl w:val="true"/>
        </w:rPr>
        <w:t xml:space="preserve">- </w:t>
      </w:r>
      <w:r>
        <w:rPr>
          <w:rtl w:val="true"/>
        </w:rPr>
        <w:t>غسل میّت</w:t>
      </w:r>
      <w:bookmarkEnd w:id="216"/>
    </w:p>
    <w:p>
      <w:pPr>
        <w:pStyle w:val="BookText"/>
        <w:rPr/>
      </w:pPr>
      <w:r>
        <w:rPr>
          <w:rFonts w:ascii="IRNazanin" w:hAnsi="IRNazanin" w:eastAsia="IRNazanin"/>
          <w:color w:val="111111"/>
          <w:sz w:val="28"/>
          <w:sz w:val="28"/>
          <w:szCs w:val="28"/>
          <w:rtl w:val="true"/>
          <w:lang w:bidi="fa-IR"/>
        </w:rPr>
        <w:t>به اجماع فقها، غسل</w:t>
      </w:r>
      <w:r>
        <w:rPr>
          <w:rStyle w:val="FootnoteAnchor"/>
          <w:rtl w:val="true"/>
        </w:rPr>
        <w:footnoteReference w:id="388"/>
      </w:r>
      <w:r>
        <w:rPr>
          <w:rFonts w:ascii="IRNazanin" w:hAnsi="IRNazanin" w:eastAsia="IRNazanin"/>
          <w:color w:val="111111"/>
          <w:sz w:val="28"/>
          <w:sz w:val="28"/>
          <w:szCs w:val="28"/>
          <w:rtl w:val="true"/>
          <w:lang w:bidi="fa-IR"/>
        </w:rPr>
        <w:t>دادن میّت مسلمان، واجب کفایی است</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شیخ مفید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دادن اموات، اعمّ از مردان و زنان و اطفال، در دین اسلام واجب است</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شیخ طوسی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 کودک باشد باید او را مانند مردان غسل داد و مانند آنها کفن و حنوط نمود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حتی طفلی که یکی از والدین او، مسلمان باشند و نیز لقیط دارالاسلام و طفل اسیر که به حکم تبعیّت، مسلمان میباشد، باید غسل داده شود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مستند این حکم نیز عموم و اطلاق روایات وارد شده میباشد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217" w:name="__RefHeading___Toc1259474_1468164448"/>
      <w:bookmarkStart w:id="218" w:name="_Toc82"/>
      <w:bookmarkEnd w:id="217"/>
      <w:r>
        <w:rPr/>
        <w:t>4</w:t>
      </w:r>
      <w:r>
        <w:rPr>
          <w:rtl w:val="true"/>
        </w:rPr>
        <w:t xml:space="preserve">- </w:t>
      </w:r>
      <w:r>
        <w:rPr>
          <w:rtl w:val="true"/>
        </w:rPr>
        <w:t>وجوب غسلِ کودکِ سقط شده</w:t>
      </w:r>
      <w:bookmarkEnd w:id="218"/>
    </w:p>
    <w:p>
      <w:pPr>
        <w:pStyle w:val="BookText"/>
        <w:rPr/>
      </w:pPr>
      <w:r>
        <w:rPr>
          <w:rFonts w:ascii="IRNazanin" w:hAnsi="IRNazanin" w:eastAsia="IRNazanin"/>
          <w:color w:val="111111"/>
          <w:sz w:val="28"/>
          <w:sz w:val="28"/>
          <w:szCs w:val="28"/>
          <w:rtl w:val="true"/>
          <w:lang w:bidi="fa-IR"/>
        </w:rPr>
        <w:t>چنان که بیان شد غسل میّت کودکی که تام الخلقه و زنده متولد شده، واجب است، هرچند بعد از تولد فوراً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غسل کودکی که سقط شده،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زمان انعقاد نطفة او چهار ماه و یا بیش‌تر گذشته باشد، به اتفاق فقها باید غسل داده شود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سقط شده در صورتی که چهار ماه از زمان انعقاد او گذشته، باید غسل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اَلسِّقْطُ إِذا تَمَّ أَرْبَعَةُ أَشْهُرٍ غُسِّلَ</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روایات دیگری هم در این باره وجود دارد</w:t>
      </w:r>
      <w:r>
        <w:rPr>
          <w:rFonts w:eastAsia="IRNazanin" w:cs="IRNazanin"/>
          <w:color w:val="111111"/>
          <w:sz w:val="28"/>
          <w:szCs w:val="28"/>
          <w:rtl w:val="true"/>
          <w:lang w:bidi="fa-IR"/>
        </w:rPr>
        <w:t>.</w:t>
      </w:r>
      <w:r>
        <w:rPr>
          <w:rStyle w:val="FootnoteAnchor"/>
          <w:rtl w:val="true"/>
        </w:rPr>
        <w:footnoteReference w:id="396"/>
      </w:r>
      <w:bookmarkStart w:id="219" w:name="pg13713_164402"/>
    </w:p>
    <w:p>
      <w:pPr>
        <w:pStyle w:val="BookText"/>
        <w:rPr/>
      </w:pPr>
      <w:bookmarkEnd w:id="219"/>
      <w:r>
        <w:rPr>
          <w:rFonts w:ascii="IRNazanin" w:hAnsi="IRNazanin" w:eastAsia="IRNazanin"/>
          <w:color w:val="111111"/>
          <w:sz w:val="28"/>
          <w:sz w:val="28"/>
          <w:szCs w:val="28"/>
          <w:rtl w:val="true"/>
          <w:lang w:bidi="fa-IR"/>
        </w:rPr>
        <w:t>و چنان‌چه کم‌تر از چهار ماه از زمان انعقاد نطفة او میگذرد، غسل ندارد، بلکه باید او را در پارچه‌ای پیچید و دفن نمود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به اجماع فقها، در غسل دادن میّت، مماثلت شرط است، به این معنی که لازم است غسل میّت مرد را، مرد انجام دهد و میّت زن را، زن به عهده بگیرد، البتّه مرد میتواند همسر خود را غسل دهد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مورد کودکانی که سه سال یا کم‌تر دارند استثناء شده، از این رو بسیاری از فقیهان تصریح نموده‌اند اگر دختری که سه سال یا کم‌تر دارد فوت کند، و زنی نباشد که او را غسل دهد، مرد میتواند او را غسل دهد، همچنین اگر پسر سه ساله یا کوچک‌تر، فوت کند، زن میتواند او را غسل دهد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220" w:name="__RefHeading___Toc1259476_1468164448"/>
      <w:bookmarkStart w:id="221" w:name="_Toc83"/>
      <w:bookmarkEnd w:id="220"/>
      <w:r>
        <w:rPr/>
        <w:t>5</w:t>
      </w:r>
      <w:r>
        <w:rPr>
          <w:rtl w:val="true"/>
        </w:rPr>
        <w:t xml:space="preserve">- </w:t>
      </w:r>
      <w:r>
        <w:rPr>
          <w:rtl w:val="true"/>
        </w:rPr>
        <w:t>تکفین، حنوط و دفن کودک میّت</w:t>
      </w:r>
      <w:bookmarkEnd w:id="221"/>
    </w:p>
    <w:p>
      <w:pPr>
        <w:pStyle w:val="BookText"/>
        <w:rPr/>
      </w:pP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میّت در جمیع احکام اموات، مانند بالغ است، بنابراین واجب است بر طبق‌دستور شرع، او را کفن و حنوط نمود و سپس دفن کرد، حتّی کودک سقط شده‌ای‌که چهار ماه از زمان انعقاد نطفه او یا بیش‌تر میگذرد، واجب است این احکام در موردش انجام شود</w:t>
      </w:r>
      <w:r>
        <w:rPr>
          <w:rFonts w:eastAsia="IRNazanin" w:cs="IRNazanin"/>
          <w:color w:val="111111"/>
          <w:sz w:val="28"/>
          <w:szCs w:val="28"/>
          <w:rtl w:val="true"/>
          <w:lang w:bidi="fa-IR"/>
        </w:rPr>
        <w:t>.</w:t>
      </w:r>
      <w:r>
        <w:rPr>
          <w:rStyle w:val="FootnoteAnchor"/>
          <w:rtl w:val="true"/>
        </w:rPr>
        <w:footnoteReference w:id="4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این‌باره ادّعای عدم خلاف</w:t>
      </w:r>
      <w:r>
        <w:rPr>
          <w:rStyle w:val="FootnoteAnchor"/>
          <w:rtl w:val="true"/>
        </w:rPr>
        <w:footnoteReference w:id="401"/>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شریف کافی، از حضرت موسی بن جعفر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ابراهیم</w:t>
      </w:r>
      <w:r>
        <w:rPr>
          <w:rStyle w:val="FootnoteAnchor"/>
          <w:rtl w:val="true"/>
        </w:rPr>
        <w:footnoteReference w:id="402"/>
      </w:r>
      <w:r>
        <w:rPr>
          <w:rFonts w:ascii="IRNazanin" w:hAnsi="IRNazanin" w:eastAsia="IRNazanin"/>
          <w:color w:val="111111"/>
          <w:sz w:val="28"/>
          <w:sz w:val="28"/>
          <w:szCs w:val="28"/>
          <w:rtl w:val="true"/>
          <w:lang w:bidi="fa-IR"/>
        </w:rPr>
        <w:t>فرزند رسول گرامی اسلام صلی الله علیه و آله فوت کرد،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کفن و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222" w:name="pg13713_164403"/>
    </w:p>
    <w:p>
      <w:pPr>
        <w:pStyle w:val="BookText"/>
        <w:rPr/>
      </w:pPr>
      <w:bookmarkEnd w:id="222"/>
      <w:r>
        <w:rPr>
          <w:rFonts w:ascii="IRNazanin" w:hAnsi="IRNazanin" w:eastAsia="IRNazanin"/>
          <w:color w:val="111111"/>
          <w:sz w:val="28"/>
          <w:sz w:val="28"/>
          <w:szCs w:val="28"/>
          <w:rtl w:val="true"/>
          <w:lang w:bidi="fa-IR"/>
        </w:rPr>
        <w:t>حضرت، ابراهیم را غسل داد و حنوط نمود و بر تنش کفن پوشید، سپس با رسول الله صلی الله علیه و آله به‌نزد قبر برده و دفن نمود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البتّه در صورتیکه از زمان انعقاد نطفه کودک چهار ماه نگذشته باشد، مراسم مذهبی که ذکر شد انجام نمیشود</w:t>
      </w:r>
      <w:r>
        <w:rPr>
          <w:rFonts w:eastAsia="IRNazanin" w:cs="IRNazanin"/>
          <w:color w:val="111111"/>
          <w:sz w:val="28"/>
          <w:szCs w:val="28"/>
          <w:rtl w:val="true"/>
          <w:lang w:bidi="fa-IR"/>
        </w:rPr>
        <w:t>.</w:t>
      </w:r>
    </w:p>
    <w:p>
      <w:pPr>
        <w:pStyle w:val="Heading4"/>
        <w:numPr>
          <w:ilvl w:val="3"/>
          <w:numId w:val="1"/>
        </w:numPr>
        <w:rPr/>
      </w:pPr>
      <w:bookmarkStart w:id="223" w:name="__RefHeading___Toc1259478_1468164448"/>
      <w:bookmarkStart w:id="224" w:name="_Toc84"/>
      <w:bookmarkEnd w:id="223"/>
      <w:r>
        <w:rPr/>
        <w:t>6</w:t>
      </w:r>
      <w:r>
        <w:rPr>
          <w:rtl w:val="true"/>
        </w:rPr>
        <w:t xml:space="preserve">- </w:t>
      </w:r>
      <w:r>
        <w:rPr>
          <w:rtl w:val="true"/>
        </w:rPr>
        <w:t>نماز میّت، بر کودک</w:t>
      </w:r>
      <w:bookmarkEnd w:id="224"/>
    </w:p>
    <w:p>
      <w:pPr>
        <w:pStyle w:val="BookText"/>
        <w:rPr/>
      </w:pPr>
      <w:r>
        <w:rPr>
          <w:rFonts w:ascii="IRNazanin" w:hAnsi="IRNazanin" w:eastAsia="IRNazanin"/>
          <w:color w:val="111111"/>
          <w:sz w:val="28"/>
          <w:sz w:val="28"/>
          <w:szCs w:val="28"/>
          <w:rtl w:val="true"/>
          <w:lang w:bidi="fa-IR"/>
        </w:rPr>
        <w:t>دیدگاه مشهور فقهای امامیّه، این است که اقامه نماز بر کودک میّتی که به سن شش سالگی و بالاتر از آن رسیده،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w:t>
      </w:r>
      <w:r>
        <w:rPr>
          <w:rStyle w:val="FootnoteAnchor"/>
          <w:rtl w:val="true"/>
        </w:rPr>
        <w:footnoteReference w:id="405"/>
      </w:r>
      <w:r>
        <w:rPr>
          <w:rFonts w:ascii="IRNazanin" w:hAnsi="IRNazanin" w:eastAsia="IRNazanin"/>
          <w:color w:val="111111"/>
          <w:sz w:val="28"/>
          <w:sz w:val="28"/>
          <w:szCs w:val="28"/>
          <w:rtl w:val="true"/>
          <w:lang w:bidi="fa-IR"/>
        </w:rPr>
        <w:t>به این حکم تصریح نموده و بعضی در این‌باره ادّعای اجماع</w:t>
      </w:r>
      <w:r>
        <w:rPr>
          <w:rStyle w:val="FootnoteAnchor"/>
          <w:rtl w:val="true"/>
        </w:rPr>
        <w:footnoteReference w:id="406"/>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صحیحه، حلبی نقل میکند که از امام صادق علیه السلام سؤال شد، چه زمانی بر کودک میّت نمازگذارده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نماز را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عَقَلَ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سؤال میکند، چه زمانی نماز را میفهمد و باید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شش ساله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ابْنَ سِتِّ سِنِینَ</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 کودک میّتی که به سن شش سالگی نرسیده باشد، واجب نیست نماز میّت بر او اقامه شود، اعمّ از این‌که سقط شده باشد یا بعد از تولّد قبل از شش سالگی مرده باشد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البته‌در فرض دوّم، به نظر مشهور فقها اقامة نماز مستحب میباشد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صحیحه، 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سؤال‌نمودم، کودک میّت، چند ساله یا چند ماهه باشد، بر او نماز اقامه میشود؟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ماه یا سال داشته باشد، بر او نماز خوانده میشود، مگر قبل از تمام شدن خلقتش، سقط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عَلَیْهِ عَلی کُلِّ حالِ إِلاّ أَنْ یَسْقُطَ لِغَیْرِ تَمامٍ</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البته به قرینه آن دسته از اخبار که به صراحت دلالت بر عدم وجوب نماز میّت بر کودک داشت، این دسته از اخبار حمل بر استحباب میشود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نماز میّت که بر کودک خوانده میشود، با نماز افراد بالغ قدری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مشهور فقها، دعا در حق پدر و مادر کودک را واجب‌دانسته‌اند</w:t>
      </w:r>
      <w:r>
        <w:rPr>
          <w:rStyle w:val="FootnoteAnchor"/>
          <w:rtl w:val="true"/>
        </w:rPr>
        <w:footnoteReference w:id="414"/>
      </w:r>
      <w:r>
        <w:rPr>
          <w:rFonts w:ascii="Amiri" w:hAnsi="Amiri" w:eastAsia="Amiri" w:cs="Amiri"/>
          <w:color w:val="111111"/>
          <w:sz w:val="28"/>
          <w:sz w:val="28"/>
          <w:szCs w:val="28"/>
          <w:rtl w:val="true"/>
          <w:lang w:bidi="ar-SA"/>
        </w:rPr>
        <w:t xml:space="preserve">که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لأبَویهِ وَلَنَا سلَفاً وفَرَطاً وأجراً</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بیان میشود و توضیح آن در متون فقهی آمده است</w:t>
      </w:r>
      <w:r>
        <w:rPr>
          <w:rFonts w:eastAsia="IRNazanin" w:cs="IRNazanin"/>
          <w:color w:val="111111"/>
          <w:sz w:val="28"/>
          <w:szCs w:val="28"/>
          <w:rtl w:val="true"/>
          <w:lang w:bidi="fa-IR"/>
        </w:rPr>
        <w:t>.</w:t>
      </w:r>
      <w:r>
        <w:rPr>
          <w:rStyle w:val="FootnoteAnchor"/>
          <w:rtl w:val="true"/>
        </w:rPr>
        <w:footnoteReference w:id="416"/>
      </w:r>
      <w:bookmarkStart w:id="225" w:name="pg13713_164405"/>
    </w:p>
    <w:p>
      <w:pPr>
        <w:pStyle w:val="Heading2"/>
        <w:numPr>
          <w:ilvl w:val="1"/>
          <w:numId w:val="1"/>
        </w:numPr>
        <w:rPr/>
      </w:pPr>
      <w:bookmarkStart w:id="226" w:name="__RefHeading___Toc1259480_1468164448"/>
      <w:bookmarkStart w:id="227" w:name="_Toc85"/>
      <w:bookmarkEnd w:id="225"/>
      <w:bookmarkEnd w:id="226"/>
      <w:r>
        <w:rPr>
          <w:rtl w:val="true"/>
        </w:rPr>
        <w:t>فصل دوازدهم</w:t>
      </w:r>
      <w:r>
        <w:rPr>
          <w:rtl w:val="true"/>
        </w:rPr>
        <w:t xml:space="preserve">: </w:t>
      </w:r>
      <w:r>
        <w:rPr>
          <w:rtl w:val="true"/>
        </w:rPr>
        <w:t>عبادات کودک</w:t>
      </w:r>
      <w:bookmarkEnd w:id="22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1259482_1468164448"/>
      <w:bookmarkStart w:id="229" w:name="_Toc86"/>
      <w:bookmarkEnd w:id="228"/>
      <w:r>
        <w:rPr>
          <w:rtl w:val="true"/>
        </w:rPr>
        <w:t>اشاره</w:t>
      </w:r>
      <w:bookmarkStart w:id="230" w:name="pg13713_164407"/>
      <w:bookmarkEnd w:id="229"/>
    </w:p>
    <w:p>
      <w:pPr>
        <w:pStyle w:val="Heading3"/>
        <w:numPr>
          <w:ilvl w:val="2"/>
          <w:numId w:val="1"/>
        </w:numPr>
        <w:rPr/>
      </w:pPr>
      <w:bookmarkStart w:id="231" w:name="__RefHeading___Toc1259484_1468164448"/>
      <w:bookmarkStart w:id="232" w:name="_Toc87"/>
      <w:bookmarkEnd w:id="230"/>
      <w:bookmarkEnd w:id="231"/>
      <w:r>
        <w:rPr>
          <w:rtl w:val="true"/>
        </w:rPr>
        <w:t>گفتار اوّل</w:t>
      </w:r>
      <w:r>
        <w:rPr>
          <w:rtl w:val="true"/>
        </w:rPr>
        <w:t xml:space="preserve">: </w:t>
      </w:r>
      <w:r>
        <w:rPr>
          <w:rtl w:val="true"/>
        </w:rPr>
        <w:t>نماز کودک</w:t>
      </w:r>
      <w:bookmarkEnd w:id="232"/>
    </w:p>
    <w:p>
      <w:pPr>
        <w:pStyle w:val="Heading4"/>
        <w:numPr>
          <w:ilvl w:val="3"/>
          <w:numId w:val="1"/>
        </w:numPr>
        <w:rPr/>
      </w:pPr>
      <w:bookmarkStart w:id="233" w:name="__RefHeading___Toc1259486_1468164448"/>
      <w:bookmarkStart w:id="234" w:name="_Toc88"/>
      <w:bookmarkEnd w:id="233"/>
      <w:r>
        <w:rPr/>
        <w:t>1</w:t>
      </w:r>
      <w:r>
        <w:rPr>
          <w:rtl w:val="true"/>
        </w:rPr>
        <w:t xml:space="preserve">- </w:t>
      </w:r>
      <w:r>
        <w:rPr>
          <w:rtl w:val="true"/>
        </w:rPr>
        <w:t>مشروعیت عبادات کودک</w:t>
      </w:r>
      <w:bookmarkEnd w:id="234"/>
    </w:p>
    <w:p>
      <w:pPr>
        <w:pStyle w:val="BookText"/>
        <w:rPr/>
      </w:pPr>
      <w:r>
        <w:rPr>
          <w:rFonts w:ascii="IRNazanin" w:hAnsi="IRNazanin" w:eastAsia="IRNazanin"/>
          <w:color w:val="111111"/>
          <w:sz w:val="28"/>
          <w:sz w:val="28"/>
          <w:szCs w:val="28"/>
          <w:rtl w:val="true"/>
          <w:lang w:bidi="fa-IR"/>
        </w:rPr>
        <w:t>اثبات مشروعیت عبادات کودک محور اصلی مباحث این فصل است، زیرا در صورت عدم صحت و فقدان مشروعیت، بحث از عبادات کودک معنی ندارد، ولی با فرض مشروعیت، آثار مختلفی بر آن مترتب میگردد که در خلال مباحث به آن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اتفاق نظر دارند، تکالیف الزام‌آور مثل وجوب و حرمت، متوجه کودک هر چند ممیّز باشد، نیست، زیرا شرط تکلیف الزامی، رسیدن به سنّ بلوغ و رشد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این‌که، آیا احکام غیر الزامی متوجه کودک میشود یا خیر؟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بحث در این است که آیا عبادات کودک ممیّز، مشروعیت دارد و میتواند آن را به عنوان عمل مستحب به جا آورد، یا خیر؟ به این معنی که اگر با قصد امتثال و اطاعت خداوند متعال عبادت را انجام دهد، مستحق اجر و ثواب باشد و آثاری مثل صحّت نیابت از غیر خودش بر آن مترتّب گردد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در این باره بین فقها نظریّات مختلفی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عبادات نسبت به کودکان، صرفاً جنبه تمرینی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اولیای کودکان به جهت این‌که آنها را به انجام عبادات عادت میدهند، اجرو ثواب دارند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بر این باورند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کودک صحیح است، ولی مشروع‌نیست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نیز بین عبادات واجب و مستحب تفصیل قائل شده و معتقد است، عبادات مستحب برای کودک، مشروع است، ولی عبادات واجب، تمرینی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قائلین به نظریّات فوق برای اثبات مدّعای خود، ادلّه‌ای ذکر نموده‌اند که همگی قابل خدشه و اشکال است</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نظریّات، دیدگاهی است که اکثر فقها آن را پذیرفته‌اند، مبنی بر این‌که عبادات کودک ممیّز، مشروع و صحیح است و با انجام آن، اجر و ثواب میبرد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محقّق بحرانی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نظریّه مشهور بین فقهای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نیّت عبادت از کودک ممیّز صحیح است و انجام روزه توسط وی شرعی است و هم‌چنین دیگر عبادات او مشروع است</w:t>
      </w:r>
      <w:r>
        <w:rPr>
          <w:rFonts w:eastAsia="IRNazanin" w:cs="IRNazanin"/>
          <w:color w:val="111111"/>
          <w:sz w:val="28"/>
          <w:szCs w:val="28"/>
          <w:rtl w:val="true"/>
          <w:lang w:bidi="fa-IR"/>
        </w:rPr>
        <w:t>».</w:t>
      </w:r>
      <w:r>
        <w:rPr>
          <w:rStyle w:val="FootnoteAnchor"/>
          <w:rtl w:val="true"/>
        </w:rPr>
        <w:footnoteReference w:id="42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عروة الوثقی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و دیگر عبادات کودک ممیّز، بنابر اقوی، با عنایت به این‌که عبادتش مشروع میباشد، صحیح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ادلّه مشروعیّت عبادات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واطلاقاتی که دلالت بر تکلیف و وجوب دارند، غیر بالغین را نیز شامل میشود</w:t>
      </w:r>
      <w:r>
        <w:rPr>
          <w:rFonts w:eastAsia="IRNazanin" w:cs="IRNazanin"/>
          <w:color w:val="111111"/>
          <w:sz w:val="28"/>
          <w:szCs w:val="28"/>
          <w:rtl w:val="true"/>
          <w:lang w:bidi="fa-IR"/>
        </w:rPr>
        <w:t>.</w:t>
      </w:r>
      <w:r>
        <w:rPr>
          <w:rStyle w:val="FootnoteAnchor"/>
          <w:rtl w:val="true"/>
        </w:rPr>
        <w:footnoteReference w:id="425"/>
      </w:r>
      <w:r>
        <w:rPr>
          <w:rFonts w:ascii="Amiri" w:hAnsi="Amiri" w:eastAsia="Amiri" w:cs="Amiri"/>
          <w:color w:val="111111"/>
          <w:sz w:val="28"/>
          <w:sz w:val="28"/>
          <w:szCs w:val="28"/>
          <w:rtl w:val="true"/>
          <w:lang w:bidi="ar-SA"/>
        </w:rPr>
        <w:t xml:space="preserve">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أَقِیمُوا الصَّلاةَ</w:t>
      </w:r>
      <w:r>
        <w:rPr>
          <w:rFonts w:eastAsia="Amiri" w:cs="Amiri" w:ascii="Amiri" w:hAnsi="Amiri"/>
          <w:color w:val="111111"/>
          <w:sz w:val="28"/>
          <w:szCs w:val="28"/>
          <w:rtl w:val="true"/>
          <w:lang w:bidi="ar-SA"/>
        </w:rPr>
        <w:t xml:space="preserve">) . </w:t>
      </w:r>
      <w:r>
        <w:rPr>
          <w:rStyle w:val="FootnoteAnchor"/>
          <w:rtl w:val="true"/>
        </w:rPr>
        <w:footnoteReference w:id="426"/>
      </w:r>
      <w:r>
        <w:rPr>
          <w:rFonts w:ascii="IRNazanin" w:hAnsi="IRNazanin" w:eastAsia="IRNazanin"/>
          <w:color w:val="111111"/>
          <w:sz w:val="28"/>
          <w:sz w:val="28"/>
          <w:szCs w:val="28"/>
          <w:rtl w:val="true"/>
          <w:lang w:bidi="fa-IR"/>
        </w:rPr>
        <w:t xml:space="preserve">نماز را به پا دارید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 xml:space="preserve">) . </w:t>
      </w:r>
      <w:r>
        <w:rPr>
          <w:rStyle w:val="FootnoteAnchor"/>
          <w:rtl w:val="true"/>
        </w:rPr>
        <w:footnoteReference w:id="427"/>
      </w:r>
      <w:r>
        <w:rPr>
          <w:rFonts w:ascii="IRNazanin" w:hAnsi="IRNazanin" w:eastAsia="IRNazanin"/>
          <w:color w:val="111111"/>
          <w:sz w:val="28"/>
          <w:sz w:val="28"/>
          <w:szCs w:val="28"/>
          <w:rtl w:val="true"/>
          <w:lang w:bidi="fa-IR"/>
        </w:rPr>
        <w:t>هر کس ماه رمضان را درک کند،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که توجّه خطاب به کودک ممیّز از نظر عقل منعی ندارد، هم‌چنین از دیدگاه شرع، توجّه به تکالیف الزام‌آور مثل وجوب و حرمت، مشروط به رسیدن شخص به سن بلوغ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توجّه تکلیف استحبابی به کودک ممیّز، دارای منع شرعی و عقلی نیست و اطلاق در خطابات، او را نیز شامل میشود و فرض بر این است که کودک دارای فهمی که شرط توجّه خطاب و تکلیف استحبابی است، میباشد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اطلاقات غیرتکلیفی نیز کودکان ممیز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روایات وارد شده که تمام افراد را به انجام مفاد آن،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امام‌رضا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نزدیکی هر با تقوایی به پروردگار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 مکّرم اسلام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منزله سپری است که انسان را از آتش جهنّم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این روایات و مشابه آنها که تعدادشان در ابواب مختلف فقه کم نیست، میتواند استحباب را برای کودک اثبات نماید و اثبات استحباب، مساوی با صحّت آن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 اطلاقاتی وجود دارد که دلالت دارند بر ترتّب ثواب و اجر بر افعالی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 انجام دهد، ده برابر به او پاداش</w:t>
      </w:r>
      <w:bookmarkStart w:id="235" w:name="pg13713_164410"/>
    </w:p>
    <w:p>
      <w:pPr>
        <w:pStyle w:val="BookText"/>
        <w:rPr/>
      </w:pPr>
      <w:bookmarkEnd w:id="235"/>
      <w:r>
        <w:rPr>
          <w:rFonts w:ascii="Amiri" w:hAnsi="Amiri" w:eastAsia="Amiri" w:cs="Amiri"/>
          <w:color w:val="111111"/>
          <w:sz w:val="28"/>
          <w:sz w:val="28"/>
          <w:szCs w:val="28"/>
          <w:rtl w:val="true"/>
          <w:lang w:bidi="ar-SA"/>
        </w:rPr>
        <w:t>داده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 </w:t>
      </w:r>
      <w:r>
        <w:rPr>
          <w:rStyle w:val="FootnoteAnchor"/>
          <w:rtl w:val="true"/>
        </w:rPr>
        <w:footnoteReference w:id="432"/>
      </w:r>
      <w:r>
        <w:rPr>
          <w:rFonts w:ascii="IRNazanin" w:hAnsi="IRNazanin" w:eastAsia="IRNazanin"/>
          <w:color w:val="111111"/>
          <w:sz w:val="28"/>
          <w:sz w:val="28"/>
          <w:szCs w:val="28"/>
          <w:rtl w:val="true"/>
          <w:lang w:bidi="fa-IR"/>
        </w:rPr>
        <w:t>یا در بعضی از روایات وارد شده است که هر کس نماز بخواند یا حج برود و یا زکات به مستحق بدهد، چه اندازه ثواب دارد، مثلاً در مورد روزه مستحبی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 بیست و هفتم ماه رجب را روزه بگیرد، خداوند به اندازه شصت ماه روزه به او ثواب عطا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لَهُ صِیامَ سِتَِّینَ شَهْراً</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این گونه روایات، کودکان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 و روایاتی که مفادش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کار هیچ‌کس را ضایع نمیکند و بدون مزد و اجر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آن‌ها استناد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پاداش نیکوکاران را ضایع نخواهیم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نُضِیعُ أَجْرَ مَنْ أَحْسَنَ عَمَلاً</w:t>
      </w:r>
      <w:r>
        <w:rPr>
          <w:rFonts w:eastAsia="IRNazanin" w:cs="IRNazanin"/>
          <w:color w:val="111111"/>
          <w:sz w:val="28"/>
          <w:szCs w:val="28"/>
          <w:rtl w:val="true"/>
          <w:lang w:bidi="fa-IR"/>
        </w:rPr>
        <w:t>)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وارد شده که به طور خاص، دلالت بر استحباب عبادت نسبت به کودک دارد و میتوان مشروعیّت را از آن استفاده نمود، در مباحث مربوط به هر یک از عبادات کودک، آن روایات را ذکر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اگر کار نیک از کودک ممّیز صادر شود، عنوان عمل صالح و نیک بر آن صادق است و بر اساس بسیاری از آیات و روایات، خداوند آن را ضایع نمیکند، بلکه پاداش خواهد داد و این مستلزم مشروعیّت آن است</w:t>
      </w:r>
      <w:r>
        <w:rPr>
          <w:rFonts w:eastAsia="IRNazanin" w:cs="IRNazanin"/>
          <w:color w:val="111111"/>
          <w:sz w:val="28"/>
          <w:szCs w:val="28"/>
          <w:rtl w:val="true"/>
          <w:lang w:bidi="fa-IR"/>
        </w:rPr>
        <w:t>.</w:t>
      </w:r>
    </w:p>
    <w:p>
      <w:pPr>
        <w:pStyle w:val="Heading4"/>
        <w:numPr>
          <w:ilvl w:val="3"/>
          <w:numId w:val="1"/>
        </w:numPr>
        <w:rPr/>
      </w:pPr>
      <w:bookmarkStart w:id="236" w:name="__RefHeading___Toc1259488_1468164448"/>
      <w:bookmarkStart w:id="237" w:name="_Toc89"/>
      <w:bookmarkEnd w:id="236"/>
      <w:r>
        <w:rPr/>
        <w:t>2</w:t>
      </w:r>
      <w:r>
        <w:rPr>
          <w:rtl w:val="true"/>
        </w:rPr>
        <w:t xml:space="preserve">- </w:t>
      </w:r>
      <w:r>
        <w:rPr>
          <w:rtl w:val="true"/>
        </w:rPr>
        <w:t>شرایط نماز کودک</w:t>
      </w:r>
      <w:bookmarkEnd w:id="2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شرایطی که در نماز افراد بالغ معتبر است، در نماز کودک نیز باید رعایت گردد، مگر در موارد استثنایی که دلیل خاصّی بر عدم لزوم آن شرط،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w:t>
      </w:r>
      <w:r>
        <w:rPr>
          <w:rStyle w:val="FootnoteAnchor"/>
          <w:rtl w:val="true"/>
        </w:rPr>
        <w:footnoteReference w:id="435"/>
      </w:r>
      <w:r>
        <w:rPr>
          <w:rFonts w:ascii="IRNazanin" w:hAnsi="IRNazanin" w:eastAsia="IRNazanin"/>
          <w:color w:val="111111"/>
          <w:sz w:val="28"/>
          <w:sz w:val="28"/>
          <w:szCs w:val="28"/>
          <w:rtl w:val="true"/>
          <w:lang w:bidi="fa-IR"/>
        </w:rPr>
        <w:t>، به این معنی تصریح نموده و برخی نیز از مفهوم کلامشان استفاده میگردد</w:t>
      </w:r>
      <w:r>
        <w:rPr>
          <w:rFonts w:eastAsia="IRNazanin" w:cs="IRNazanin"/>
          <w:color w:val="111111"/>
          <w:sz w:val="28"/>
          <w:szCs w:val="28"/>
          <w:rtl w:val="true"/>
          <w:lang w:bidi="fa-IR"/>
        </w:rPr>
        <w:t>.</w:t>
      </w:r>
      <w:r>
        <w:rPr>
          <w:rStyle w:val="FootnoteAnchor"/>
          <w:rtl w:val="true"/>
        </w:rPr>
        <w:footnoteReference w:id="436"/>
      </w:r>
      <w:bookmarkStart w:id="238" w:name="pg13713_164411"/>
    </w:p>
    <w:p>
      <w:pPr>
        <w:pStyle w:val="BookText"/>
        <w:rPr/>
      </w:pPr>
      <w:bookmarkEnd w:id="238"/>
      <w:r>
        <w:rPr>
          <w:rFonts w:ascii="IRNazanin" w:hAnsi="IRNazanin" w:eastAsia="IRNazanin"/>
          <w:color w:val="111111"/>
          <w:sz w:val="28"/>
          <w:sz w:val="28"/>
          <w:szCs w:val="28"/>
          <w:rtl w:val="true"/>
          <w:lang w:bidi="fa-IR"/>
        </w:rPr>
        <w:t>فقیه بزرگ، 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آن‌چه در نماز مکلّفین معتبر است، در نماز کودک نیز باید رعایت گردد</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هم‌چنین در عروة الوثقی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درلزوم رعایت شرایط، نماز پسر مانند نماز مرد است و نماز دختر مثل نماز زن</w:t>
      </w:r>
      <w:r>
        <w:rPr>
          <w:rFonts w:eastAsia="IRNazanin" w:cs="IRNazanin"/>
          <w:color w:val="111111"/>
          <w:sz w:val="28"/>
          <w:szCs w:val="28"/>
          <w:rtl w:val="true"/>
          <w:lang w:bidi="fa-IR"/>
        </w:rPr>
        <w:t>».</w:t>
      </w:r>
      <w:r>
        <w:rPr>
          <w:rStyle w:val="FootnoteAnchor"/>
          <w:rtl w:val="true"/>
        </w:rPr>
        <w:footnoteReference w:id="438"/>
      </w:r>
    </w:p>
    <w:p>
      <w:pPr>
        <w:pStyle w:val="Heading4"/>
        <w:numPr>
          <w:ilvl w:val="3"/>
          <w:numId w:val="1"/>
        </w:numPr>
        <w:rPr/>
      </w:pPr>
      <w:bookmarkStart w:id="239" w:name="__RefHeading___Toc1259490_1468164448"/>
      <w:bookmarkStart w:id="240" w:name="_Toc90"/>
      <w:bookmarkEnd w:id="239"/>
      <w:r>
        <w:rPr/>
        <w:t>3</w:t>
      </w:r>
      <w:r>
        <w:rPr>
          <w:rtl w:val="true"/>
        </w:rPr>
        <w:t xml:space="preserve"> - </w:t>
      </w:r>
      <w:r>
        <w:rPr>
          <w:rtl w:val="true"/>
        </w:rPr>
        <w:t>ادلّه لزوم رعایت شرایط در نماز کودک</w:t>
      </w:r>
      <w:bookmarkEnd w:id="2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الحاق</w:t>
      </w:r>
    </w:p>
    <w:p>
      <w:pPr>
        <w:pStyle w:val="BookText"/>
        <w:rPr/>
      </w:pPr>
      <w:r>
        <w:rPr>
          <w:rFonts w:ascii="IRNazanin" w:hAnsi="IRNazanin" w:eastAsia="IRNazanin"/>
          <w:color w:val="111111"/>
          <w:sz w:val="28"/>
          <w:sz w:val="28"/>
          <w:szCs w:val="28"/>
          <w:rtl w:val="true"/>
          <w:lang w:bidi="fa-IR"/>
        </w:rPr>
        <w:t>برخی از فقیهان برای اثبات این مدّعا به قاعده الحاق استناد نموده‌اند</w:t>
      </w:r>
      <w:r>
        <w:rPr>
          <w:rStyle w:val="FootnoteAnchor"/>
          <w:rtl w:val="true"/>
        </w:rPr>
        <w:footnoteReference w:id="439"/>
      </w:r>
      <w:r>
        <w:rPr>
          <w:rFonts w:ascii="IRNazanin" w:hAnsi="IRNazanin" w:eastAsia="IRNazanin"/>
          <w:color w:val="111111"/>
          <w:sz w:val="28"/>
          <w:sz w:val="28"/>
          <w:szCs w:val="28"/>
          <w:rtl w:val="true"/>
          <w:lang w:bidi="fa-IR"/>
        </w:rPr>
        <w:t>و ظاهراً مقصود از آن، همان قاعده اشتراک است که از قواعد معروف فقهی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اگر حکمی برای آحاد مکلّفین یا عدّه‌ای از آنها ثابت شد و دلیلی که اختصاص به آنها داشته باشد، موجود نباشد، این حکم، مشترک بین جمیع مکلّفین است، اعّم از زن و مرد تا روز قیامت، خواه با دلیل لفظی ثابت شده باشد یا چنین نباشد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نحوه استدلال به این قاعده در مسأله مورد بحث، به این صورت است که گفته شود، نماز اشخاص بالغ دارای شرایط و اجزایی است که از طرف شارع بیان گردیده و نیز باید فاقد موانع و خلل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موضوع حکم نماز، مکلّف قید قرار نگرفته به طوری که اختصاص به او داشته باشد و بر غیر او منطبق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قاعده اشتراک، باید نماز کودک دارای همان شرایط نماز بالغ باشد، زیرا فرض بر این است که کودک، مخاطب به خطاب نماز است، همانند مکلّفین؛ با این تفاوت که خطاب در حق 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است و ترک آن عقوبت دارد، بر خلاف کودک که خطاب نسبت به او غیر الزامی و مستحب است و با انجام آن، ثواب میبرد، ولی ترکش مؤاخذه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و اطلاقات ادلّه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احکام وضعیه مانند شرطّیت و مانعیت مشترک بین بالغ و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آیات و روایاتی وارد شده است با این محتوا که در نماز باید شرایطی رعایت شود،</w:t>
      </w:r>
    </w:p>
    <w:p>
      <w:pPr>
        <w:pStyle w:val="BookText"/>
        <w:rPr/>
      </w:pPr>
      <w:r>
        <w:rPr>
          <w:rFonts w:ascii="IRNazanin" w:hAnsi="IRNazanin" w:eastAsia="IRNazanin"/>
          <w:color w:val="111111"/>
          <w:sz w:val="28"/>
          <w:sz w:val="28"/>
          <w:szCs w:val="28"/>
          <w:rtl w:val="true"/>
          <w:lang w:bidi="fa-IR"/>
        </w:rPr>
        <w:t>این ادلّه کودک ممیّز را نیز شامل میگردد، مثلاً به حکم آیه ششم سوره مبارکه مائدة،</w:t>
      </w:r>
      <w:r>
        <w:rPr>
          <w:rStyle w:val="FootnoteAnchor"/>
          <w:rtl w:val="true"/>
        </w:rPr>
        <w:footnoteReference w:id="441"/>
      </w:r>
      <w:r>
        <w:rPr>
          <w:rFonts w:ascii="IRNazanin" w:hAnsi="IRNazanin" w:eastAsia="IRNazanin"/>
          <w:color w:val="111111"/>
          <w:sz w:val="28"/>
          <w:sz w:val="28"/>
          <w:szCs w:val="28"/>
          <w:rtl w:val="true"/>
          <w:lang w:bidi="fa-IR"/>
        </w:rPr>
        <w:t>وضو در نماز شرط است و به مقتضای خطاب وضع این حکم مشترک بین صغیر و کبیر است، یعنی مصلّی بالغ باشد یا غیر بالغ، باید نماز را با وضو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 صحیحه، از امام باقر علیه السلام وارد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بدون طهارت، نماز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بدون قرائت که آهسته یا بلند خوانده میشود، نماز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لَهُ إِلاّ أَنْ یَقْرَأَبِها فیِ جَهْرٍ أَوْ أِخْفاتٍ</w:t>
      </w:r>
      <w:r>
        <w:rPr>
          <w:rFonts w:eastAsia="Amiri" w:cs="Amiri" w:ascii="Amiri" w:hAnsi="Amiri"/>
          <w:color w:val="111111"/>
          <w:sz w:val="28"/>
          <w:szCs w:val="28"/>
          <w:rtl w:val="true"/>
          <w:lang w:bidi="ar-SA"/>
        </w:rPr>
        <w:t>»</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 صحیحه،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با صدا، وضو را باطل نمیکند، ولی موجب بطلان نماز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اَلْقَهْقَهَةُ لا تَنْقُضُِ الْوُضُوءَ وَ تَنْقُضُ الصَّلاةَ</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وروایات دیگر</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این موارد، اطلاق و عمومی که دلالت بر اجزاء، شرایط یا موانع نماز دارد، کودک را نیز شامل میشود، زیرا متعلّق این ادلّه، طبیعت نماز است و فرقی نیست که آن را مکلّف انجام دهد یا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بودن عبادات</w:t>
      </w:r>
    </w:p>
    <w:p>
      <w:pPr>
        <w:pStyle w:val="BookText"/>
        <w:rPr/>
      </w:pPr>
      <w:r>
        <w:rPr>
          <w:rFonts w:ascii="IRNazanin" w:hAnsi="IRNazanin" w:eastAsia="IRNazanin"/>
          <w:color w:val="111111"/>
          <w:sz w:val="28"/>
          <w:sz w:val="28"/>
          <w:szCs w:val="28"/>
          <w:rtl w:val="true"/>
          <w:lang w:bidi="fa-IR"/>
        </w:rPr>
        <w:t>عبادات اعمّ از اینکه واجب باشد یا مستحب، توقیفی است، به این معنی که جایز نیست آنها را زیاد یا کم نمود، بلکه باید به گونه‌ای که شارع دستور فرموده و با شرایط و اجزایی که معین شده، انجام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جهت به مقتضای اصل اوّلی، باید نماز کودک در اجزاء و شرایط و موانع، مثل نماز افراد مکلّف باشد، زیرا فرقی بین آنان نیست، مگر در عدم بلوغ و این ویژگی نمیتواند موجب جواز و صحّت نماز کودک با فقد شرایط باشد، مگر این که دلیل خاصّی بر این معنی دلالت داشته باشد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bookmarkStart w:id="241" w:name="pg13713_164413"/>
    </w:p>
    <w:p>
      <w:pPr>
        <w:pStyle w:val="BookText"/>
        <w:rPr/>
      </w:pPr>
      <w:bookmarkEnd w:id="241"/>
      <w:r>
        <w:rPr>
          <w:rFonts w:ascii="IRNazanin" w:hAnsi="IRNazanin" w:eastAsia="IRNazanin"/>
          <w:color w:val="111111"/>
          <w:sz w:val="28"/>
          <w:sz w:val="28"/>
          <w:szCs w:val="28"/>
          <w:rtl w:val="true"/>
          <w:lang w:bidi="fa-IR"/>
        </w:rPr>
        <w:t>افزون بر این‌که اگر نماز کودک بدون اجزاء و شرایط، صحیح باشد، فقه جدید ایجاد میشود، زیرا لازم میآید نماز کودک صحیح باشد، هر چند واجد شرایط و اجزاء مثل طهارت، رکوع، سجود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میآید که انجام مبطلات عمدی، سبب بطلان نماز نشود و کسی نمیتواند این لوازم را بپذیرد</w:t>
      </w:r>
      <w:r>
        <w:rPr>
          <w:rFonts w:eastAsia="IRNazanin" w:cs="IRNazanin"/>
          <w:color w:val="111111"/>
          <w:sz w:val="28"/>
          <w:szCs w:val="28"/>
          <w:rtl w:val="true"/>
          <w:lang w:bidi="fa-IR"/>
        </w:rPr>
        <w:t>.</w:t>
      </w:r>
    </w:p>
    <w:p>
      <w:pPr>
        <w:pStyle w:val="Heading4"/>
        <w:numPr>
          <w:ilvl w:val="3"/>
          <w:numId w:val="1"/>
        </w:numPr>
        <w:rPr/>
      </w:pPr>
      <w:bookmarkStart w:id="242" w:name="__RefHeading___Toc1259492_1468164448"/>
      <w:bookmarkStart w:id="243" w:name="_Toc91"/>
      <w:bookmarkEnd w:id="242"/>
      <w:r>
        <w:rPr/>
        <w:t>4</w:t>
      </w:r>
      <w:r>
        <w:rPr>
          <w:rtl w:val="true"/>
        </w:rPr>
        <w:t xml:space="preserve"> - </w:t>
      </w:r>
      <w:r>
        <w:rPr>
          <w:rtl w:val="true"/>
        </w:rPr>
        <w:t>برخی از شرایط و اجزاء استثناء شده در نماز کودک</w:t>
      </w:r>
      <w:bookmarkEnd w:id="2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p>
    <w:p>
      <w:pPr>
        <w:pStyle w:val="BookText"/>
        <w:rPr/>
      </w:pPr>
      <w:r>
        <w:rPr>
          <w:rFonts w:ascii="IRNazanin" w:hAnsi="IRNazanin" w:eastAsia="IRNazanin"/>
          <w:color w:val="111111"/>
          <w:sz w:val="28"/>
          <w:sz w:val="28"/>
          <w:szCs w:val="28"/>
          <w:rtl w:val="true"/>
          <w:lang w:bidi="fa-IR"/>
        </w:rPr>
        <w:t>به اتفاق همه مسلمانان، طهارت و وضو در صحت نماز شرط است؛ ولی در حدیثی از امام باقر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کودک سه ساله شد، به او بگویید تا جمله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چندین بار بگوید و آنگاه که هفت ساله شد، به او گفته شود صورت و دست‌های خود را شستشو ده، وقتی انجام داد به او گفته شود نماز بخوان و آنگاه که نه ساله شد وضو گرفتن به او آموزش داده شود و بعد از آموزش وضو و انجام آن به انجام نماز امر شود و اگر نماز را به جای نیاورد، تنبیه شود و آنگاه که نماز و وضو راآموزش دید و به جای آورد، خداوند، او و پدرش و مادرش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تَمَّ لَهُ سَبْعَ سِنیِنَ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وَجْهَکَ وَکَفَیْکَ، فَإِذا غَسَلُهُما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ثُمَّ یُتَْرَکُ حَتَّی یَتِمَّ لَهُ تِسْعَ سِنیِنَ، فَإِذا تَمَّتْ لَهُ عُلَّمَ الْوُضُوءَ وَ ضُرِبَ عَلَیْهِ وَأُمِرَ بِالصَّلاةِ</w:t>
      </w:r>
      <w:r>
        <w:rPr>
          <w:rFonts w:eastAsia="IRNazanin" w:cs="IRNazanin"/>
          <w:color w:val="111111"/>
          <w:sz w:val="28"/>
          <w:szCs w:val="28"/>
          <w:rtl w:val="true"/>
          <w:lang w:bidi="fa-IR"/>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دلیل است بر این‌که برای کودکان هفت تا نه ساله، شستن صورت و دست‌ها به جای وضو متعارف کفایت میکند، البته از نظر سند ضعیف است، ولی از باب تسامح در ادلّة مستحبات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مستند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مکان و لباس غصبی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 کسی که میداند لباس یا مکان او غصبی و حرام است، اگر عمداً در آن نماز بخواند باطل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البته این حکم اختصاص به افراد بالغ دارد و کودکان را شامل نمیشود، زیرا وجوب اجتناب از غصب متوجّه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حکم حرمت به آنان تعلّق نمیگیرد تا مشمول آن قرار گیرند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ابریشم خالص</w:t>
      </w:r>
    </w:p>
    <w:p>
      <w:pPr>
        <w:pStyle w:val="BookText"/>
        <w:rPr/>
      </w:pPr>
      <w:r>
        <w:rPr>
          <w:rFonts w:ascii="IRNazanin" w:hAnsi="IRNazanin" w:eastAsia="IRNazanin"/>
          <w:color w:val="111111"/>
          <w:sz w:val="28"/>
          <w:sz w:val="28"/>
          <w:szCs w:val="28"/>
          <w:rtl w:val="true"/>
          <w:lang w:bidi="fa-IR"/>
        </w:rPr>
        <w:t>پوشیدن لباسی که از ابریشم خالص تهیه شده است، برای مردان حرام است و نماز با آن باطل است، ولی برای زنان چه در حال نماز و چه در غیر نماز جایز است</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پسر بچه از چند جهت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برای ولی کودک جایز است لباسی که از ابریشم خالص تهیه شده بر تن فرزند خود بپوشاند؟ دیدگاه مشهور فقها، حکم به جواز است</w:t>
      </w:r>
      <w:r>
        <w:rPr>
          <w:rStyle w:val="FootnoteAnchor"/>
          <w:rtl w:val="true"/>
        </w:rPr>
        <w:footnoteReference w:id="451"/>
      </w:r>
      <w:r>
        <w:rPr>
          <w:rFonts w:ascii="IRNazanin" w:hAnsi="IRNazanin" w:eastAsia="IRNazanin"/>
          <w:color w:val="111111"/>
          <w:sz w:val="28"/>
          <w:sz w:val="28"/>
          <w:szCs w:val="28"/>
          <w:rtl w:val="true"/>
          <w:lang w:bidi="fa-IR"/>
        </w:rPr>
        <w:t>، به ویژه کودکانی که نزدیک به بلوغ نیستند و به اصطلاح، مراهق نامیده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اصل است؛ یعنی اصل برائت از حرمت، زیرا دلیلی بر عدم جواز آن وارد نشده است</w:t>
      </w:r>
      <w:r>
        <w:rPr>
          <w:rStyle w:val="FootnoteAnchor"/>
          <w:rtl w:val="true"/>
        </w:rPr>
        <w:footnoteReference w:id="4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پسر بچه، خود لباسی که از ابریشم خالص تهیه شده است؛ بپوشد منعی ندارد و به دلیل این که، مکلّف نیست، مشمول حکم حرمت قرار نمیگیرد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نماز پسر بچه در لباسی که از ابریشم خالص تهیه شده باطل است؟ در این باره دو نظریّه مطرح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قائل به بطلان شده</w:t>
      </w:r>
      <w:r>
        <w:rPr>
          <w:rStyle w:val="FootnoteAnchor"/>
          <w:rtl w:val="true"/>
        </w:rPr>
        <w:footnoteReference w:id="454"/>
      </w:r>
      <w:r>
        <w:rPr>
          <w:rFonts w:ascii="Amiri" w:hAnsi="Amiri" w:eastAsia="Amiri" w:cs="Amiri"/>
          <w:color w:val="111111"/>
          <w:sz w:val="28"/>
          <w:sz w:val="28"/>
          <w:szCs w:val="28"/>
          <w:rtl w:val="true"/>
          <w:lang w:bidi="ar-SA"/>
        </w:rPr>
        <w:t xml:space="preserve">و معتقدند، اطلاق ادلّه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الصَّلاةُ فیِ الْحَرِیرِ الْمَحْضٍ</w:t>
      </w:r>
      <w:r>
        <w:rPr>
          <w:rFonts w:eastAsia="Amiri" w:cs="Amiri" w:ascii="Amiri" w:hAnsi="Amiri"/>
          <w:color w:val="111111"/>
          <w:sz w:val="28"/>
          <w:szCs w:val="28"/>
          <w:rtl w:val="true"/>
          <w:lang w:bidi="ar-SA"/>
        </w:rPr>
        <w:t>»</w:t>
      </w:r>
      <w:r>
        <w:rPr>
          <w:rStyle w:val="FootnoteAnchor"/>
          <w:rtl w:val="true"/>
        </w:rPr>
        <w:footnoteReference w:id="455"/>
      </w:r>
      <w:r>
        <w:rPr>
          <w:rFonts w:ascii="IRNazanin" w:hAnsi="IRNazanin" w:eastAsia="IRNazanin"/>
          <w:color w:val="111111"/>
          <w:sz w:val="28"/>
          <w:sz w:val="28"/>
          <w:szCs w:val="28"/>
          <w:rtl w:val="true"/>
          <w:lang w:bidi="fa-IR"/>
        </w:rPr>
        <w:t xml:space="preserve">پسر بچه را نیز شامل میشود، زیرا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است، چرا که روایت در بیان آن‌چه مانع در نماز است، وارد شده و نظر به حکم تکلیفی ندارد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گفته شود به مقتضای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الصَّلاةُ فی الْحَرِیرِ الْمحَْضٍ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لباسی که از ابریشم خالص تهیه شده، مطلقاً باطل است و فرقی بین بالغ و غیر بالغ نیست، زیرا مقصود حکم مولوی نیست، بلکه ارشاد به فساد و بطلان است و آن حکم وضعی است</w:t>
      </w:r>
      <w:r>
        <w:rPr>
          <w:rStyle w:val="FootnoteAnchor"/>
          <w:rtl w:val="true"/>
        </w:rPr>
        <w:footnoteReference w:id="457"/>
      </w:r>
      <w:r>
        <w:rPr>
          <w:rFonts w:ascii="IRNazanin" w:hAnsi="IRNazanin" w:eastAsia="IRNazanin"/>
          <w:color w:val="111111"/>
          <w:sz w:val="28"/>
          <w:sz w:val="28"/>
          <w:szCs w:val="28"/>
          <w:rtl w:val="true"/>
          <w:lang w:bidi="fa-IR"/>
        </w:rPr>
        <w:t>که کودک نیز مشمول آن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قائل به صحّت میباشند</w:t>
      </w:r>
      <w:r>
        <w:rPr>
          <w:rStyle w:val="FootnoteAnchor"/>
          <w:rtl w:val="true"/>
        </w:rPr>
        <w:footnoteReference w:id="458"/>
      </w:r>
      <w:r>
        <w:rPr>
          <w:rFonts w:ascii="IRNazanin" w:hAnsi="IRNazanin" w:eastAsia="IRNazanin"/>
          <w:color w:val="111111"/>
          <w:sz w:val="28"/>
          <w:sz w:val="28"/>
          <w:szCs w:val="28"/>
          <w:rtl w:val="true"/>
          <w:lang w:bidi="fa-IR"/>
        </w:rPr>
        <w:t>، زیرا مانعیت از نهی نفسی انتزاع میشود و نهی نفسی نسبت به کودک فرض ندارد، زیرا بالغ نیست</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ممکن است به قرینه مناسبت حکم و موضع ادّعا شود ادلّه‌ای که دلالت بر حرمت پوشیدن لباس تهیه شده از ابریشم خالص دارد، منصرف از کودک میباشد و او را شامل نمیشود و اگر پوشیدن چنین لباسی برای پسر بچه حلال باشد، برای نماز او مانع قرار نمیگیرد، باطل شود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طلا بافت</w:t>
      </w:r>
    </w:p>
    <w:p>
      <w:pPr>
        <w:pStyle w:val="BookText"/>
        <w:rPr/>
      </w:pPr>
      <w:r>
        <w:rPr>
          <w:rFonts w:ascii="IRNazanin" w:hAnsi="IRNazanin" w:eastAsia="IRNazanin"/>
          <w:color w:val="111111"/>
          <w:sz w:val="28"/>
          <w:sz w:val="28"/>
          <w:szCs w:val="28"/>
          <w:rtl w:val="true"/>
          <w:lang w:bidi="fa-IR"/>
        </w:rPr>
        <w:t>پوشیدن لباس طلا بافت برای مردان جایز نیست و نماز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زینت طلا مانند انگشتر و آویختن زنجیر طلا به سینه یا ساعت مچی طلا و مانند آن برای مرد حرام است و نماز را باطل میسازد، ولی برای زنان در نماز و غیر نماز اشکال ندارد، مگر اینکه به حدّ اسراف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اجماع فقها است، بلکه آن را ضروری دین دانسته‌اند</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پسر بچه لباس طلا بافت بپوشد، از نظر تکلیفی منعی ندارد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ولی کودک چنین لباسی را به او بپوشاند یا در اختیارش قرار دهد تا خودش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فقهای معاصر این مسأله را مطرح نموده و فتوی به جواز آن داده‌اند</w:t>
      </w:r>
      <w:r>
        <w:rPr>
          <w:rStyle w:val="FootnoteAnchor"/>
          <w:rtl w:val="true"/>
        </w:rPr>
        <w:footnoteReference w:id="462"/>
      </w:r>
      <w:r>
        <w:rPr>
          <w:rFonts w:ascii="IRNazanin" w:hAnsi="IRNazanin" w:eastAsia="IRNazanin"/>
          <w:color w:val="111111"/>
          <w:sz w:val="28"/>
          <w:sz w:val="28"/>
          <w:szCs w:val="28"/>
          <w:rtl w:val="true"/>
          <w:lang w:bidi="fa-IR"/>
        </w:rPr>
        <w:t>و بعضی ادّعای عدم خلاف در مسأله نموده‌اند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آن، علاوه بر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کودک اهل تکلیف نیست تا مشمول حکم حرمت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ابی الصباح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آیا جایز است لباس طلا بافت را به کودکان بپوشانیم؟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کودکان و زنان خود را با لباس طلا و نقره بافت، زینت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 السلام یُحَلَّی وُلْدَهُ وَ نِساءَهُ بِالذَّهَبِ وَ الْفِضَّةِ</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دیگری که از آن حضرت نقل شده، در جواب فرموده است پدرم امام باقر علیه السلام این‌گونه بود، پس منعی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أَبِی لَیُحَلّیِ وُلْدَهُ وَ نِساءَهُ الذَّهَبَ وَ الْفِضَّةَ فَلا بَأسَ بِهِ</w:t>
      </w:r>
      <w:r>
        <w:rPr>
          <w:rFonts w:eastAsia="Amiri" w:cs="Amiri" w:ascii="Amiri" w:hAnsi="Amiri"/>
          <w:color w:val="111111"/>
          <w:sz w:val="28"/>
          <w:szCs w:val="28"/>
          <w:rtl w:val="true"/>
          <w:lang w:bidi="ar-SA"/>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پسر بچه در لباس طلا بافت نماز بخواند ظاهراً نمازش صحیح است، هم‌چنان‌که برخی از فقها به آن تصریح نموده‌اند،</w:t>
      </w:r>
    </w:p>
    <w:p>
      <w:pPr>
        <w:pStyle w:val="BookText"/>
        <w:rPr/>
      </w:pPr>
      <w:r>
        <w:rPr>
          <w:rStyle w:val="FootnoteAnchor"/>
          <w:rtl w:val="true"/>
        </w:rPr>
        <w:footnoteReference w:id="466"/>
      </w:r>
      <w:r>
        <w:rPr>
          <w:rFonts w:ascii="IRNazanin" w:hAnsi="IRNazanin" w:eastAsia="IRNazanin"/>
          <w:color w:val="111111"/>
          <w:sz w:val="28"/>
          <w:sz w:val="28"/>
          <w:szCs w:val="28"/>
          <w:rtl w:val="true"/>
          <w:lang w:bidi="fa-IR"/>
        </w:rPr>
        <w:t>زیرا دلیلی مبنی بر این که لباس طلا بافت نسبت به نماز کودک مانعیت دارد و موجب بطلان میگردد، در دست نیست، چرا که آن‌چه دلیل بر مانعیت است در مورد مرد و افراد مکلّف وارد شده، مثل این‌که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مردنباید در لباس طلا بافت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یلْبِسُ الرَّجُلُ الذَّهَبَ وَ لا یُصَلَّی فِیه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 xml:space="preserve">به نظر میرسد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در حکم ندارد، بنابراین پسر بچه راشامل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پوشانیدن بدن در حال نماز</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باید در حال نماز عورتین خود را بپوشاند، اگر چه کسی او را نمیبیند و بهتر است از ناف تا زانوها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باید در حال نماز، تمام بدن حتّی سر و موی خود را بپوشاند، ولی پوشانیدن صورت به مقداری که در وضو شسته میشود و دست‌ها تا مچ و پاها تا مچ پا لازم نیست</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مربوط به زنان است، امّا دختر بچه به اتفاق فقها،</w:t>
      </w:r>
      <w:r>
        <w:rPr>
          <w:rStyle w:val="FootnoteAnchor"/>
          <w:rtl w:val="true"/>
        </w:rPr>
        <w:footnoteReference w:id="470"/>
      </w:r>
      <w:r>
        <w:rPr>
          <w:rFonts w:ascii="IRNazanin" w:hAnsi="IRNazanin" w:eastAsia="IRNazanin"/>
          <w:color w:val="111111"/>
          <w:sz w:val="28"/>
          <w:sz w:val="28"/>
          <w:szCs w:val="28"/>
          <w:rtl w:val="true"/>
          <w:lang w:bidi="fa-IR"/>
        </w:rPr>
        <w:t>چنان‌چه با سر برهنه نماز بخواند صحیح است</w:t>
      </w:r>
      <w:r>
        <w:rPr>
          <w:rFonts w:eastAsia="IRNazanin" w:cs="IRNazanin"/>
          <w:color w:val="111111"/>
          <w:sz w:val="28"/>
          <w:szCs w:val="28"/>
          <w:rtl w:val="true"/>
          <w:lang w:bidi="fa-IR"/>
        </w:rPr>
        <w:t>.</w:t>
      </w:r>
      <w:bookmarkStart w:id="244" w:name="pg13713_164417"/>
    </w:p>
    <w:p>
      <w:pPr>
        <w:pStyle w:val="BookText"/>
        <w:rPr/>
      </w:pPr>
      <w:bookmarkEnd w:id="244"/>
      <w:r>
        <w:rPr>
          <w:rFonts w:ascii="IRNazanin" w:hAnsi="IRNazanin" w:eastAsia="IRNazanin"/>
          <w:color w:val="111111"/>
          <w:sz w:val="28"/>
          <w:sz w:val="28"/>
          <w:szCs w:val="28"/>
          <w:rtl w:val="true"/>
          <w:lang w:bidi="fa-IR"/>
        </w:rPr>
        <w:t>در روایت صحیحه، یونس بن یعقوب میگوید از امام صادق علیه السلام سؤال نمودم آیا مرد میتواند در حال نماز فقط یک لباس داشته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سؤال کردم آیازن هم میتواند این‌گونه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باید در حال نماز سر خود را بپوشاند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یَصْلُحُ لِلْحُرَّةِ إِذا حَاضَتُ إِلاَّ الْخِمارَ</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دیگری، امام کاظم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تا زمانی که‌به‌سن بلوغ و حیض نرسیده، لازم نیست در حال نماز سر خود را بپوشاند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لاتُغَطَّی‌رَأْسَها حَتّی تَحْرُمَ عَلَیهَا الصَّلاةُ</w:t>
      </w:r>
      <w:r>
        <w:rPr>
          <w:rFonts w:eastAsia="Amiri" w:cs="Amiri" w:ascii="Amiri" w:hAnsi="Amiri"/>
          <w:color w:val="111111"/>
          <w:sz w:val="28"/>
          <w:szCs w:val="28"/>
          <w:rtl w:val="true"/>
          <w:lang w:bidi="ar-SA"/>
        </w:rPr>
        <w:t>»</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کنایه از رسیدن به سنّ بلوغ و حیض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روایاتی که ذکر شد و روایات دیگر</w:t>
      </w:r>
      <w:r>
        <w:rPr>
          <w:rStyle w:val="FootnoteAnchor"/>
          <w:rtl w:val="true"/>
        </w:rPr>
        <w:footnoteReference w:id="474"/>
      </w:r>
      <w:r>
        <w:rPr>
          <w:rFonts w:ascii="IRNazanin" w:hAnsi="IRNazanin" w:eastAsia="IRNazanin"/>
          <w:color w:val="111111"/>
          <w:sz w:val="28"/>
          <w:sz w:val="28"/>
          <w:szCs w:val="28"/>
          <w:rtl w:val="true"/>
          <w:lang w:bidi="fa-IR"/>
        </w:rPr>
        <w:t>با ظهور یا مفهوم دلالت دارند بر این‌که پوشش سر در حال نماز برای دختران غیر بالغ شرط نیست</w:t>
      </w:r>
      <w:r>
        <w:rPr>
          <w:rFonts w:eastAsia="IRNazanin" w:cs="IRNazanin"/>
          <w:color w:val="111111"/>
          <w:sz w:val="28"/>
          <w:szCs w:val="28"/>
          <w:rtl w:val="true"/>
          <w:lang w:bidi="fa-IR"/>
        </w:rPr>
        <w:t>.</w:t>
      </w:r>
    </w:p>
    <w:p>
      <w:pPr>
        <w:pStyle w:val="Heading4"/>
        <w:numPr>
          <w:ilvl w:val="3"/>
          <w:numId w:val="1"/>
        </w:numPr>
        <w:rPr/>
      </w:pPr>
      <w:bookmarkStart w:id="245" w:name="__RefHeading___Toc1259494_1468164448"/>
      <w:bookmarkStart w:id="246" w:name="_Toc92"/>
      <w:bookmarkEnd w:id="245"/>
      <w:r>
        <w:rPr/>
        <w:t>5</w:t>
      </w:r>
      <w:r>
        <w:rPr>
          <w:rtl w:val="true"/>
        </w:rPr>
        <w:t xml:space="preserve">- </w:t>
      </w:r>
      <w:r>
        <w:rPr>
          <w:rtl w:val="true"/>
        </w:rPr>
        <w:t>اذان و اقامه توسط کودک</w:t>
      </w:r>
      <w:bookmarkEnd w:id="246"/>
    </w:p>
    <w:p>
      <w:pPr>
        <w:pStyle w:val="BookText"/>
        <w:rPr/>
      </w:pPr>
      <w:r>
        <w:rPr>
          <w:rFonts w:ascii="IRNazanin" w:hAnsi="IRNazanin" w:eastAsia="IRNazanin"/>
          <w:color w:val="111111"/>
          <w:sz w:val="28"/>
          <w:sz w:val="28"/>
          <w:szCs w:val="28"/>
          <w:rtl w:val="true"/>
          <w:lang w:bidi="fa-IR"/>
        </w:rPr>
        <w:t>به اتفاق فقها، اذان و اقامه نماز، از کودک ممیّز صحیح است و افراد بالغ میتوانند در اعلام وقت و در نماز جماعت به اذان و اقامه او اکتفا نمایند، امّا از غیر ممیّز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 باید عاقل، مسلمان و مرد باشد، ولی شرط نیست بالغ باشد، بلکه اگر کودک ممیّز باشد، کافی است</w:t>
      </w:r>
      <w:r>
        <w:rPr>
          <w:rFonts w:eastAsia="IRNazanin" w:cs="IRNazanin"/>
          <w:color w:val="111111"/>
          <w:sz w:val="28"/>
          <w:szCs w:val="28"/>
          <w:rtl w:val="true"/>
          <w:lang w:bidi="fa-IR"/>
        </w:rPr>
        <w:t>».</w:t>
      </w:r>
      <w:r>
        <w:rPr>
          <w:rStyle w:val="FootnoteAnchor"/>
          <w:rtl w:val="true"/>
        </w:rPr>
        <w:footnoteReference w:id="47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این مضامین در عبارات بسیاری دیگر از فقیهان</w:t>
      </w:r>
      <w:r>
        <w:rPr>
          <w:rStyle w:val="FootnoteAnchor"/>
          <w:rtl w:val="true"/>
        </w:rPr>
        <w:footnoteReference w:id="476"/>
      </w:r>
      <w:r>
        <w:rPr>
          <w:rFonts w:ascii="IRNazanin" w:hAnsi="IRNazanin" w:eastAsia="IRNazanin"/>
          <w:color w:val="111111"/>
          <w:sz w:val="28"/>
          <w:sz w:val="28"/>
          <w:szCs w:val="28"/>
          <w:rtl w:val="true"/>
          <w:lang w:bidi="fa-IR"/>
        </w:rPr>
        <w:t>دیده میشود، و دلیل آن علاوه بر اجماع</w:t>
      </w:r>
      <w:r>
        <w:rPr>
          <w:rStyle w:val="FootnoteAnchor"/>
          <w:rtl w:val="true"/>
        </w:rPr>
        <w:footnoteReference w:id="477"/>
      </w:r>
      <w:r>
        <w:rPr>
          <w:rFonts w:ascii="IRNazanin" w:hAnsi="IRNazanin" w:eastAsia="IRNazanin"/>
          <w:color w:val="111111"/>
          <w:sz w:val="28"/>
          <w:sz w:val="28"/>
          <w:szCs w:val="28"/>
          <w:rtl w:val="true"/>
          <w:lang w:bidi="fa-IR"/>
        </w:rPr>
        <w:t>و اطلاقات ادلّه، بعضی از روایات صحیح و معتبر است که به طور خاص</w:t>
      </w:r>
      <w:bookmarkStart w:id="247" w:name="pg13713_164418"/>
    </w:p>
    <w:p>
      <w:pPr>
        <w:pStyle w:val="BookText"/>
        <w:rPr/>
      </w:pPr>
      <w:bookmarkEnd w:id="247"/>
      <w:r>
        <w:rPr>
          <w:rFonts w:ascii="IRNazanin" w:hAnsi="IRNazanin" w:eastAsia="IRNazanin"/>
          <w:color w:val="111111"/>
          <w:sz w:val="28"/>
          <w:sz w:val="28"/>
          <w:szCs w:val="28"/>
          <w:rtl w:val="true"/>
          <w:lang w:bidi="fa-IR"/>
        </w:rPr>
        <w:t>در این باره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توسط کودک که به سن بلوغ نرسیده، منعی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یُؤَذَّنَ الْغُلامُ الَّذِی لَمْ یَحْتَلِم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وروایات دیگر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اطلاق این روایات اذان اعلام و نیز اذان برای نماز و هم‌چنین اقامه را شامل میشود، زیرا اذان خصوصیتی ندارد و هر دو مستحب میباشند و نیز از این روایات استفاده میشود، کودک میتواند برای نماز خودش، اذان و اقامه بگوید و برای او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آن‌چه ذکر شد، دختر نیز مانند پسر میباشد، بنابراین مستحب است در نماز خود، اذان و اقامه گوید و هم‌چنین در نماز زنان و مردانی که با او مَحرم می‌باشند، به اذان و اقامه او میتوان اکتفا کرد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248" w:name="__RefHeading___Toc1259496_1468164448"/>
      <w:bookmarkStart w:id="249" w:name="_Toc93"/>
      <w:bookmarkEnd w:id="248"/>
      <w:r>
        <w:rPr/>
        <w:t>6</w:t>
      </w:r>
      <w:r>
        <w:rPr>
          <w:rtl w:val="true"/>
        </w:rPr>
        <w:t xml:space="preserve">- </w:t>
      </w:r>
      <w:r>
        <w:rPr>
          <w:rtl w:val="true"/>
        </w:rPr>
        <w:t>انعقاد نماز جماعت با کودک</w:t>
      </w:r>
      <w:bookmarkEnd w:id="249"/>
    </w:p>
    <w:p>
      <w:pPr>
        <w:pStyle w:val="BookText"/>
        <w:rPr/>
      </w:pPr>
      <w:r>
        <w:rPr>
          <w:rFonts w:ascii="IRNazanin" w:hAnsi="IRNazanin" w:eastAsia="IRNazanin"/>
          <w:color w:val="111111"/>
          <w:sz w:val="28"/>
          <w:sz w:val="28"/>
          <w:szCs w:val="28"/>
          <w:rtl w:val="true"/>
          <w:lang w:bidi="fa-IR"/>
        </w:rPr>
        <w:t>جایز است نماز جماعت با کودک ممیّز بر پا شود، این مسأله از اطلاق</w:t>
      </w:r>
      <w:r>
        <w:rPr>
          <w:rStyle w:val="FootnoteAnchor"/>
          <w:rtl w:val="true"/>
        </w:rPr>
        <w:footnoteReference w:id="481"/>
      </w:r>
      <w:r>
        <w:rPr>
          <w:rFonts w:ascii="IRNazanin" w:hAnsi="IRNazanin" w:eastAsia="IRNazanin"/>
          <w:color w:val="111111"/>
          <w:sz w:val="28"/>
          <w:sz w:val="28"/>
          <w:szCs w:val="28"/>
          <w:rtl w:val="true"/>
          <w:lang w:bidi="fa-IR"/>
        </w:rPr>
        <w:t>عبارات برخی از فقها و صریح</w:t>
      </w:r>
      <w:r>
        <w:rPr>
          <w:rStyle w:val="FootnoteAnchor"/>
          <w:rtl w:val="true"/>
        </w:rPr>
        <w:footnoteReference w:id="482"/>
      </w:r>
      <w:r>
        <w:rPr>
          <w:rFonts w:ascii="IRNazanin" w:hAnsi="IRNazanin" w:eastAsia="IRNazanin"/>
          <w:color w:val="111111"/>
          <w:sz w:val="28"/>
          <w:sz w:val="28"/>
          <w:szCs w:val="28"/>
          <w:rtl w:val="true"/>
          <w:lang w:bidi="fa-IR"/>
        </w:rPr>
        <w:t>بعضی دیگر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 الجنان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جماعت با دو نفر تشکیل میشود، هر چند یکی از آن دو کودک ممیّز باشد</w:t>
      </w:r>
      <w:r>
        <w:rPr>
          <w:rFonts w:eastAsia="IRNazanin" w:cs="IRNazanin"/>
          <w:color w:val="111111"/>
          <w:sz w:val="28"/>
          <w:szCs w:val="28"/>
          <w:rtl w:val="true"/>
          <w:lang w:bidi="fa-IR"/>
        </w:rPr>
        <w:t>».</w:t>
      </w:r>
      <w:r>
        <w:rPr>
          <w:rStyle w:val="FootnoteAnchor"/>
          <w:rtl w:val="true"/>
        </w:rPr>
        <w:footnoteReference w:id="48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عروة الوثقی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کمترین تعدادی که نماز جماعت با آن برگزار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نماز جمعه و 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است که یکی از آن دو، امام جماعت است و دیگری مأموم، اعم از اینکه مأموم مرد باشد یا زن، بلکه اگر یکی از دو نفر، کودک ممیّز باشد، بنابر اقوی صحیح است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و مستند آن، احادیثی است که در این</w:t>
      </w:r>
      <w:bookmarkStart w:id="250" w:name="pg13713_164419"/>
    </w:p>
    <w:p>
      <w:pPr>
        <w:pStyle w:val="BookText"/>
        <w:rPr/>
      </w:pPr>
      <w:bookmarkEnd w:id="250"/>
      <w:r>
        <w:rPr>
          <w:rFonts w:ascii="IRNazanin" w:hAnsi="IRNazanin" w:eastAsia="IRNazanin"/>
          <w:color w:val="111111"/>
          <w:sz w:val="28"/>
          <w:sz w:val="28"/>
          <w:szCs w:val="28"/>
          <w:rtl w:val="true"/>
          <w:lang w:bidi="fa-IR"/>
        </w:rPr>
        <w:t xml:space="preserve">زمینه وارد شده است مانند آن که در روایت صحیحه، حلبی نقل میکند از امام صادق علیه السلام سؤال شد، آیا مرد میتواند امام جماعت زن واقع شود؟ فرمودند آری، و اگر خدمتگزار مرد با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زنان بایستد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کانَ مَعَهُنَّ غِلْمانٌ، فَأَقِیمُوهُمْ بَینَ أَیدِیهنَّ وَإِنْ کانُوا عَبیِداً</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غلمان مطلق است و شامل بالغ و غیر بالغ میباشد، به علاوه این که در روایات دیگر، غیر بالغ بودن آنان صریحاً بیان شده است</w:t>
      </w:r>
    </w:p>
    <w:p>
      <w:pPr>
        <w:pStyle w:val="BookText"/>
        <w:rPr/>
      </w:pP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اطلاق ادلّه‌ای که در مورد نماز جماعت وارد شده، کودک ممیّز را، با فرض‌این که عبادات او مشروع و صحیح است،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نمازگزار یا بیش‌تر باشند،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جماعت به 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أَلْإثْنانِ فَما فَوْقَهُما جَماَعةٌ</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باید یادآور شد که بر طبق دیدگاه مشهور فقها، قرار گرفتن کودکان در صفّ اوّل نماز جماعت مکروه است</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البته برخی</w:t>
      </w:r>
      <w:r>
        <w:rPr>
          <w:rStyle w:val="FootnoteAnchor"/>
          <w:rtl w:val="true"/>
        </w:rPr>
        <w:footnoteReference w:id="490"/>
      </w:r>
      <w:r>
        <w:rPr>
          <w:rFonts w:ascii="IRNazanin" w:hAnsi="IRNazanin" w:eastAsia="IRNazanin"/>
          <w:color w:val="111111"/>
          <w:sz w:val="28"/>
          <w:sz w:val="28"/>
          <w:szCs w:val="28"/>
          <w:rtl w:val="true"/>
          <w:lang w:bidi="fa-IR"/>
        </w:rPr>
        <w:t>فتوی به کراهت نداده‌اند و با استناد به مضمون بعضی از روایات</w:t>
      </w:r>
      <w:r>
        <w:rPr>
          <w:rStyle w:val="FootnoteAnchor"/>
          <w:rtl w:val="true"/>
        </w:rPr>
        <w:footnoteReference w:id="491"/>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دانشمندان و صاحبان خرد و فضیلت در صف اوّل قرار گیرند و بعد از آنان، کودکان باشند</w:t>
      </w:r>
      <w:r>
        <w:rPr>
          <w:rFonts w:eastAsia="IRNazanin" w:cs="IRNazanin"/>
          <w:color w:val="111111"/>
          <w:sz w:val="28"/>
          <w:szCs w:val="28"/>
          <w:rtl w:val="true"/>
          <w:lang w:bidi="fa-IR"/>
        </w:rPr>
        <w:t>.</w:t>
      </w:r>
    </w:p>
    <w:p>
      <w:pPr>
        <w:pStyle w:val="Heading4"/>
        <w:numPr>
          <w:ilvl w:val="3"/>
          <w:numId w:val="1"/>
        </w:numPr>
        <w:rPr/>
      </w:pPr>
      <w:bookmarkStart w:id="251" w:name="__RefHeading___Toc1259498_1468164448"/>
      <w:bookmarkStart w:id="252" w:name="_Toc94"/>
      <w:bookmarkEnd w:id="251"/>
      <w:r>
        <w:rPr/>
        <w:t>7</w:t>
      </w:r>
      <w:r>
        <w:rPr>
          <w:rtl w:val="true"/>
        </w:rPr>
        <w:t xml:space="preserve">- </w:t>
      </w:r>
      <w:r>
        <w:rPr>
          <w:rtl w:val="true"/>
        </w:rPr>
        <w:t>عدم انعقاد نماز جمعه با کودک</w:t>
      </w:r>
      <w:bookmarkEnd w:id="25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 کمترین عدد لازم برای انعقاد نماز جمعه، پنج یا هفت نفر است که باید یکی از آن‌ها امام باشد و فقط توسط مردان منعقد میشود، البته زنان هم میتوانند در آن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انعقاد نماز جمعه، بلوغ، عقل و مذکّر بودن شرط</w:t>
      </w:r>
      <w:bookmarkStart w:id="253" w:name="pg13713_164420"/>
    </w:p>
    <w:p>
      <w:pPr>
        <w:pStyle w:val="BookText"/>
        <w:rPr/>
      </w:pPr>
      <w:bookmarkEnd w:id="253"/>
      <w:r>
        <w:rPr>
          <w:rFonts w:ascii="IRNazanin" w:hAnsi="IRNazanin" w:eastAsia="IRNazanin"/>
          <w:color w:val="111111"/>
          <w:sz w:val="28"/>
          <w:sz w:val="28"/>
          <w:szCs w:val="28"/>
          <w:rtl w:val="true"/>
          <w:lang w:bidi="fa-IR"/>
        </w:rPr>
        <w:t xml:space="preserve">است بنابراین با کودکان به تنهایی هر چند ممیّز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نمیشود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بعضی در این‌باره‌ادّعای اجماع</w:t>
      </w:r>
      <w:r>
        <w:rPr>
          <w:rStyle w:val="FootnoteAnchor"/>
          <w:rtl w:val="true"/>
        </w:rPr>
        <w:footnoteReference w:id="493"/>
      </w:r>
      <w:r>
        <w:rPr>
          <w:rFonts w:ascii="IRNazanin" w:hAnsi="IRNazanin" w:eastAsia="IRNazanin"/>
          <w:color w:val="111111"/>
          <w:sz w:val="28"/>
          <w:sz w:val="28"/>
          <w:szCs w:val="28"/>
          <w:rtl w:val="true"/>
          <w:lang w:bidi="fa-IR"/>
        </w:rPr>
        <w:t>نموده‌اند، زیرا دلیلی بر جواز آن وارد نشده</w:t>
      </w:r>
      <w:r>
        <w:rPr>
          <w:rStyle w:val="FootnoteAnchor"/>
          <w:rtl w:val="true"/>
        </w:rPr>
        <w:footnoteReference w:id="494"/>
      </w:r>
      <w:r>
        <w:rPr>
          <w:rFonts w:ascii="IRNazanin" w:hAnsi="IRNazanin" w:eastAsia="IRNazanin"/>
          <w:color w:val="111111"/>
          <w:sz w:val="28"/>
          <w:sz w:val="28"/>
          <w:szCs w:val="28"/>
          <w:rtl w:val="true"/>
          <w:lang w:bidi="fa-IR"/>
        </w:rPr>
        <w:t>و مقتضای اصل، عدم‌جواز</w:t>
      </w:r>
      <w:r>
        <w:rPr>
          <w:rStyle w:val="FootnoteAnchor"/>
          <w:rtl w:val="true"/>
        </w:rPr>
        <w:footnoteReference w:id="49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متبادر از روایاتی که دلالت دارند در اقامه نماز جمعه، عدد معینّی از مأموم شرط است، غیر کودک است، زیرا در غیر این صورت، لازم میآید کودک نیز مکلّف به حضور در نماز جمعه باشد، با این‌که چنین نیست</w:t>
      </w:r>
      <w:r>
        <w:rPr>
          <w:rFonts w:eastAsia="IRNazanin" w:cs="IRNazanin"/>
          <w:color w:val="111111"/>
          <w:sz w:val="28"/>
          <w:szCs w:val="28"/>
          <w:rtl w:val="true"/>
          <w:lang w:bidi="fa-IR"/>
        </w:rPr>
        <w:t>.</w:t>
      </w:r>
      <w:r>
        <w:rPr>
          <w:rStyle w:val="FootnoteAnchor"/>
          <w:rtl w:val="true"/>
        </w:rPr>
        <w:footnoteReference w:id="496"/>
      </w:r>
    </w:p>
    <w:p>
      <w:pPr>
        <w:pStyle w:val="Heading4"/>
        <w:numPr>
          <w:ilvl w:val="3"/>
          <w:numId w:val="1"/>
        </w:numPr>
        <w:rPr/>
      </w:pPr>
      <w:bookmarkStart w:id="254" w:name="__RefHeading___Toc1259500_1468164448"/>
      <w:bookmarkStart w:id="255" w:name="_Toc95"/>
      <w:bookmarkEnd w:id="254"/>
      <w:r>
        <w:rPr/>
        <w:t>8</w:t>
      </w:r>
      <w:r>
        <w:rPr>
          <w:rtl w:val="true"/>
        </w:rPr>
        <w:t xml:space="preserve">- </w:t>
      </w:r>
      <w:r>
        <w:rPr>
          <w:rtl w:val="true"/>
        </w:rPr>
        <w:t>امامت کودک در نماز واجب</w:t>
      </w:r>
      <w:bookmarkEnd w:id="255"/>
    </w:p>
    <w:p>
      <w:pPr>
        <w:pStyle w:val="BookText"/>
        <w:rPr/>
      </w:pPr>
      <w:r>
        <w:rPr>
          <w:rFonts w:ascii="IRNazanin" w:hAnsi="IRNazanin" w:eastAsia="IRNazanin"/>
          <w:color w:val="111111"/>
          <w:sz w:val="28"/>
          <w:sz w:val="28"/>
          <w:szCs w:val="28"/>
          <w:rtl w:val="true"/>
          <w:lang w:bidi="fa-IR"/>
        </w:rPr>
        <w:t>به اجماع فقها، امامت کودک غیر ممیّز درنماز جماعت، صحیح نیست، و امّا در مورد کودک ممیّز،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قائل به جواز آن میباشند</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این قول بعضی از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در روایت معتبر، غیاث بن ابراهیم، از امام صادق علیه السلام نقل نموده که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کودکی که به سنّ بلوغ نرسیده، امامت نماز گروهی را به عهده بگیرد و برای آنها اذان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لابَأْسَ بِالْغُلامِ الَّذی لمَْ یَبْلُغِ الْحُلُمَ أَنْ یَؤُمَّ الْقَوْمَ وَ أَنْ یُؤَذَّنَ</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در روایت دیگری، آن حضرت همین مضمون را از جدّش امیرالمؤمنین علیه السلام نقل‌میکند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لابَأْسَ أَنْ یُؤَذَّنَ الْغُلامُ الَّذِی لَمْ یَحْتَلِمْ وَ أَنْ یَؤُمَّ</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از این روایات جواب داده شده به این که به قرینة جمله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یبْلُغَ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لَمُیحْتَلِمْ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 حمل شوند به موردی که کودک از حیث احتلام بالغ نشده، ولی از جهت</w:t>
      </w:r>
    </w:p>
    <w:p>
      <w:pPr>
        <w:pStyle w:val="BookText"/>
        <w:rPr/>
      </w:pPr>
      <w:r>
        <w:rPr>
          <w:rFonts w:ascii="IRNazanin" w:hAnsi="IRNazanin" w:eastAsia="IRNazanin"/>
          <w:color w:val="111111"/>
          <w:sz w:val="28"/>
          <w:sz w:val="28"/>
          <w:szCs w:val="28"/>
          <w:rtl w:val="true"/>
          <w:lang w:bidi="fa-IR"/>
        </w:rPr>
        <w:t>سن به حد بلوغ رسیده است، به علاوه چون فقها از این روایات اعراض نموده و بر طبق آن فتوی نداده‌اند، بر امامت کودک در نماز مستحب حمل می‌شود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که در بین فقها شهرت دارد و اکثر آنان اعمّ از متقدّمین</w:t>
      </w:r>
      <w:r>
        <w:rPr>
          <w:rStyle w:val="FootnoteAnchor"/>
          <w:rtl w:val="true"/>
        </w:rPr>
        <w:footnoteReference w:id="501"/>
      </w:r>
      <w:r>
        <w:rPr>
          <w:rFonts w:ascii="IRNazanin" w:hAnsi="IRNazanin" w:eastAsia="IRNazanin"/>
          <w:color w:val="111111"/>
          <w:sz w:val="28"/>
          <w:sz w:val="28"/>
          <w:szCs w:val="28"/>
          <w:rtl w:val="true"/>
          <w:lang w:bidi="fa-IR"/>
        </w:rPr>
        <w:t>تا معاصرین،</w:t>
      </w:r>
      <w:r>
        <w:rPr>
          <w:rStyle w:val="FootnoteAnchor"/>
          <w:rtl w:val="true"/>
        </w:rPr>
        <w:footnoteReference w:id="502"/>
      </w:r>
      <w:r>
        <w:rPr>
          <w:rFonts w:ascii="IRNazanin" w:hAnsi="IRNazanin" w:eastAsia="IRNazanin"/>
          <w:color w:val="111111"/>
          <w:sz w:val="28"/>
          <w:sz w:val="28"/>
          <w:szCs w:val="28"/>
          <w:rtl w:val="true"/>
          <w:lang w:bidi="fa-IR"/>
        </w:rPr>
        <w:t>آن را پذیرفته‌اند، این است که امامت کودک در نمازهای واجب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دیدگاه، اصل است، به این معنی که به مقتضای اصل اوّلی قرائت حمد و سوره در نماز جماعت از نمازگزار ساقط نمیشود، مگر این‌که علم به سقوط آن پیدا کند و با فرض این که امام جماعت کودک باشد، این علم پیدا نمیشود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به عبارت دیگر، اطلاقاتی که بر صحّت نماز جماعت دلالت دارد، منصرف است به موردی که امام جماعت بالغ شد و چنان‌چه غیر بالغ، امام جماعت شود، اصالت عدم ضمان جاری است،</w:t>
      </w:r>
      <w:r>
        <w:rPr>
          <w:rStyle w:val="FootnoteAnchor"/>
          <w:rtl w:val="true"/>
        </w:rPr>
        <w:footnoteReference w:id="504"/>
      </w:r>
      <w:r>
        <w:rPr>
          <w:rFonts w:ascii="IRNazanin" w:hAnsi="IRNazanin" w:eastAsia="IRNazanin"/>
          <w:color w:val="111111"/>
          <w:sz w:val="28"/>
          <w:sz w:val="28"/>
          <w:szCs w:val="28"/>
          <w:rtl w:val="true"/>
          <w:lang w:bidi="fa-IR"/>
        </w:rPr>
        <w:t>یعنی با امامت او بعضی از اجزای نماز مثل حمد و سوره از مأموم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دیگر هم خبر اسحاق بن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صادق علیه السلام و او از جدّش امیرالمؤمنین علیه السلام روایت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ندارد که کودک قبل از بلوغ، اذان بگوید، ولی نباید امامت نماز را به عهده بگیرد، اگر چنین شد نماز خودش صحیح و نماز کسانی که با او جماعت خوانده‌اند،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یُؤَذِّنَ الْغُلامُ قَبْلَ أَنْ یَحْتَلِمَ وَلا یَؤُمُّ حَتّی یَحْتَلِمَ فَإِنْ أَمَّ جازَتْ صَلاتُهُ وَفَسَدَتْ صَلاةُ مِنْ خَلْفَهُ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این روایت به صراحت بر مدّعا دلالت دارد و ضعف سند آن به دلیل این‌که مشهور فقها به مضمون آن فتوی داده‌اند، جبران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6"/>
      </w:r>
      <w:r>
        <w:rPr>
          <w:rFonts w:ascii="IRNazanin" w:hAnsi="IRNazanin" w:eastAsia="IRNazanin"/>
          <w:color w:val="111111"/>
          <w:sz w:val="28"/>
          <w:sz w:val="28"/>
          <w:szCs w:val="28"/>
          <w:rtl w:val="true"/>
          <w:lang w:bidi="fa-IR"/>
        </w:rPr>
        <w:t>بنابراین بین این روایت و روایاتی که دلالت بر صحّت امامت کودک در نماز دلالت داشت، تعارض واقع نمیشود، زیرا آن دسته از روایات</w:t>
      </w:r>
      <w:bookmarkStart w:id="256" w:name="pg13713_164422"/>
    </w:p>
    <w:p>
      <w:pPr>
        <w:pStyle w:val="BookText"/>
        <w:rPr/>
      </w:pPr>
      <w:bookmarkEnd w:id="256"/>
      <w:r>
        <w:rPr>
          <w:rFonts w:ascii="IRNazanin" w:hAnsi="IRNazanin" w:eastAsia="IRNazanin"/>
          <w:color w:val="111111"/>
          <w:sz w:val="28"/>
          <w:sz w:val="28"/>
          <w:szCs w:val="28"/>
          <w:rtl w:val="true"/>
          <w:lang w:bidi="fa-IR"/>
        </w:rPr>
        <w:t>به دلیل این‌که مشهور فقها از آنها اعراض نموده و به مضمون آنها فتوی‌نداده بودند، از حجیّت‌ساقط میشود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از این رو یکی از شرایط در امامت نمازواجب، بلوغ است</w:t>
      </w:r>
      <w:r>
        <w:rPr>
          <w:rFonts w:eastAsia="IRNazanin" w:cs="IRNazanin"/>
          <w:color w:val="111111"/>
          <w:sz w:val="28"/>
          <w:szCs w:val="28"/>
          <w:rtl w:val="true"/>
          <w:lang w:bidi="fa-IR"/>
        </w:rPr>
        <w:t>.</w:t>
      </w:r>
    </w:p>
    <w:p>
      <w:pPr>
        <w:pStyle w:val="Heading4"/>
        <w:numPr>
          <w:ilvl w:val="3"/>
          <w:numId w:val="1"/>
        </w:numPr>
        <w:rPr/>
      </w:pPr>
      <w:bookmarkStart w:id="257" w:name="__RefHeading___Toc1259502_1468164448"/>
      <w:bookmarkStart w:id="258" w:name="_Toc96"/>
      <w:bookmarkEnd w:id="257"/>
      <w:r>
        <w:rPr/>
        <w:t>9</w:t>
      </w:r>
      <w:r>
        <w:rPr>
          <w:rtl w:val="true"/>
        </w:rPr>
        <w:t xml:space="preserve">- </w:t>
      </w:r>
      <w:r>
        <w:rPr>
          <w:rtl w:val="true"/>
        </w:rPr>
        <w:t>امامت کودک در نماز مستحب</w:t>
      </w:r>
      <w:bookmarkEnd w:id="258"/>
    </w:p>
    <w:p>
      <w:pPr>
        <w:pStyle w:val="BookText"/>
        <w:rPr/>
      </w:pPr>
      <w:r>
        <w:rPr>
          <w:rFonts w:ascii="IRNazanin" w:hAnsi="IRNazanin" w:eastAsia="IRNazanin"/>
          <w:color w:val="111111"/>
          <w:sz w:val="28"/>
          <w:sz w:val="28"/>
          <w:szCs w:val="28"/>
          <w:rtl w:val="true"/>
          <w:lang w:bidi="fa-IR"/>
        </w:rPr>
        <w:t xml:space="preserve">پرسش دیگر این است که آیا امامت کودک در نمازهای مستحبّی که جماعت در آنها صحیح است، مانند نماز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بالغ جایز است؟ در این مسأله نیز دو دیدگاه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قائل به جواز میباشند؛</w:t>
      </w:r>
      <w:r>
        <w:rPr>
          <w:rStyle w:val="FootnoteAnchor"/>
          <w:rtl w:val="true"/>
        </w:rPr>
        <w:footnoteReference w:id="508"/>
      </w:r>
      <w:r>
        <w:rPr>
          <w:rFonts w:ascii="IRNazanin" w:hAnsi="IRNazanin" w:eastAsia="IRNazanin"/>
          <w:color w:val="111111"/>
          <w:sz w:val="28"/>
          <w:sz w:val="28"/>
          <w:szCs w:val="28"/>
          <w:rtl w:val="true"/>
          <w:lang w:bidi="fa-IR"/>
        </w:rPr>
        <w:t>زیرا نماز مستحبی از کودک صحیح است</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در مقابل این دیدگاه، برخی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برای افراد بالغ حتّی در نماز مستحبّی جایز نیست،</w:t>
      </w:r>
      <w:r>
        <w:rPr>
          <w:rStyle w:val="FootnoteAnchor"/>
          <w:rtl w:val="true"/>
        </w:rPr>
        <w:footnoteReference w:id="510"/>
      </w:r>
      <w:r>
        <w:rPr>
          <w:rFonts w:ascii="IRNazanin" w:hAnsi="IRNazanin" w:eastAsia="IRNazanin"/>
          <w:color w:val="111111"/>
          <w:sz w:val="28"/>
          <w:sz w:val="28"/>
          <w:szCs w:val="28"/>
          <w:rtl w:val="true"/>
          <w:lang w:bidi="fa-IR"/>
        </w:rPr>
        <w:t>زیرا ادلّه‌ای که دلالت بر عدم جواز امامت کودک در نماز دارد، عام است و نمازهای مستحبی را نیز شامل میشود، افزون بر این ممکن است ادّعا شود ادلّه‌ای که دلالت بر استحباب جماعت در نمازهای غیر واجب دارد، مربوط به مکلّفین است و انصراف به آنان دارد</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259" w:name="__RefHeading___Toc1259504_1468164448"/>
      <w:bookmarkStart w:id="260" w:name="_Toc97"/>
      <w:bookmarkEnd w:id="259"/>
      <w:r>
        <w:rPr/>
        <w:t>10</w:t>
      </w:r>
      <w:r>
        <w:rPr>
          <w:rtl w:val="true"/>
        </w:rPr>
        <w:t xml:space="preserve">- </w:t>
      </w:r>
      <w:r>
        <w:rPr>
          <w:rtl w:val="true"/>
        </w:rPr>
        <w:t>امامت کودک در نماز مستحبی برای غیر بالغ</w:t>
      </w:r>
      <w:bookmarkEnd w:id="260"/>
    </w:p>
    <w:p>
      <w:pPr>
        <w:pStyle w:val="BookText"/>
        <w:rPr/>
      </w:pPr>
      <w:r>
        <w:rPr>
          <w:rFonts w:ascii="IRNazanin" w:hAnsi="IRNazanin" w:eastAsia="IRNazanin"/>
          <w:color w:val="111111"/>
          <w:sz w:val="28"/>
          <w:sz w:val="28"/>
          <w:szCs w:val="28"/>
          <w:rtl w:val="true"/>
          <w:lang w:bidi="fa-IR"/>
        </w:rPr>
        <w:t>این پرسش مطرح است که آیا کودک میتواند در نمازهای مستحبی برای مثل خودش امامت کند؟ در این‌باره نیز دو دیدگاه مطرح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قائل به عدم جواز آن میباشند،</w:t>
      </w:r>
      <w:r>
        <w:rPr>
          <w:rStyle w:val="FootnoteAnchor"/>
          <w:rtl w:val="true"/>
        </w:rPr>
        <w:footnoteReference w:id="512"/>
      </w:r>
      <w:r>
        <w:rPr>
          <w:rFonts w:ascii="IRNazanin" w:hAnsi="IRNazanin" w:eastAsia="IRNazanin"/>
          <w:color w:val="111111"/>
          <w:sz w:val="28"/>
          <w:sz w:val="28"/>
          <w:szCs w:val="28"/>
          <w:rtl w:val="true"/>
          <w:lang w:bidi="fa-IR"/>
        </w:rPr>
        <w:t>زیرا ادلّه‌ای که بلوغ را در نماز جماعت شرط میداند مطلق است و در این‌باره فرقی بین مأموم بالغ و غیر بالغ نیست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عدّه‌ای دیگر، قائل به جواز آن شده‌اند،</w:t>
      </w:r>
      <w:r>
        <w:rPr>
          <w:rStyle w:val="FootnoteAnchor"/>
          <w:rtl w:val="true"/>
        </w:rPr>
        <w:footnoteReference w:id="514"/>
      </w:r>
      <w:r>
        <w:rPr>
          <w:rFonts w:ascii="IRNazanin" w:hAnsi="IRNazanin" w:eastAsia="IRNazanin"/>
          <w:color w:val="111111"/>
          <w:sz w:val="28"/>
          <w:sz w:val="28"/>
          <w:szCs w:val="28"/>
          <w:rtl w:val="true"/>
          <w:lang w:bidi="fa-IR"/>
        </w:rPr>
        <w:t>به نظر میرسد باید دیدگاه اخیر را پذیرفت، زیرا</w:t>
      </w:r>
      <w:r>
        <w:rPr>
          <w:rFonts w:eastAsia="IRNazanin" w:cs="IRNazanin"/>
          <w:color w:val="111111"/>
          <w:sz w:val="28"/>
          <w:szCs w:val="28"/>
          <w:rtl w:val="true"/>
          <w:lang w:bidi="fa-IR"/>
        </w:rPr>
        <w:t>:</w:t>
      </w:r>
      <w:bookmarkStart w:id="261" w:name="pg13713_164423"/>
    </w:p>
    <w:p>
      <w:pPr>
        <w:pStyle w:val="BookText"/>
        <w:rPr/>
      </w:pPr>
      <w:bookmarkEnd w:id="261"/>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منع منصرف از این مورد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ادّعا شود سیره متشرّعه از گذشته تا به حال، امامت کودک درنماز مستحبی برای غیر بالغ را جایز میدانسته و این خود، قرینه است بر این‌که باید روایاتی</w:t>
      </w:r>
      <w:r>
        <w:rPr>
          <w:rStyle w:val="FootnoteAnchor"/>
          <w:rtl w:val="true"/>
        </w:rPr>
        <w:footnoteReference w:id="516"/>
      </w:r>
      <w:r>
        <w:rPr>
          <w:rFonts w:ascii="IRNazanin" w:hAnsi="IRNazanin" w:eastAsia="IRNazanin"/>
          <w:color w:val="111111"/>
          <w:sz w:val="28"/>
          <w:sz w:val="28"/>
          <w:szCs w:val="28"/>
          <w:rtl w:val="true"/>
          <w:lang w:bidi="fa-IR"/>
        </w:rPr>
        <w:t>که دلالت بر جواز امامت کودک در نماز دارد و پیش‌تر بدان اشاره شد را براین‌مورد حمل نمود</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262" w:name="__RefHeading___Toc1259506_1468164448"/>
      <w:bookmarkStart w:id="263" w:name="_Toc98"/>
      <w:bookmarkEnd w:id="262"/>
      <w:r>
        <w:rPr/>
        <w:t>11</w:t>
      </w:r>
      <w:r>
        <w:rPr>
          <w:rtl w:val="true"/>
        </w:rPr>
        <w:t xml:space="preserve">- </w:t>
      </w:r>
      <w:r>
        <w:rPr>
          <w:rtl w:val="true"/>
        </w:rPr>
        <w:t>حکم قضای نماز میّت نسبت به کودک</w:t>
      </w:r>
      <w:bookmarkEnd w:id="263"/>
    </w:p>
    <w:p>
      <w:pPr>
        <w:pStyle w:val="BookText"/>
        <w:rPr/>
      </w:pPr>
      <w:r>
        <w:rPr>
          <w:rFonts w:ascii="IRNazanin" w:hAnsi="IRNazanin" w:eastAsia="IRNazanin"/>
          <w:color w:val="111111"/>
          <w:sz w:val="28"/>
          <w:sz w:val="28"/>
          <w:szCs w:val="28"/>
          <w:rtl w:val="true"/>
          <w:lang w:bidi="fa-IR"/>
        </w:rPr>
        <w:t>بر طبق دیدگاه مشهور فقها، اگر پدر نماز یا روزه خود را به جهت عذری که داشته باشد، انجام نداده باشد، بر پسر بزرگتر واجب است بعد از مرگ پدر به جا آورد،</w:t>
      </w:r>
      <w:r>
        <w:rPr>
          <w:rStyle w:val="FootnoteAnchor"/>
          <w:rtl w:val="true"/>
        </w:rPr>
        <w:footnoteReference w:id="518"/>
      </w:r>
      <w:r>
        <w:rPr>
          <w:rFonts w:ascii="IRNazanin" w:hAnsi="IRNazanin" w:eastAsia="IRNazanin"/>
          <w:color w:val="111111"/>
          <w:sz w:val="28"/>
          <w:sz w:val="28"/>
          <w:szCs w:val="28"/>
          <w:rtl w:val="true"/>
          <w:lang w:bidi="fa-IR"/>
        </w:rPr>
        <w:t>یا برای او اجیر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برخی از فقها احتیاط واجب است که نماز و روزه فوت شده مادر را نیز قضا نماید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حال این پرسش مطرح است که اگر پسر بزرگتر در زمان مرگ پدر صغیر بود، آیابعد از آن‌که به حدّ بلوغ رسید، قضاء نماز پدر و مادر بر او واجب است یا 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 به عدم وجوب میباشند و معتقدند در صورتی که ولی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مرگ پدر، کبیر باشد، بر او واجب میشود؛</w:t>
      </w:r>
      <w:r>
        <w:rPr>
          <w:rStyle w:val="FootnoteAnchor"/>
          <w:rtl w:val="true"/>
        </w:rPr>
        <w:footnoteReference w:id="520"/>
      </w:r>
      <w:r>
        <w:rPr>
          <w:rFonts w:ascii="IRNazanin" w:hAnsi="IRNazanin" w:eastAsia="IRNazanin"/>
          <w:color w:val="111111"/>
          <w:sz w:val="28"/>
          <w:sz w:val="28"/>
          <w:szCs w:val="28"/>
          <w:rtl w:val="true"/>
          <w:lang w:bidi="fa-IR"/>
        </w:rPr>
        <w:t>زیرا صغیر تکلیفی ندارد،</w:t>
      </w:r>
      <w:r>
        <w:rPr>
          <w:rStyle w:val="FootnoteAnchor"/>
          <w:rtl w:val="true"/>
        </w:rPr>
        <w:footnoteReference w:id="521"/>
      </w:r>
      <w:r>
        <w:rPr>
          <w:rFonts w:ascii="IRNazanin" w:hAnsi="IRNazanin" w:eastAsia="IRNazanin"/>
          <w:color w:val="111111"/>
          <w:sz w:val="28"/>
          <w:sz w:val="28"/>
          <w:szCs w:val="28"/>
          <w:rtl w:val="true"/>
          <w:lang w:bidi="fa-IR"/>
        </w:rPr>
        <w:t>به علاوه اصل برائت نیز جاری است</w:t>
      </w:r>
      <w:r>
        <w:rPr>
          <w:rFonts w:eastAsia="IRNazanin" w:cs="IRNazanin"/>
          <w:color w:val="111111"/>
          <w:sz w:val="28"/>
          <w:szCs w:val="28"/>
          <w:rtl w:val="true"/>
          <w:lang w:bidi="fa-IR"/>
        </w:rPr>
        <w:t>.</w:t>
      </w:r>
      <w:r>
        <w:rPr>
          <w:rStyle w:val="FootnoteAnchor"/>
          <w:rtl w:val="true"/>
        </w:rPr>
        <w:footnoteReference w:id="52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دیگری که بین فقها مشهور است این که کبیر بودن پسر بزرگتر در حین فوت پدر شرط نیست</w:t>
      </w:r>
      <w:r>
        <w:rPr>
          <w:rFonts w:eastAsia="IRNazanin" w:cs="IRNazanin"/>
          <w:color w:val="111111"/>
          <w:sz w:val="28"/>
          <w:szCs w:val="28"/>
          <w:rtl w:val="true"/>
          <w:lang w:bidi="fa-IR"/>
        </w:rPr>
        <w:t>.</w:t>
      </w:r>
      <w:r>
        <w:rPr>
          <w:rStyle w:val="FootnoteAnchor"/>
          <w:rtl w:val="true"/>
        </w:rPr>
        <w:footnoteReference w:id="523"/>
      </w:r>
      <w:bookmarkStart w:id="264" w:name="pg13713_164424"/>
    </w:p>
    <w:p>
      <w:pPr>
        <w:pStyle w:val="BookText"/>
        <w:rPr/>
      </w:pPr>
      <w:bookmarkEnd w:id="264"/>
      <w:r>
        <w:rPr>
          <w:rFonts w:ascii="IRNazanin" w:hAnsi="IRNazanin" w:eastAsia="IRNazanin"/>
          <w:color w:val="111111"/>
          <w:sz w:val="28"/>
          <w:sz w:val="28"/>
          <w:szCs w:val="28"/>
          <w:rtl w:val="true"/>
          <w:lang w:bidi="fa-IR"/>
        </w:rPr>
        <w:t>امام خمینی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نیست پسر بزرگتر در زمان مرگ پدر، بالغ‌و عاقل باشد، بنابراین بر کودک زمانی که بالغ شد و بر مجنون آنگاه که عاقل گردید، قضا نماز پدر و مادر واجب است</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قریب به این مضمون را نیز مرحوم آیت الله فاضل لنکرانی فرموده است</w:t>
      </w:r>
      <w:r>
        <w:rPr>
          <w:rFonts w:eastAsia="IRNazanin" w:cs="IRNazanin"/>
          <w:color w:val="111111"/>
          <w:sz w:val="28"/>
          <w:szCs w:val="28"/>
          <w:rtl w:val="true"/>
          <w:lang w:bidi="fa-IR"/>
        </w:rPr>
        <w:t>.</w:t>
      </w:r>
      <w:r>
        <w:rPr>
          <w:rStyle w:val="FootnoteAnchor"/>
          <w:rtl w:val="true"/>
        </w:rPr>
        <w:footnoteReference w:id="525"/>
      </w:r>
    </w:p>
    <w:p>
      <w:pPr>
        <w:pStyle w:val="Heading4"/>
        <w:numPr>
          <w:ilvl w:val="3"/>
          <w:numId w:val="1"/>
        </w:numPr>
        <w:rPr/>
      </w:pPr>
      <w:bookmarkStart w:id="265" w:name="__RefHeading___Toc1259508_1468164448"/>
      <w:bookmarkStart w:id="266" w:name="_Toc99"/>
      <w:bookmarkEnd w:id="265"/>
      <w:r>
        <w:rPr/>
        <w:t>12</w:t>
      </w:r>
      <w:r>
        <w:rPr>
          <w:rtl w:val="true"/>
        </w:rPr>
        <w:t xml:space="preserve">- </w:t>
      </w:r>
      <w:r>
        <w:rPr>
          <w:rtl w:val="true"/>
        </w:rPr>
        <w:t>ادلّه این نظریّه</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ادّله، توضیح این‌که در روایت صحیحه، از امام عسکری علیه السلام سؤال شده، مردی از دنیا رفته در حالی که ده روز روزة رمضان بدهکار بوده و دو نفر ولی داشته، آیا هر دو نفر، هر کدام پنج روز روزه بگیرند؟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 بزرگتر ده‌روز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اکْبَرُ وَلِییَّهُ عَشَرَةَ أَیّامٍ وِلاءً</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در روایت دیگری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عَنْهُ أَوْلَی النّاسَ بِمِیراثِهِ</w:t>
      </w:r>
      <w:r>
        <w:rPr>
          <w:rFonts w:eastAsia="IRNazanin" w:cs="IRNazanin"/>
          <w:color w:val="111111"/>
          <w:sz w:val="28"/>
          <w:szCs w:val="28"/>
          <w:rtl w:val="true"/>
          <w:lang w:bidi="fa-IR"/>
        </w:rPr>
        <w:t>»</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که نسبت به میراث او اولویت‌دارد،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مطلق و غیر بالغ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ظاهر این روایات حکم وضعی است، به‌ویژه این‌که در بعضی از آنها، تعبیر به دَیْن‌شده است</w:t>
      </w:r>
      <w:r>
        <w:rPr>
          <w:rFonts w:eastAsia="IRNazanin" w:cs="IRNazanin"/>
          <w:color w:val="111111"/>
          <w:sz w:val="28"/>
          <w:szCs w:val="28"/>
          <w:rtl w:val="true"/>
          <w:lang w:bidi="fa-IR"/>
        </w:rPr>
        <w:t>.</w:t>
      </w:r>
      <w:r>
        <w:rPr>
          <w:rStyle w:val="FootnoteAnchor"/>
          <w:rtl w:val="true"/>
        </w:rPr>
        <w:footnoteReference w:id="5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ادلّه این حکم اطلاق دارد و در هیچ‌کدام از آنها ظهوری نیست که وجوب قضا به ذمّة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حین مرگ پدر است، هم‌چنین در ادلّه نیامده است که باید پسر بزرگتر در آن موقع کبیر باشد، بلکه از ظاهر روایات استفاده میشود که وجوب قضا از باب اسباب است، مثل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جنب شد باید غسل کند یا هر کس مال دیگری را اتلاف کند ضامن است، بنابراین</w:t>
      </w:r>
      <w:bookmarkStart w:id="267" w:name="pg13713_164425"/>
    </w:p>
    <w:p>
      <w:pPr>
        <w:pStyle w:val="BookText"/>
        <w:rPr/>
      </w:pPr>
      <w:bookmarkEnd w:id="267"/>
      <w:r>
        <w:rPr>
          <w:rFonts w:ascii="IRNazanin" w:hAnsi="IRNazanin" w:eastAsia="IRNazanin"/>
          <w:color w:val="111111"/>
          <w:sz w:val="28"/>
          <w:sz w:val="28"/>
          <w:szCs w:val="28"/>
          <w:rtl w:val="true"/>
          <w:lang w:bidi="fa-IR"/>
        </w:rPr>
        <w:t>وجوب قضا بعد از بلوغ بر پسر بزرگتر که در حین فوت پدر صغیر است، منافاتی با رفع قلم از صغیر و مجنون ندارد</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ادلّه،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الناس بمیراثه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به میراث میّت اولویت دارد، قضا بر او واجب است، متعلّق حکم قرار گرفته است و این عنوان بعد از بلوغ، بر صغیر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وجوب قضا بر کسی که اولویت به میراث میّت دارد، مانند دیگر تکالیف، آنگاه که شرایط آن، از جمله بلوغ و عقل تحقّق یافت، منجّز میشود، بنابراین وقتی کودک به حدّ بلوغ و رشد رسید، تکلیف مذکور در حق وی منجّز میگردد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ادلّه دیگری نیز ذکر شده است که به دلیل طولانی بودن، از ذکر آنها خودداری میگردد</w:t>
      </w:r>
      <w:r>
        <w:rPr>
          <w:rFonts w:eastAsia="IRNazanin" w:cs="IRNazanin"/>
          <w:color w:val="111111"/>
          <w:sz w:val="28"/>
          <w:szCs w:val="28"/>
          <w:rtl w:val="true"/>
          <w:lang w:bidi="fa-IR"/>
        </w:rPr>
        <w:t>.</w:t>
      </w:r>
      <w:r>
        <w:rPr>
          <w:rStyle w:val="FootnoteAnchor"/>
          <w:rtl w:val="true"/>
        </w:rPr>
        <w:footnoteReference w:id="531"/>
      </w:r>
    </w:p>
    <w:p>
      <w:pPr>
        <w:pStyle w:val="Heading4"/>
        <w:numPr>
          <w:ilvl w:val="3"/>
          <w:numId w:val="1"/>
        </w:numPr>
        <w:rPr/>
      </w:pPr>
      <w:bookmarkStart w:id="268" w:name="__RefHeading___Toc1259510_1468164448"/>
      <w:bookmarkStart w:id="269" w:name="_Toc100"/>
      <w:bookmarkEnd w:id="268"/>
      <w:r>
        <w:rPr/>
        <w:t>13</w:t>
      </w:r>
      <w:r>
        <w:rPr>
          <w:rtl w:val="true"/>
        </w:rPr>
        <w:t xml:space="preserve">- </w:t>
      </w:r>
      <w:r>
        <w:rPr>
          <w:rtl w:val="true"/>
        </w:rPr>
        <w:t>نیابت نمودن کودک در نماز و روزه</w:t>
      </w:r>
      <w:bookmarkEnd w:id="269"/>
    </w:p>
    <w:p>
      <w:pPr>
        <w:pStyle w:val="BookText"/>
        <w:rPr/>
      </w:pPr>
      <w:r>
        <w:rPr>
          <w:rFonts w:ascii="IRNazanin" w:hAnsi="IRNazanin" w:eastAsia="IRNazanin"/>
          <w:color w:val="111111"/>
          <w:sz w:val="28"/>
          <w:sz w:val="28"/>
          <w:szCs w:val="28"/>
          <w:rtl w:val="true"/>
          <w:lang w:bidi="fa-IR"/>
        </w:rPr>
        <w:t>بعد از مرگ انسان جایز است برای نماز و عبادت‌های دیگر او که در زمان حیات خود انجام نداده است، شخص مکلّفی را اجیر کنند، حال این پرسش مطرح است که آیا جایز است کودک ممیّز با اذن ولیّش اجیر شود؟ در این مسأله چند دیدگاه مطرح‌گردیده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مطلقاً صحیح است، زیرا عدم مشروعیت عبادت صبی و تمرینی بودن آن به معنای این است که امر به آن نشده است، ولی منافات با صحت عمل و نیابت ندارد</w:t>
      </w:r>
      <w:r>
        <w:rPr>
          <w:rFonts w:eastAsia="IRNazanin" w:cs="IRNazanin"/>
          <w:color w:val="111111"/>
          <w:sz w:val="28"/>
          <w:szCs w:val="28"/>
          <w:rtl w:val="true"/>
          <w:lang w:bidi="fa-IR"/>
        </w:rPr>
        <w:t>.</w:t>
      </w:r>
      <w:r>
        <w:rPr>
          <w:rStyle w:val="FootnoteAnchor"/>
          <w:rtl w:val="true"/>
        </w:rPr>
        <w:footnoteReference w:id="53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این نظریّه صحیح نیست، زیرا بنابر این‌که عبادات کودک، صرف تمرین باشد، امر مستحبی متوجه کودک نیست و فعل او عبادت محسوب نمیشود تا به نیابت از دیگری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مطلقاً صحیح نیست، زیرا عبادات توقیفی است و مشروعیت آن نیاز به امر دارد و نسبت به کودک چنین امری ثابت نشده است، به علاوه اگر کودک اجیر شود، بعد از انجام عمل، این تردید وجود دارد که آیا ولی میّت فارغ الذّمة شده یا خیر؟ مقتضای ادلّه، عدم تفریغ ذمّه به نسبت تکلیفی است که متوجّه ولی و یا وصّی میباشد و نباید به آن اکتفا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مقتضای اصل عملی نیز اشتغال ذمّه ولی است؛ زیرا شک در تحقّق فراغ ذمّه و امتثال دارد، با این‌که علم به تکلیف، حاصل 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 از این استدلال جواب داده شده که عبادات کودک مشروعیّت دارد و اوامر استحبابی متوجّه کودک است، ادلّه نیابت نیز عمومیّت دارد و کودک ممیّز را شامل میشود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که قویتر به نظر میرسد، قائل به تفصیل شده و معتقد است بنابرمشروعیّت عبادات کودک، نیابت او صحیح است، هرچند احتیاط بر این است که‌بلوغ را در شخص نائب، شرط بدانیم،</w:t>
      </w:r>
      <w:r>
        <w:rPr>
          <w:rStyle w:val="FootnoteAnchor"/>
          <w:rtl w:val="true"/>
        </w:rPr>
        <w:footnoteReference w:id="535"/>
      </w:r>
      <w:r>
        <w:rPr>
          <w:rFonts w:ascii="IRNazanin" w:hAnsi="IRNazanin" w:eastAsia="IRNazanin"/>
          <w:color w:val="111111"/>
          <w:sz w:val="28"/>
          <w:sz w:val="28"/>
          <w:szCs w:val="28"/>
          <w:rtl w:val="true"/>
          <w:lang w:bidi="fa-IR"/>
        </w:rPr>
        <w:t>زیرا عبادت کودک ممیّز مشمول اطلاق ادلّه</w:t>
      </w:r>
      <w:r>
        <w:rPr>
          <w:rStyle w:val="FootnoteAnchor"/>
          <w:rtl w:val="true"/>
        </w:rPr>
        <w:footnoteReference w:id="536"/>
      </w:r>
      <w:r>
        <w:rPr>
          <w:rFonts w:ascii="IRNazanin" w:hAnsi="IRNazanin" w:eastAsia="IRNazanin"/>
          <w:color w:val="111111"/>
          <w:sz w:val="28"/>
          <w:sz w:val="28"/>
          <w:szCs w:val="28"/>
          <w:rtl w:val="true"/>
          <w:lang w:bidi="fa-IR"/>
        </w:rPr>
        <w:t>صحّت نیابت میباشد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کودک بنابر مشروعیّت آن، صحیح است، زیرا واجد تمام شرایطی است که در صحّت عبادت معتبر است؛ بنابراین جایز است به نیابت از دیگری واقع شود، اعمّ از این‌که دیگری زنده باشد یا مرده، و اعمّ از این‌که در مقابل اجرت واقع شود یا بدون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نظریّه که نیابت کودک صحیح نیست، مورد قبول نمیباشد، زیرا دلیلی مبنی بر عدم صحّت آن وارد نشده است</w:t>
      </w:r>
      <w:r>
        <w:rPr>
          <w:rFonts w:eastAsia="IRNazanin" w:cs="IRNazanin"/>
          <w:color w:val="111111"/>
          <w:sz w:val="28"/>
          <w:szCs w:val="28"/>
          <w:rtl w:val="true"/>
          <w:lang w:bidi="fa-IR"/>
        </w:rPr>
        <w:t>».</w:t>
      </w:r>
      <w:r>
        <w:rPr>
          <w:rStyle w:val="FootnoteAnchor"/>
          <w:rtl w:val="true"/>
        </w:rPr>
        <w:footnoteReference w:id="537"/>
      </w:r>
      <w:bookmarkStart w:id="270" w:name="pg13713_164427"/>
    </w:p>
    <w:p>
      <w:pPr>
        <w:pStyle w:val="Heading4"/>
        <w:numPr>
          <w:ilvl w:val="3"/>
          <w:numId w:val="1"/>
        </w:numPr>
        <w:rPr/>
      </w:pPr>
      <w:bookmarkStart w:id="271" w:name="__RefHeading___Toc1259512_1468164448"/>
      <w:bookmarkStart w:id="272" w:name="_Toc101"/>
      <w:bookmarkEnd w:id="270"/>
      <w:bookmarkEnd w:id="271"/>
      <w:r>
        <w:rPr/>
        <w:t>14</w:t>
      </w:r>
      <w:r>
        <w:rPr>
          <w:rtl w:val="true"/>
        </w:rPr>
        <w:t xml:space="preserve">- </w:t>
      </w:r>
      <w:r>
        <w:rPr>
          <w:rtl w:val="true"/>
        </w:rPr>
        <w:t>استحباب انجام عبادات به نیابت از والدین</w:t>
      </w:r>
      <w:bookmarkEnd w:id="272"/>
    </w:p>
    <w:p>
      <w:pPr>
        <w:pStyle w:val="BookText"/>
        <w:rPr/>
      </w:pPr>
      <w:r>
        <w:rPr>
          <w:rFonts w:ascii="IRNazanin" w:hAnsi="IRNazanin" w:eastAsia="IRNazanin"/>
          <w:color w:val="111111"/>
          <w:sz w:val="28"/>
          <w:sz w:val="28"/>
          <w:szCs w:val="28"/>
          <w:rtl w:val="true"/>
          <w:lang w:bidi="fa-IR"/>
        </w:rPr>
        <w:t>مستحب است فرزندان چه کودک و چه بالغ، نماز، روزه، صدقه و دیگر عبادات را به نیابت از والدین خود خواه زنده و خواه مرده،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 این مسأله تأکید شده است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مانع نشود فردی از شما، به پدر و مادر خود نیکی کند، زنده باشد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آنها نماز بخواند، صدقه بدهد، حج انجام دهد، روزه بگیرد، آن‌چه را که انجام میدهد برای پدر و مادرش میباشد و همان اندازه برای خود او نیز میباشد و خداوند متعال به جهت این نیکی و صله، به او اجر و ثواب بسیار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الرَّجُلَ مِنْکُمْ ان یَبَرَّ والِدَیْهِ حَیَّیْنِ وَمَیِّتَیْنِ یُصَلِّی عَنْهُما وَیَتَصَدَّقُ عَنْهُما وَیَحُجَّ عَنْهُما وَیَصُومَ عَنْهُما فَیَکُونُ الَّذیِ صَنَعَ لَهُما وَلَهُ مِثْلُ ذلِکَ فَیَزِیدُ اللهُ عَزَّوَجَلَّ بِبِرِّهِ وَصِلَتِهِ خَیْراً کَثِیراً</w:t>
      </w:r>
      <w:r>
        <w:rPr>
          <w:rFonts w:eastAsia="IRNazanin" w:cs="IRNazanin"/>
          <w:color w:val="111111"/>
          <w:sz w:val="28"/>
          <w:szCs w:val="28"/>
          <w:rtl w:val="true"/>
          <w:lang w:bidi="fa-IR"/>
        </w:rPr>
        <w:t>».</w:t>
      </w:r>
      <w:r>
        <w:rPr>
          <w:rStyle w:val="FootnoteAnchor"/>
        </w:rPr>
        <w:footnoteReference w:id="53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صدقه، حج، عمره و هر عمل نیک که به نیابت میّت انجام شود، از آن منتفع میشود، حتّی اگر در عالم برزخ ناراحتی داشته باشد، برطرف میشود و به او گفته میشود این به جهت کاری است که فرزندت فلانی انجام داد یا برادر دینی تو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بِعَمَلِ ابْنِکَ فُلانٍ وَبِعَمَلِ اخِیکَ فُلانٍ أَخُوکَ فِی الدِّینِ</w:t>
      </w:r>
      <w:r>
        <w:rPr>
          <w:rFonts w:eastAsia="Amiri" w:cs="Amiri" w:ascii="Amiri" w:hAnsi="Amiri"/>
          <w:color w:val="111111"/>
          <w:sz w:val="28"/>
          <w:szCs w:val="28"/>
          <w:rtl w:val="true"/>
          <w:lang w:bidi="ar-SA"/>
        </w:rPr>
        <w:t>».</w:t>
      </w:r>
      <w:r>
        <w:rPr>
          <w:rStyle w:val="FootnoteAnchor"/>
        </w:rPr>
        <w:footnoteReference w:id="539"/>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آن حضرت سؤال شده آیا برای میّت، نماز، دعا، صدقه،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 آیا میّت متوجّه میشود چه کسی برای او، این اعمال انجام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ناراحت باشد، راضی میشود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مَسْخُوطاً عَلَیْهِ فَیُرْضَی عَنْهُ</w:t>
      </w:r>
      <w:r>
        <w:rPr>
          <w:rFonts w:eastAsia="Amiri" w:cs="Amiri" w:ascii="Amiri" w:hAnsi="Amiri"/>
          <w:color w:val="111111"/>
          <w:sz w:val="28"/>
          <w:szCs w:val="28"/>
          <w:rtl w:val="true"/>
          <w:lang w:bidi="ar-SA"/>
        </w:rPr>
        <w:t>».</w:t>
      </w:r>
      <w:r>
        <w:rPr>
          <w:rStyle w:val="FootnoteAnchor"/>
          <w:rtl w:val="true"/>
        </w:rPr>
        <w:footnoteReference w:id="540"/>
      </w:r>
      <w:r>
        <w:rPr>
          <w:rFonts w:ascii="IRNazanin" w:hAnsi="IRNazanin" w:eastAsia="IRNazanin"/>
          <w:color w:val="111111"/>
          <w:sz w:val="28"/>
          <w:sz w:val="28"/>
          <w:szCs w:val="28"/>
          <w:rtl w:val="true"/>
          <w:lang w:bidi="fa-IR"/>
        </w:rPr>
        <w:t>و روایات دیگری</w:t>
      </w:r>
      <w:r>
        <w:rPr>
          <w:rStyle w:val="FootnoteAnchor"/>
          <w:rtl w:val="true"/>
        </w:rPr>
        <w:footnoteReference w:id="541"/>
      </w:r>
      <w:r>
        <w:rPr>
          <w:rFonts w:ascii="IRNazanin" w:hAnsi="IRNazanin" w:eastAsia="IRNazanin"/>
          <w:color w:val="111111"/>
          <w:sz w:val="28"/>
          <w:sz w:val="28"/>
          <w:szCs w:val="28"/>
          <w:rtl w:val="true"/>
          <w:lang w:bidi="fa-IR"/>
        </w:rPr>
        <w:t>که اطلاق آنها شامل کودک ممیّز میباشد</w:t>
      </w:r>
      <w:r>
        <w:rPr>
          <w:rFonts w:eastAsia="IRNazanin" w:cs="IRNazanin"/>
          <w:color w:val="111111"/>
          <w:sz w:val="28"/>
          <w:szCs w:val="28"/>
          <w:rtl w:val="true"/>
          <w:lang w:bidi="fa-IR"/>
        </w:rPr>
        <w:t>.</w:t>
      </w:r>
      <w:bookmarkStart w:id="273" w:name="pg13713_164428"/>
    </w:p>
    <w:p>
      <w:pPr>
        <w:pStyle w:val="Heading4"/>
        <w:numPr>
          <w:ilvl w:val="3"/>
          <w:numId w:val="1"/>
        </w:numPr>
        <w:rPr/>
      </w:pPr>
      <w:bookmarkStart w:id="274" w:name="__RefHeading___Toc1259514_1468164448"/>
      <w:bookmarkStart w:id="275" w:name="_Toc102"/>
      <w:bookmarkEnd w:id="273"/>
      <w:bookmarkEnd w:id="274"/>
      <w:r>
        <w:rPr/>
        <w:t>15</w:t>
      </w:r>
      <w:r>
        <w:rPr>
          <w:rtl w:val="true"/>
        </w:rPr>
        <w:t xml:space="preserve">- </w:t>
      </w:r>
      <w:r>
        <w:rPr>
          <w:rtl w:val="true"/>
        </w:rPr>
        <w:t>تبعیّت کودک از والدین در وطن و سفر</w:t>
      </w:r>
      <w:bookmarkEnd w:id="2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در وطن</w:t>
      </w:r>
    </w:p>
    <w:p>
      <w:pPr>
        <w:pStyle w:val="BookText"/>
        <w:rPr/>
      </w:pPr>
      <w:r>
        <w:rPr>
          <w:rFonts w:ascii="IRNazanin" w:hAnsi="IRNazanin" w:eastAsia="IRNazanin"/>
          <w:color w:val="111111"/>
          <w:sz w:val="28"/>
          <w:sz w:val="28"/>
          <w:szCs w:val="28"/>
          <w:rtl w:val="true"/>
          <w:lang w:bidi="fa-IR"/>
        </w:rPr>
        <w:t>بین فقها، اختلافی نیست که کودک در وطن، تابع والدین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اطلاق کلام برخی از فقیهان استفاده میشود</w:t>
      </w:r>
      <w:r>
        <w:rPr>
          <w:rStyle w:val="FootnoteAnchor"/>
          <w:rtl w:val="true"/>
        </w:rPr>
        <w:footnoteReference w:id="542"/>
      </w:r>
      <w:r>
        <w:rPr>
          <w:rFonts w:ascii="IRNazanin" w:hAnsi="IRNazanin" w:eastAsia="IRNazanin"/>
          <w:color w:val="111111"/>
          <w:sz w:val="28"/>
          <w:sz w:val="28"/>
          <w:szCs w:val="28"/>
          <w:rtl w:val="true"/>
          <w:lang w:bidi="fa-IR"/>
        </w:rPr>
        <w:t>و برخی دیگر به آن تصریح نموده‌اند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امام خمینی قدس سره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اراده و ادارة زندگی خود استقلال ندارند، مانند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متبوع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ادارة زندگی وی به دست اوست، مانندپدر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میکند، بنابراین وطن متبوع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میباشد، اعمّ از این‌که فرزند صغیر باشد یا کبیر، چنان‌که غالباً این‌گونه میباشد، یا این‌که شرعاً کبیر باشد چنان‌که گاه برای اولاد ذکور و غالباً برای اولاد اناث به‌ویژه از اوائل بلوغ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تبعیّت و عدم استقلال است و این مسأله اختصاص به والدین و فرزندان ندارد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دلیل این حکم روشن است، زیرا وطن از نظر عرف در دو معنی به کار میرود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جایگاه، محل اقامت دائم و مسکن اصلی،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زادگاه شخص به اعتبار تبعیّت از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محلّی که برای زندگی انتخاب میشود و شخص از مقرّ اصلی خود به آن مکان منتقل و آن‌را اقامتگاه و محل سکونت دائمی خود قرار میدهد و بیتردید بعد از صدق عنوان وطن، حکم مترتب میشود، اعم از این‌که منشأ آن، اراده تفصیلی شخص باشد، چنان‌که در مورد مردان غالباً این‌گونه است یا منشأ آن اراده اجمالی و تبعی باشد، مثل زنان و کودکان ممیّز که وطن پدر خانواده، وطن آنان نیز محسوب میشود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وطن والدین، وطن کودک ممیّز نیز میباشد و تا زمانیکه در وطن آنهاست، عنوان مسافر بر او صادق نیست، اعمّ از این‌که وطن و زادگاه اصلی آنان باشد یا محلّی که برای زندگی انتخاب نموده‌اند</w:t>
      </w:r>
      <w:r>
        <w:rPr>
          <w:rFonts w:eastAsia="IRNazanin" w:cs="IRNazanin"/>
          <w:color w:val="111111"/>
          <w:sz w:val="28"/>
          <w:szCs w:val="28"/>
          <w:rtl w:val="true"/>
          <w:lang w:bidi="fa-IR"/>
        </w:rPr>
        <w:t>.</w:t>
      </w:r>
      <w:bookmarkStart w:id="276" w:name="pg13713_164429"/>
    </w:p>
    <w:p>
      <w:pPr>
        <w:pStyle w:val="BookText"/>
        <w:rPr/>
      </w:pPr>
      <w:bookmarkEnd w:id="276"/>
      <w:r>
        <w:rPr>
          <w:rFonts w:ascii="IRNazanin" w:hAnsi="IRNazanin" w:eastAsia="IRNazanin"/>
          <w:color w:val="111111"/>
          <w:sz w:val="28"/>
          <w:sz w:val="28"/>
          <w:szCs w:val="28"/>
          <w:rtl w:val="true"/>
          <w:lang w:bidi="fa-IR"/>
        </w:rPr>
        <w:t>بنابراین صدق عنوان وطن بر محل اقامت فرزندان، نیاز به قصد ندارد و آنها در وطن تابعند، هرچند غافل و بیتوجّه بوده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سیره مستمرّه بین متدیّنین و عقلا بر این است‌که کودکان در احکام وطن تابع والدین خود میباشند، منعی نسبت به این سیره وارد نشده است</w:t>
      </w:r>
      <w:r>
        <w:rPr>
          <w:rFonts w:eastAsia="IRNazanin" w:cs="IRNazanin"/>
          <w:color w:val="111111"/>
          <w:sz w:val="28"/>
          <w:szCs w:val="28"/>
          <w:rtl w:val="true"/>
          <w:lang w:bidi="fa-IR"/>
        </w:rPr>
        <w:t>.</w:t>
      </w:r>
    </w:p>
    <w:p>
      <w:pPr>
        <w:pStyle w:val="Heading4"/>
        <w:numPr>
          <w:ilvl w:val="3"/>
          <w:numId w:val="1"/>
        </w:numPr>
        <w:rPr/>
      </w:pPr>
      <w:bookmarkStart w:id="277" w:name="__RefHeading___Toc1259516_1468164448"/>
      <w:bookmarkStart w:id="278" w:name="_Toc103"/>
      <w:bookmarkEnd w:id="277"/>
      <w:r>
        <w:rPr/>
        <w:t>16</w:t>
      </w:r>
      <w:r>
        <w:rPr>
          <w:rtl w:val="true"/>
        </w:rPr>
        <w:t xml:space="preserve">- </w:t>
      </w:r>
      <w:r>
        <w:rPr>
          <w:rtl w:val="true"/>
        </w:rPr>
        <w:t>اعراض کودک از وطن والدین</w:t>
      </w:r>
      <w:bookmarkEnd w:id="278"/>
    </w:p>
    <w:p>
      <w:pPr>
        <w:pStyle w:val="BookText"/>
        <w:rPr/>
      </w:pPr>
      <w:r>
        <w:rPr>
          <w:rFonts w:ascii="IRNazanin" w:hAnsi="IRNazanin" w:eastAsia="IRNazanin"/>
          <w:color w:val="111111"/>
          <w:sz w:val="28"/>
          <w:sz w:val="28"/>
          <w:szCs w:val="28"/>
          <w:rtl w:val="true"/>
          <w:lang w:bidi="fa-IR"/>
        </w:rPr>
        <w:t>این پرسش مطرح است که اگر کودک ممیّز از وطن والدین خود اعراض نماید، به این معنی که قصد کند در شهر دیگری به طور مستقل زندگی نماید، اثری بر آن مترتب میباشد یا خیر؟ در این‌باره دو دیدگاه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وی بیتأثیر است و محلّی که انتخاب نموده، وطن وی محسوب نمیشود؛ زیرا افعال کودک از دیدگاه شرع،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شارع به کودک اجازه ادارة امور خود را نداده و باید تحت ولایت ولی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دیدگاه، بعضی از روایات است که از امام علیه السلام سؤال شده، چه زمانی کودک از حالتی که نیاز به سرپرست دارد و بتواند در امور خود تصمیم بگیرد، خارج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کودک در خرید و فروش نافذ نیست و از 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که نیاز به سرپرست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نمیشود، مگر این‌که به سنّ بلوغ و پانزده سالگی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وَالْغُلامُ لایَجوُزُ أَمْرُهُ فِی الشَّراءِ وَالْبَیْع وَلایَخْرُجُ مِنَ الْیُتْمِ حَتّی یَبْلُغَ خَمْسَ عَشَرَةَ سَنَةً أَوْ یَحْتَلِمَ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IRNazanin" w:hAnsi="IRNazanin" w:eastAsia="IRNazanin"/>
          <w:color w:val="111111"/>
          <w:sz w:val="28"/>
          <w:sz w:val="28"/>
          <w:szCs w:val="28"/>
          <w:rtl w:val="true"/>
          <w:lang w:bidi="fa-IR"/>
        </w:rPr>
        <w:t>لیکن بعضی دیگر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ممیّزی که میتواند مستقل از والدین خود زندگی کند و با قصد از وطن آنها اعراض نموده، عرفاً تابع والدین محسوب نمیشود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نظریه دوّم صحیح باشد؛ زیرا ملاک در تبعیّت و عدم تبعیّت عرف است و بیشک عرف، کودک مزبور را تابع والدین خود در وطن نمیداند و وطن آنها، وطن وی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کودک از والدین در سفر</w:t>
      </w:r>
    </w:p>
    <w:p>
      <w:pPr>
        <w:pStyle w:val="BookText"/>
        <w:rPr/>
      </w:pPr>
      <w:r>
        <w:rPr>
          <w:rFonts w:ascii="IRNazanin" w:hAnsi="IRNazanin" w:eastAsia="IRNazanin"/>
          <w:color w:val="111111"/>
          <w:sz w:val="28"/>
          <w:sz w:val="28"/>
          <w:szCs w:val="28"/>
          <w:rtl w:val="true"/>
          <w:lang w:bidi="fa-IR"/>
        </w:rPr>
        <w:t>سفری که موجب شکسته شدن نماز میگردد، دارای شرایطی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کم‌تر از هشت فرسخ شرعی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اوّل قصد مسافت و هشت فرسخ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مسأله مورد توافق فقها بلکه اجماعی است که لازم نیست مسافر در سفر استقلال داشته باشد؛ بلکه اگر از دیگری تبعیّت کند، یعنی در قصد مسافت و سفر استقلال نداشته باشد، نیز مسافر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همسر، خدمتگزار، کودک ممیّز و به طور کلّی هر کس که در مسافرت، تابع و در اختیار دیگری باشد، با وجود شرایط دیگر سفر، باید نماز را شکسته بخواند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آیت الله شیخ حسن نجفی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برای تحقّق سفر، قصد مسافت است هر چند مسافر در سفر تابع دیگری باشد، در این مسأله، اجماع محصّل و منقول وجود دارد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دلیل این حکم، اطلاق ادلّه میباشد، یعنی مقتضای اطلاق ادلّه، عدم اعتبار استقلال در قصد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مواردی که مسافر در اختیار دیگری است واز او تبعیّت میکند و خود در سفر استقلال ندارد، را شامل میگردد، مانندکودک ممیّز</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این نظریّه، سیرة متشرّعه و تاریخ زندگی پیامبر صلی الله علیه و آله و ائمّه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 که در بعضی از سفرهای رسول الله صلی الله علیه و آله برخی از همسران آن حضرت با وی بودند و نماز خود را شکسته میخواندند،</w:t>
      </w:r>
      <w:r>
        <w:rPr>
          <w:rStyle w:val="FootnoteAnchor"/>
          <w:rtl w:val="true"/>
        </w:rPr>
        <w:footnoteReference w:id="550"/>
      </w:r>
      <w:r>
        <w:rPr>
          <w:rFonts w:ascii="IRNazanin" w:hAnsi="IRNazanin" w:eastAsia="IRNazanin"/>
          <w:color w:val="111111"/>
          <w:sz w:val="28"/>
          <w:sz w:val="28"/>
          <w:szCs w:val="28"/>
          <w:rtl w:val="true"/>
          <w:lang w:bidi="fa-IR"/>
        </w:rPr>
        <w:t>با این‌که در سفر استقلال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سفر امام علی بن موسی الرضا علیه السلام از مدینه تا مرو، آن حضرت نمازهای خود شکسته خواندند</w:t>
      </w:r>
      <w:r>
        <w:rPr>
          <w:rFonts w:eastAsia="IRNazanin" w:cs="IRNazanin"/>
          <w:color w:val="111111"/>
          <w:sz w:val="28"/>
          <w:szCs w:val="28"/>
          <w:rtl w:val="true"/>
          <w:lang w:bidi="fa-IR"/>
        </w:rPr>
        <w:t>.</w:t>
      </w:r>
      <w:r>
        <w:rPr>
          <w:rStyle w:val="FootnoteAnchor"/>
          <w:rtl w:val="true"/>
        </w:rPr>
        <w:footnoteReference w:id="551"/>
      </w:r>
      <w:bookmarkStart w:id="279" w:name="pg13713_164431"/>
    </w:p>
    <w:p>
      <w:pPr>
        <w:pStyle w:val="Heading4"/>
        <w:numPr>
          <w:ilvl w:val="3"/>
          <w:numId w:val="1"/>
        </w:numPr>
        <w:rPr/>
      </w:pPr>
      <w:bookmarkStart w:id="280" w:name="__RefHeading___Toc1259518_1468164448"/>
      <w:bookmarkStart w:id="281" w:name="_Toc104"/>
      <w:bookmarkEnd w:id="279"/>
      <w:bookmarkEnd w:id="280"/>
      <w:r>
        <w:rPr/>
        <w:t>17</w:t>
      </w:r>
      <w:r>
        <w:rPr>
          <w:rtl w:val="true"/>
        </w:rPr>
        <w:t xml:space="preserve">- </w:t>
      </w:r>
      <w:r>
        <w:rPr>
          <w:rtl w:val="true"/>
        </w:rPr>
        <w:t>نماز کودک در سفر</w:t>
      </w:r>
      <w:bookmarkEnd w:id="281"/>
    </w:p>
    <w:p>
      <w:pPr>
        <w:pStyle w:val="BookText"/>
        <w:rPr/>
      </w:pPr>
      <w:r>
        <w:rPr>
          <w:rFonts w:ascii="IRNazanin" w:hAnsi="IRNazanin" w:eastAsia="IRNazanin"/>
          <w:color w:val="111111"/>
          <w:sz w:val="28"/>
          <w:sz w:val="28"/>
          <w:szCs w:val="28"/>
          <w:rtl w:val="true"/>
          <w:lang w:bidi="fa-IR"/>
        </w:rPr>
        <w:t>اگر کودک ممیّز بخواهد در سفر، نماز بخواند، در صورتیکه قصد اقامت ده شبانه روز در محل معیّنی را نداشته باشد، باید شکسته بخواند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دلیل این حکم، اطلاق ادلّه میباشد و در این مورد فرقی بین کودک ممیّز و بالغ نیست، زیرا حکم با تحقّق موضوع آن، محقّق میگردد و بیتردید اگر کودک قصد مسافتی را که در سفر معتبر است و نماز با آن شکسته میشود بنماید، عنوان مسافر بر او صدق میکند و شامل حکم سفر میگردد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البتّه بر مکلّف واجب است در سفر، نماز را شکسته بخواند، لیکن بر کودک ممیّز همان‌گونه که نماز مستحب است، شکسته خواندن آن نیز، مستحب میباشد؛ امّا اگر تصمیم دارد ده شبانه روز متوالی در محلی بماند، باید نماز را تمام بخواند، هرچند در ماندن بیاختیار باشد و به تبعیّت از والدین، قصد اقامت داشته باشد، زیرا در این حکم، فرقی بین صغیر و کبیر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یزدی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قصد اقامت ده شبانه روز، بلوغ شرط نیست، بنابراین اگر کودک غیر بالغ، قصد نمود و در اثنای سفر بالغ شد، بر او واجب است نماز را تمام بخواند، هم‌چنین اگر قبل از بالغ شدن بخواهد نمازی که در حقّش مستحب است، به جا آورد، باید تمام بخواند؛</w:t>
      </w:r>
      <w:r>
        <w:rPr>
          <w:rStyle w:val="FootnoteAnchor"/>
          <w:rtl w:val="true"/>
        </w:rPr>
        <w:footnoteReference w:id="554"/>
      </w:r>
      <w:r>
        <w:rPr>
          <w:rFonts w:ascii="IRNazanin" w:hAnsi="IRNazanin" w:eastAsia="IRNazanin"/>
          <w:color w:val="111111"/>
          <w:sz w:val="28"/>
          <w:sz w:val="28"/>
          <w:szCs w:val="28"/>
          <w:rtl w:val="true"/>
          <w:lang w:bidi="fa-IR"/>
        </w:rPr>
        <w:t>عبارات برخی دیگر از فقها نیز شبیه این میباشد</w:t>
      </w:r>
      <w:r>
        <w:rPr>
          <w:rFonts w:eastAsia="IRNazanin" w:cs="IRNazanin"/>
          <w:color w:val="111111"/>
          <w:sz w:val="28"/>
          <w:szCs w:val="28"/>
          <w:rtl w:val="true"/>
          <w:lang w:bidi="fa-IR"/>
        </w:rPr>
        <w:t>.</w:t>
      </w:r>
      <w:r>
        <w:rPr>
          <w:rStyle w:val="FootnoteAnchor"/>
          <w:rtl w:val="true"/>
        </w:rPr>
        <w:footnoteReference w:id="5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مسأله نیز اطلاق ادلّه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ازامام‌باقر علیه السلام سؤال نمودم، کسی که در شهری مسافر است، تا چند روز باید نماز را شکسته بخواند و چه زمانی تمام بخواند؟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محلّی وارد شدی و یقین داری ده شبانه روز در آن اقامت خواهی داشت، باید نماز را تمام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دَخَلْتَ أَرْضاً فَأَْیْقَنْتَ أَنَّّ لَکَ بِها مُقامَ عَشَرَةٍ أَیّامٍ فَأُتِمَّ الصَّلاةَ</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دیگر روایات</w:t>
      </w:r>
      <w:r>
        <w:rPr>
          <w:rFonts w:eastAsia="IRNazanin" w:cs="IRNazanin"/>
          <w:color w:val="111111"/>
          <w:sz w:val="28"/>
          <w:szCs w:val="28"/>
          <w:rtl w:val="true"/>
          <w:lang w:bidi="fa-IR"/>
        </w:rPr>
        <w:t>.</w:t>
      </w:r>
      <w:r>
        <w:rPr>
          <w:rStyle w:val="FootnoteAnchor"/>
          <w:rtl w:val="true"/>
        </w:rPr>
        <w:footnoteReference w:id="5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مقتضای اطلاق این روایت این است که در اقامت ده شبانه روز، بین کسی که نماز بر او واجب است و کسی که واجب نیست، مانند کودک، فرقی نیست؛ زیرا این ادّله در حقیقت به منزله تخصیص نسبت به ادلّه‌ای است که کسر خواندن نماز در سفر را واجب میداند و این‌که اگر کسی تصمیم دارد ده شبانه‌روز در محلّی بماند، از موضوع آن حکم خارج است، اعمّ از این‌که نماز بر او واجب باشد یا مستحب</w:t>
      </w:r>
      <w:r>
        <w:rPr>
          <w:rFonts w:eastAsia="IRNazanin" w:cs="IRNazanin"/>
          <w:color w:val="111111"/>
          <w:sz w:val="28"/>
          <w:szCs w:val="28"/>
          <w:rtl w:val="true"/>
          <w:lang w:bidi="fa-IR"/>
        </w:rPr>
        <w:t>.</w:t>
      </w:r>
      <w:r>
        <w:rPr>
          <w:rStyle w:val="FootnoteAnchor"/>
          <w:rtl w:val="true"/>
        </w:rPr>
        <w:footnoteReference w:id="558"/>
      </w:r>
      <w:bookmarkStart w:id="282" w:name="pg13713_164433"/>
    </w:p>
    <w:p>
      <w:pPr>
        <w:pStyle w:val="Heading3"/>
        <w:numPr>
          <w:ilvl w:val="2"/>
          <w:numId w:val="1"/>
        </w:numPr>
        <w:rPr/>
      </w:pPr>
      <w:bookmarkStart w:id="283" w:name="__RefHeading___Toc1259520_1468164448"/>
      <w:bookmarkStart w:id="284" w:name="_Toc105"/>
      <w:bookmarkEnd w:id="282"/>
      <w:bookmarkEnd w:id="283"/>
      <w:r>
        <w:rPr>
          <w:rtl w:val="true"/>
        </w:rPr>
        <w:t>گفتار دوم</w:t>
      </w:r>
      <w:r>
        <w:rPr>
          <w:rtl w:val="true"/>
        </w:rPr>
        <w:t xml:space="preserve">: </w:t>
      </w:r>
      <w:r>
        <w:rPr>
          <w:rtl w:val="true"/>
        </w:rPr>
        <w:t>روزه کودک</w:t>
      </w:r>
      <w:bookmarkEnd w:id="284"/>
    </w:p>
    <w:p>
      <w:pPr>
        <w:pStyle w:val="Heading4"/>
        <w:numPr>
          <w:ilvl w:val="3"/>
          <w:numId w:val="1"/>
        </w:numPr>
        <w:rPr/>
      </w:pPr>
      <w:bookmarkStart w:id="285" w:name="__RefHeading___Toc1259522_1468164448"/>
      <w:bookmarkStart w:id="286" w:name="_Toc106"/>
      <w:bookmarkEnd w:id="285"/>
      <w:r>
        <w:rPr/>
        <w:t>1</w:t>
      </w:r>
      <w:r>
        <w:rPr>
          <w:rtl w:val="true"/>
        </w:rPr>
        <w:t xml:space="preserve">- </w:t>
      </w:r>
      <w:r>
        <w:rPr>
          <w:rtl w:val="true"/>
        </w:rPr>
        <w:t>طرح مسأله</w:t>
      </w:r>
      <w:bookmarkEnd w:id="286"/>
    </w:p>
    <w:p>
      <w:pPr>
        <w:pStyle w:val="BookText"/>
        <w:rPr/>
      </w:pPr>
      <w:r>
        <w:rPr>
          <w:rFonts w:ascii="IRNazanin" w:hAnsi="IRNazanin" w:eastAsia="IRNazanin"/>
          <w:color w:val="111111"/>
          <w:sz w:val="28"/>
          <w:sz w:val="28"/>
          <w:szCs w:val="28"/>
          <w:rtl w:val="true"/>
          <w:lang w:bidi="fa-IR"/>
        </w:rPr>
        <w:t>این پرسش مطرح است که آیا روزه گرفتن برای کودک ممیّزی که توانایی آن را دارد، مستحب است و با انجام آن مستحقّ اجر و ثواب میباشد؟ یا این‌که صرف تمرین است؟ فقها در این باره دیدگاه‌های مختلفی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روزه برای کودک مستحب نیست و تنها جنبة تمرینی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کتاب مختلف</w:t>
      </w:r>
      <w:r>
        <w:rPr>
          <w:rStyle w:val="FootnoteAnchor"/>
          <w:rtl w:val="true"/>
        </w:rPr>
        <w:footnoteReference w:id="559"/>
      </w:r>
      <w:r>
        <w:rPr>
          <w:rFonts w:ascii="IRNazanin" w:hAnsi="IRNazanin" w:eastAsia="IRNazanin"/>
          <w:color w:val="111111"/>
          <w:sz w:val="28"/>
          <w:sz w:val="28"/>
          <w:szCs w:val="28"/>
          <w:rtl w:val="true"/>
          <w:lang w:bidi="fa-IR"/>
        </w:rPr>
        <w:t>و فرزند ایشان در ایضاح الفوائد</w:t>
      </w:r>
      <w:r>
        <w:rPr>
          <w:rStyle w:val="FootnoteAnchor"/>
          <w:rtl w:val="true"/>
        </w:rPr>
        <w:footnoteReference w:id="560"/>
      </w:r>
      <w:r>
        <w:rPr>
          <w:rFonts w:ascii="IRNazanin" w:hAnsi="IRNazanin" w:eastAsia="IRNazanin"/>
          <w:color w:val="111111"/>
          <w:sz w:val="28"/>
          <w:sz w:val="28"/>
          <w:szCs w:val="28"/>
          <w:rtl w:val="true"/>
          <w:lang w:bidi="fa-IR"/>
        </w:rPr>
        <w:t>و نیز محقّق کرکی</w:t>
      </w:r>
      <w:r>
        <w:rPr>
          <w:rStyle w:val="FootnoteAnchor"/>
          <w:rtl w:val="true"/>
        </w:rPr>
        <w:footnoteReference w:id="561"/>
      </w:r>
      <w:r>
        <w:rPr>
          <w:rFonts w:ascii="IRNazanin" w:hAnsi="IRNazanin" w:eastAsia="IRNazanin"/>
          <w:color w:val="111111"/>
          <w:sz w:val="28"/>
          <w:sz w:val="28"/>
          <w:szCs w:val="28"/>
          <w:rtl w:val="true"/>
          <w:lang w:bidi="fa-IR"/>
        </w:rPr>
        <w:t>و برخی دیگر</w:t>
      </w:r>
      <w:r>
        <w:rPr>
          <w:rStyle w:val="FootnoteAnchor"/>
          <w:rtl w:val="true"/>
        </w:rPr>
        <w:footnoteReference w:id="562"/>
      </w:r>
      <w:r>
        <w:rPr>
          <w:rFonts w:ascii="IRNazanin" w:hAnsi="IRNazanin" w:eastAsia="IRNazanin"/>
          <w:color w:val="111111"/>
          <w:sz w:val="28"/>
          <w:sz w:val="28"/>
          <w:szCs w:val="28"/>
          <w:rtl w:val="true"/>
          <w:lang w:bidi="fa-IR"/>
        </w:rPr>
        <w:t>، این دیدگاه را پذیرفته‌اند و مهم‌ترین دلیلی که ذکر نموده‌اند این است که تکلیف مشروط به بلوغ است و با انتفای شرط، مشروط منتفی میگردد</w:t>
      </w:r>
      <w:r>
        <w:rPr>
          <w:rFonts w:eastAsia="IRNazanin" w:cs="IRNazanin"/>
          <w:color w:val="111111"/>
          <w:sz w:val="28"/>
          <w:szCs w:val="28"/>
          <w:rtl w:val="true"/>
          <w:lang w:bidi="fa-IR"/>
        </w:rPr>
        <w:t>.</w:t>
      </w:r>
      <w:r>
        <w:rPr>
          <w:rStyle w:val="FootnoteAnchor"/>
          <w:rtl w:val="true"/>
        </w:rPr>
        <w:footnoteReference w:id="56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گفته‌اند که روزة مستحب برای کودک، مستحب است و امّا روزة واجب مثل ماه رمضان، تمرینی است، زیرا خطاب اختصاص به مکلّفین دارد و به حکم حدیث رفع، وجوب از کودک برداشته شده و با برداشته شدن واجب، استحباب باقی نمیماند، لیکن خطاب مستحبی شامل کودک نیز میباشد</w:t>
      </w:r>
      <w:r>
        <w:rPr>
          <w:rFonts w:eastAsia="IRNazanin" w:cs="IRNazanin"/>
          <w:color w:val="111111"/>
          <w:sz w:val="28"/>
          <w:szCs w:val="28"/>
          <w:rtl w:val="true"/>
          <w:lang w:bidi="fa-IR"/>
        </w:rPr>
        <w:t>.</w:t>
      </w:r>
      <w:r>
        <w:rPr>
          <w:rStyle w:val="FootnoteAnchor"/>
          <w:rtl w:val="true"/>
        </w:rPr>
        <w:footnoteReference w:id="564"/>
      </w:r>
      <w:bookmarkStart w:id="287" w:name="pg13713_164434"/>
    </w:p>
    <w:p>
      <w:pPr>
        <w:pStyle w:val="BookText"/>
        <w:rPr/>
      </w:pPr>
      <w:bookmarkEnd w:id="28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که بین فقها مشهور است و قویتر هم به نظر میرسد و بسیاری از فقیهان، اعمّ از متقدّمین</w:t>
      </w:r>
      <w:r>
        <w:rPr>
          <w:rStyle w:val="FootnoteAnchor"/>
          <w:rtl w:val="true"/>
        </w:rPr>
        <w:footnoteReference w:id="565"/>
      </w:r>
      <w:r>
        <w:rPr>
          <w:rFonts w:ascii="IRNazanin" w:hAnsi="IRNazanin" w:eastAsia="IRNazanin"/>
          <w:color w:val="111111"/>
          <w:sz w:val="28"/>
          <w:sz w:val="28"/>
          <w:szCs w:val="28"/>
          <w:rtl w:val="true"/>
          <w:lang w:bidi="fa-IR"/>
        </w:rPr>
        <w:t>و متأخرین</w:t>
      </w:r>
      <w:r>
        <w:rPr>
          <w:rStyle w:val="FootnoteAnchor"/>
          <w:rtl w:val="true"/>
        </w:rPr>
        <w:footnoteReference w:id="566"/>
      </w:r>
      <w:r>
        <w:rPr>
          <w:rFonts w:ascii="IRNazanin" w:hAnsi="IRNazanin" w:eastAsia="IRNazanin"/>
          <w:color w:val="111111"/>
          <w:sz w:val="28"/>
          <w:sz w:val="28"/>
          <w:szCs w:val="28"/>
          <w:rtl w:val="true"/>
          <w:lang w:bidi="fa-IR"/>
        </w:rPr>
        <w:t>و معاصرین</w:t>
      </w:r>
      <w:r>
        <w:rPr>
          <w:rStyle w:val="FootnoteAnchor"/>
          <w:rtl w:val="true"/>
        </w:rPr>
        <w:footnoteReference w:id="567"/>
      </w:r>
      <w:r>
        <w:rPr>
          <w:rFonts w:ascii="IRNazanin" w:hAnsi="IRNazanin" w:eastAsia="IRNazanin"/>
          <w:color w:val="111111"/>
          <w:sz w:val="28"/>
          <w:sz w:val="28"/>
          <w:szCs w:val="28"/>
          <w:rtl w:val="true"/>
          <w:lang w:bidi="fa-IR"/>
        </w:rPr>
        <w:t>به آن معتقدند، این‌است که روزه در حق کودک مستحب است و در صورتیکه با نیّت انجام شود، صحیح و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شرط وجوب روزه میباشد نه‌صحّت و استحباب آن، بنابراین روزه کودک صحیح است، زیرا عبادات وی مشروع‌میباشد</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288" w:name="__RefHeading___Toc1259524_1468164448"/>
      <w:bookmarkStart w:id="289" w:name="_Toc107"/>
      <w:bookmarkEnd w:id="288"/>
      <w:r>
        <w:rPr/>
        <w:t>2</w:t>
      </w:r>
      <w:r>
        <w:rPr>
          <w:rtl w:val="true"/>
        </w:rPr>
        <w:t xml:space="preserve">- </w:t>
      </w:r>
      <w:r>
        <w:rPr>
          <w:rtl w:val="true"/>
        </w:rPr>
        <w:t>ادلّه استحباب روزه برای کودک</w:t>
      </w:r>
      <w:bookmarkEnd w:id="289"/>
    </w:p>
    <w:p>
      <w:pPr>
        <w:pStyle w:val="BookText"/>
        <w:rPr/>
      </w:pPr>
      <w:r>
        <w:rPr>
          <w:rFonts w:ascii="IRNazanin" w:hAnsi="IRNazanin" w:eastAsia="IRNazanin"/>
          <w:color w:val="111111"/>
          <w:sz w:val="28"/>
          <w:sz w:val="28"/>
          <w:szCs w:val="28"/>
          <w:rtl w:val="true"/>
          <w:lang w:bidi="fa-IR"/>
        </w:rPr>
        <w:t>علاوه بر ادلّه‌ای که به طور عام بر مشروعیّت عبادات کودک دلالت دارد و بعضی از آنها در گفتار اوّل از همین بخش مورد اشاره قرار گرفت، روایات بسیاری از ائمّه معصومین علیهم السلام رسیده که به طور خاص بر استحباب روزه در حق کودک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نمونه از آن اشاره میشود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معتبره، اسحاق بن عمّار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 توان و قدرت روزه گرفتن را دارد، واجب است روزه بگیرد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أَطاقَ الصَّوْمَ وَجَبَ عَلَیْهِ الصِّیامُ</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مقصود از روزه در این روایت، روزه ماه رمضان است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 معنی لغوی،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میگردد و چون کودک مکلّف نیست، با استناد به این روایت، استحباب روزه برای وی ثابت میگردد، مشروط به این‌که توان انجام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کودک‌در چه زمانی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توان انجام آن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قَوِیَ عَلَی الصِّیامِ</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مرحوم شیخ حرّ عاملی بعد از نقل این دسته از روایات، از شیخ طوسی نقل نموده که آنها را حمل بر استحباب نموده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با مضامین مختلف</w:t>
      </w:r>
      <w:r>
        <w:rPr>
          <w:rStyle w:val="FootnoteAnchor"/>
          <w:rtl w:val="true"/>
        </w:rPr>
        <w:footnoteReference w:id="573"/>
      </w:r>
      <w:r>
        <w:rPr>
          <w:rFonts w:ascii="IRNazanin" w:hAnsi="IRNazanin" w:eastAsia="IRNazanin"/>
          <w:color w:val="111111"/>
          <w:sz w:val="28"/>
          <w:sz w:val="28"/>
          <w:szCs w:val="28"/>
          <w:rtl w:val="true"/>
          <w:lang w:bidi="fa-IR"/>
        </w:rPr>
        <w:t>وارد شده که کودک به جهت نگرفتن روزه، مؤاخذه و تأدیب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کودک به سن نه سالگی رسیده باشد و برانجام روزه، توانایی دارد، اگر آن را ترک نماید مؤاخذه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یُؤْخَذُ بِالصِّیامِ إِذا بَلَغَ تِسْعَ سِنِینَ عَلی قَدْرِ ما یُطِیقَهُ</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این دسته از روایات، دلیل است بر این‌که ولی کودک حقّ دارد او را به جهت ترک روزه، در صورتیکه توان انجام آن را داشته باشد، مؤاخذه و تأدیب نماید، بدیهی است تأدیب بر ترک روزه، در صورتی صحیح است که فعل آن، پسندیده و نیک باشد، در غیر این صورت صحیح نیست و از آنجا که بر کودک ممیّز به طور قطع روزه واجب نیست، بنابراین باید حمل بر استحباب مؤکّد گردد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اطفال، آن را به انجام روزه امر نمایند، مانند آن‌که در حدیث معتبر، حلبی از امام صادق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کودکان خود را در صورتی که به سن هفت سالگی رسیده باشند، به انجام روزه، به آن اندازه که توانایی داشته باشند، امر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کودکان خود را در سن نُه سالگی به انجام روزه به آن اندازه که توانایی دارند امر نمایید و در صورتی که عطش بر آنها غلبه</w:t>
      </w:r>
      <w:bookmarkStart w:id="290" w:name="pg13713_164436"/>
    </w:p>
    <w:p>
      <w:pPr>
        <w:pStyle w:val="BookText"/>
        <w:rPr/>
      </w:pPr>
      <w:bookmarkEnd w:id="290"/>
      <w:r>
        <w:rPr>
          <w:rFonts w:ascii="Amiri" w:hAnsi="Amiri" w:eastAsia="Amiri" w:cs="Amiri"/>
          <w:color w:val="111111"/>
          <w:sz w:val="28"/>
          <w:sz w:val="28"/>
          <w:szCs w:val="28"/>
          <w:rtl w:val="true"/>
          <w:lang w:bidi="ar-SA"/>
        </w:rPr>
        <w:t>نمود و تشنه شدند، افطار نمایند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نَأمُرُ صِبْیانَنا بِالصِّیامِ إِذا کانُوا بَنِیَ سَبْعَ سِنیِنَ بِما أَطاقُوا مِنْ صِیامِ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فَمُرُوا صِبْیانِکُمْ إِذا کانُوا بَنِیَ تِسْعَ سِنیِنَ بِالصَّوْمِ ما أَطاقُوا مِنْ صِیامٍ فَإِذا غَلَبَهُمُ الْعَطَشُ، افْطَروُا</w:t>
      </w:r>
      <w:r>
        <w:rPr>
          <w:rFonts w:eastAsia="Amiri" w:cs="Amiri" w:ascii="Amiri" w:hAnsi="Amiri"/>
          <w:color w:val="111111"/>
          <w:sz w:val="28"/>
          <w:szCs w:val="28"/>
          <w:rtl w:val="true"/>
          <w:lang w:bidi="ar-SA"/>
        </w:rPr>
        <w:t>».</w:t>
      </w:r>
      <w:r>
        <w:rPr>
          <w:rStyle w:val="FootnoteAnchor"/>
          <w:rtl w:val="true"/>
        </w:rPr>
        <w:footnoteReference w:id="576"/>
      </w:r>
      <w:r>
        <w:rPr>
          <w:rFonts w:ascii="IRNazanin" w:hAnsi="IRNazanin" w:eastAsia="IRNazanin"/>
          <w:color w:val="111111"/>
          <w:sz w:val="28"/>
          <w:sz w:val="28"/>
          <w:szCs w:val="28"/>
          <w:rtl w:val="true"/>
          <w:lang w:bidi="fa-IR"/>
        </w:rPr>
        <w:t>آیت الله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دلالت دارد بر این‌که عبادت کودک صحیح و شرعی است</w:t>
      </w:r>
      <w:r>
        <w:rPr>
          <w:rFonts w:eastAsia="IRNazanin" w:cs="IRNazanin"/>
          <w:color w:val="111111"/>
          <w:sz w:val="28"/>
          <w:szCs w:val="28"/>
          <w:rtl w:val="true"/>
          <w:lang w:bidi="fa-IR"/>
        </w:rPr>
        <w:t>.</w:t>
      </w:r>
    </w:p>
    <w:p>
      <w:pPr>
        <w:pStyle w:val="BookText"/>
        <w:rPr/>
      </w:pPr>
      <w:r>
        <w:rPr>
          <w:rStyle w:val="FootnoteAnchor"/>
          <w:rtl w:val="true"/>
        </w:rPr>
        <w:footnoteReference w:id="57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دلالت دارند که روزه مطلوب و پسندیده و دارای فوائدی است؛</w:t>
      </w:r>
      <w:r>
        <w:rPr>
          <w:rStyle w:val="FootnoteAnchor"/>
          <w:rtl w:val="true"/>
        </w:rPr>
        <w:footnoteReference w:id="578"/>
      </w:r>
      <w:r>
        <w:rPr>
          <w:rFonts w:ascii="IRNazanin" w:hAnsi="IRNazanin" w:eastAsia="IRNazanin"/>
          <w:color w:val="111111"/>
          <w:sz w:val="28"/>
          <w:sz w:val="28"/>
          <w:szCs w:val="28"/>
          <w:rtl w:val="true"/>
          <w:lang w:bidi="fa-IR"/>
        </w:rPr>
        <w:t>مانند این‌که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خود به آن پاداش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لیِ وَأَنَا أُجْزِی عَلَیْهِ</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خطاب در این روایات، متوجه هر کسی است که قابلیت خطاب دارد و فرض بر این است، کودک ممیّز چنین قابلیّتی دارد، زیرا وی دارای فهمی که شرط تکلیف است، میباشد، بنابراین روزه برای وی مستحب است</w:t>
      </w:r>
      <w:r>
        <w:rPr>
          <w:rFonts w:eastAsia="IRNazanin" w:cs="IRNazanin"/>
          <w:color w:val="111111"/>
          <w:sz w:val="28"/>
          <w:szCs w:val="28"/>
          <w:rtl w:val="true"/>
          <w:lang w:bidi="fa-IR"/>
        </w:rPr>
        <w:t>.</w:t>
      </w:r>
    </w:p>
    <w:p>
      <w:pPr>
        <w:pStyle w:val="Heading4"/>
        <w:numPr>
          <w:ilvl w:val="3"/>
          <w:numId w:val="1"/>
        </w:numPr>
        <w:rPr/>
      </w:pPr>
      <w:bookmarkStart w:id="291" w:name="__RefHeading___Toc1259526_1468164448"/>
      <w:bookmarkStart w:id="292" w:name="_Toc108"/>
      <w:bookmarkEnd w:id="291"/>
      <w:r>
        <w:rPr/>
        <w:t>3</w:t>
      </w:r>
      <w:r>
        <w:rPr>
          <w:rtl w:val="true"/>
        </w:rPr>
        <w:t xml:space="preserve">- </w:t>
      </w:r>
      <w:r>
        <w:rPr>
          <w:rtl w:val="true"/>
        </w:rPr>
        <w:t>احکام روزه کودک</w:t>
      </w:r>
      <w:bookmarkEnd w:id="292"/>
    </w:p>
    <w:p>
      <w:pPr>
        <w:pStyle w:val="BookText"/>
        <w:rPr/>
      </w:pPr>
      <w:r>
        <w:rPr>
          <w:rFonts w:ascii="IRNazanin" w:hAnsi="IRNazanin" w:eastAsia="IRNazanin"/>
          <w:color w:val="111111"/>
          <w:sz w:val="28"/>
          <w:sz w:val="28"/>
          <w:szCs w:val="28"/>
          <w:rtl w:val="true"/>
          <w:lang w:bidi="fa-IR"/>
        </w:rPr>
        <w:t>روزه دارای احکامی است، مثل این‌که واجب است روزه‌دار از وقت طلوع فجر تا وقت اذان مغرب، از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نماید، حال این پرسش مطرح است که آیا رعایت این احکام برای روزه کودک نیز شرط است؟ ظاهراً چنین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کودک نیز باید آن‌چه بر افراد مکلّف واجب است، در زمانیکه روزه‌دار است، رعایت کند، زیرا شرایطی که در روزه معتبر است، مربوط به طبیعت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ابو بصیر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دروغ به خدا و رسول او و ائمّه اطهار علیهم السلام روزه را باطل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موضوع حکم، شخص روزه‌دار است و در این حکم فرقی بین کودک و بالغ نیست</w:t>
      </w:r>
      <w:r>
        <w:rPr>
          <w:rFonts w:eastAsia="IRNazanin" w:cs="IRNazanin"/>
          <w:color w:val="111111"/>
          <w:sz w:val="28"/>
          <w:szCs w:val="28"/>
          <w:rtl w:val="true"/>
          <w:lang w:bidi="fa-IR"/>
        </w:rPr>
        <w:t>.</w:t>
      </w:r>
      <w:bookmarkStart w:id="293" w:name="pg13713_164437"/>
    </w:p>
    <w:p>
      <w:pPr>
        <w:pStyle w:val="BookText"/>
        <w:rPr/>
      </w:pPr>
      <w:bookmarkEnd w:id="293"/>
      <w:r>
        <w:rPr>
          <w:rFonts w:ascii="IRNazanin" w:hAnsi="IRNazanin" w:eastAsia="IRNazanin"/>
          <w:color w:val="111111"/>
          <w:sz w:val="28"/>
          <w:sz w:val="28"/>
          <w:szCs w:val="28"/>
          <w:rtl w:val="true"/>
          <w:lang w:bidi="fa-IR"/>
        </w:rPr>
        <w:t>برخی از فقها در توضیح این نظریّه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در عبادت افراد بالغ به استناد دلیل عام، جزء یا شرط و یا مانع قرار گیرد، در غالب احکام، شامل کودک نیز میباشد، زیرا موضوع در عبادت کودک، همان عبادت بالغ است و گویا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کودک همانند افراد بالغ است، بنابراین آن‌چه در نماز فرد بالغ معتبر و شرط است، در نماز کودک نیز شرط میباشد، مگر این‌که حکمی اختصاص به عنوان مرد داشته باشد، در این صورت کودک را شامل نمیگردد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مفاد این نظریّه را نیز میتوان از بعضی از روایات استفاده نمود، مانند روایت حلبی که پیش‌تر بدان اشاره شد</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از این روایت استفاده میگردد، کودک مانند بالغ است و شرط است در هنگام روزه، از خوردن و آشامیدن اجتناب ورزد و اگر عطش بر او غلبه نمود و آب آشامید، روزه‌اش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به کار رفته، دلیل است بر این‌که روزه استحبابی در حق کودک همان است که افراد مکلف آن را انجام میدهند و اجتناب از خوردن و آشامیدن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روایت استفاده میشود خودداری از خوردن و آشامیدن تا ظهر یا بیشتر، برای تمرین و عادت نمودن کودک به روزه میباشد، ولی این اقدام مستحب نمیباشد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باید یادآور شد که کودک باید به نیّت استحباب، روزه بگیرد و بهتر آن است که نیّت واجب یا مستحب ننماید و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نزدیکی به پروردگار متعال به انجام آن مبادرت ورزد</w:t>
      </w:r>
      <w:r>
        <w:rPr>
          <w:rFonts w:eastAsia="IRNazanin" w:cs="IRNazanin"/>
          <w:color w:val="111111"/>
          <w:sz w:val="28"/>
          <w:szCs w:val="28"/>
          <w:rtl w:val="true"/>
          <w:lang w:bidi="fa-IR"/>
        </w:rPr>
        <w:t>.</w:t>
      </w:r>
    </w:p>
    <w:p>
      <w:pPr>
        <w:pStyle w:val="Heading4"/>
        <w:numPr>
          <w:ilvl w:val="3"/>
          <w:numId w:val="1"/>
        </w:numPr>
        <w:rPr/>
      </w:pPr>
      <w:bookmarkStart w:id="294" w:name="__RefHeading___Toc1259528_1468164448"/>
      <w:bookmarkStart w:id="295" w:name="_Toc109"/>
      <w:bookmarkEnd w:id="294"/>
      <w:r>
        <w:rPr/>
        <w:t>4</w:t>
      </w:r>
      <w:r>
        <w:rPr>
          <w:rtl w:val="true"/>
        </w:rPr>
        <w:t xml:space="preserve">- </w:t>
      </w:r>
      <w:r>
        <w:rPr>
          <w:rtl w:val="true"/>
        </w:rPr>
        <w:t>عادت دادن کودک به روزه‌داری</w:t>
      </w:r>
      <w:bookmarkEnd w:id="2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مورد توافق فقها است که مستحب است ولی، کودک را به روزه گرفتن وادار نماید تا برای او عادت شود و بعد از آن‌که به سنّ بلوغ رسید، بدون مشقّت و ناراحتی به انجام آن مبادرت ورزد</w:t>
      </w:r>
      <w:r>
        <w:rPr>
          <w:rFonts w:eastAsia="IRNazanin" w:cs="IRNazanin"/>
          <w:color w:val="111111"/>
          <w:sz w:val="28"/>
          <w:szCs w:val="28"/>
          <w:rtl w:val="true"/>
          <w:lang w:bidi="fa-IR"/>
        </w:rPr>
        <w:t>.</w:t>
      </w:r>
      <w:bookmarkStart w:id="296" w:name="pg13713_164438"/>
    </w:p>
    <w:p>
      <w:pPr>
        <w:pStyle w:val="BookText"/>
        <w:rPr/>
      </w:pPr>
      <w:bookmarkEnd w:id="296"/>
      <w:r>
        <w:rPr>
          <w:rFonts w:ascii="IRNazanin" w:hAnsi="IRNazanin" w:eastAsia="IRNazanin"/>
          <w:color w:val="111111"/>
          <w:sz w:val="28"/>
          <w:sz w:val="28"/>
          <w:szCs w:val="28"/>
          <w:rtl w:val="true"/>
          <w:lang w:bidi="fa-IR"/>
        </w:rPr>
        <w:t>بسیاری از فقیهان به این مسأله تصریح نموده‌اند</w:t>
      </w:r>
      <w:r>
        <w:rPr>
          <w:rStyle w:val="FootnoteAnchor"/>
          <w:rtl w:val="true"/>
        </w:rPr>
        <w:footnoteReference w:id="583"/>
      </w:r>
      <w:r>
        <w:rPr>
          <w:rFonts w:ascii="IRNazanin" w:hAnsi="IRNazanin" w:eastAsia="IRNazanin"/>
          <w:color w:val="111111"/>
          <w:sz w:val="28"/>
          <w:sz w:val="28"/>
          <w:szCs w:val="28"/>
          <w:rtl w:val="true"/>
          <w:lang w:bidi="fa-IR"/>
        </w:rPr>
        <w:t xml:space="preserve">و دلیل آن، علاوه بر این‌که حکم، مورد توافق فقها و قطعی میباشد، اطلاقات ادلّه‌ای است که دلالت بر استحباب کمک بر انجام کارهای نیک و دعوت به آن دارد، مانند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بدون تردید، وادار نمودن کودک به روزه گرفتن در صورتی که توان آن را داشته باشد، از مصادیق برّ و نیکی در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روایات که پیش‌تر ذکر شد، در این جا قابل استناد میباشند، مانند آن‌که در روایت صحیحه حلبی،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خود را در سن نُه سالگی، در صورتیکه توانایی گرفتن روزه دارند، به انجام آن وادار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فَمُرُّوا صِبْیانَکُمْ اذا کانوُا بَنِیَ تِسْعَ سِنیِنَ بِالصَّوْمِ ما أَطاقُوا مِنْ صِیامٍ</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297" w:name="__RefHeading___Toc1259530_1468164448"/>
      <w:bookmarkStart w:id="298" w:name="_Toc110"/>
      <w:bookmarkEnd w:id="297"/>
      <w:r>
        <w:rPr/>
        <w:t>5</w:t>
      </w:r>
      <w:r>
        <w:rPr>
          <w:rtl w:val="true"/>
        </w:rPr>
        <w:t xml:space="preserve">- </w:t>
      </w:r>
      <w:r>
        <w:rPr>
          <w:rtl w:val="true"/>
        </w:rPr>
        <w:t>آغاز تمرین روزه‌گیری توسط کودک</w:t>
      </w:r>
      <w:bookmarkEnd w:id="298"/>
    </w:p>
    <w:p>
      <w:pPr>
        <w:pStyle w:val="BookText"/>
        <w:rPr/>
      </w:pPr>
      <w:r>
        <w:rPr>
          <w:rFonts w:ascii="IRNazanin" w:hAnsi="IRNazanin" w:eastAsia="IRNazanin"/>
          <w:color w:val="111111"/>
          <w:sz w:val="28"/>
          <w:sz w:val="28"/>
          <w:szCs w:val="28"/>
          <w:rtl w:val="true"/>
          <w:lang w:bidi="fa-IR"/>
        </w:rPr>
        <w:t>در این‌که کودک در چه سنّی به روزه گرفتن وادار میشود، دیدگاه‌های مختلفی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بلوغ و آن‌گاه که توانایی گرفتن سه روز روزة پیدرپی را داشته باشد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سالگی</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سالگی</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سالگی،</w:t>
      </w:r>
      <w:r>
        <w:rPr>
          <w:rStyle w:val="FootnoteAnchor"/>
          <w:rtl w:val="true"/>
        </w:rPr>
        <w:footnoteReference w:id="588"/>
      </w:r>
      <w:r>
        <w:rPr>
          <w:rFonts w:ascii="IRNazanin" w:hAnsi="IRNazanin" w:eastAsia="IRNazanin"/>
          <w:color w:val="111111"/>
          <w:sz w:val="28"/>
          <w:sz w:val="28"/>
          <w:szCs w:val="28"/>
          <w:rtl w:val="true"/>
          <w:lang w:bidi="fa-IR"/>
        </w:rPr>
        <w:t>به شرط این‌که در سنین ذکر شده، توان انجام روزه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مشخّصی تعیین نشده است</w:t>
      </w:r>
      <w:r>
        <w:rPr>
          <w:rFonts w:eastAsia="IRNazanin" w:cs="IRNazanin"/>
          <w:color w:val="111111"/>
          <w:sz w:val="28"/>
          <w:szCs w:val="28"/>
          <w:rtl w:val="true"/>
          <w:lang w:bidi="fa-IR"/>
        </w:rPr>
        <w:t>.</w:t>
      </w:r>
      <w:r>
        <w:rPr>
          <w:rStyle w:val="FootnoteAnchor"/>
          <w:rtl w:val="true"/>
        </w:rPr>
        <w:footnoteReference w:id="58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خاستگاه اصلی اختلاف دیدگاه‌ها، روایات وارد شده در این مسأله میباشد و به نظر میرسد دیدگاه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تعیین سنّ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نظریّه میباشد، یعنی برای ولی</w:t>
      </w:r>
      <w:bookmarkStart w:id="299" w:name="pg13713_164439"/>
    </w:p>
    <w:p>
      <w:pPr>
        <w:pStyle w:val="BookText"/>
        <w:rPr/>
      </w:pPr>
      <w:bookmarkEnd w:id="299"/>
      <w:r>
        <w:rPr>
          <w:rFonts w:ascii="IRNazanin" w:hAnsi="IRNazanin" w:eastAsia="IRNazanin"/>
          <w:color w:val="111111"/>
          <w:sz w:val="28"/>
          <w:sz w:val="28"/>
          <w:szCs w:val="28"/>
          <w:rtl w:val="true"/>
          <w:lang w:bidi="fa-IR"/>
        </w:rPr>
        <w:t>کودک مستحب است هرگاه اطمینان یابد فرزندش توانایی روزه گرفتن را دارد، او را به انجام آن وادار نماید و در این مسأله، سن معیّنی ملاک حکم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علی طباطبایی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وارد شده در این زمینه استفاده میشود، این‌است که اطفال در توان و ضعف جسمی برای گرفتن روزه، تفاوت دارند؛ رسیدن به سن نُه سالگی، بالاترین مرتبه‌ای است که امکان روزه در آن برای‌بعضی از کودکان میباشد و به راحتی میتوانند روزه بگیرند، ولی در سنین قبل از آن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سنین هفت و نه سالگی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ذکر شده، به اعتبار این است که برخی از کودکان در این سال‌ها میتوانند روزه بگیرند و این‌گونه نیست که سال‌های قبل از آن، تمرین روزه در آن مستحب نباشد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قریب به این مضمون در عبارت مرحوم آیت الله حکیم</w:t>
      </w:r>
      <w:r>
        <w:rPr>
          <w:rStyle w:val="FootnoteAnchor"/>
          <w:rtl w:val="true"/>
        </w:rPr>
        <w:footnoteReference w:id="591"/>
      </w:r>
      <w:r>
        <w:rPr>
          <w:rFonts w:ascii="IRNazanin" w:hAnsi="IRNazanin" w:eastAsia="IRNazanin"/>
          <w:color w:val="111111"/>
          <w:sz w:val="28"/>
          <w:sz w:val="28"/>
          <w:szCs w:val="28"/>
          <w:rtl w:val="true"/>
          <w:lang w:bidi="fa-IR"/>
        </w:rPr>
        <w:t>و برخی دیگر از فقیهان</w:t>
      </w:r>
      <w:r>
        <w:rPr>
          <w:rStyle w:val="FootnoteAnchor"/>
          <w:rtl w:val="true"/>
        </w:rPr>
        <w:footnoteReference w:id="592"/>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پسر و دختر در احکامی که در این‌گفتار ذکر شد، مشترک میباشند</w:t>
      </w:r>
      <w:r>
        <w:rPr>
          <w:rFonts w:eastAsia="IRNazanin" w:cs="IRNazanin"/>
          <w:color w:val="111111"/>
          <w:sz w:val="28"/>
          <w:szCs w:val="28"/>
          <w:rtl w:val="true"/>
          <w:lang w:bidi="fa-IR"/>
        </w:rPr>
        <w:t>.</w:t>
      </w:r>
      <w:r>
        <w:rPr>
          <w:rStyle w:val="FootnoteAnchor"/>
          <w:rtl w:val="true"/>
        </w:rPr>
        <w:footnoteReference w:id="593"/>
      </w:r>
    </w:p>
    <w:p>
      <w:pPr>
        <w:pStyle w:val="Heading4"/>
        <w:numPr>
          <w:ilvl w:val="3"/>
          <w:numId w:val="1"/>
        </w:numPr>
        <w:rPr/>
      </w:pPr>
      <w:bookmarkStart w:id="300" w:name="__RefHeading___Toc1259532_1468164448"/>
      <w:bookmarkStart w:id="301" w:name="_Toc111"/>
      <w:bookmarkEnd w:id="300"/>
      <w:r>
        <w:rPr/>
        <w:t>6</w:t>
      </w:r>
      <w:r>
        <w:rPr>
          <w:rtl w:val="true"/>
        </w:rPr>
        <w:t xml:space="preserve">- </w:t>
      </w:r>
      <w:r>
        <w:rPr>
          <w:rtl w:val="true"/>
        </w:rPr>
        <w:t>بلوغ کودک در ماه رمضان</w:t>
      </w:r>
      <w:bookmarkEnd w:id="301"/>
    </w:p>
    <w:p>
      <w:pPr>
        <w:pStyle w:val="BookText"/>
        <w:rPr/>
      </w:pPr>
      <w:r>
        <w:rPr>
          <w:rFonts w:ascii="IRNazanin" w:hAnsi="IRNazanin" w:eastAsia="IRNazanin"/>
          <w:color w:val="111111"/>
          <w:sz w:val="28"/>
          <w:sz w:val="28"/>
          <w:szCs w:val="28"/>
          <w:rtl w:val="true"/>
          <w:lang w:bidi="fa-IR"/>
        </w:rPr>
        <w:t>اگر پسر یا دختر در ماه رمضان به حدّ بلوغ شرعی برسند، مانند آن‌که پسر، پانزده‌ساله شود یا در طول روز محتلم شود و یا دختر به سن نُه سال تمام برسد، آیا روزه روزی که در آن بالغ شده‌اند بر آنها واجب است یا اگر افطار نمودند، قضای روزه بر آنها واجب میباشد؟ در این مسأله چند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قبل از طلوع فجر بالغ شود و امکان تحصیل طهارت نیز داشته باشد، در این فرض به اتفاق فقها واجب است آن روز را روزه‌بگیرد</w:t>
      </w:r>
      <w:r>
        <w:rPr>
          <w:rFonts w:eastAsia="IRNazanin" w:cs="IRNazanin"/>
          <w:color w:val="111111"/>
          <w:sz w:val="28"/>
          <w:szCs w:val="28"/>
          <w:rtl w:val="true"/>
          <w:lang w:bidi="fa-IR"/>
        </w:rPr>
        <w:t>.</w:t>
      </w:r>
      <w:r>
        <w:rPr>
          <w:rStyle w:val="FootnoteAnchor"/>
          <w:rtl w:val="true"/>
        </w:rPr>
        <w:footnoteReference w:id="59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فرض اوّل است، با این تفاوت که امکان تحصیل طهارت نباشد، در این صورت احتمال دارد روزه، واجب نباشد، زیرا از شرایط صحّت روزه، جُنب نبودن روزه‌دار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روزه بر او واجب باشد، زیرا طهارت قبل از فجر شرط اختیاری است برای کسی که امکان تحصیل آن را داشته باشد، امّا کسی که قادر به انجام طهارت نیست، رعایت این شرط بر وی لازم نیست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بعد از ظهر بالغ شود، در این فرض به اتفاق فقها روزه آن روز واجب نیست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بالغ شود، در این صورت این مسأله مطرح است که اگر با قصد استحباب، نیّت روزه نموده، آیا واجب است با تجدید نیّت و قصد وجوب، روزه‌خود را به اتمام رساند؟ بعضی واجب دانسته‌اند،</w:t>
      </w:r>
      <w:r>
        <w:rPr>
          <w:rStyle w:val="FootnoteAnchor"/>
          <w:rtl w:val="true"/>
        </w:rPr>
        <w:footnoteReference w:id="597"/>
      </w:r>
      <w:r>
        <w:rPr>
          <w:rFonts w:ascii="IRNazanin" w:hAnsi="IRNazanin" w:eastAsia="IRNazanin"/>
          <w:color w:val="111111"/>
          <w:sz w:val="28"/>
          <w:sz w:val="28"/>
          <w:szCs w:val="28"/>
          <w:rtl w:val="true"/>
          <w:lang w:bidi="fa-IR"/>
        </w:rPr>
        <w:t>زیرا امکان روزه گرفتن کودک وجود دارد و وقت تجدید نیّت باقی است، ولی به نظر مشهور فقها، در فرض مزبور روزه آن روز واجب نیست</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آیت الله فاضل لنکرانی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بلوغ نسبت به وجوب روزه در تمام ساعات‌و لحظات روز محاسبه میشود، بنابراین اگر کودک در اثنای روز بالغ شده، درحالیکه مقداری از روز را با قصد استحباب روزه سپری نموده، روزه آن روز بر او واجب نمیشود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به عبارت دیگر، روزه در تمام ساعات روز یک تکلیف بیش‌تر نیست که با قصد استحباب یا وجوب واقع میشود و اگر مقداری از آن با قصد استحباب انجام شد، مقدار دیگر نمیتواند با قصد وجوب به اتمام رسد</w:t>
      </w:r>
      <w:r>
        <w:rPr>
          <w:rFonts w:eastAsia="IRNazanin" w:cs="IRNazanin"/>
          <w:color w:val="111111"/>
          <w:sz w:val="28"/>
          <w:szCs w:val="28"/>
          <w:rtl w:val="true"/>
          <w:lang w:bidi="fa-IR"/>
        </w:rPr>
        <w:t>.</w:t>
      </w:r>
      <w:r>
        <w:rPr>
          <w:rStyle w:val="FootnoteAnchor"/>
          <w:rtl w:val="true"/>
        </w:rPr>
        <w:footnoteReference w:id="6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قبل از ظهر بالغ شود، در حالیکه از خوردن و آشامیدن پرهیز نموده و در عین حال نیّت روزه نیز نکرده است، در این فرض روزه بر او واجب نیست، ولی مستحب میباشد</w:t>
      </w:r>
      <w:r>
        <w:rPr>
          <w:rFonts w:eastAsia="IRNazanin" w:cs="IRNazanin"/>
          <w:color w:val="111111"/>
          <w:sz w:val="28"/>
          <w:szCs w:val="28"/>
          <w:rtl w:val="true"/>
          <w:lang w:bidi="fa-IR"/>
        </w:rPr>
        <w:t>.</w:t>
      </w:r>
      <w:r>
        <w:rPr>
          <w:rStyle w:val="FootnoteAnchor"/>
          <w:rtl w:val="true"/>
        </w:rPr>
        <w:footnoteReference w:id="601"/>
      </w:r>
      <w:bookmarkStart w:id="302" w:name="pg13713_164441"/>
    </w:p>
    <w:p>
      <w:pPr>
        <w:pStyle w:val="Heading3"/>
        <w:numPr>
          <w:ilvl w:val="2"/>
          <w:numId w:val="1"/>
        </w:numPr>
        <w:rPr/>
      </w:pPr>
      <w:bookmarkStart w:id="303" w:name="__RefHeading___Toc1259534_1468164448"/>
      <w:bookmarkStart w:id="304" w:name="_Toc112"/>
      <w:bookmarkEnd w:id="302"/>
      <w:bookmarkEnd w:id="303"/>
      <w:r>
        <w:rPr>
          <w:rtl w:val="true"/>
        </w:rPr>
        <w:t>گفتار سوّم</w:t>
      </w:r>
      <w:r>
        <w:rPr>
          <w:rtl w:val="true"/>
        </w:rPr>
        <w:t xml:space="preserve">: </w:t>
      </w:r>
      <w:r>
        <w:rPr>
          <w:rtl w:val="true"/>
        </w:rPr>
        <w:t>اعتکاف کودک</w:t>
      </w:r>
      <w:bookmarkEnd w:id="304"/>
    </w:p>
    <w:p>
      <w:pPr>
        <w:pStyle w:val="Heading4"/>
        <w:numPr>
          <w:ilvl w:val="3"/>
          <w:numId w:val="1"/>
        </w:numPr>
        <w:rPr/>
      </w:pPr>
      <w:bookmarkStart w:id="305" w:name="__RefHeading___Toc1259536_1468164448"/>
      <w:bookmarkStart w:id="306" w:name="_Toc113"/>
      <w:bookmarkEnd w:id="305"/>
      <w:r>
        <w:rPr/>
        <w:t>1</w:t>
      </w:r>
      <w:r>
        <w:rPr>
          <w:rtl w:val="true"/>
        </w:rPr>
        <w:t xml:space="preserve">- </w:t>
      </w:r>
      <w:r>
        <w:rPr>
          <w:rtl w:val="true"/>
        </w:rPr>
        <w:t>مفهوم اعتکاف و دلیل استحباب آن</w:t>
      </w:r>
      <w:bookmarkEnd w:id="306"/>
    </w:p>
    <w:p>
      <w:pPr>
        <w:pStyle w:val="BookText"/>
        <w:rPr/>
      </w:pPr>
      <w:r>
        <w:rPr>
          <w:rFonts w:ascii="IRNazanin" w:hAnsi="IRNazanin" w:eastAsia="IRNazanin"/>
          <w:color w:val="111111"/>
          <w:sz w:val="28"/>
          <w:sz w:val="28"/>
          <w:szCs w:val="28"/>
          <w:rtl w:val="true"/>
          <w:lang w:bidi="fa-IR"/>
        </w:rPr>
        <w:t>اعتکاف در لغت به معنی درنگ و ماندن در مکان مخصوص است،</w:t>
      </w:r>
      <w:r>
        <w:rPr>
          <w:rStyle w:val="FootnoteAnchor"/>
          <w:rtl w:val="true"/>
        </w:rPr>
        <w:footnoteReference w:id="602"/>
      </w:r>
      <w:r>
        <w:rPr>
          <w:rFonts w:ascii="IRNazanin" w:hAnsi="IRNazanin" w:eastAsia="IRNazanin"/>
          <w:color w:val="111111"/>
          <w:sz w:val="28"/>
          <w:sz w:val="28"/>
          <w:szCs w:val="28"/>
          <w:rtl w:val="true"/>
          <w:lang w:bidi="fa-IR"/>
        </w:rPr>
        <w:t>و در اصطلاح فقها عبارت از درنگی است مخصوص عبادت</w:t>
      </w:r>
      <w:r>
        <w:rPr>
          <w:rStyle w:val="FootnoteAnchor"/>
          <w:rtl w:val="true"/>
        </w:rPr>
        <w:footnoteReference w:id="603"/>
      </w:r>
      <w:r>
        <w:rPr>
          <w:rFonts w:ascii="IRNazanin" w:hAnsi="IRNazanin" w:eastAsia="IRNazanin"/>
          <w:color w:val="111111"/>
          <w:sz w:val="28"/>
          <w:sz w:val="28"/>
          <w:szCs w:val="28"/>
          <w:rtl w:val="true"/>
          <w:lang w:bidi="fa-IR"/>
        </w:rPr>
        <w:t>و توسط مکلّف مسلمان در مساجد جامع که با داشتن نیّت و گرفتن روزه انجام میشود و مدّت آن سه روز یا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استحباب آن، آیاتی از قرآن است، مانند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ابراهیم و اسماعیل امر کردیم که خانه مرا برای طواف‌کنندگان و مجاوران و رکوع‌کنندگان و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عَهِدْنا إِلی إِبْراهِیمَ وَ إِسْماعِیلَ أَنْ طَهِّرا بَیْتِیَ لِلطّائِفِینَ وَ الْعاکِفِینَ وَ الرُّکَّعِ السُّجُودِ</w:t>
      </w:r>
      <w:r>
        <w:rPr>
          <w:rFonts w:eastAsia="IRNazanin" w:cs="IRNazanin"/>
          <w:color w:val="111111"/>
          <w:sz w:val="28"/>
          <w:szCs w:val="28"/>
          <w:rtl w:val="true"/>
          <w:lang w:bidi="fa-IR"/>
        </w:rPr>
        <w:t>) .</w:t>
      </w:r>
      <w:r>
        <w:rPr>
          <w:rStyle w:val="FootnoteAnchor"/>
          <w:rtl w:val="true"/>
        </w:rPr>
        <w:footnoteReference w:id="60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روایات متواتر بر استحباب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روش‌رسول خدا صلی الله علیه و آله چنین بود که در دهة آخر ماه مبارک رمضان در مسجد اعتکاف‌مینمود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اللهصلی الله علیه و آله إِذا کانَ الْعَشْرُ الأَواخِرُ اعْتَکَفَ فیِ الْمَسْجِدِ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البته در این‌که آیا اعتکاف کودک ممیّز، صحیح است یا خیر؟ دیدگاه‌های مختلفی مطرح گردیده است</w:t>
      </w:r>
      <w:r>
        <w:rPr>
          <w:rFonts w:eastAsia="IRNazanin" w:cs="IRNazanin"/>
          <w:color w:val="111111"/>
          <w:sz w:val="28"/>
          <w:szCs w:val="28"/>
          <w:rtl w:val="true"/>
          <w:lang w:bidi="fa-IR"/>
        </w:rPr>
        <w:t>:</w:t>
      </w:r>
      <w:bookmarkStart w:id="307" w:name="pg13713_164442"/>
    </w:p>
    <w:p>
      <w:pPr>
        <w:pStyle w:val="BookText"/>
        <w:rPr/>
      </w:pPr>
      <w:bookmarkEnd w:id="30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معتقدند، شرط صحّت اعتکاف، تکلیف است، بنابراین انجام آن از غیر بالغ صحیح نیست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 به عنوان تمرین بر عبادت، صحیح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که قویتر به نظر میرسد این است که اعتکاف کودک ممیّز صحیح‌است و با انجام آن، مستحق اجر و پاداش میباشد،</w:t>
      </w:r>
      <w:r>
        <w:rPr>
          <w:rStyle w:val="FootnoteAnchor"/>
          <w:rtl w:val="true"/>
        </w:rPr>
        <w:footnoteReference w:id="608"/>
      </w:r>
      <w:r>
        <w:rPr>
          <w:rFonts w:ascii="IRNazanin" w:hAnsi="IRNazanin" w:eastAsia="IRNazanin"/>
          <w:color w:val="111111"/>
          <w:sz w:val="28"/>
          <w:sz w:val="28"/>
          <w:szCs w:val="28"/>
          <w:rtl w:val="true"/>
          <w:lang w:bidi="fa-IR"/>
        </w:rPr>
        <w:t>زیرا عبادات کودک مشروع وصحیح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صحّت اعتکاف، بلوغ شرط نیست، چرا که عبادات کودک شرعی است نه تمرینی، و اعتکاف در هیچ وقتی از اوقات، خودش‌واجب نیست تا وجوب آن از کودک برداشته شود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افزون بر این، اطلاق ادلّه‌ای که بر استحباب اعتکاف</w:t>
      </w:r>
      <w:r>
        <w:rPr>
          <w:rStyle w:val="FootnoteAnchor"/>
          <w:rtl w:val="true"/>
        </w:rPr>
        <w:footnoteReference w:id="610"/>
      </w:r>
      <w:r>
        <w:rPr>
          <w:rFonts w:ascii="IRNazanin" w:hAnsi="IRNazanin" w:eastAsia="IRNazanin"/>
          <w:color w:val="111111"/>
          <w:sz w:val="28"/>
          <w:sz w:val="28"/>
          <w:szCs w:val="28"/>
          <w:rtl w:val="true"/>
          <w:lang w:bidi="fa-IR"/>
        </w:rPr>
        <w:t>دلالت دارد، کودک ممیّز را نیز شامل میشود</w:t>
      </w:r>
      <w:r>
        <w:rPr>
          <w:rFonts w:eastAsia="IRNazanin" w:cs="IRNazanin"/>
          <w:color w:val="111111"/>
          <w:sz w:val="28"/>
          <w:szCs w:val="28"/>
          <w:rtl w:val="true"/>
          <w:lang w:bidi="fa-IR"/>
        </w:rPr>
        <w:t>.</w:t>
      </w:r>
    </w:p>
    <w:p>
      <w:pPr>
        <w:pStyle w:val="Heading4"/>
        <w:numPr>
          <w:ilvl w:val="3"/>
          <w:numId w:val="1"/>
        </w:numPr>
        <w:rPr/>
      </w:pPr>
      <w:bookmarkStart w:id="308" w:name="__RefHeading___Toc1259538_1468164448"/>
      <w:bookmarkStart w:id="309" w:name="_Toc114"/>
      <w:bookmarkEnd w:id="308"/>
      <w:r>
        <w:rPr/>
        <w:t>2</w:t>
      </w:r>
      <w:r>
        <w:rPr>
          <w:rtl w:val="true"/>
        </w:rPr>
        <w:t xml:space="preserve">- </w:t>
      </w:r>
      <w:r>
        <w:rPr>
          <w:rtl w:val="true"/>
        </w:rPr>
        <w:t>اتمام اعتکاف در روز سوّم</w:t>
      </w:r>
      <w:bookmarkEnd w:id="309"/>
    </w:p>
    <w:p>
      <w:pPr>
        <w:pStyle w:val="BookText"/>
        <w:rPr/>
      </w:pPr>
      <w:r>
        <w:rPr>
          <w:rFonts w:ascii="IRNazanin" w:hAnsi="IRNazanin" w:eastAsia="IRNazanin"/>
          <w:color w:val="111111"/>
          <w:sz w:val="28"/>
          <w:sz w:val="28"/>
          <w:szCs w:val="28"/>
          <w:rtl w:val="true"/>
          <w:lang w:bidi="fa-IR"/>
        </w:rPr>
        <w:t>اعتکاف مستحب است، ولی با نذر و عهد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میگردد و بر طبق دیدگاه مشهور فقها، اعتکاف مستحب در روز سوّم واجب میشود، به این معنی که معتکف مجاز است در روز اوّل و دوّم اعتکاف خود را فسخ و از مسجد خارج شود، ولی با شروع روز سوّم، حق ندارد آن را فسخ نماید، بلکه واجب است به پایان برساند</w:t>
      </w:r>
      <w:r>
        <w:rPr>
          <w:rFonts w:eastAsia="IRNazanin" w:cs="IRNazanin"/>
          <w:color w:val="111111"/>
          <w:sz w:val="28"/>
          <w:szCs w:val="28"/>
          <w:rtl w:val="true"/>
          <w:lang w:bidi="fa-IR"/>
        </w:rPr>
        <w:t>.</w:t>
      </w:r>
      <w:r>
        <w:rPr>
          <w:rStyle w:val="FootnoteAnchor"/>
          <w:rtl w:val="true"/>
        </w:rPr>
        <w:footnoteReference w:id="61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این حکم در حق کودک ممیّز، بر فرض صحّت اعتکاف وی، جریان دارد؟ ظاهراً چنین نیست، زیرا وجوب اتمام اعتکاف در روز سوّم، حکم الزامی است و کودک، مکلّف و ملزم به رعایت حکم الزامی واجب و یا حرمت، نیست</w:t>
      </w:r>
      <w:r>
        <w:rPr>
          <w:rFonts w:eastAsia="IRNazanin" w:cs="IRNazanin"/>
          <w:color w:val="111111"/>
          <w:sz w:val="28"/>
          <w:szCs w:val="28"/>
          <w:rtl w:val="true"/>
          <w:lang w:bidi="fa-IR"/>
        </w:rPr>
        <w:t>.</w:t>
      </w:r>
      <w:r>
        <w:rPr>
          <w:rStyle w:val="FootnoteAnchor"/>
          <w:rtl w:val="true"/>
        </w:rPr>
        <w:footnoteReference w:id="612"/>
      </w:r>
      <w:bookmarkStart w:id="310" w:name="pg13713_164443"/>
    </w:p>
    <w:p>
      <w:pPr>
        <w:pStyle w:val="Heading4"/>
        <w:numPr>
          <w:ilvl w:val="3"/>
          <w:numId w:val="1"/>
        </w:numPr>
        <w:rPr/>
      </w:pPr>
      <w:bookmarkStart w:id="311" w:name="__RefHeading___Toc1259540_1468164448"/>
      <w:bookmarkStart w:id="312" w:name="_Toc115"/>
      <w:bookmarkEnd w:id="310"/>
      <w:bookmarkEnd w:id="311"/>
      <w:r>
        <w:rPr/>
        <w:t>3</w:t>
      </w:r>
      <w:r>
        <w:rPr>
          <w:rtl w:val="true"/>
        </w:rPr>
        <w:t xml:space="preserve">- </w:t>
      </w:r>
      <w:r>
        <w:rPr>
          <w:rtl w:val="true"/>
        </w:rPr>
        <w:t>محرّمات اعتکاف نسبت به کودک</w:t>
      </w:r>
      <w:bookmarkEnd w:id="312"/>
    </w:p>
    <w:p>
      <w:pPr>
        <w:pStyle w:val="BookText"/>
        <w:rPr/>
      </w:pPr>
      <w:r>
        <w:rPr>
          <w:rFonts w:ascii="IRNazanin" w:hAnsi="IRNazanin" w:eastAsia="IRNazanin"/>
          <w:color w:val="111111"/>
          <w:sz w:val="28"/>
          <w:sz w:val="28"/>
          <w:szCs w:val="28"/>
          <w:rtl w:val="true"/>
          <w:lang w:bidi="fa-IR"/>
        </w:rPr>
        <w:t>فقیهان در احکام اعتکاف، اموری را بر معتکف حرام دانسته‌اند، مانند لمس و بوسیدن زن نامحرم، زناشویی، استشمام عطر، خرید و فروش، مجادله برای اثبات کلام خویش، در امور دینی باشد و یا دنیوی و</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اینک این پرسش مطرح میباشد که آیا این امور بر کودک معتکف همانند مکلّفین، حرام است؟ دو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بایدکودک از این امور در زمان اعتکاف اجتناب نماید، زیرا فرض بر این است که اعتکاف وی صحیح و شرعی است؛ البتّه کودک، مخاطب به حکم حرمت نیست، بلکه بر ولی وی واجب است او را از ارتکاب محرمات مزبور منع نماید، شبیه آن‌چه در باب احرام حج و عمره کودک گفته شده، مبنی بر این‌که باید ولی وی او را از ارتکاب محرّمات احرام منع نماید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محرّمات اعتکاف بر کودک واجب نیست، زیرا قرار دادن اعتکاف به منزله احرام در جمیع احکام نیاز به دلیل دارد و در این‌باره دلیلی وارد نشده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وجوب اجتناب محرّمات احرام بر کودک، از ادلّه استفاده میگردد و وجهی برای سرایت آن به اعتکاف وی وجود ندارد، زیرا ما انسان‌های عادی، عالم به ملاک و منشأ احکام نیستیم و از روایات هم، چنین حکمی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فقها نیز به‌آن تصریح نشده است، بنابراین اگر کودک، اعتکاف خود را با ارتکاب محرّمات مانند خوردن و آشامیدن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باطل نماید، پرداخت کفّاره بر او واجب نیست نه در حال کودکی و نه بعد از بلوغ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ولی وی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احتیاط در جمیع موارد نیکو و پسندیده است</w:t>
      </w:r>
      <w:r>
        <w:rPr>
          <w:rFonts w:eastAsia="IRNazanin" w:cs="IRNazanin"/>
          <w:color w:val="111111"/>
          <w:sz w:val="28"/>
          <w:szCs w:val="28"/>
          <w:rtl w:val="true"/>
          <w:lang w:bidi="fa-IR"/>
        </w:rPr>
        <w:t>.</w:t>
      </w:r>
      <w:r>
        <w:rPr>
          <w:rStyle w:val="FootnoteAnchor"/>
          <w:rtl w:val="true"/>
        </w:rPr>
        <w:footnoteReference w:id="615"/>
      </w:r>
      <w:bookmarkStart w:id="313" w:name="pg13713_164444"/>
    </w:p>
    <w:p>
      <w:pPr>
        <w:pStyle w:val="Heading3"/>
        <w:numPr>
          <w:ilvl w:val="2"/>
          <w:numId w:val="1"/>
        </w:numPr>
        <w:rPr/>
      </w:pPr>
      <w:bookmarkStart w:id="314" w:name="__RefHeading___Toc1259542_1468164448"/>
      <w:bookmarkStart w:id="315" w:name="_Toc116"/>
      <w:bookmarkEnd w:id="313"/>
      <w:bookmarkEnd w:id="314"/>
      <w:r>
        <w:rPr>
          <w:rtl w:val="true"/>
        </w:rPr>
        <w:t>گفتار چهارم</w:t>
      </w:r>
      <w:r>
        <w:rPr>
          <w:rtl w:val="true"/>
        </w:rPr>
        <w:t xml:space="preserve">: </w:t>
      </w:r>
      <w:r>
        <w:rPr>
          <w:rtl w:val="true"/>
        </w:rPr>
        <w:t>زکات اموال کودک</w:t>
      </w:r>
      <w:bookmarkEnd w:id="315"/>
    </w:p>
    <w:p>
      <w:pPr>
        <w:pStyle w:val="Heading4"/>
        <w:numPr>
          <w:ilvl w:val="3"/>
          <w:numId w:val="1"/>
        </w:numPr>
        <w:rPr/>
      </w:pPr>
      <w:bookmarkStart w:id="316" w:name="__RefHeading___Toc1259544_1468164448"/>
      <w:bookmarkStart w:id="317" w:name="_Toc117"/>
      <w:bookmarkEnd w:id="316"/>
      <w:r>
        <w:rPr/>
        <w:t>1</w:t>
      </w:r>
      <w:r>
        <w:rPr>
          <w:rtl w:val="true"/>
        </w:rPr>
        <w:t xml:space="preserve">- </w:t>
      </w:r>
      <w:r>
        <w:rPr>
          <w:rtl w:val="true"/>
        </w:rPr>
        <w:t>مفهوم زکات</w:t>
      </w:r>
      <w:bookmarkEnd w:id="317"/>
    </w:p>
    <w:p>
      <w:pPr>
        <w:pStyle w:val="BookText"/>
        <w:rPr/>
      </w:pPr>
      <w:r>
        <w:rPr>
          <w:rFonts w:ascii="IRNazanin" w:hAnsi="IRNazanin" w:eastAsia="IRNazanin"/>
          <w:color w:val="111111"/>
          <w:sz w:val="28"/>
          <w:sz w:val="28"/>
          <w:szCs w:val="28"/>
          <w:rtl w:val="true"/>
          <w:lang w:bidi="fa-IR"/>
        </w:rPr>
        <w:t>زکات در لغت به معنی طهارت و پاکی است</w:t>
      </w:r>
      <w:r>
        <w:rPr>
          <w:rStyle w:val="FootnoteAnchor"/>
          <w:rtl w:val="true"/>
        </w:rPr>
        <w:footnoteReference w:id="616"/>
      </w:r>
      <w:r>
        <w:rPr>
          <w:rFonts w:ascii="IRNazanin" w:hAnsi="IRNazanin" w:eastAsia="IRNazanin"/>
          <w:color w:val="111111"/>
          <w:sz w:val="28"/>
          <w:sz w:val="28"/>
          <w:szCs w:val="28"/>
          <w:rtl w:val="true"/>
          <w:lang w:bidi="fa-IR"/>
        </w:rPr>
        <w:t>و در اصطلاح فقها حقی واجب بر مال و مشروط به نصاب</w:t>
      </w:r>
      <w:r>
        <w:rPr>
          <w:rStyle w:val="FootnoteAnchor"/>
          <w:rtl w:val="true"/>
        </w:rPr>
        <w:footnoteReference w:id="617"/>
      </w:r>
      <w:r>
        <w:rPr>
          <w:rFonts w:ascii="IRNazanin" w:hAnsi="IRNazanin" w:eastAsia="IRNazanin"/>
          <w:color w:val="111111"/>
          <w:sz w:val="28"/>
          <w:sz w:val="28"/>
          <w:szCs w:val="28"/>
          <w:rtl w:val="true"/>
          <w:lang w:bidi="fa-IR"/>
        </w:rPr>
        <w:t>معین میباشد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در مورد کودکان این پرسش مطرح است که چنان‌چه دارای اموال مشمول زکات باشند، آیا پرداخت زکات واجب میباشد یا بر فرض عدم وجوب، پرداخت آن از اموال کودک مستحب است؟ و چه کسی مسئول پرداخت آن میباشد؟ در ادامه به تحقیق در این‌باره میپردازیم</w:t>
      </w:r>
      <w:r>
        <w:rPr>
          <w:rFonts w:eastAsia="IRNazanin" w:cs="IRNazanin"/>
          <w:color w:val="111111"/>
          <w:sz w:val="28"/>
          <w:szCs w:val="28"/>
          <w:rtl w:val="true"/>
          <w:lang w:bidi="fa-IR"/>
        </w:rPr>
        <w:t>:</w:t>
      </w:r>
    </w:p>
    <w:p>
      <w:pPr>
        <w:pStyle w:val="Heading4"/>
        <w:numPr>
          <w:ilvl w:val="3"/>
          <w:numId w:val="1"/>
        </w:numPr>
        <w:rPr/>
      </w:pPr>
      <w:bookmarkStart w:id="318" w:name="__RefHeading___Toc1259546_1468164448"/>
      <w:bookmarkStart w:id="319" w:name="_Toc118"/>
      <w:bookmarkEnd w:id="318"/>
      <w:r>
        <w:rPr/>
        <w:t>2</w:t>
      </w:r>
      <w:r>
        <w:rPr>
          <w:rtl w:val="true"/>
        </w:rPr>
        <w:t xml:space="preserve">- </w:t>
      </w:r>
      <w:r>
        <w:rPr>
          <w:rtl w:val="true"/>
        </w:rPr>
        <w:t xml:space="preserve">زکات نقدین </w:t>
      </w:r>
      <w:r>
        <w:rPr>
          <w:rtl w:val="true"/>
        </w:rPr>
        <w:t>(</w:t>
      </w:r>
      <w:r>
        <w:rPr>
          <w:rtl w:val="true"/>
        </w:rPr>
        <w:t>طلا و نقره</w:t>
      </w:r>
      <w:r>
        <w:rPr>
          <w:rtl w:val="true"/>
        </w:rPr>
        <w:t>)</w:t>
      </w:r>
      <w:bookmarkEnd w:id="31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مورد توافق فقها است که اگر کودک، مالک طلا یا نقره باشد و به حدّ نصاب شرعی وجوب زکات برسد، پرداخت زکات آن واجب نیست</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دلیل آن، علاوه بر</w:t>
      </w:r>
      <w:bookmarkStart w:id="320" w:name="pg13713_164445"/>
    </w:p>
    <w:p>
      <w:pPr>
        <w:pStyle w:val="BookText"/>
        <w:rPr/>
      </w:pPr>
      <w:bookmarkEnd w:id="320"/>
      <w:r>
        <w:rPr>
          <w:rFonts w:ascii="IRNazanin" w:hAnsi="IRNazanin" w:eastAsia="IRNazanin"/>
          <w:color w:val="111111"/>
          <w:sz w:val="28"/>
          <w:sz w:val="28"/>
          <w:szCs w:val="28"/>
          <w:rtl w:val="true"/>
          <w:lang w:bidi="fa-IR"/>
        </w:rPr>
        <w:t>اجماع</w:t>
      </w:r>
      <w:r>
        <w:rPr>
          <w:rStyle w:val="FootnoteAnchor"/>
          <w:rtl w:val="true"/>
        </w:rPr>
        <w:footnoteReference w:id="620"/>
      </w:r>
      <w:r>
        <w:rPr>
          <w:rFonts w:ascii="IRNazanin" w:hAnsi="IRNazanin" w:eastAsia="IRNazanin"/>
          <w:color w:val="111111"/>
          <w:sz w:val="28"/>
          <w:sz w:val="28"/>
          <w:szCs w:val="28"/>
          <w:rtl w:val="true"/>
          <w:lang w:bidi="fa-IR"/>
        </w:rPr>
        <w:t xml:space="preserve">و اصل </w:t>
      </w:r>
      <w:r>
        <w:rPr>
          <w:rStyle w:val="FootnoteAnchor"/>
          <w:rtl w:val="true"/>
        </w:rPr>
        <w:footnoteReference w:id="6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اشتغال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وجوب زکات، تکلیف است ودرتکلیف، بلوغ‌شرط است، حدیث رفع است،</w:t>
      </w:r>
      <w:r>
        <w:rPr>
          <w:rStyle w:val="FootnoteAnchor"/>
          <w:rtl w:val="true"/>
        </w:rPr>
        <w:footnoteReference w:id="622"/>
      </w:r>
      <w:r>
        <w:rPr>
          <w:rFonts w:ascii="IRNazanin" w:hAnsi="IRNazanin" w:eastAsia="IRNazanin"/>
          <w:color w:val="111111"/>
          <w:sz w:val="28"/>
          <w:sz w:val="28"/>
          <w:szCs w:val="28"/>
          <w:rtl w:val="true"/>
          <w:lang w:bidi="fa-IR"/>
        </w:rPr>
        <w:t xml:space="preserve">زیرا به موجب آن، هر نوع حکم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وجوب پرداخت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ازکودک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وارد شده است که به طور خاص بر این حکم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زراره و محمّد بن مسلم در حدیث صحیح السند، از امام باقر و صادق علیهما السلام نقل نموده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یتیم، در آن‌چه طلبکار است و دیگر اموالی که به عنوان سرمایه دارد،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مالِ الْیَتِیمِ فِی الدِّینِ وَالْمالِ الصّامِتْ</w:t>
      </w:r>
      <w:r>
        <w:rPr>
          <w:rStyle w:val="FootnoteAnchor"/>
          <w:rtl w:val="true"/>
        </w:rPr>
        <w:footnoteReference w:id="623"/>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w:t>
      </w:r>
      <w:r>
        <w:rPr>
          <w:rStyle w:val="FootnoteAnchor"/>
          <w:rtl w:val="true"/>
        </w:rPr>
        <w:footnoteReference w:id="624"/>
      </w:r>
      <w:r>
        <w:rPr>
          <w:rFonts w:ascii="IRNazanin" w:hAnsi="IRNazanin" w:eastAsia="IRNazanin"/>
          <w:color w:val="111111"/>
          <w:sz w:val="28"/>
          <w:sz w:val="28"/>
          <w:szCs w:val="28"/>
          <w:rtl w:val="true"/>
          <w:lang w:bidi="fa-IR"/>
        </w:rPr>
        <w:t>در حدیث صحیح دیگری،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یتیم، زکات واجب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 مالِ الْیَتِیمِ زَکاةٌ</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ظاهر این روایات، دلیل است بر این‌که مال یتیم موضوع وجوب زکات قرار نمیگیرد، بلکه موضوع و متعلّق آن، اموال شخص بالغ است، بنابراین بلوغ، شرط وجوب زکات است و در روایات هر چند عنوان یتیم آمده است، ولی به اجماع قطعی ثابت است در این حکم بین یتیم و دیگر اطفال غیر بالغ، فرقی نیست و به این جهت که غالباً یتیم، صاحب اموالی است که از پدرش به وی منتقل شده، فقط لفظ یتیم به کار رفته است</w:t>
      </w:r>
      <w:r>
        <w:rPr>
          <w:rFonts w:eastAsia="IRNazanin" w:cs="IRNazanin"/>
          <w:color w:val="111111"/>
          <w:sz w:val="28"/>
          <w:szCs w:val="28"/>
          <w:rtl w:val="true"/>
          <w:lang w:bidi="fa-IR"/>
        </w:rPr>
        <w:t>.</w:t>
      </w:r>
    </w:p>
    <w:p>
      <w:pPr>
        <w:pStyle w:val="Heading4"/>
        <w:numPr>
          <w:ilvl w:val="3"/>
          <w:numId w:val="1"/>
        </w:numPr>
        <w:rPr/>
      </w:pPr>
      <w:bookmarkStart w:id="321" w:name="__RefHeading___Toc1259548_1468164448"/>
      <w:bookmarkStart w:id="322" w:name="_Toc119"/>
      <w:bookmarkEnd w:id="321"/>
      <w:r>
        <w:rPr/>
        <w:t>3</w:t>
      </w:r>
      <w:r>
        <w:rPr>
          <w:rtl w:val="true"/>
        </w:rPr>
        <w:t xml:space="preserve">- </w:t>
      </w:r>
      <w:r>
        <w:rPr>
          <w:rtl w:val="true"/>
        </w:rPr>
        <w:t>زکات غلّات و حیوان</w:t>
      </w:r>
      <w:bookmarkEnd w:id="32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کودک مالک غلاّت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گندم،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شترو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حدّ نصاب شرعی برسد، آیا پرداخت زکات بر وی واجب میشود؟ در این‌باره دو نظریّه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فقها که غالباً در دوران‌های گذشته میزیسته‌اند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واجب دانسته‌اند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آنان‌برای اثبات مدّعای خود، به ادلّه‌ای استناد نموده‌اند که دیگر فقها در دوران‌های بعدی به آن اشکال کرده‌اند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دیگری که مشهور است و برخی دیگر از فقهای گذشته</w:t>
      </w:r>
      <w:r>
        <w:rPr>
          <w:rStyle w:val="FootnoteAnchor"/>
          <w:rtl w:val="true"/>
        </w:rPr>
        <w:footnoteReference w:id="628"/>
      </w:r>
      <w:r>
        <w:rPr>
          <w:rFonts w:ascii="IRNazanin" w:hAnsi="IRNazanin" w:eastAsia="IRNazanin"/>
          <w:color w:val="111111"/>
          <w:sz w:val="28"/>
          <w:sz w:val="28"/>
          <w:szCs w:val="28"/>
          <w:rtl w:val="true"/>
          <w:lang w:bidi="fa-IR"/>
        </w:rPr>
        <w:t>و بعد از آنها</w:t>
      </w:r>
      <w:r>
        <w:rPr>
          <w:rStyle w:val="FootnoteAnchor"/>
          <w:rtl w:val="true"/>
        </w:rPr>
        <w:footnoteReference w:id="629"/>
      </w:r>
      <w:r>
        <w:rPr>
          <w:rFonts w:ascii="IRNazanin" w:hAnsi="IRNazanin" w:eastAsia="IRNazanin"/>
          <w:color w:val="111111"/>
          <w:sz w:val="28"/>
          <w:sz w:val="28"/>
          <w:szCs w:val="28"/>
          <w:rtl w:val="true"/>
          <w:lang w:bidi="fa-IR"/>
        </w:rPr>
        <w:t>تا معاصرین،</w:t>
      </w:r>
      <w:r>
        <w:rPr>
          <w:rStyle w:val="FootnoteAnchor"/>
          <w:rtl w:val="true"/>
        </w:rPr>
        <w:footnoteReference w:id="630"/>
      </w:r>
      <w:r>
        <w:rPr>
          <w:rFonts w:ascii="IRNazanin" w:hAnsi="IRNazanin" w:eastAsia="IRNazanin"/>
          <w:color w:val="111111"/>
          <w:sz w:val="28"/>
          <w:sz w:val="28"/>
          <w:szCs w:val="28"/>
          <w:rtl w:val="true"/>
          <w:lang w:bidi="fa-IR"/>
        </w:rPr>
        <w:t xml:space="preserve">آن را پذیرفته‌اند، این‌است که در فرض مزبور زکات واجب نیست و دلیل آن، هم بعضی از آیات است مثل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أَمْوالِهِمْ صَدَقَةً تُطَهِّرُهُمْ وَ تُزَکِّیهِمْ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از آن استفاده میشود، پرداخت زکات سبب محو گناهان میباشد و غیر بالغ به دلیل این‌که تکلیف ندارد، گناهی بر او نیست</w:t>
      </w:r>
      <w:r>
        <w:rPr>
          <w:rStyle w:val="FootnoteAnchor"/>
          <w:rtl w:val="true"/>
        </w:rPr>
        <w:footnoteReference w:id="631"/>
      </w:r>
      <w:r>
        <w:rPr>
          <w:rFonts w:ascii="IRNazanin" w:hAnsi="IRNazanin" w:eastAsia="IRNazanin"/>
          <w:color w:val="111111"/>
          <w:sz w:val="28"/>
          <w:sz w:val="28"/>
          <w:szCs w:val="28"/>
          <w:rtl w:val="true"/>
          <w:lang w:bidi="fa-IR"/>
        </w:rPr>
        <w:t>و همچنین اصل،</w:t>
      </w:r>
      <w:r>
        <w:rPr>
          <w:rStyle w:val="FootnoteAnchor"/>
          <w:rtl w:val="true"/>
        </w:rPr>
        <w:footnoteReference w:id="632"/>
      </w:r>
      <w:r>
        <w:rPr>
          <w:rFonts w:ascii="IRNazanin" w:hAnsi="IRNazanin" w:eastAsia="IRNazanin"/>
          <w:color w:val="111111"/>
          <w:sz w:val="28"/>
          <w:sz w:val="28"/>
          <w:szCs w:val="28"/>
          <w:rtl w:val="true"/>
          <w:lang w:bidi="fa-IR"/>
        </w:rPr>
        <w:t>به این معنی که به مقتضای اصل، زکات بر اموال کودکان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اجماع</w:t>
      </w:r>
      <w:r>
        <w:rPr>
          <w:rStyle w:val="FootnoteAnchor"/>
          <w:rtl w:val="true"/>
        </w:rPr>
        <w:footnoteReference w:id="633"/>
      </w:r>
      <w:r>
        <w:rPr>
          <w:rFonts w:ascii="IRNazanin" w:hAnsi="IRNazanin" w:eastAsia="IRNazanin"/>
          <w:color w:val="111111"/>
          <w:sz w:val="28"/>
          <w:sz w:val="28"/>
          <w:szCs w:val="28"/>
          <w:rtl w:val="true"/>
          <w:lang w:bidi="fa-IR"/>
        </w:rPr>
        <w:t>و حدیث رفع به تقریبی که پیش‌تر ذکر شد قابل استناد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بعضی از روایات به طور خاص بر این حکم دلالت دارند، مانند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زراره از امام باقر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یتیم، زکات واجب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مالِ الْیَتیِمِ زَکاةٌ</w:t>
      </w:r>
      <w:r>
        <w:rPr>
          <w:rFonts w:eastAsia="IRNazanin" w:cs="IRNazanin"/>
          <w:color w:val="111111"/>
          <w:sz w:val="28"/>
          <w:szCs w:val="28"/>
          <w:rtl w:val="true"/>
          <w:lang w:bidi="fa-IR"/>
        </w:rPr>
        <w:t>».</w:t>
      </w:r>
      <w:r>
        <w:rPr>
          <w:rStyle w:val="FootnoteAnchor"/>
        </w:rPr>
        <w:footnoteReference w:id="634"/>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موثقه، 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یتیم زکات واجب نیست و بر او نماز واجب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جمیع غلاّت وی،</w:t>
      </w:r>
      <w:bookmarkStart w:id="323" w:name="pg13713_164447"/>
    </w:p>
    <w:p>
      <w:pPr>
        <w:pStyle w:val="BookText"/>
        <w:rPr/>
      </w:pPr>
      <w:bookmarkEnd w:id="323"/>
      <w:r>
        <w:rPr>
          <w:rFonts w:ascii="Amiri" w:hAnsi="Amiri" w:eastAsia="Amiri" w:cs="Amiri"/>
          <w:color w:val="111111"/>
          <w:sz w:val="28"/>
          <w:sz w:val="28"/>
          <w:szCs w:val="28"/>
          <w:rtl w:val="true"/>
          <w:lang w:bidi="ar-SA"/>
        </w:rPr>
        <w:t>اعمّ از نخل و زراعت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زکات واجب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مالِ الْیَتیِمِ زَکاةٌ وَلَیْسَ عَلَیْهِ صَلاةٌ وَلَیْسَ عَلی جَمِیعِ غَلاّتِهِ مِنْ نَخْلٍ أَوْ زَرْعٍ أَوْ غَلَّةٍ زَکاةٌ</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هم‌چنان که پیش‌تر ذکر شد، لفظ یتیم در این روایات، حمل بر غالب میشود و بین او و دیگر کودکان در این حکم فرقی نیست</w:t>
      </w:r>
      <w:r>
        <w:rPr>
          <w:rFonts w:eastAsia="IRNazanin" w:cs="IRNazanin"/>
          <w:color w:val="111111"/>
          <w:sz w:val="28"/>
          <w:szCs w:val="28"/>
          <w:rtl w:val="true"/>
          <w:lang w:bidi="fa-IR"/>
        </w:rPr>
        <w:t>.</w:t>
      </w:r>
    </w:p>
    <w:p>
      <w:pPr>
        <w:pStyle w:val="Heading4"/>
        <w:numPr>
          <w:ilvl w:val="3"/>
          <w:numId w:val="1"/>
        </w:numPr>
        <w:rPr/>
      </w:pPr>
      <w:bookmarkStart w:id="324" w:name="__RefHeading___Toc1259550_1468164448"/>
      <w:bookmarkStart w:id="325" w:name="_Toc120"/>
      <w:bookmarkEnd w:id="324"/>
      <w:r>
        <w:rPr/>
        <w:t>4</w:t>
      </w:r>
      <w:r>
        <w:rPr>
          <w:rtl w:val="true"/>
        </w:rPr>
        <w:t xml:space="preserve">- </w:t>
      </w:r>
      <w:r>
        <w:rPr>
          <w:rtl w:val="true"/>
        </w:rPr>
        <w:t>استحباب پرداخت زکات از سرمایه تجاری کودک</w:t>
      </w:r>
      <w:bookmarkEnd w:id="325"/>
    </w:p>
    <w:p>
      <w:pPr>
        <w:pStyle w:val="BookText"/>
        <w:rPr/>
      </w:pPr>
      <w:r>
        <w:rPr>
          <w:rFonts w:ascii="IRNazanin" w:hAnsi="IRNazanin" w:eastAsia="IRNazanin"/>
          <w:color w:val="111111"/>
          <w:sz w:val="28"/>
          <w:sz w:val="28"/>
          <w:szCs w:val="28"/>
          <w:rtl w:val="true"/>
          <w:lang w:bidi="fa-IR"/>
        </w:rPr>
        <w:t>در بین فقیهان اختلافی دیده نشده است‌که اگر ولی صغیر با اموال وی به طوری که مصلحت او اقتضا داشته باشد، تجارت نمود و از آن سودی حاصل شد، مستحب است زکات آن پرداخت شود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امام خمینی در این‌باره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شرعی برای صغیر تجارت نمود، مستحب است زکات آن را بپردازد و مستحب است زکات غلات آن را نیز بپردازد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و دلیل آن، علاوه بر اجماع،</w:t>
      </w:r>
      <w:r>
        <w:rPr>
          <w:rStyle w:val="FootnoteAnchor"/>
          <w:rtl w:val="true"/>
        </w:rPr>
        <w:footnoteReference w:id="639"/>
      </w:r>
      <w:r>
        <w:rPr>
          <w:rFonts w:ascii="IRNazanin" w:hAnsi="IRNazanin" w:eastAsia="IRNazanin"/>
          <w:color w:val="111111"/>
          <w:sz w:val="28"/>
          <w:sz w:val="28"/>
          <w:szCs w:val="28"/>
          <w:rtl w:val="true"/>
          <w:lang w:bidi="fa-IR"/>
        </w:rPr>
        <w:t>روایات بسیاری است که به طور خاص بر حکم مزبور دلالت دارد؛ مانند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صحیح، 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نوشتم برادرانی صغیر دارم، چه زمانی به اموال آنها زکات تعلّق می‌گیرد؟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نماز بر آنها واجب شود، پرداخت زکات واجب میشود، از ایشان سؤال کردم تا زمانیکه نماز واجب نشده، زکات واجب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اموال آنها تجارت شود، باید زکات آن پرداخت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اتُّجِرَ بِهِ فَزَکِّهِ</w:t>
      </w:r>
      <w:r>
        <w:rPr>
          <w:rFonts w:eastAsia="IRNazanin" w:cs="IRNazanin"/>
          <w:color w:val="111111"/>
          <w:sz w:val="28"/>
          <w:szCs w:val="28"/>
          <w:rtl w:val="true"/>
          <w:lang w:bidi="fa-IR"/>
        </w:rPr>
        <w:t>».</w:t>
      </w:r>
      <w:r>
        <w:rPr>
          <w:rStyle w:val="FootnoteAnchor"/>
        </w:rPr>
        <w:footnoteReference w:id="64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دیگری، همین سؤال را راوی دیگری از امام‌صادق علیه السلام نموده‌ودر جواب،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صغیر متعلّق زکات قرار</w:t>
      </w:r>
    </w:p>
    <w:p>
      <w:pPr>
        <w:pStyle w:val="BookText"/>
        <w:rPr/>
      </w:pPr>
      <w:r>
        <w:rPr>
          <w:rFonts w:ascii="IRNazanin" w:hAnsi="IRNazanin" w:eastAsia="IRNazanin"/>
          <w:color w:val="111111"/>
          <w:sz w:val="28"/>
          <w:sz w:val="28"/>
          <w:szCs w:val="28"/>
          <w:rtl w:val="true"/>
          <w:lang w:bidi="fa-IR"/>
        </w:rPr>
        <w:t>نمیگیرد، مگر آن‌که‌با آن تجارت شود یا شخصی به عنوان عامل در آن تصرّف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انْ تَتَّجِرَ بِهِ أَوْ تَعْمَلَ بِهِ</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قریب به این مضامین، در روایات</w:t>
      </w:r>
    </w:p>
    <w:p>
      <w:pPr>
        <w:pStyle w:val="BookText"/>
        <w:rPr/>
      </w:pPr>
      <w:r>
        <w:rPr>
          <w:rStyle w:val="FootnoteAnchor"/>
          <w:rtl w:val="true"/>
        </w:rPr>
        <w:footnoteReference w:id="642"/>
      </w:r>
      <w:r>
        <w:rPr>
          <w:rFonts w:ascii="IRNazanin" w:hAnsi="IRNazanin" w:eastAsia="IRNazanin"/>
          <w:color w:val="111111"/>
          <w:sz w:val="28"/>
          <w:sz w:val="28"/>
          <w:szCs w:val="28"/>
          <w:rtl w:val="true"/>
          <w:lang w:bidi="fa-IR"/>
        </w:rPr>
        <w:t>دیگری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صریح برخی از این روایات و ظهور برخی دیگر، بر وجوب پرداخت زکات دلالت دارد، ولی به اتفاق فقها باید از این وجوب، رفع ید شود و حمل بر استحباب گردد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به همین جهت هیچ‌کس قائل به وجوب نشده و شیخ طوسی هم روایات را حمل بر استحباب نموده است</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روایاتی در حدّ تواتر وارده شده مبنی بر این‌که وجوب پرداخت زکات فقط در نُه چیز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نقره، شتر، گاو، گوسفند، گندم، جو، خرما و کشمش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 صلی الله علیه و آله زکات در غیر این اموال، را عفو نموده است، بنابراین چون اموال صغیر که با آن تجارت میشود، غیر از این نُه چیز است، مشمول عفو آن حضرت قرار میگیرد، از این رو باید روایاتی که دلالت بر وجوب دارد حمل بر استحباب گردد</w:t>
      </w:r>
      <w:r>
        <w:rPr>
          <w:rFonts w:eastAsia="IRNazanin" w:cs="IRNazanin"/>
          <w:color w:val="111111"/>
          <w:sz w:val="28"/>
          <w:szCs w:val="28"/>
          <w:rtl w:val="true"/>
          <w:lang w:bidi="fa-IR"/>
        </w:rPr>
        <w:t>.</w:t>
      </w:r>
      <w:r>
        <w:rPr>
          <w:rStyle w:val="FootnoteAnchor"/>
          <w:rtl w:val="true"/>
        </w:rPr>
        <w:footnoteReference w:id="64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فقها در کتب فقهی، تجارت ولی کودک با اموال وی را مشروط به مصلحت کودک دانسته و برای آن اقسام مختلفی ذکر نموده‌اند، مانند این‌که ولی، دارا و توانمند باشد، یا فقیر و محتاج برای خود تجارت کند یا برای کودک و یا هر دو شریک باشند و نیز مطرح شده که در چه صورت میتواند از اموال کودک برای خود حق الزحمه بردارد، و معیار آن چیست؟ و در صورتیکه تجارت به ضرر منتهی شد، چگونه باید جبران شود؟ منافع تجارت چگونه تقسیم شود؟ و این‌که آیا ولی حق دارد به فرد ثالثی اجازه دهد با اموال کودک تجارت نماید؟ و از این قبیل مباحث که به جهت پرهیز از طولانی شدن، از ذکر آنها در این تحقیق خودداری میگردد</w:t>
      </w:r>
      <w:r>
        <w:rPr>
          <w:rFonts w:eastAsia="IRNazanin" w:cs="IRNazanin"/>
          <w:color w:val="111111"/>
          <w:sz w:val="28"/>
          <w:szCs w:val="28"/>
          <w:rtl w:val="true"/>
          <w:lang w:bidi="fa-IR"/>
        </w:rPr>
        <w:t>.</w:t>
      </w:r>
      <w:r>
        <w:rPr>
          <w:rStyle w:val="FootnoteAnchor"/>
          <w:rtl w:val="true"/>
        </w:rPr>
        <w:footnoteReference w:id="646"/>
      </w:r>
      <w:bookmarkStart w:id="326" w:name="pg13713_164449"/>
    </w:p>
    <w:p>
      <w:pPr>
        <w:pStyle w:val="Heading4"/>
        <w:numPr>
          <w:ilvl w:val="3"/>
          <w:numId w:val="1"/>
        </w:numPr>
        <w:rPr/>
      </w:pPr>
      <w:bookmarkStart w:id="327" w:name="__RefHeading___Toc1259552_1468164448"/>
      <w:bookmarkStart w:id="328" w:name="_Toc121"/>
      <w:bookmarkEnd w:id="326"/>
      <w:bookmarkEnd w:id="327"/>
      <w:r>
        <w:rPr/>
        <w:t>5</w:t>
      </w:r>
      <w:r>
        <w:rPr>
          <w:rtl w:val="true"/>
        </w:rPr>
        <w:t xml:space="preserve">- </w:t>
      </w:r>
      <w:r>
        <w:rPr>
          <w:rtl w:val="true"/>
        </w:rPr>
        <w:t>استحباب زکات در دیگر اموال کودک</w:t>
      </w:r>
      <w:bookmarkEnd w:id="328"/>
    </w:p>
    <w:p>
      <w:pPr>
        <w:pStyle w:val="BookText"/>
        <w:rPr/>
      </w:pPr>
      <w:r>
        <w:rPr>
          <w:rFonts w:ascii="IRNazanin" w:hAnsi="IRNazanin" w:eastAsia="IRNazanin"/>
          <w:color w:val="111111"/>
          <w:sz w:val="28"/>
          <w:sz w:val="28"/>
          <w:szCs w:val="28"/>
          <w:rtl w:val="true"/>
          <w:lang w:bidi="fa-IR"/>
        </w:rPr>
        <w:t xml:space="preserve">درباره این که آیا پرداخت زکات از اموال دیگر 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چهارگانه و حیوانات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شتر و گوسفند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چند نظریّه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قائل به استحباب آن میباشند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محقّق در شرائع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است پرداخت زکات از غلاّت کودک و نیز از حیوانات وی، و بعضی واجب دانسته‌اند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دلیل این دیدگاه، روایت صحیحه زراره و محمّد بن مسلم از امام باقر و امام صادق علیهما السلام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مال یتیم که طلبکار است و نیز در سرمایه نقدی وی، زکات نیست و امّاغلاّت وی متعلّق صدقه واجبه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الْغَلاتُ فَعَلَیْهَا الصَّدَقَةُ واجِبَةً</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این روایت به صراحت دلالت بر وجوب دارد، ولی به قرینه روایت موثقه دیگری که در همین زمینه وارد شده است، باید حمل بر استحباب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یک ازغلاّت کودک، زکات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وَلَیْسَ عَلی جَمِیعِ غَلاّتِهِ مِنْ نَخْلٍ أَوْ زَرْعٍ أَوْ غَلَّةٍ زَکاةٌ</w:t>
      </w:r>
      <w:r>
        <w:rPr>
          <w:rFonts w:eastAsia="Amiri" w:cs="Amiri" w:ascii="Amiri" w:hAnsi="Amiri"/>
          <w:color w:val="111111"/>
          <w:sz w:val="28"/>
          <w:szCs w:val="28"/>
          <w:rtl w:val="true"/>
          <w:lang w:bidi="ar-SA"/>
        </w:rPr>
        <w:t>»</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علاّمة حلّی و شیخ انصاری فرموده‌اند که به مقتضای جمع بین ادلّه، مقصود از این روایت، تأکید بر استحباب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 قائل به عدم استحباب زکات در فرض مزبور میباشند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اینان معتقدند، برای حکم به استحباب پرداخت زکات در این مسأله، دلیلی وجود ندارد و روایتی که بر این حکم دلالت دارد به صورت تقیّه در برابر اهل‌سنّت صادر شده است</w:t>
      </w:r>
      <w:r>
        <w:rPr>
          <w:rFonts w:eastAsia="IRNazanin" w:cs="IRNazanin"/>
          <w:color w:val="111111"/>
          <w:sz w:val="28"/>
          <w:szCs w:val="28"/>
          <w:rtl w:val="true"/>
          <w:lang w:bidi="fa-IR"/>
        </w:rPr>
        <w:t>.</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در مسأله، تفصیل بین دو دیدگاه قبل میباشد، به این معنی که، پرداخت زکات از غلاّت کودک مستحب است، ولی نسبت به حیوانات وی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w:t>
      </w:r>
      <w:bookmarkStart w:id="329" w:name="pg13713_164450"/>
    </w:p>
    <w:p>
      <w:pPr>
        <w:pStyle w:val="BookText"/>
        <w:rPr/>
      </w:pPr>
      <w:bookmarkEnd w:id="329"/>
      <w:r>
        <w:rPr>
          <w:rFonts w:ascii="IRNazanin" w:hAnsi="IRNazanin" w:eastAsia="IRNazanin"/>
          <w:color w:val="111111"/>
          <w:sz w:val="28"/>
          <w:sz w:val="28"/>
          <w:szCs w:val="28"/>
          <w:rtl w:val="true"/>
          <w:lang w:bidi="fa-IR"/>
        </w:rPr>
        <w:t>فقهای معاصر،</w:t>
      </w:r>
      <w:r>
        <w:rPr>
          <w:rStyle w:val="FootnoteAnchor"/>
          <w:rtl w:val="true"/>
        </w:rPr>
        <w:footnoteReference w:id="654"/>
      </w:r>
      <w:r>
        <w:rPr>
          <w:rFonts w:ascii="IRNazanin" w:hAnsi="IRNazanin" w:eastAsia="IRNazanin"/>
          <w:color w:val="111111"/>
          <w:sz w:val="28"/>
          <w:sz w:val="28"/>
          <w:szCs w:val="28"/>
          <w:rtl w:val="true"/>
          <w:lang w:bidi="fa-IR"/>
        </w:rPr>
        <w:t>مانند امام خمینی قدس سره</w:t>
      </w:r>
      <w:r>
        <w:rPr>
          <w:rStyle w:val="FootnoteAnchor"/>
          <w:rtl w:val="true"/>
        </w:rPr>
        <w:footnoteReference w:id="655"/>
      </w:r>
      <w:r>
        <w:rPr>
          <w:rFonts w:ascii="Amiri" w:hAnsi="Amiri" w:eastAsia="Amiri" w:cs="Amiri"/>
          <w:color w:val="111111"/>
          <w:sz w:val="28"/>
          <w:sz w:val="28"/>
          <w:szCs w:val="28"/>
          <w:rtl w:val="true"/>
          <w:lang w:bidi="ar-SA"/>
        </w:rPr>
        <w:t>و سیّد یزدی</w:t>
      </w:r>
      <w:r>
        <w:rPr>
          <w:rStyle w:val="FootnoteAnchor"/>
          <w:rtl w:val="true"/>
        </w:rPr>
        <w:footnoteReference w:id="656"/>
      </w:r>
      <w:r>
        <w:rPr>
          <w:rFonts w:ascii="IRNazanin" w:hAnsi="IRNazanin" w:eastAsia="IRNazanin"/>
          <w:color w:val="111111"/>
          <w:sz w:val="28"/>
          <w:sz w:val="28"/>
          <w:szCs w:val="28"/>
          <w:rtl w:val="true"/>
          <w:lang w:bidi="fa-IR"/>
        </w:rPr>
        <w:t>و دیگران، معتقد به این دیدگاه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روایت زراره از امام صادق علیه السلام است که در بیان دیدگاه اوّل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استحباب پرداخت زکات هر چند در روایات و نیز عبارات فقها، به اموال کودک نسبت داده شده است، لیکن مکلّف به انجام این حکم، ولی کودک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ملاک استحباب در اموال کودک است، امّا ولی او به نیابت از وی باید این حکم را امتثال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دیگر موارد، این چنین است، زیرا ولی کودک، ولایت تصرّف در اموال او را داراست و نمیتواند خودش مستقلاً بدون اجازه در اموال خویش دخل و تصرّف نماید</w:t>
      </w:r>
      <w:r>
        <w:rPr>
          <w:rFonts w:eastAsia="IRNazanin" w:cs="IRNazanin"/>
          <w:color w:val="111111"/>
          <w:sz w:val="28"/>
          <w:szCs w:val="28"/>
          <w:rtl w:val="true"/>
          <w:lang w:bidi="fa-IR"/>
        </w:rPr>
        <w:t>.</w:t>
      </w:r>
      <w:r>
        <w:rPr>
          <w:rStyle w:val="FootnoteAnchor"/>
          <w:rtl w:val="true"/>
        </w:rPr>
        <w:footnoteReference w:id="657"/>
      </w:r>
    </w:p>
    <w:p>
      <w:pPr>
        <w:pStyle w:val="Heading4"/>
        <w:numPr>
          <w:ilvl w:val="3"/>
          <w:numId w:val="1"/>
        </w:numPr>
        <w:rPr/>
      </w:pPr>
      <w:bookmarkStart w:id="330" w:name="__RefHeading___Toc1259554_1468164448"/>
      <w:bookmarkStart w:id="331" w:name="_Toc122"/>
      <w:bookmarkEnd w:id="330"/>
      <w:r>
        <w:rPr/>
        <w:t>6</w:t>
      </w:r>
      <w:r>
        <w:rPr>
          <w:rtl w:val="true"/>
        </w:rPr>
        <w:t xml:space="preserve">- </w:t>
      </w:r>
      <w:r>
        <w:rPr>
          <w:rtl w:val="true"/>
        </w:rPr>
        <w:t>عدم وجوب زکات فطره بر کودک</w:t>
      </w:r>
      <w:bookmarkEnd w:id="331"/>
    </w:p>
    <w:p>
      <w:pPr>
        <w:pStyle w:val="BookText"/>
        <w:rPr/>
      </w:pPr>
      <w:r>
        <w:rPr>
          <w:rFonts w:ascii="IRNazanin" w:hAnsi="IRNazanin" w:eastAsia="IRNazanin"/>
          <w:color w:val="111111"/>
          <w:sz w:val="28"/>
          <w:sz w:val="28"/>
          <w:szCs w:val="28"/>
          <w:rtl w:val="true"/>
          <w:lang w:bidi="fa-IR"/>
        </w:rPr>
        <w:t xml:space="preserve">به اتفاق فقها، زکات بدن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بر کودک واجب نیست، اعمّ از این‌که ثروتمند باشد و یا فقیر، پدر وی زنده باشد یا مرده باشد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وجوب زکات فطره، بلوغ شرط است، بنابراین بر کودک قبل از بلوغ واجب نیست، ثروتمند باشد یا فقیر و به اجماع فقها بر پدر کودک واجب است</w:t>
      </w:r>
      <w:r>
        <w:rPr>
          <w:rFonts w:eastAsia="IRNazanin" w:cs="IRNazanin"/>
          <w:color w:val="111111"/>
          <w:sz w:val="28"/>
          <w:szCs w:val="28"/>
          <w:rtl w:val="true"/>
          <w:lang w:bidi="fa-IR"/>
        </w:rPr>
        <w:t>».</w:t>
      </w:r>
      <w:r>
        <w:rPr>
          <w:rStyle w:val="FootnoteAnchor"/>
          <w:rtl w:val="true"/>
        </w:rPr>
        <w:footnoteReference w:id="659"/>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حکم، علاوه بر اجماع</w:t>
      </w:r>
      <w:r>
        <w:rPr>
          <w:rStyle w:val="FootnoteAnchor"/>
          <w:rtl w:val="true"/>
        </w:rPr>
        <w:footnoteReference w:id="660"/>
      </w:r>
      <w:r>
        <w:rPr>
          <w:rFonts w:ascii="IRNazanin" w:hAnsi="IRNazanin" w:eastAsia="IRNazanin"/>
          <w:color w:val="111111"/>
          <w:sz w:val="28"/>
          <w:sz w:val="28"/>
          <w:szCs w:val="28"/>
          <w:rtl w:val="true"/>
          <w:lang w:bidi="fa-IR"/>
        </w:rPr>
        <w:t>و اصل</w:t>
      </w:r>
      <w:r>
        <w:rPr>
          <w:rStyle w:val="FootnoteAnchor"/>
          <w:rtl w:val="true"/>
        </w:rPr>
        <w:footnoteReference w:id="661"/>
      </w:r>
      <w:r>
        <w:rPr>
          <w:rFonts w:ascii="IRNazanin" w:hAnsi="IRNazanin" w:eastAsia="IRNazanin"/>
          <w:color w:val="111111"/>
          <w:sz w:val="28"/>
          <w:sz w:val="28"/>
          <w:szCs w:val="28"/>
          <w:rtl w:val="true"/>
          <w:lang w:bidi="fa-IR"/>
        </w:rPr>
        <w:t>و حدیث رفع، بعضی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به امام هشتم علی بن موسی الرضا علیه السلام نوشتم، آیا باید وصی میت از مال ایتام در صورتیکه صاحب اموال باشند، از جانب آنها زکات فطره پرداخت نماید؟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فطره بر یتیم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فَکَتَبَعلیه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زَکاةَ عَلی یَتِیمٍ</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و دیگر روایات</w:t>
      </w:r>
      <w:r>
        <w:rPr>
          <w:rFonts w:eastAsia="IRNazanin" w:cs="IRNazanin"/>
          <w:color w:val="111111"/>
          <w:sz w:val="28"/>
          <w:szCs w:val="28"/>
          <w:rtl w:val="true"/>
          <w:lang w:bidi="fa-IR"/>
        </w:rPr>
        <w:t>.</w:t>
      </w:r>
      <w:r>
        <w:rPr>
          <w:rStyle w:val="FootnoteAnchor"/>
          <w:rtl w:val="true"/>
        </w:rPr>
        <w:footnoteReference w:id="663"/>
      </w:r>
      <w:bookmarkStart w:id="332" w:name="pg13713_164451"/>
    </w:p>
    <w:p>
      <w:pPr>
        <w:pStyle w:val="Heading3"/>
        <w:numPr>
          <w:ilvl w:val="2"/>
          <w:numId w:val="1"/>
        </w:numPr>
        <w:rPr/>
      </w:pPr>
      <w:bookmarkStart w:id="333" w:name="__RefHeading___Toc1259556_1468164448"/>
      <w:bookmarkStart w:id="334" w:name="_Toc123"/>
      <w:bookmarkEnd w:id="332"/>
      <w:bookmarkEnd w:id="333"/>
      <w:r>
        <w:rPr>
          <w:rtl w:val="true"/>
        </w:rPr>
        <w:t>گفتار پنجم</w:t>
      </w:r>
      <w:r>
        <w:rPr>
          <w:rtl w:val="true"/>
        </w:rPr>
        <w:t xml:space="preserve">: </w:t>
      </w:r>
      <w:r>
        <w:rPr>
          <w:rtl w:val="true"/>
        </w:rPr>
        <w:t>خمس اموال کودک</w:t>
      </w:r>
      <w:bookmarkEnd w:id="334"/>
    </w:p>
    <w:p>
      <w:pPr>
        <w:pStyle w:val="Heading4"/>
        <w:numPr>
          <w:ilvl w:val="3"/>
          <w:numId w:val="1"/>
        </w:numPr>
        <w:rPr/>
      </w:pPr>
      <w:bookmarkStart w:id="335" w:name="__RefHeading___Toc1259558_1468164448"/>
      <w:bookmarkStart w:id="336" w:name="_Toc124"/>
      <w:bookmarkEnd w:id="335"/>
      <w:r>
        <w:rPr/>
        <w:t>1</w:t>
      </w:r>
      <w:r>
        <w:rPr>
          <w:rtl w:val="true"/>
        </w:rPr>
        <w:t xml:space="preserve">- </w:t>
      </w:r>
      <w:r>
        <w:rPr>
          <w:rtl w:val="true"/>
        </w:rPr>
        <w:t>بیان مسأله</w:t>
      </w:r>
      <w:bookmarkEnd w:id="336"/>
    </w:p>
    <w:p>
      <w:pPr>
        <w:pStyle w:val="BookText"/>
        <w:rPr/>
      </w:pPr>
      <w:r>
        <w:rPr>
          <w:rFonts w:ascii="IRNazanin" w:hAnsi="IRNazanin" w:eastAsia="IRNazanin"/>
          <w:color w:val="111111"/>
          <w:sz w:val="28"/>
          <w:sz w:val="28"/>
          <w:szCs w:val="28"/>
          <w:rtl w:val="true"/>
          <w:lang w:bidi="fa-IR"/>
        </w:rPr>
        <w:t xml:space="preserve">در اصطلاح فقهی مقصود از خمس، حق مالی است که خداوند متعال آن را به جهت احترام و اکرام پیامبر اعظم صلی الله علیه و آله و اولاد و ذریّه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زکات که برای غیر سادات معیّن شده به آنان اختصاص داده، و دلیل آن، کتاب خدا و سنّت پیامبر صلی الله علیه و آله و اهل‌بیت آن حضرت و اجماع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جز او معبودی نیست، چون صدقه را بر ما حرام فرموده، به جای آن، خمس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إِلهَ إِلا هُوَ لَمّا حَرَّمَ عَلَیْنا الصَّدقَةَ، أَنْزَلَ لَنَا الْخُمْسَ</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هم‌چنین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متعلّق خمس قرار گرفته، هیچ‌کس حق ندارد آن را بخَرد، مگر این‌که حق ما را به ما برساند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5"/>
      </w:r>
      <w:r>
        <w:rPr>
          <w:rFonts w:ascii="IRNazanin" w:hAnsi="IRNazanin" w:eastAsia="IRNazanin"/>
          <w:color w:val="111111"/>
          <w:sz w:val="28"/>
          <w:sz w:val="28"/>
          <w:szCs w:val="28"/>
          <w:rtl w:val="true"/>
          <w:lang w:bidi="fa-IR"/>
        </w:rPr>
        <w:t>فقهای امامیّه خمس را در هفت چیز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غنایم دار الحرب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جواهراتی که از دریاها با غوّاصی به‌دست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منفعت کسب که از مخارج سالیانه اضافه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 زمین به وسیلة ذمّی از مسلمان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حلال مخلوط با حرام</w:t>
      </w:r>
      <w:r>
        <w:rPr>
          <w:rFonts w:eastAsia="IRNazanin" w:cs="IRNazanin"/>
          <w:color w:val="111111"/>
          <w:sz w:val="28"/>
          <w:szCs w:val="28"/>
          <w:rtl w:val="true"/>
          <w:lang w:bidi="fa-IR"/>
        </w:rPr>
        <w:t>.</w:t>
      </w:r>
      <w:r>
        <w:rPr>
          <w:rStyle w:val="FootnoteAnchor"/>
          <w:rtl w:val="true"/>
        </w:rPr>
        <w:footnoteReference w:id="666"/>
      </w:r>
      <w:bookmarkStart w:id="337" w:name="pg13713_164452"/>
    </w:p>
    <w:p>
      <w:pPr>
        <w:pStyle w:val="BookText"/>
        <w:rPr/>
      </w:pPr>
      <w:bookmarkEnd w:id="337"/>
      <w:r>
        <w:rPr>
          <w:rFonts w:ascii="IRNazanin" w:hAnsi="IRNazanin" w:eastAsia="IRNazanin"/>
          <w:color w:val="111111"/>
          <w:sz w:val="28"/>
          <w:sz w:val="28"/>
          <w:szCs w:val="28"/>
          <w:rtl w:val="true"/>
          <w:lang w:bidi="fa-IR"/>
        </w:rPr>
        <w:t>بیتردید، پرداخت خمس بر مکلّفین واجب است، بلکه می‌توان گفت که فریضه خمس از ضروریّاتی است که اگر کسی آن را انکار نماید از زمره مسلمین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پرداخت خمس بر کودک هم واجب است یا خیر؟ و آیا در مورد هفت چیزی که متعلّق خمس قرار میگیرد، نسبت به کودک فرق است؟ و با فرض این‌که خمس بر کودک واجب شود، آیا باید ولی او از اموال وی بپردازد یا این‌که بعد از بلوغ، خودش ادا نماید؟ در ادامه در مورد این پرسش‌ها تحقیق خواهد شد</w:t>
      </w:r>
      <w:r>
        <w:rPr>
          <w:rFonts w:eastAsia="IRNazanin" w:cs="IRNazanin"/>
          <w:color w:val="111111"/>
          <w:sz w:val="28"/>
          <w:szCs w:val="28"/>
          <w:rtl w:val="true"/>
          <w:lang w:bidi="fa-IR"/>
        </w:rPr>
        <w:t>.</w:t>
      </w:r>
    </w:p>
    <w:p>
      <w:pPr>
        <w:pStyle w:val="Heading4"/>
        <w:numPr>
          <w:ilvl w:val="3"/>
          <w:numId w:val="1"/>
        </w:numPr>
        <w:rPr/>
      </w:pPr>
      <w:bookmarkStart w:id="338" w:name="__RefHeading___Toc1259560_1468164448"/>
      <w:bookmarkStart w:id="339" w:name="_Toc125"/>
      <w:bookmarkEnd w:id="338"/>
      <w:r>
        <w:rPr/>
        <w:t>2</w:t>
      </w:r>
      <w:r>
        <w:rPr>
          <w:rtl w:val="true"/>
        </w:rPr>
        <w:t xml:space="preserve">- </w:t>
      </w:r>
      <w:r>
        <w:rPr>
          <w:rtl w:val="true"/>
        </w:rPr>
        <w:t>شرط نبودن بلوغ در برخی از موارد خمس</w:t>
      </w:r>
      <w:bookmarkEnd w:id="339"/>
    </w:p>
    <w:p>
      <w:pPr>
        <w:pStyle w:val="BookText"/>
        <w:rPr/>
      </w:pPr>
      <w:r>
        <w:rPr>
          <w:rFonts w:ascii="IRNazanin" w:hAnsi="IRNazanin" w:eastAsia="IRNazanin"/>
          <w:color w:val="111111"/>
          <w:sz w:val="28"/>
          <w:sz w:val="28"/>
          <w:szCs w:val="28"/>
          <w:rtl w:val="true"/>
          <w:lang w:bidi="fa-IR"/>
        </w:rPr>
        <w:t>برخی از فقیهان بر این باورند که در تعلّق خمس به معدن، گنج و آن‌چه با غوّاصی از دریا خارج میشود، بلوغ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گنج واجب است، یابنده آن آزاد باشد یا عبد، کودک باشد یا بزرگ، خمس معادن و غوّاصی نیز این‌گونه میباشد</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شبیه این مضمون در عبارات برخی دیگر از فقها نیز دیده میشود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بعضی از آنها، دو مورد دیگر را نیز اضافه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کاظم یزدی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در تعلّق خمس به گنج، معدن، غوّاصی، مال حلال مخلوط به حرام و زمینی که ذمّی از مسلمان میخرد، تکلیف شرط نیست، بنابراین به آنها خمس تعلّق می‌گیرد، هر چند مالک آن، کودک باشد</w:t>
      </w:r>
      <w:r>
        <w:rPr>
          <w:rFonts w:eastAsia="IRNazanin" w:cs="IRNazanin"/>
          <w:color w:val="111111"/>
          <w:sz w:val="28"/>
          <w:szCs w:val="28"/>
          <w:rtl w:val="true"/>
          <w:lang w:bidi="fa-IR"/>
        </w:rPr>
        <w:t>».</w:t>
      </w:r>
      <w:r>
        <w:rPr>
          <w:rStyle w:val="FootnoteAnchor"/>
          <w:rtl w:val="true"/>
        </w:rPr>
        <w:footnoteReference w:id="669"/>
      </w:r>
    </w:p>
    <w:p>
      <w:pPr>
        <w:pStyle w:val="Heading4"/>
        <w:numPr>
          <w:ilvl w:val="3"/>
          <w:numId w:val="1"/>
        </w:numPr>
        <w:rPr/>
      </w:pPr>
      <w:bookmarkStart w:id="340" w:name="__RefHeading___Toc1259562_1468164448"/>
      <w:bookmarkStart w:id="341" w:name="_Toc126"/>
      <w:bookmarkEnd w:id="340"/>
      <w:r>
        <w:rPr/>
        <w:t>3</w:t>
      </w:r>
      <w:r>
        <w:rPr>
          <w:rtl w:val="true"/>
        </w:rPr>
        <w:t xml:space="preserve">- </w:t>
      </w:r>
      <w:r>
        <w:rPr>
          <w:rtl w:val="true"/>
        </w:rPr>
        <w:t>ادلّه تعلّق خمس به بعضی از اموال کودک</w:t>
      </w:r>
      <w:bookmarkEnd w:id="341"/>
    </w:p>
    <w:p>
      <w:pPr>
        <w:pStyle w:val="BookText"/>
        <w:rPr/>
      </w:pPr>
      <w:r>
        <w:rPr>
          <w:rFonts w:ascii="IRNazanin" w:hAnsi="IRNazanin" w:eastAsia="IRNazanin"/>
          <w:color w:val="111111"/>
          <w:sz w:val="28"/>
          <w:sz w:val="28"/>
          <w:szCs w:val="28"/>
          <w:rtl w:val="true"/>
          <w:lang w:bidi="fa-IR"/>
        </w:rPr>
        <w:t>اگر کودک، مالکِ معدن، گنج و جواهراتی که از دریا به وسیلة غوّاصی بیرون آورده میشود، شد، خمس بر او واجب میشود، برای اثبات این حکم به این ادله استناد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قرآن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هرگونه غنیمتی نصیب شما میشود، یک پنجم آن، از آن خدا و پیامبر و ذیالقربی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 وَ لِلرَّسُولِ وَ لِذِی الْقُرْبی</w:t>
      </w:r>
      <w:r>
        <w:rPr>
          <w:rFonts w:eastAsia="IRNazanin" w:cs="IRNazanin"/>
          <w:color w:val="111111"/>
          <w:sz w:val="28"/>
          <w:szCs w:val="28"/>
          <w:rtl w:val="true"/>
          <w:lang w:bidi="fa-IR"/>
        </w:rPr>
        <w:t>...)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در ریشه معنی لغوی غنیمت، عنوان جنگ و آن‌چه از دشمن به دست میآید نیامده‌است، از این رو هر درآمدی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لسان العرب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یعنی دسترسی یافتن به چیزی بدون مشقّت، و غنم و غنیمت و مغنم به معنی فییء است</w:t>
      </w:r>
      <w:r>
        <w:rPr>
          <w:rFonts w:eastAsia="IRNazanin" w:cs="IRNazanin"/>
          <w:color w:val="111111"/>
          <w:sz w:val="28"/>
          <w:szCs w:val="28"/>
          <w:rtl w:val="true"/>
          <w:lang w:bidi="fa-IR"/>
        </w:rPr>
        <w:t xml:space="preserve">»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 را نیز به معنی چیزهایی که بدون زحمت به انسان میرسد،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مفردات راغب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 از ریشة غنم به معنی گوسفند گرفته شده و سپس در هر چیزی که انسان از دشمن یا غیر دشمن به دست میآورد، به کار رفته است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بنابراین، از ظاهر آیه استفاده میشود در هر سود و منفعتی که لغتاً یا عرفاً غنیمت محسوب میشود، خمس است و شامل میشود هر سودی که با سعی و کوشش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چون این آیه شریفه مشتمل بر خطاب است، اثبات این‌که حکم آن، شامل کودک نیز میباشد، مشکل است، در نتیجه نمیتواند دلیل تعلّق خمس به اموال کودک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بعضی از روایات، مانند این که عمار 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از معادن و دریا خارج میشود و نیز در غنایم و مال حلال مخلوط به حرام، در صورتیکه صاحبش شناخته نشود همچنین گنج‌ها، خمس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هم‌چنین در روایت موثقه،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را از امام موسی بن جعفر علیه السلام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منفعتی که مردم داشته باشند، کم باشد یا زیاد، خمس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ما أَفادَ النّاسُ مِنْ قَلِیلٍ أَوْ کَثِیرٍ</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اطلاق این اخبار، کودک را نیز شامل میشود، هم‌چنان‌که برخی از فقها در مقام استدلال به آن، تصریح نموده‌اند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در آنها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ظهور در حکم وضعی دارد و این‌که اموال متعلّق خمس، به منزلة اسباب است و بدین جهت بین مکلّف و غیر مکلّف فرقی</w:t>
      </w:r>
      <w:bookmarkStart w:id="342" w:name="pg13713_164454"/>
    </w:p>
    <w:p>
      <w:pPr>
        <w:pStyle w:val="BookText"/>
        <w:rPr/>
      </w:pPr>
      <w:bookmarkEnd w:id="342"/>
      <w:r>
        <w:rPr>
          <w:rFonts w:ascii="IRNazanin" w:hAnsi="IRNazanin" w:eastAsia="IRNazanin"/>
          <w:color w:val="111111"/>
          <w:sz w:val="28"/>
          <w:sz w:val="28"/>
          <w:szCs w:val="28"/>
          <w:rtl w:val="true"/>
          <w:lang w:bidi="fa-IR"/>
        </w:rPr>
        <w:t>نیست،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صحیحه،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فقط در غنایم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الْخُمُسُ إِلاّ فیِ الْغَنائِمِ خاصِّةً</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مقصود از غنایم، هر نوع سودی است که با سعی و کوشش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توضیح این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فوایدی که از کسب و کار برای انسان پیدا میشود، از جمله غنایمی است که خداوند متعال در قرآن آن را ذکر نموده و امام علیه السلام دراین روایت آن را بیان فرموده است</w:t>
      </w:r>
      <w:r>
        <w:rPr>
          <w:rFonts w:eastAsia="IRNazanin" w:cs="IRNazanin"/>
          <w:color w:val="111111"/>
          <w:sz w:val="28"/>
          <w:szCs w:val="28"/>
          <w:rtl w:val="true"/>
          <w:lang w:bidi="fa-IR"/>
        </w:rPr>
        <w:t>».</w:t>
      </w:r>
    </w:p>
    <w:p>
      <w:pPr>
        <w:pStyle w:val="BookText"/>
        <w:rPr/>
      </w:pPr>
      <w:r>
        <w:rPr>
          <w:rStyle w:val="FootnoteAnchor"/>
          <w:rtl w:val="true"/>
        </w:rPr>
        <w:footnoteReference w:id="677"/>
      </w:r>
      <w:r>
        <w:rPr>
          <w:rFonts w:ascii="IRNazanin" w:hAnsi="IRNazanin" w:eastAsia="IRNazanin"/>
          <w:color w:val="111111"/>
          <w:sz w:val="28"/>
          <w:sz w:val="28"/>
          <w:szCs w:val="28"/>
          <w:rtl w:val="true"/>
          <w:lang w:bidi="fa-IR"/>
        </w:rPr>
        <w:t>روایات دیگری هم به همین مضمون وجود دارد</w:t>
      </w:r>
      <w:r>
        <w:rPr>
          <w:rFonts w:eastAsia="IRNazanin" w:cs="IRNazanin"/>
          <w:color w:val="111111"/>
          <w:sz w:val="28"/>
          <w:szCs w:val="28"/>
          <w:rtl w:val="true"/>
          <w:lang w:bidi="fa-IR"/>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خمس را بیان میکند، به عنوان نمونه 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خمس معادن، طلا و نقره و مس و آهن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این‌ها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الْخُمُسُ جَمِیعًا</w:t>
      </w:r>
      <w:r>
        <w:rPr>
          <w:rFonts w:eastAsia="IRNazanin" w:cs="IRNazanin"/>
          <w:color w:val="111111"/>
          <w:sz w:val="28"/>
          <w:szCs w:val="28"/>
          <w:rtl w:val="true"/>
          <w:lang w:bidi="fa-IR"/>
        </w:rPr>
        <w:t>».</w:t>
      </w:r>
      <w:r>
        <w:rPr>
          <w:rStyle w:val="FootnoteAnchor"/>
          <w:rtl w:val="true"/>
        </w:rPr>
        <w:footnoteReference w:id="679"/>
      </w:r>
      <w:r>
        <w:rPr>
          <w:rFonts w:ascii="IRNazanin" w:hAnsi="IRNazanin" w:eastAsia="IRNazanin"/>
          <w:color w:val="111111"/>
          <w:sz w:val="28"/>
          <w:sz w:val="28"/>
          <w:szCs w:val="28"/>
          <w:rtl w:val="true"/>
          <w:lang w:bidi="fa-IR"/>
        </w:rPr>
        <w:t xml:space="preserve">در جای خود تحقیق شده که اگر متعلق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مکلّف قرار گیرد، دلالت بر تکلیف و الزام دارد،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ان 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قیام نمایی، ولی چنان‌چه متعلّق آن، عین خارجی باشد، دلالت بر حکم وضعی مینماید،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بر عهده توست، و مورد روایت این‌چنین است، بنابراین کودک را نیز شامل میگردد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نتیجه این‌که، طبق مفاد این روایات در تعلّق خمس به گنج و معادن و غوّاصی، بلوغ و عقل معتبر نیست</w:t>
      </w:r>
      <w:r>
        <w:rPr>
          <w:rFonts w:eastAsia="IRNazanin" w:cs="IRNazanin"/>
          <w:color w:val="111111"/>
          <w:sz w:val="28"/>
          <w:szCs w:val="28"/>
          <w:rtl w:val="true"/>
          <w:lang w:bidi="fa-IR"/>
        </w:rPr>
        <w:t>.</w:t>
      </w:r>
    </w:p>
    <w:p>
      <w:pPr>
        <w:pStyle w:val="Heading4"/>
        <w:numPr>
          <w:ilvl w:val="3"/>
          <w:numId w:val="1"/>
        </w:numPr>
        <w:rPr/>
      </w:pPr>
      <w:bookmarkStart w:id="343" w:name="__RefHeading___Toc1259564_1468164448"/>
      <w:bookmarkStart w:id="344" w:name="_Toc127"/>
      <w:bookmarkEnd w:id="343"/>
      <w:r>
        <w:rPr/>
        <w:t>4</w:t>
      </w:r>
      <w:r>
        <w:rPr>
          <w:rtl w:val="true"/>
        </w:rPr>
        <w:t xml:space="preserve">- </w:t>
      </w:r>
      <w:r>
        <w:rPr>
          <w:rtl w:val="true"/>
        </w:rPr>
        <w:t>شرط بودن بلوغ در وجوب خمس</w:t>
      </w:r>
      <w:bookmarkEnd w:id="344"/>
    </w:p>
    <w:p>
      <w:pPr>
        <w:pStyle w:val="BookText"/>
        <w:rPr/>
      </w:pPr>
      <w:r>
        <w:rPr>
          <w:rFonts w:ascii="IRNazanin" w:hAnsi="IRNazanin" w:eastAsia="IRNazanin"/>
          <w:color w:val="111111"/>
          <w:sz w:val="28"/>
          <w:sz w:val="28"/>
          <w:szCs w:val="28"/>
          <w:rtl w:val="true"/>
          <w:lang w:bidi="fa-IR"/>
        </w:rPr>
        <w:t>برخی دیگر از فقیهان معتقدند که در وجوب خمس به‌طور مطلق، بلوغ و عقل شرطاست؛</w:t>
      </w:r>
      <w:r>
        <w:rPr>
          <w:rStyle w:val="FootnoteAnchor"/>
          <w:rtl w:val="true"/>
        </w:rPr>
        <w:footnoteReference w:id="681"/>
      </w:r>
      <w:r>
        <w:rPr>
          <w:rFonts w:ascii="IRNazanin" w:hAnsi="IRNazanin" w:eastAsia="IRNazanin"/>
          <w:color w:val="111111"/>
          <w:sz w:val="28"/>
          <w:sz w:val="28"/>
          <w:szCs w:val="28"/>
          <w:rtl w:val="true"/>
          <w:lang w:bidi="fa-IR"/>
        </w:rPr>
        <w:t>خواه متعلّق خمس، گنج و معادن و غوّاصی باشد یا موارد دیگر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خویی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مال کودک و مجنون، خمس واجب نیست، هم‌چنان که زکات نیز واجب نمیباشد و در این مسأله بین گنج و غوّاصی و معدن و غیر این‌ها مانند منافع</w:t>
      </w:r>
    </w:p>
    <w:p>
      <w:pPr>
        <w:pStyle w:val="BookText"/>
        <w:rPr/>
      </w:pPr>
      <w:r>
        <w:rPr>
          <w:rFonts w:ascii="IRNazanin" w:hAnsi="IRNazanin" w:eastAsia="IRNazanin"/>
          <w:color w:val="111111"/>
          <w:sz w:val="28"/>
          <w:sz w:val="28"/>
          <w:szCs w:val="28"/>
          <w:rtl w:val="true"/>
          <w:lang w:bidi="fa-IR"/>
        </w:rPr>
        <w:t>کسب، فرقی نیست، زیرا ملاک در جمیع این امور یکی است، ولی چنان‌چه کودک مالک مال حلال مخلوط به حرام باشد، خمس آن واجب است، چون در این صورت مقداری از مال را مالک نیست و پرداخت خمس، راهی برای پاک و حلال نمودن آن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این عدّه از فقیهان برای اثبات مدّعای خود ادلّه‌ای ذکر نموده‌اند، مانند این‌که گفته‌اند، خمس مانند زکات است و چون زکات در مال کودک واجب نیست، خمس نیز واجب نمیشود، زیرا در بعضی روایات وارد شده، خمس برای سادات به جای زکات است که برای غیر سادات معّین شده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ادلّه دیگری هم ذکر شده که مهم‌ترین آنها استدلال به حدیث معروف رفع قلم است و مفاد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از کودک تا زمانیکه به حدّ بلوغ نرسیده، و از دیوانه تا زمانیکه عاقل نشده و از کسی که خواب است تا زمانی که بیدار نشده، برداشته شده است</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به مقتضای این حدیث شریف، خمس بر کودک واجب نیست، هر چند مفاد آن، حکم وضعی باشد، زیرا رفع قلم، کنایه از این است که حکم اگر موجب مشقت و الزام باشد، برای کودک جعل نشده، اعمّ از این‌که حکم وضعی باشد، یا تکلیفی و بیتردید وجوب خمس در مال کودک موجب نقصان آن میگردد که رفع آن سبب امتنان و به سود وی خواهد بود، بنابراین مال کودک و مجنون متعلّق خمس قرار نمیگیرد و اگر عموم یا اطلاق بعضی از ادلّه بر وجوب خمس بر کودک دلالت داشته باشد، به مقتضای این حدیث، باید از آن رفع ید شود</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لازم به یادآوری است که در مفاد این حدیث شریف، مباحثی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نظریّه را از فقها در معنی حدیث ذکر نمودیم که خلاصه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قلم، کنایه است از رفع تکلیف و قلم تشریع به طور مطلق</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رفع قلم، رفع مؤاخذه میباشد نه رفع جعل حکم</w:t>
      </w:r>
      <w:r>
        <w:rPr>
          <w:rFonts w:eastAsia="IRNazanin" w:cs="IRNazanin"/>
          <w:color w:val="111111"/>
          <w:sz w:val="28"/>
          <w:szCs w:val="28"/>
          <w:rtl w:val="true"/>
          <w:lang w:bidi="fa-IR"/>
        </w:rPr>
        <w:t>.</w:t>
      </w:r>
      <w:bookmarkStart w:id="345" w:name="pg13713_164456"/>
    </w:p>
    <w:p>
      <w:pPr>
        <w:pStyle w:val="BookText"/>
        <w:rPr/>
      </w:pPr>
      <w:bookmarkEnd w:id="34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رفع قلمِ تکلیفِ الزامی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رفع حکم تکلیفی است که موجب مؤاخذه میباشد و نیز احکام وضعی که سبب مؤاخذه و نقصان مال کودک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حدیث رفع قلم، کتابت گناهان از کودک برداشته شده است؛ که نتیجه آن، رفع هرگونه الزام و سختی است، اعمّ از این‌که سبب آن، حکم تکلیفی باشد یا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معانی، پنچ‌گانه در این بخش، به این صورت است که بر طبق معانی چهارگانه اخیر، حدیث رفع با وجوب خمس در اموال کودک، منافات ندارد، زیرا از ادلّه استفاده میشود خمس، حقّ مالی است که به عین مال تعلّق میگیرد، اعمّ از این‌که مالک آن، صغیر باشد یا کبیر، لیکن چنان‌چه مالک، کبیر باشد متصدی پرداخت، خودش میباشد و اگر صغیر باشد، ولی او این مسئولیت را به عهده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طبق معنی اوّل، یعنی رفع قلم تشریع و عدم جعل حکم بر کودک به‌طور مطلق، اعم از وضعی وتکلیفی، وجوب خمس از اموال کودک برداشته شده است</w:t>
      </w:r>
      <w:r>
        <w:rPr>
          <w:rFonts w:eastAsia="IRNazanin" w:cs="IRNazanin"/>
          <w:color w:val="111111"/>
          <w:sz w:val="28"/>
          <w:szCs w:val="28"/>
          <w:rtl w:val="true"/>
          <w:lang w:bidi="fa-IR"/>
        </w:rPr>
        <w:t>.</w:t>
      </w:r>
    </w:p>
    <w:p>
      <w:pPr>
        <w:pStyle w:val="Heading4"/>
        <w:numPr>
          <w:ilvl w:val="3"/>
          <w:numId w:val="1"/>
        </w:numPr>
        <w:rPr/>
      </w:pPr>
      <w:bookmarkStart w:id="346" w:name="__RefHeading___Toc1259566_1468164448"/>
      <w:bookmarkStart w:id="347" w:name="_Toc128"/>
      <w:bookmarkEnd w:id="346"/>
      <w:r>
        <w:rPr/>
        <w:t>5</w:t>
      </w:r>
      <w:r>
        <w:rPr>
          <w:rtl w:val="true"/>
        </w:rPr>
        <w:t xml:space="preserve">- </w:t>
      </w:r>
      <w:r>
        <w:rPr>
          <w:rtl w:val="true"/>
        </w:rPr>
        <w:t>عدم شرط بلوغ در وجوب خمس</w:t>
      </w:r>
      <w:bookmarkEnd w:id="347"/>
    </w:p>
    <w:p>
      <w:pPr>
        <w:pStyle w:val="BookText"/>
        <w:rPr/>
      </w:pPr>
      <w:r>
        <w:rPr>
          <w:rFonts w:ascii="IRNazanin" w:hAnsi="IRNazanin" w:eastAsia="IRNazanin"/>
          <w:color w:val="111111"/>
          <w:sz w:val="28"/>
          <w:sz w:val="28"/>
          <w:szCs w:val="28"/>
          <w:rtl w:val="true"/>
          <w:lang w:bidi="fa-IR"/>
        </w:rPr>
        <w:t>در مقابل نظریّة دوّم، دیدگاه سوّمی مطرح است که در بین فقها مشهور میباشد، بدین بیان که به‌طور مطلق، بلوغ و عقل، شرطِ وجوب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به این دیدگاه تصریح نموده و برخی دیگر هم از اطلاق عبارتشان فهمیده میشود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ادله این دیدگاه عبارت است از</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آیة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ازظاهر آیه استفاده میشود، متعلّق حکم خمس، مالی است که به صورت منفعت و سود نصیب شخص میگردد و شامل صغیر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فقها</w:t>
      </w:r>
      <w:r>
        <w:rPr>
          <w:rStyle w:val="FootnoteAnchor"/>
          <w:rtl w:val="true"/>
        </w:rPr>
        <w:footnoteReference w:id="688"/>
      </w:r>
      <w:r>
        <w:rPr>
          <w:rFonts w:ascii="IRNazanin" w:hAnsi="IRNazanin" w:eastAsia="IRNazanin"/>
          <w:color w:val="111111"/>
          <w:sz w:val="28"/>
          <w:sz w:val="28"/>
          <w:szCs w:val="28"/>
          <w:rtl w:val="true"/>
          <w:lang w:bidi="fa-IR"/>
        </w:rPr>
        <w:t>معتقدند این آیه</w:t>
      </w:r>
    </w:p>
    <w:p>
      <w:pPr>
        <w:pStyle w:val="BookText"/>
        <w:rPr/>
      </w:pPr>
      <w:r>
        <w:rPr>
          <w:rFonts w:ascii="IRNazanin" w:hAnsi="IRNazanin" w:eastAsia="IRNazanin"/>
          <w:color w:val="111111"/>
          <w:sz w:val="28"/>
          <w:sz w:val="28"/>
          <w:szCs w:val="28"/>
          <w:rtl w:val="true"/>
          <w:lang w:bidi="fa-IR"/>
        </w:rPr>
        <w:t>میتواند دلیل وجوب خمس بر کودک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پیش‌تر ذکر نمودیم که استفاده چنین ظهوری از این آیه،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بسیاری که در مورد خمس وارد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روایاتی که در مورد گنج، معدن و غوّاصی وارد شده و پیش‌تر نمونه‌ای از آنها ذکر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روایاتی که خمس را حق امام و سادات میداند،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حلال نیست، مالی که متعلق خمس قرار گرفته، بخرد، مگر این‌که حق ما را به ما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لأَحَدٍ أَنْ یَشْتَرِیَ مِنَ الْخُمُسِ شَیْئاً حَتّی یَصِلُ إِلَیْنا حَقُّنا</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در روایت دیگری، امام کاظم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آیه شریفه قرآن</w:t>
      </w:r>
    </w:p>
    <w:p>
      <w:pPr>
        <w:pStyle w:val="BookText"/>
        <w:rPr/>
      </w:pPr>
      <w:r>
        <w:rPr>
          <w:rStyle w:val="FootnoteAnchor"/>
          <w:rtl w:val="true"/>
        </w:rPr>
        <w:footnoteReference w:id="690"/>
      </w:r>
      <w:r>
        <w:rPr>
          <w:rFonts w:ascii="IRNazanin" w:hAnsi="IRNazanin" w:eastAsia="IRNazanin"/>
          <w:color w:val="111111"/>
          <w:sz w:val="28"/>
          <w:sz w:val="28"/>
          <w:szCs w:val="28"/>
          <w:rtl w:val="true"/>
          <w:lang w:bidi="fa-IR"/>
        </w:rPr>
        <w:t>برای‌خداوند متعال معیّن شده برای رسول اوست وآن‌چه برای رسول او تعیین گردیده، برای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للهِ فَهُوَ لِرَسُولِهِ وَما کانَ لِرَسُولِهِ فَهُوَ لَنا</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این روایت ظهور دارد در این‌که خمس، حق مالی است و حق از احکام وضعی است که شامل کودک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خمس بر کودک ثابت است، هرچند ولی او مکلّف به پرداخت آن میباشد، زیرا خمس، صرف تکلیف وجوبی نیست تا از کودک برداشته شود، بلکه حق است که نسبت به کودک و مجنون نیز ثابت است، مانند دیگر احکام وضعیّه که شامل کودک و مجنون میباشد و در جای خود اثبات گردید، احکام وضعیّه بلکه هر حکم غیر الزامی، اختصاص به افراد بالغ ندارد</w:t>
      </w:r>
      <w:r>
        <w:rPr>
          <w:rFonts w:eastAsia="IRNazanin" w:cs="IRNazanin"/>
          <w:color w:val="111111"/>
          <w:sz w:val="28"/>
          <w:szCs w:val="28"/>
          <w:rtl w:val="true"/>
          <w:lang w:bidi="fa-IR"/>
        </w:rPr>
        <w:t>».</w:t>
      </w:r>
      <w:r>
        <w:rPr>
          <w:rStyle w:val="FootnoteAnchor"/>
          <w:rtl w:val="true"/>
        </w:rPr>
        <w:footnoteReference w:id="69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اطلاق روایاتی که در مورد فواید کسب وارد شده و دلالت دارد آن‌چه از مخارج سالیانه شخص اضافه باشد، مشمول حکم خمس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 غنیمتی نصیب ویگردد یا دارای کسب و کاری باشد که از آن سود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مخارج سال او اضافه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برای</w:t>
      </w:r>
    </w:p>
    <w:p>
      <w:pPr>
        <w:pStyle w:val="BookText"/>
        <w:rPr/>
      </w:pPr>
      <w:r>
        <w:rPr>
          <w:rFonts w:ascii="IRNazanin" w:hAnsi="IRNazanin" w:eastAsia="IRNazanin"/>
          <w:color w:val="111111"/>
          <w:sz w:val="28"/>
          <w:sz w:val="28"/>
          <w:szCs w:val="28"/>
          <w:rtl w:val="true"/>
          <w:lang w:bidi="fa-IR"/>
        </w:rPr>
        <w:t>فاطمه زهراء علیها السلام و اولاد طاهرین بعد از او که حجت خدا بر خلق میباشند، تعیین گردیده تا به هر صورت بخواهند مصرف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امْرِیٍ، غَنِمَ أَوِ اکْتَسَبَ الْخُمُسُ مِمّا أَصابَ لِفاطِمَةَعلیها السلام وَلِمَنْ یَلِی أَمْرَها مِنَ بَعْدِها مِنْ ذُرِّیَتِهَا الْحُجَجِ عَلَی النّاسِ، فَذَاکَ لَهُمَ خاصَّةً یَضَعُونَهُ حَیْثُ شاؤوُا</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ملاحظه میگردد که عموم و اطلاق در این روایات شامل کودک نیز می‌باشد و هم‌چنین روایات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4"/>
      </w:r>
      <w:r>
        <w:rPr>
          <w:rFonts w:ascii="IRNazanin" w:hAnsi="IRNazanin" w:eastAsia="IRNazanin"/>
          <w:color w:val="111111"/>
          <w:sz w:val="28"/>
          <w:sz w:val="28"/>
          <w:szCs w:val="28"/>
          <w:rtl w:val="true"/>
          <w:lang w:bidi="fa-IR"/>
        </w:rPr>
        <w:t>دیگری که در زمینة وجوب خمس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ذکر شد، معلوم گردید دیدگاه سوّم قویتر از سایر دیدگاه‌ها میباشد، بنابراین در وجوب خمس، بلوغ شرط نیست و اموال کودک متعلّق حق خمس قرار میگیرد و بر ولی او واجب است از باب ادای حق آن را پرداخت نماید، چنان‌که مسئولیّت‌ادای دیون دیگر کودک نیز به عهده ولی او میباشد، در عین حال بهتر است احتیاط رعایت گردد</w:t>
      </w:r>
      <w:r>
        <w:rPr>
          <w:rFonts w:eastAsia="IRNazanin" w:cs="IRNazanin"/>
          <w:color w:val="111111"/>
          <w:sz w:val="28"/>
          <w:szCs w:val="28"/>
          <w:rtl w:val="true"/>
          <w:lang w:bidi="fa-IR"/>
        </w:rPr>
        <w:t>.</w:t>
      </w:r>
      <w:bookmarkStart w:id="348" w:name="pg13713_164459"/>
    </w:p>
    <w:p>
      <w:pPr>
        <w:pStyle w:val="Heading3"/>
        <w:numPr>
          <w:ilvl w:val="2"/>
          <w:numId w:val="1"/>
        </w:numPr>
        <w:rPr/>
      </w:pPr>
      <w:bookmarkStart w:id="349" w:name="__RefHeading___Toc1259568_1468164448"/>
      <w:bookmarkStart w:id="350" w:name="_Toc129"/>
      <w:bookmarkEnd w:id="348"/>
      <w:bookmarkEnd w:id="349"/>
      <w:r>
        <w:rPr>
          <w:rtl w:val="true"/>
        </w:rPr>
        <w:t>گفتار ششم</w:t>
      </w:r>
      <w:r>
        <w:rPr>
          <w:rtl w:val="true"/>
        </w:rPr>
        <w:t xml:space="preserve">: </w:t>
      </w:r>
      <w:r>
        <w:rPr>
          <w:rtl w:val="true"/>
        </w:rPr>
        <w:t>حج کودک</w:t>
      </w:r>
      <w:bookmarkEnd w:id="350"/>
    </w:p>
    <w:p>
      <w:pPr>
        <w:pStyle w:val="Heading4"/>
        <w:numPr>
          <w:ilvl w:val="3"/>
          <w:numId w:val="1"/>
        </w:numPr>
        <w:rPr/>
      </w:pPr>
      <w:bookmarkStart w:id="351" w:name="__RefHeading___Toc1259570_1468164448"/>
      <w:bookmarkStart w:id="352" w:name="_Toc130"/>
      <w:bookmarkEnd w:id="351"/>
      <w:r>
        <w:rPr/>
        <w:t>1</w:t>
      </w:r>
      <w:r>
        <w:rPr>
          <w:rtl w:val="true"/>
        </w:rPr>
        <w:t xml:space="preserve">- </w:t>
      </w:r>
      <w:r>
        <w:rPr>
          <w:rtl w:val="true"/>
        </w:rPr>
        <w:t>مفهوم حج و اهمّیت آن</w:t>
      </w:r>
      <w:bookmarkEnd w:id="352"/>
    </w:p>
    <w:p>
      <w:pPr>
        <w:pStyle w:val="BookText"/>
        <w:rPr/>
      </w:pPr>
      <w:r>
        <w:rPr>
          <w:rFonts w:ascii="IRNazanin" w:hAnsi="IRNazanin" w:eastAsia="IRNazanin"/>
          <w:color w:val="111111"/>
          <w:sz w:val="28"/>
          <w:sz w:val="28"/>
          <w:szCs w:val="28"/>
          <w:rtl w:val="true"/>
          <w:lang w:bidi="fa-IR"/>
        </w:rPr>
        <w:t>حج در لغت به معنی قصد است</w:t>
      </w:r>
      <w:r>
        <w:rPr>
          <w:rStyle w:val="FootnoteAnchor"/>
          <w:rtl w:val="true"/>
        </w:rPr>
        <w:footnoteReference w:id="695"/>
      </w:r>
      <w:r>
        <w:rPr>
          <w:rFonts w:ascii="IRNazanin" w:hAnsi="IRNazanin" w:eastAsia="IRNazanin"/>
          <w:color w:val="111111"/>
          <w:sz w:val="28"/>
          <w:sz w:val="28"/>
          <w:szCs w:val="28"/>
          <w:rtl w:val="true"/>
          <w:lang w:bidi="fa-IR"/>
        </w:rPr>
        <w:t>و در اصطلاح فقهی، قصد بیت‌الله الحرام برای انجام مناسک و عبادات مخصوص در زمان معیّن</w:t>
      </w:r>
      <w:r>
        <w:rPr>
          <w:rStyle w:val="FootnoteAnchor"/>
          <w:rtl w:val="true"/>
        </w:rPr>
        <w:footnoteReference w:id="696"/>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اسم مجموع مناسکی است که در مشاعر مخصوص انجام میگردد</w:t>
      </w:r>
      <w:r>
        <w:rPr>
          <w:rFonts w:eastAsia="IRNazanin" w:cs="IRNazanin"/>
          <w:color w:val="111111"/>
          <w:sz w:val="28"/>
          <w:szCs w:val="28"/>
          <w:rtl w:val="true"/>
          <w:lang w:bidi="fa-IR"/>
        </w:rPr>
        <w:t>.</w:t>
      </w:r>
      <w:r>
        <w:rPr>
          <w:rStyle w:val="FootnoteAnchor"/>
          <w:rtl w:val="true"/>
        </w:rPr>
        <w:footnoteReference w:id="69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بزرگترین شعائر اسلامی است و از بهترین عبادت‌هایی است که بنده را به خالق خود نزدیک میسازد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در روایات وارده شده که حج از نماز و روزه بهتر است؛ زیرانمازگزار ساعتی از اهل و عیال خویش دور میگردد و روزه‌دار یک روز، ولی انجام دهنده حج، بدن خود را به زحمت میاندازد و مال خود را مصرف مینماید و دوری او از اهل و عیالش به طول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 افْضَلُ مِنَ الصَّلاةِ وَالصِّیامِ، لاَنَّ الْمُصَلِّیَ انَّما یَشْتَغِلُ عَنْ أَهْلِهِ ساَعةً وَاَنَّ الصّائِمَ یَشْتَغِلُ عَنْ أَهْلِهِ بَیاضَ یَوْمٍ وَاَنَّ الْحاجَّ یُشْخِصُ بَدَنَهُ وَ یُضْحِی نَفْسَهُ وَیُنْفِقُ مالَهُ وَیُطِیُل الْغَیْبَةَ عَنْ أَهْلِهِ</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در روایت دیگری آمده است که چیزی برتر از حج نیست، مگر نماز و در حج، نماز نیز وجود دارد</w:t>
      </w:r>
      <w:r>
        <w:rPr>
          <w:rFonts w:eastAsia="IRNazanin" w:cs="IRNazanin"/>
          <w:color w:val="111111"/>
          <w:sz w:val="28"/>
          <w:szCs w:val="28"/>
          <w:rtl w:val="true"/>
          <w:lang w:bidi="fa-IR"/>
        </w:rPr>
        <w:t>.</w:t>
      </w:r>
      <w:r>
        <w:rPr>
          <w:rStyle w:val="FootnoteAnchor"/>
          <w:rtl w:val="true"/>
        </w:rPr>
        <w:footnoteReference w:id="700"/>
      </w:r>
      <w:bookmarkStart w:id="353" w:name="pg13713_164460"/>
    </w:p>
    <w:p>
      <w:pPr>
        <w:pStyle w:val="Heading4"/>
        <w:numPr>
          <w:ilvl w:val="3"/>
          <w:numId w:val="1"/>
        </w:numPr>
        <w:rPr/>
      </w:pPr>
      <w:bookmarkStart w:id="354" w:name="__RefHeading___Toc1259572_1468164448"/>
      <w:bookmarkStart w:id="355" w:name="_Toc131"/>
      <w:bookmarkEnd w:id="353"/>
      <w:bookmarkEnd w:id="354"/>
      <w:r>
        <w:rPr/>
        <w:t>2</w:t>
      </w:r>
      <w:r>
        <w:rPr>
          <w:rtl w:val="true"/>
        </w:rPr>
        <w:t xml:space="preserve">- </w:t>
      </w:r>
      <w:r>
        <w:rPr>
          <w:rtl w:val="true"/>
        </w:rPr>
        <w:t>عدم وجوب حج بر کودک</w:t>
      </w:r>
      <w:bookmarkEnd w:id="355"/>
    </w:p>
    <w:p>
      <w:pPr>
        <w:pStyle w:val="BookText"/>
        <w:rPr/>
      </w:pPr>
      <w:r>
        <w:rPr>
          <w:rFonts w:ascii="IRNazanin" w:hAnsi="IRNazanin" w:eastAsia="IRNazanin"/>
          <w:color w:val="111111"/>
          <w:sz w:val="28"/>
          <w:sz w:val="28"/>
          <w:szCs w:val="28"/>
          <w:rtl w:val="true"/>
          <w:lang w:bidi="fa-IR"/>
        </w:rPr>
        <w:t>دلیل بر حج، آیاتی از قرآن و سنت پیغمبر اکرم صلی الله علیه و آله و ائمّه معصومین علیهم السلام و اجماع‌فقها است، بلکه حج از ضروریّات دین</w:t>
      </w:r>
      <w:r>
        <w:rPr>
          <w:rStyle w:val="FootnoteAnchor"/>
          <w:rtl w:val="true"/>
        </w:rPr>
        <w:footnoteReference w:id="701"/>
      </w:r>
      <w:r>
        <w:rPr>
          <w:rFonts w:ascii="IRNazanin" w:hAnsi="IRNazanin" w:eastAsia="IRNazanin"/>
          <w:color w:val="111111"/>
          <w:sz w:val="28"/>
          <w:sz w:val="28"/>
          <w:szCs w:val="28"/>
          <w:rtl w:val="true"/>
          <w:lang w:bidi="fa-IR"/>
        </w:rPr>
        <w:t xml:space="preserve">است و بر هر مسلمانی که شرایط آن را داشته باشد در تمام عمر، یک بار واجب میشود و از جمله شرایط آن بلوغ است، بدین‌جهت به اتّفاق فقها بر کودک، هر چند ممیّزِ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دیگر شرایط وجوب را هم دارا باشد، واجب نیست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ادلّه این حکم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با مضامین مختلف در حدّ استفاضه، بلکه تواتر معنوی بر این حکم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میتوان به چند دسته تقسیم نمود،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شرط تکلیف را بلوغ میداند</w:t>
      </w:r>
      <w:r>
        <w:rPr>
          <w:rFonts w:eastAsia="IRNazanin" w:cs="IRNazanin"/>
          <w:color w:val="111111"/>
          <w:sz w:val="28"/>
          <w:szCs w:val="28"/>
          <w:rtl w:val="true"/>
          <w:lang w:bidi="fa-IR"/>
        </w:rPr>
        <w:t>.</w:t>
      </w:r>
      <w:r>
        <w:rPr>
          <w:rStyle w:val="FootnoteAnchor"/>
          <w:rtl w:val="true"/>
        </w:rPr>
        <w:footnoteReference w:id="70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دلالت دارند بر حج کودک، حجة الاسلام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صدق‌نمیکند</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به عنوان نمونه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 ده بار حج انجام دهد، سپس به حدّ بلوغ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دیگر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 واجب را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لَوْاَنَّ غُلاماً حَجَّ عَشَرَ حِجَجْ ثُمَّ احْتَلِمَ کانَتْ عَلَیْهِ فَریِضَةُ الاِسْلامِ</w:t>
      </w:r>
      <w:r>
        <w:rPr>
          <w:rFonts w:eastAsia="IRNazanin" w:cs="IRNazanin"/>
          <w:color w:val="111111"/>
          <w:sz w:val="28"/>
          <w:szCs w:val="28"/>
          <w:rtl w:val="true"/>
          <w:lang w:bidi="fa-IR"/>
        </w:rPr>
        <w:t>».</w:t>
      </w:r>
      <w:r>
        <w:rPr>
          <w:rStyle w:val="FootnoteAnchor"/>
          <w:rtl w:val="true"/>
        </w:rPr>
        <w:footnoteReference w:id="707"/>
      </w:r>
      <w:bookmarkStart w:id="356" w:name="pg13713_164461"/>
    </w:p>
    <w:p>
      <w:pPr>
        <w:pStyle w:val="BookText"/>
        <w:rPr/>
      </w:pPr>
      <w:bookmarkEnd w:id="356"/>
      <w:r>
        <w:rPr>
          <w:rFonts w:ascii="IRNazanin" w:hAnsi="IRNazanin" w:eastAsia="IRNazanin"/>
          <w:color w:val="111111"/>
          <w:sz w:val="28"/>
          <w:sz w:val="28"/>
          <w:szCs w:val="28"/>
          <w:rtl w:val="true"/>
          <w:lang w:bidi="fa-IR"/>
        </w:rPr>
        <w:t>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دلیل است بر این‌که بر حج کودک، حجة الاسلام صدق نمیکند و حج واجب محسوب نمیگردد، هرچند تمام شرایط لازم دیگر را غیر از بلوغ داشته باشد</w:t>
      </w:r>
      <w:r>
        <w:rPr>
          <w:rFonts w:eastAsia="IRNazanin" w:cs="IRNazanin"/>
          <w:color w:val="111111"/>
          <w:sz w:val="28"/>
          <w:szCs w:val="28"/>
          <w:rtl w:val="true"/>
          <w:lang w:bidi="fa-IR"/>
        </w:rPr>
        <w:t>».</w:t>
      </w:r>
    </w:p>
    <w:p>
      <w:pPr>
        <w:pStyle w:val="BookText"/>
        <w:rPr/>
      </w:pPr>
      <w:r>
        <w:rPr>
          <w:rStyle w:val="FootnoteAnchor"/>
          <w:rtl w:val="true"/>
        </w:rPr>
        <w:footnoteReference w:id="708"/>
      </w:r>
    </w:p>
    <w:p>
      <w:pPr>
        <w:pStyle w:val="Heading4"/>
        <w:numPr>
          <w:ilvl w:val="3"/>
          <w:numId w:val="1"/>
        </w:numPr>
        <w:rPr/>
      </w:pPr>
      <w:bookmarkStart w:id="357" w:name="__RefHeading___Toc1259574_1468164448"/>
      <w:bookmarkStart w:id="358" w:name="_Toc132"/>
      <w:bookmarkEnd w:id="357"/>
      <w:r>
        <w:rPr/>
        <w:t>3</w:t>
      </w:r>
      <w:r>
        <w:rPr>
          <w:rtl w:val="true"/>
        </w:rPr>
        <w:t xml:space="preserve">- </w:t>
      </w:r>
      <w:r>
        <w:rPr>
          <w:rtl w:val="true"/>
        </w:rPr>
        <w:t>مشروعیّت حج کودک</w:t>
      </w:r>
      <w:bookmarkEnd w:id="358"/>
    </w:p>
    <w:p>
      <w:pPr>
        <w:pStyle w:val="BookText"/>
        <w:rPr/>
      </w:pPr>
      <w:r>
        <w:rPr>
          <w:rFonts w:ascii="IRNazanin" w:hAnsi="IRNazanin" w:eastAsia="IRNazanin"/>
          <w:color w:val="111111"/>
          <w:sz w:val="28"/>
          <w:sz w:val="28"/>
          <w:szCs w:val="28"/>
          <w:rtl w:val="true"/>
          <w:lang w:bidi="fa-IR"/>
        </w:rPr>
        <w:t>از آن‌چه گذشت معلوم شد، حج بر کودک واجب نیست، هم‌چنین به سبب نذر و عهد و قسم نیز واجب نمیشود، زیرا به اجماع فقها یکی از شرایط صحّت نذر و عهد و قسم بلوغ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پرسشی که مطرح است این است که آیا حج استحبابی در حق کودک جعل شده؟ و اگر به جای آورد، صحیح است و مستحق اجر و پاداش برای خود و والدین خویش میباشد؟ و اگر حج وی صحیح است، چنان‌چه مُحرم شد و یا ولی، او را مُحرم نمود، باید خودش محرّمات احرام را ترک نماید؟ و یا بر ولی واجب است او را از ارتکاب آنها منع نماید؟ و اگر مرتکب محرّمات احرام شد، کفّاره بر او واجب است، یا خیر؟ و در صورت اوّل، مسئول پرداخت آن کیست؟ ولی یا خودش بعد از بلوغ؟ و در صورتیکه پرداخت کفّاره بر ولی واجب است، باید از اموال خودش بپردازد یا از اموال کودک؟</w:t>
      </w:r>
    </w:p>
    <w:p>
      <w:pPr>
        <w:pStyle w:val="BookText"/>
        <w:rPr/>
      </w:pPr>
      <w:r>
        <w:rPr>
          <w:rFonts w:ascii="IRNazanin" w:hAnsi="IRNazanin" w:eastAsia="IRNazanin"/>
          <w:color w:val="111111"/>
          <w:sz w:val="28"/>
          <w:sz w:val="28"/>
          <w:szCs w:val="28"/>
          <w:rtl w:val="true"/>
          <w:lang w:bidi="fa-IR"/>
        </w:rPr>
        <w:t>در ادامه با اختصار به تحقیق در مورد این پرسش‌ها و پرسش‌هایی از این قبیل میپردازیم</w:t>
      </w:r>
      <w:r>
        <w:rPr>
          <w:rFonts w:eastAsia="IRNazanin" w:cs="IRNazanin"/>
          <w:color w:val="111111"/>
          <w:sz w:val="28"/>
          <w:szCs w:val="28"/>
          <w:rtl w:val="true"/>
          <w:lang w:bidi="fa-IR"/>
        </w:rPr>
        <w:t>:</w:t>
      </w:r>
    </w:p>
    <w:p>
      <w:pPr>
        <w:pStyle w:val="Heading4"/>
        <w:numPr>
          <w:ilvl w:val="3"/>
          <w:numId w:val="1"/>
        </w:numPr>
        <w:rPr/>
      </w:pPr>
      <w:bookmarkStart w:id="359" w:name="__RefHeading___Toc1259576_1468164448"/>
      <w:bookmarkStart w:id="360" w:name="_Toc133"/>
      <w:bookmarkEnd w:id="359"/>
      <w:r>
        <w:rPr/>
        <w:t>4</w:t>
      </w:r>
      <w:r>
        <w:rPr>
          <w:rtl w:val="true"/>
        </w:rPr>
        <w:t xml:space="preserve">- </w:t>
      </w:r>
      <w:r>
        <w:rPr>
          <w:rtl w:val="true"/>
        </w:rPr>
        <w:t>استحباب حج برای کودک</w:t>
      </w:r>
      <w:bookmarkEnd w:id="360"/>
    </w:p>
    <w:p>
      <w:pPr>
        <w:pStyle w:val="BookText"/>
        <w:rPr/>
      </w:pPr>
      <w:r>
        <w:rPr>
          <w:rFonts w:ascii="IRNazanin" w:hAnsi="IRNazanin" w:eastAsia="IRNazanin"/>
          <w:color w:val="111111"/>
          <w:sz w:val="28"/>
          <w:sz w:val="28"/>
          <w:szCs w:val="28"/>
          <w:rtl w:val="true"/>
          <w:lang w:bidi="fa-IR"/>
        </w:rPr>
        <w:t>در مورد استحباب حج در حق کودک، دو دیدگاه مطرح گردیده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انجام حج توسط کودک صرف تمرین است و استحباب آن ثابت نیست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لیکن در مباحث قبل ذکر شد که عبادات کودک به‌طور عام مشروع و صحیح است</w:t>
      </w:r>
      <w:r>
        <w:rPr>
          <w:rStyle w:val="FootnoteAnchor"/>
          <w:rtl w:val="true"/>
        </w:rPr>
        <w:footnoteReference w:id="711"/>
      </w:r>
      <w:r>
        <w:rPr>
          <w:rFonts w:ascii="IRNazanin" w:hAnsi="IRNazanin" w:eastAsia="IRNazanin"/>
          <w:color w:val="111111"/>
          <w:sz w:val="28"/>
          <w:sz w:val="28"/>
          <w:szCs w:val="28"/>
          <w:rtl w:val="true"/>
          <w:lang w:bidi="fa-IR"/>
        </w:rPr>
        <w:t>، از این رو این دیدگاه نمیتواند مورد قبول واقع شود</w:t>
      </w:r>
      <w:r>
        <w:rPr>
          <w:rFonts w:eastAsia="IRNazanin" w:cs="IRNazanin"/>
          <w:color w:val="111111"/>
          <w:sz w:val="28"/>
          <w:szCs w:val="28"/>
          <w:rtl w:val="true"/>
          <w:lang w:bidi="fa-IR"/>
        </w:rPr>
        <w:t>.</w:t>
      </w:r>
      <w:bookmarkStart w:id="361" w:name="pg13713_164462"/>
    </w:p>
    <w:p>
      <w:pPr>
        <w:pStyle w:val="BookText"/>
        <w:rPr/>
      </w:pPr>
      <w:bookmarkEnd w:id="36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دیگری که در میان فقها مشهور است و قوی به نظر میرسد این است‌که حج کودک ممیّز، مشروع و مستحب است و آثاری بر آن بار میگردد، هرچند به جای حج واجب قرار نمیگیرد</w:t>
      </w:r>
      <w:r>
        <w:rPr>
          <w:rFonts w:eastAsia="IRNazanin" w:cs="IRNazanin"/>
          <w:color w:val="111111"/>
          <w:sz w:val="28"/>
          <w:szCs w:val="28"/>
          <w:rtl w:val="true"/>
          <w:lang w:bidi="fa-IR"/>
        </w:rPr>
        <w:t>.</w:t>
      </w:r>
      <w:r>
        <w:rPr>
          <w:rStyle w:val="FootnoteAnchor"/>
          <w:rtl w:val="true"/>
        </w:rPr>
        <w:footnoteReference w:id="712"/>
      </w:r>
      <w:r>
        <w:rPr>
          <w:rFonts w:ascii="IRNazanin" w:hAnsi="IRNazanin" w:eastAsia="IRNazanin"/>
          <w:color w:val="111111"/>
          <w:sz w:val="28"/>
          <w:sz w:val="28"/>
          <w:szCs w:val="28"/>
          <w:rtl w:val="true"/>
          <w:lang w:bidi="fa-IR"/>
        </w:rPr>
        <w:t>علاّمة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فقها برآنند که احرام و حج کودک ممیّز صحیح است</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و برخی در این مسأله ادّعای اجماع</w:t>
      </w:r>
      <w:r>
        <w:rPr>
          <w:rStyle w:val="FootnoteAnchor"/>
          <w:rtl w:val="true"/>
        </w:rPr>
        <w:footnoteReference w:id="714"/>
      </w:r>
      <w:r>
        <w:rPr>
          <w:rFonts w:ascii="IRNazanin" w:hAnsi="IRNazanin" w:eastAsia="IRNazanin"/>
          <w:color w:val="111111"/>
          <w:sz w:val="28"/>
          <w:sz w:val="28"/>
          <w:szCs w:val="28"/>
          <w:rtl w:val="true"/>
          <w:lang w:bidi="fa-IR"/>
        </w:rPr>
        <w:t>نموده‌اند</w:t>
      </w:r>
      <w:r>
        <w:rPr>
          <w:rFonts w:eastAsia="IRNazanin" w:cs="IRNazanin"/>
          <w:color w:val="111111"/>
          <w:sz w:val="28"/>
          <w:szCs w:val="28"/>
          <w:rtl w:val="true"/>
          <w:lang w:bidi="fa-IR"/>
        </w:rPr>
        <w:t>.</w:t>
      </w:r>
    </w:p>
    <w:p>
      <w:pPr>
        <w:pStyle w:val="Heading4"/>
        <w:numPr>
          <w:ilvl w:val="3"/>
          <w:numId w:val="1"/>
        </w:numPr>
        <w:rPr/>
      </w:pPr>
      <w:bookmarkStart w:id="362" w:name="__RefHeading___Toc1259578_1468164448"/>
      <w:bookmarkStart w:id="363" w:name="_Toc134"/>
      <w:bookmarkEnd w:id="362"/>
      <w:r>
        <w:rPr/>
        <w:t>5</w:t>
      </w:r>
      <w:r>
        <w:rPr>
          <w:rtl w:val="true"/>
        </w:rPr>
        <w:t xml:space="preserve">- </w:t>
      </w:r>
      <w:r>
        <w:rPr>
          <w:rtl w:val="true"/>
        </w:rPr>
        <w:t>ادلّه استحباب حج برای کودک</w:t>
      </w:r>
      <w:bookmarkEnd w:id="363"/>
    </w:p>
    <w:p>
      <w:pPr>
        <w:pStyle w:val="BookText"/>
        <w:rPr/>
      </w:pPr>
      <w:r>
        <w:rPr>
          <w:rFonts w:ascii="IRNazanin" w:hAnsi="IRNazanin" w:eastAsia="IRNazanin"/>
          <w:color w:val="111111"/>
          <w:sz w:val="28"/>
          <w:sz w:val="28"/>
          <w:szCs w:val="28"/>
          <w:rtl w:val="true"/>
          <w:lang w:bidi="fa-IR"/>
        </w:rPr>
        <w:t>علاوه بر ادلّه‌ای که مشروعیت عبادات کودک را به‌طور مطلق اثبات مینماید وپیش‌تر ذکر شد،</w:t>
      </w:r>
      <w:r>
        <w:rPr>
          <w:rStyle w:val="FootnoteAnchor"/>
          <w:rtl w:val="true"/>
        </w:rPr>
        <w:footnoteReference w:id="715"/>
      </w:r>
      <w:r>
        <w:rPr>
          <w:rFonts w:ascii="IRNazanin" w:hAnsi="IRNazanin" w:eastAsia="IRNazanin"/>
          <w:color w:val="111111"/>
          <w:sz w:val="28"/>
          <w:sz w:val="28"/>
          <w:szCs w:val="28"/>
          <w:rtl w:val="true"/>
          <w:lang w:bidi="fa-IR"/>
        </w:rPr>
        <w:t>و نیز اجماع، روایات بسیاری با مضامین مختلف بر این حکم‌دلالت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فضیلت و اجر و ثواب حج وارد شده است</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به‌عنوان‌نمونه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قصد کند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حالیکه میداند این خانه‌ای است که خداوند امر به تعظیم آن نموده و حق ما اهل‌بیت را آن‌گونه که هست بشناسد، از عذاب و سختی دنیا و آخرت در امان خواهد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مَنْأَمَّ هذَا الْبَیْتَ وَهُوَ یَعْلَمُ أَنَّهُ الْبَیْتُ الَّذِی امَرَهُ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آمِناً فِی الدُّنْیا وَالاخِرَةِ</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عموم و اطلاق در این روایات، کودک ممیّز را شامل میشود و صحیح نیست ادّعا شود رضوان پروردگار و بخشش آن حضرت و سعادت و امنیت در دنیا و آخرت و دیگر پاداش‌هایی که در این روایات به آنها اشاره شده، اختصاص به مکلّفین دارد و کودک از رسیدن به آنها منع و محروم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8"/>
      </w:r>
      <w:bookmarkStart w:id="364" w:name="pg13713_164463"/>
    </w:p>
    <w:p>
      <w:pPr>
        <w:pStyle w:val="BookText"/>
        <w:rPr/>
      </w:pPr>
      <w:bookmarkEnd w:id="364"/>
      <w:r>
        <w:rPr>
          <w:rFonts w:ascii="IRNazanin" w:hAnsi="IRNazanin" w:eastAsia="IRNazanin"/>
          <w:color w:val="111111"/>
          <w:sz w:val="28"/>
          <w:sz w:val="28"/>
          <w:szCs w:val="28"/>
          <w:rtl w:val="true"/>
          <w:lang w:bidi="fa-IR"/>
        </w:rPr>
        <w:t>آیت الله فاضل لنکرانی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رفع این‌گونه روایات را تخصیص یا تقیید نمیزند و عموم و اطلاق در آنها شامل کودک نیز میباشد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حج کودک به جای حج واجب کفایت نمیکند و پیش‌تر بدان اشاره شد، زیرا فرض این‌که حج کودک از حجة الاسلام کفایت نمیکند،</w:t>
      </w:r>
      <w:r>
        <w:rPr>
          <w:rStyle w:val="FootnoteAnchor"/>
          <w:rtl w:val="true"/>
        </w:rPr>
        <w:footnoteReference w:id="720"/>
      </w:r>
      <w:r>
        <w:rPr>
          <w:rFonts w:ascii="IRNazanin" w:hAnsi="IRNazanin" w:eastAsia="IRNazanin"/>
          <w:color w:val="111111"/>
          <w:sz w:val="28"/>
          <w:sz w:val="28"/>
          <w:szCs w:val="28"/>
          <w:rtl w:val="true"/>
          <w:lang w:bidi="fa-IR"/>
        </w:rPr>
        <w:t>در صورتی صحیح است که قائل به صحّت حج وی باشیم و اگر حج او باطل باشد، منعی ندارد که گفته شود از حجة الاسلام کفایت نمیکند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مستحب است ولی، کودک را به انجام حج وادار نماید که در ادامه توضیح داده میشود</w:t>
      </w:r>
      <w:r>
        <w:rPr>
          <w:rFonts w:eastAsia="IRNazanin" w:cs="IRNazanin"/>
          <w:color w:val="111111"/>
          <w:sz w:val="28"/>
          <w:szCs w:val="28"/>
          <w:rtl w:val="true"/>
          <w:lang w:bidi="fa-IR"/>
        </w:rPr>
        <w:t>.</w:t>
      </w:r>
    </w:p>
    <w:p>
      <w:pPr>
        <w:pStyle w:val="Heading4"/>
        <w:numPr>
          <w:ilvl w:val="3"/>
          <w:numId w:val="1"/>
        </w:numPr>
        <w:rPr/>
      </w:pPr>
      <w:bookmarkStart w:id="365" w:name="__RefHeading___Toc1259580_1468164448"/>
      <w:bookmarkStart w:id="366" w:name="_Toc135"/>
      <w:bookmarkEnd w:id="365"/>
      <w:r>
        <w:rPr/>
        <w:t>6</w:t>
      </w:r>
      <w:r>
        <w:rPr>
          <w:rtl w:val="true"/>
        </w:rPr>
        <w:t xml:space="preserve">- </w:t>
      </w:r>
      <w:r>
        <w:rPr>
          <w:rtl w:val="true"/>
        </w:rPr>
        <w:t>استحباب واداشتن کودک به انجام حج</w:t>
      </w:r>
      <w:bookmarkEnd w:id="366"/>
    </w:p>
    <w:p>
      <w:pPr>
        <w:pStyle w:val="BookText"/>
        <w:rPr/>
      </w:pPr>
      <w:r>
        <w:rPr>
          <w:rFonts w:ascii="IRNazanin" w:hAnsi="IRNazanin" w:eastAsia="IRNazanin"/>
          <w:color w:val="111111"/>
          <w:sz w:val="28"/>
          <w:sz w:val="28"/>
          <w:szCs w:val="28"/>
          <w:rtl w:val="true"/>
          <w:lang w:bidi="fa-IR"/>
        </w:rPr>
        <w:t>طبق دیدگاه مشهور فقها</w:t>
      </w:r>
      <w:r>
        <w:rPr>
          <w:rStyle w:val="FootnoteAnchor"/>
          <w:rtl w:val="true"/>
        </w:rPr>
        <w:footnoteReference w:id="722"/>
      </w:r>
      <w:r>
        <w:rPr>
          <w:rFonts w:ascii="IRNazanin" w:hAnsi="IRNazanin" w:eastAsia="IRNazanin"/>
          <w:color w:val="111111"/>
          <w:sz w:val="28"/>
          <w:sz w:val="28"/>
          <w:szCs w:val="28"/>
          <w:rtl w:val="true"/>
          <w:lang w:bidi="fa-IR"/>
        </w:rPr>
        <w:t>، مستحب است ولی کودک، او را به انجام حج وادار سازد، اعمّ از این‌که کودک ممیّز باشد یا غیر ممیّز و فرق بین آن دو، به این است که کودکِ ممیّز را امر به حج مینماید و مناسک را به وی میآموزد تا خودش انجام دهد، زیرا چنان‌که ذکر شد، حج در حق او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کودک غیر ممّیز چون معنی و مفهوم عبادات را نمیداند، استحباب حج در حق‌او بیمعنی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به تعبیر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دادن او صحیح است؛ به این معنی که ولی از طرف او نیّت مینماید و او را مُحرم میسازد و در انجام اعمال به وی کمک میکند و آن قسم از مناسک که توانایی ندارد به نیابت از وی به جا میآورد و ظاهراً اجر و پاداش این اعمال برای ولی است و نسبت به کودک، صرف تمرین است و بعید نیست خداوند متعال به کودک نیز اجر و پاداش عطا فرماید، بدون این‌که از پاداش ولی چیزی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افزون بر آن‌که برخی ادّعای اجماع و لاخلاف</w:t>
      </w:r>
      <w:r>
        <w:rPr>
          <w:rStyle w:val="FootnoteAnchor"/>
          <w:rtl w:val="true"/>
        </w:rPr>
        <w:footnoteReference w:id="723"/>
      </w:r>
      <w:r>
        <w:rPr>
          <w:rFonts w:ascii="IRNazanin" w:hAnsi="IRNazanin" w:eastAsia="IRNazanin"/>
          <w:color w:val="111111"/>
          <w:sz w:val="28"/>
          <w:sz w:val="28"/>
          <w:szCs w:val="28"/>
          <w:rtl w:val="true"/>
          <w:lang w:bidi="fa-IR"/>
        </w:rPr>
        <w:t>نموده‌اند، روایات معتبره میباشد</w:t>
      </w:r>
      <w:r>
        <w:rPr>
          <w:rFonts w:eastAsia="IRNazanin" w:cs="IRNazanin"/>
          <w:color w:val="111111"/>
          <w:sz w:val="28"/>
          <w:szCs w:val="28"/>
          <w:rtl w:val="true"/>
          <w:lang w:bidi="fa-IR"/>
        </w:rPr>
        <w:t>.</w:t>
      </w:r>
      <w:bookmarkStart w:id="367" w:name="pg13713_164464"/>
    </w:p>
    <w:p>
      <w:pPr>
        <w:pStyle w:val="BookText"/>
        <w:rPr/>
      </w:pPr>
      <w:bookmarkEnd w:id="367"/>
      <w:r>
        <w:rPr>
          <w:rFonts w:ascii="IRNazanin" w:hAnsi="IRNazanin" w:eastAsia="IRNazanin"/>
          <w:color w:val="111111"/>
          <w:sz w:val="28"/>
          <w:sz w:val="28"/>
          <w:szCs w:val="28"/>
          <w:rtl w:val="true"/>
          <w:lang w:bidi="fa-IR"/>
        </w:rPr>
        <w:t>زرارة از امام باقر یا امام صادق علیهما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مردی فرزند صغیر خود را به انجام حج وادار مینماید، او را امر کند تا لبّیک بگوید، با گفتن لبیک، حج آغاز و اتمام آن لازم میگردد و اگر لبیک را نیکو نمیداند، به نیابت از او بگوید، سپس او را طواف دهد و از طرف او، نماز طواف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 اگر گوسفند برای قربانی به نیابت از کودک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گوسفند نیست، بزرگترها به نیابت از او به جای قربانی، روزه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الرَّجُلُ بِابْنِهِ وَهُوَ صَغِیرٌ فَاِنَّهُ یَأمُرُهُ انْ یُلَبِّیَ وَیَفْرِضَ الْحَجَّ فَاِنْ لَمْ یُحْسِنُ أَنْ یُلَبِّیَ لَبَّوا عَنْهُ وَیُطافُ بِهِ وَیُصَلِّی عَنْهُ</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و دیگر روایات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باید یادآور شد که طبق دیدگاه مشهور در بین فقها</w:t>
      </w:r>
      <w:r>
        <w:rPr>
          <w:rStyle w:val="FootnoteAnchor"/>
          <w:rtl w:val="true"/>
        </w:rPr>
        <w:footnoteReference w:id="726"/>
      </w:r>
      <w:r>
        <w:rPr>
          <w:rFonts w:ascii="IRNazanin" w:hAnsi="IRNazanin" w:eastAsia="IRNazanin"/>
          <w:color w:val="111111"/>
          <w:sz w:val="28"/>
          <w:sz w:val="28"/>
          <w:szCs w:val="28"/>
          <w:rtl w:val="true"/>
          <w:lang w:bidi="fa-IR"/>
        </w:rPr>
        <w:t xml:space="preserve">آن‌چه ذکر شد مشترک بین صغیر و صغیره دختر و پسر میباشد، و ذکر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اخبار از باب مثال است و ویژگی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بعضی از آنها به صراحت در مورد استحباب حج دختر</w:t>
      </w:r>
      <w:r>
        <w:rPr>
          <w:rStyle w:val="FootnoteAnchor"/>
          <w:rtl w:val="true"/>
        </w:rPr>
        <w:footnoteReference w:id="727"/>
      </w:r>
      <w:r>
        <w:rPr>
          <w:rFonts w:ascii="IRNazanin" w:hAnsi="IRNazanin" w:eastAsia="IRNazanin"/>
          <w:color w:val="111111"/>
          <w:sz w:val="28"/>
          <w:sz w:val="28"/>
          <w:szCs w:val="28"/>
          <w:rtl w:val="true"/>
          <w:lang w:bidi="fa-IR"/>
        </w:rPr>
        <w:t>وارد شده و برخی دیگر به حکم دختر و پسر هر دو اشاره دارد</w:t>
      </w:r>
      <w:r>
        <w:rPr>
          <w:rFonts w:eastAsia="IRNazanin" w:cs="IRNazanin"/>
          <w:color w:val="111111"/>
          <w:sz w:val="28"/>
          <w:szCs w:val="28"/>
          <w:rtl w:val="true"/>
          <w:lang w:bidi="fa-IR"/>
        </w:rPr>
        <w:t>.</w:t>
      </w:r>
      <w:r>
        <w:rPr>
          <w:rStyle w:val="FootnoteAnchor"/>
          <w:rtl w:val="true"/>
        </w:rPr>
        <w:footnoteReference w:id="728"/>
      </w:r>
    </w:p>
    <w:p>
      <w:pPr>
        <w:pStyle w:val="Heading4"/>
        <w:numPr>
          <w:ilvl w:val="3"/>
          <w:numId w:val="1"/>
        </w:numPr>
        <w:rPr/>
      </w:pPr>
      <w:bookmarkStart w:id="368" w:name="__RefHeading___Toc1259582_1468164448"/>
      <w:bookmarkStart w:id="369" w:name="_Toc136"/>
      <w:bookmarkEnd w:id="368"/>
      <w:r>
        <w:rPr/>
        <w:t>7</w:t>
      </w:r>
      <w:r>
        <w:rPr>
          <w:rtl w:val="true"/>
        </w:rPr>
        <w:t xml:space="preserve">- </w:t>
      </w:r>
      <w:r>
        <w:rPr>
          <w:rtl w:val="true"/>
        </w:rPr>
        <w:t>استحباب عمره برای کودک</w:t>
      </w:r>
      <w:bookmarkEnd w:id="36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حج برای کودک ممیّز مستحب است و نیز مستحب است ولی، کودک غیر ممیّز را به بیانی که توضیح داده شد به انجام حج وادار سازد؛ ظاهراً عمرة مفرده نیز مستحب است، چنان‌که بعضی از بزرگان فقهای معاصر به آن تصریح نموده‌اند</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دلیل آن، اطلاق روایات است،</w:t>
      </w:r>
      <w:r>
        <w:rPr>
          <w:rStyle w:val="FootnoteAnchor"/>
          <w:rtl w:val="true"/>
        </w:rPr>
        <w:footnoteReference w:id="730"/>
      </w:r>
      <w:r>
        <w:rPr>
          <w:rFonts w:ascii="IRNazanin" w:hAnsi="IRNazanin" w:eastAsia="IRNazanin"/>
          <w:color w:val="111111"/>
          <w:sz w:val="28"/>
          <w:sz w:val="28"/>
          <w:szCs w:val="28"/>
          <w:rtl w:val="true"/>
          <w:lang w:bidi="fa-IR"/>
        </w:rPr>
        <w:t>زیرا احرام درآنها شامل احرام حج و عمره هر دو میباشد، همچنین اطلاق ادلّه‌ای</w:t>
      </w:r>
      <w:r>
        <w:rPr>
          <w:rStyle w:val="FootnoteAnchor"/>
          <w:rtl w:val="true"/>
        </w:rPr>
        <w:footnoteReference w:id="731"/>
      </w:r>
      <w:r>
        <w:rPr>
          <w:rFonts w:ascii="IRNazanin" w:hAnsi="IRNazanin" w:eastAsia="IRNazanin"/>
          <w:color w:val="111111"/>
          <w:sz w:val="28"/>
          <w:sz w:val="28"/>
          <w:szCs w:val="28"/>
          <w:rtl w:val="true"/>
          <w:lang w:bidi="fa-IR"/>
        </w:rPr>
        <w:t>که به طور عام دلالت بر استحباب عمره دارد، کودک ممیّز را نیز شامل میگردد</w:t>
      </w:r>
      <w:r>
        <w:rPr>
          <w:rFonts w:eastAsia="IRNazanin" w:cs="IRNazanin"/>
          <w:color w:val="111111"/>
          <w:sz w:val="28"/>
          <w:szCs w:val="28"/>
          <w:rtl w:val="true"/>
          <w:lang w:bidi="fa-IR"/>
        </w:rPr>
        <w:t>.</w:t>
      </w:r>
      <w:bookmarkStart w:id="370" w:name="pg13713_164465"/>
    </w:p>
    <w:p>
      <w:pPr>
        <w:pStyle w:val="Heading4"/>
        <w:numPr>
          <w:ilvl w:val="3"/>
          <w:numId w:val="1"/>
        </w:numPr>
        <w:rPr/>
      </w:pPr>
      <w:bookmarkStart w:id="371" w:name="__RefHeading___Toc1259584_1468164448"/>
      <w:bookmarkStart w:id="372" w:name="_Toc137"/>
      <w:bookmarkEnd w:id="370"/>
      <w:bookmarkEnd w:id="371"/>
      <w:r>
        <w:rPr/>
        <w:t>8</w:t>
      </w:r>
      <w:r>
        <w:rPr>
          <w:rtl w:val="true"/>
        </w:rPr>
        <w:t xml:space="preserve">- </w:t>
      </w:r>
      <w:r>
        <w:rPr>
          <w:rtl w:val="true"/>
        </w:rPr>
        <w:t>اولیای کودک در حج</w:t>
      </w:r>
      <w:bookmarkEnd w:id="372"/>
    </w:p>
    <w:p>
      <w:pPr>
        <w:pStyle w:val="BookText"/>
        <w:rPr/>
      </w:pPr>
      <w:r>
        <w:rPr>
          <w:rFonts w:ascii="IRNazanin" w:hAnsi="IRNazanin" w:eastAsia="IRNazanin"/>
          <w:color w:val="111111"/>
          <w:sz w:val="28"/>
          <w:sz w:val="28"/>
          <w:szCs w:val="28"/>
          <w:rtl w:val="true"/>
          <w:lang w:bidi="fa-IR"/>
        </w:rPr>
        <w:t xml:space="preserve">آیا اولیای کودک در حج، منحصر به اولیای شرعی میباشند؟ یعنی فقط پدر، جدّپدری، وصی این دو و حاکم شرع در صورت نبودن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برخی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نظریّاتی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فقط ولی شرعی است</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محقق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ولی‌کودک در حج، کسی است که بر اموال او ولایت دارد، مثل پدر، جدّ پدری و وصی</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این دسته از فقیهان برای اثبات دیدگاه خود به ادلّه‌ای استناد نموده‌اند،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اولیای شرعی قدر متیقّن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اولیای شرعی مستفاد از ادلّه میباشد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w:t>
      </w:r>
      <w:r>
        <w:rPr>
          <w:rStyle w:val="FootnoteAnchor"/>
          <w:rtl w:val="true"/>
        </w:rPr>
        <w:footnoteReference w:id="737"/>
      </w:r>
      <w:r>
        <w:rPr>
          <w:rFonts w:ascii="IRNazanin" w:hAnsi="IRNazanin" w:eastAsia="IRNazanin"/>
          <w:color w:val="111111"/>
          <w:sz w:val="28"/>
          <w:sz w:val="28"/>
          <w:szCs w:val="28"/>
          <w:rtl w:val="true"/>
          <w:lang w:bidi="fa-IR"/>
        </w:rPr>
        <w:t>مانند این‌که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کودک در حج گوسفند قربانی نباشد، ولی او به جای وی روزه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یَصوُمُ عَنْهُ وَلِیُّهُ إِذا لَمْ یَجِدْ هَدْیاً</w:t>
      </w:r>
      <w:r>
        <w:rPr>
          <w:rFonts w:eastAsia="IRNazanin" w:cs="IRNazanin"/>
          <w:color w:val="111111"/>
          <w:sz w:val="28"/>
          <w:szCs w:val="28"/>
          <w:rtl w:val="true"/>
          <w:lang w:bidi="fa-IR"/>
        </w:rPr>
        <w:t>»</w:t>
      </w:r>
      <w:r>
        <w:rPr>
          <w:rStyle w:val="FootnoteAnchor"/>
          <w:rtl w:val="true"/>
        </w:rPr>
        <w:footnoteReference w:id="738"/>
      </w:r>
      <w:r>
        <w:rPr>
          <w:rFonts w:ascii="IRNazanin" w:hAnsi="IRNazanin" w:eastAsia="IRNazanin"/>
          <w:color w:val="111111"/>
          <w:sz w:val="28"/>
          <w:sz w:val="28"/>
          <w:szCs w:val="28"/>
          <w:rtl w:val="true"/>
          <w:lang w:bidi="fa-IR"/>
        </w:rPr>
        <w:t>زیرا لفظ ولی در این اخبار، انصراف به ولی شرعی دارد نه ولی عرفی</w:t>
      </w:r>
      <w:r>
        <w:rPr>
          <w:rFonts w:eastAsia="IRNazanin" w:cs="IRNazanin"/>
          <w:color w:val="111111"/>
          <w:sz w:val="28"/>
          <w:szCs w:val="28"/>
          <w:rtl w:val="true"/>
          <w:lang w:bidi="fa-IR"/>
        </w:rPr>
        <w:t>.</w:t>
      </w:r>
    </w:p>
    <w:p>
      <w:pPr>
        <w:pStyle w:val="Heading4"/>
        <w:numPr>
          <w:ilvl w:val="3"/>
          <w:numId w:val="1"/>
        </w:numPr>
        <w:rPr/>
      </w:pPr>
      <w:bookmarkStart w:id="373" w:name="__RefHeading___Toc1259586_1468164448"/>
      <w:bookmarkStart w:id="374" w:name="_Toc138"/>
      <w:bookmarkEnd w:id="373"/>
      <w:r>
        <w:rPr/>
        <w:t>9</w:t>
      </w:r>
      <w:r>
        <w:rPr>
          <w:rtl w:val="true"/>
        </w:rPr>
        <w:t xml:space="preserve">- </w:t>
      </w:r>
      <w:r>
        <w:rPr>
          <w:rtl w:val="true"/>
        </w:rPr>
        <w:t>ولایت مادر در حج کودک</w:t>
      </w:r>
      <w:bookmarkEnd w:id="37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نظریّة دیگری که در میان فقیهان ما مشهور است این است‌که علاوه بر اولیای شرعی، مادر نیز در این خصوص ولایت دارد</w:t>
      </w:r>
      <w:r>
        <w:rPr>
          <w:rFonts w:eastAsia="IRNazanin" w:cs="IRNazanin"/>
          <w:color w:val="111111"/>
          <w:sz w:val="28"/>
          <w:szCs w:val="28"/>
          <w:rtl w:val="true"/>
          <w:lang w:bidi="fa-IR"/>
        </w:rPr>
        <w:t>.</w:t>
      </w:r>
      <w:r>
        <w:rPr>
          <w:rStyle w:val="FootnoteAnchor"/>
          <w:rtl w:val="true"/>
        </w:rPr>
        <w:footnoteReference w:id="739"/>
      </w:r>
      <w:r>
        <w:rPr>
          <w:rFonts w:ascii="IRNazanin" w:hAnsi="IRNazanin" w:eastAsia="IRNazanin"/>
          <w:color w:val="111111"/>
          <w:sz w:val="28"/>
          <w:sz w:val="28"/>
          <w:szCs w:val="28"/>
          <w:rtl w:val="true"/>
          <w:lang w:bidi="fa-IR"/>
        </w:rPr>
        <w:t>مرحوم 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ولی شرعی، ظاهراً مادر نیز در حج کودک ولایت دارد</w:t>
      </w:r>
      <w:r>
        <w:rPr>
          <w:rFonts w:eastAsia="IRNazanin" w:cs="IRNazanin"/>
          <w:color w:val="111111"/>
          <w:sz w:val="28"/>
          <w:szCs w:val="28"/>
          <w:rtl w:val="true"/>
          <w:lang w:bidi="fa-IR"/>
        </w:rPr>
        <w:t>».</w:t>
      </w:r>
      <w:r>
        <w:rPr>
          <w:rStyle w:val="FootnoteAnchor"/>
          <w:rtl w:val="true"/>
        </w:rPr>
        <w:footnoteReference w:id="740"/>
      </w:r>
      <w:bookmarkStart w:id="375" w:name="pg13713_164466"/>
    </w:p>
    <w:p>
      <w:pPr>
        <w:pStyle w:val="BookText"/>
        <w:rPr/>
      </w:pPr>
      <w:bookmarkEnd w:id="375"/>
      <w:r>
        <w:rPr>
          <w:rFonts w:ascii="IRNazanin" w:hAnsi="IRNazanin" w:eastAsia="IRNazanin"/>
          <w:color w:val="111111"/>
          <w:sz w:val="28"/>
          <w:sz w:val="28"/>
          <w:szCs w:val="28"/>
          <w:rtl w:val="true"/>
          <w:lang w:bidi="fa-IR"/>
        </w:rPr>
        <w:t>برای اثبات این نظریّه، به اخباری استناد شده است، مانند آن‌که در روایت صحیحه،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 به امام صادق علیه السلام عرض کردم، کودکی همراه ماست که به تازگی متولّد شده، با او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نزد حمیده</w:t>
      </w:r>
      <w:r>
        <w:rPr>
          <w:rStyle w:val="FootnoteAnchor"/>
          <w:rtl w:val="true"/>
        </w:rPr>
        <w:footnoteReference w:id="741"/>
      </w:r>
      <w:r>
        <w:rPr>
          <w:rFonts w:ascii="IRNazanin" w:hAnsi="IRNazanin" w:eastAsia="IRNazanin"/>
          <w:color w:val="111111"/>
          <w:sz w:val="28"/>
          <w:sz w:val="28"/>
          <w:szCs w:val="28"/>
          <w:rtl w:val="true"/>
          <w:lang w:bidi="fa-IR"/>
        </w:rPr>
        <w:t>رود و از او سؤال کند او با کودکانش چه می‌کند؟ آن زن به نزد حمیده آمد و مسأله را در میان گذاشت، حمیده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هشتم ذیالحجه که رسید، لباس‌های کودک را بیرون بیاور و او را پاکیزه کن و غسل ده و مُحرم نما، همان‌گونه که بزرگترها مُحرم میشوند، بعد از آن در 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عرفات، مشعر و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وقوف ده، و آنگاه که روز عید قربان فرا رسید از طرف وی رمی جمره انجام ده و موی سرش را با تیغ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او را به زیارت بیت‌الله الحرام برده، طواف بده، همچنین به نیابت از او سعی بین صفا و مروه انجام ده</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این روایت به صراحت دلالت دارد بر این‌که مادر میتواند متصدّی حج کودک باشد و معنی ولایت در حج، غیر از این نمیباشد</w:t>
      </w:r>
      <w:r>
        <w:rPr>
          <w:rFonts w:eastAsia="IRNazanin" w:cs="IRNazanin"/>
          <w:color w:val="111111"/>
          <w:sz w:val="28"/>
          <w:szCs w:val="28"/>
          <w:rtl w:val="true"/>
          <w:lang w:bidi="fa-IR"/>
        </w:rPr>
        <w:t>.</w:t>
      </w:r>
    </w:p>
    <w:p>
      <w:pPr>
        <w:pStyle w:val="Heading4"/>
        <w:numPr>
          <w:ilvl w:val="3"/>
          <w:numId w:val="1"/>
        </w:numPr>
        <w:rPr/>
      </w:pPr>
      <w:bookmarkStart w:id="376" w:name="__RefHeading___Toc1259588_1468164448"/>
      <w:bookmarkStart w:id="377" w:name="_Toc139"/>
      <w:bookmarkEnd w:id="376"/>
      <w:r>
        <w:rPr/>
        <w:t>10</w:t>
      </w:r>
      <w:r>
        <w:rPr>
          <w:rtl w:val="true"/>
        </w:rPr>
        <w:t xml:space="preserve">- </w:t>
      </w:r>
      <w:r>
        <w:rPr>
          <w:rtl w:val="true"/>
        </w:rPr>
        <w:t>تعمیم ولایت در حج کودک</w:t>
      </w:r>
      <w:bookmarkEnd w:id="377"/>
    </w:p>
    <w:p>
      <w:pPr>
        <w:pStyle w:val="BookText"/>
        <w:rPr/>
      </w:pPr>
      <w:r>
        <w:rPr>
          <w:rFonts w:ascii="IRNazanin" w:hAnsi="IRNazanin" w:eastAsia="IRNazanin"/>
          <w:color w:val="111111"/>
          <w:sz w:val="28"/>
          <w:sz w:val="28"/>
          <w:szCs w:val="28"/>
          <w:rtl w:val="true"/>
          <w:lang w:bidi="fa-IR"/>
        </w:rPr>
        <w:t>دیدگاه سوم در مسأله این است‌که اگر اولیای شرعی و مادر همراه کودک نباشند، اشخاص دیگر میتوانند متصدّی امور حج کودک باشند و در این باره بر او ولایت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فقها با تعابیر مختلف، این مسأله را مطرح نموده‌اند</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بعضی از آنها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کسی که متصدّی امر حج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اولیای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حق دخالت در اموال او را ندارد</w:t>
      </w:r>
      <w:r>
        <w:rPr>
          <w:rFonts w:eastAsia="IRNazanin" w:cs="IRNazanin"/>
          <w:color w:val="111111"/>
          <w:sz w:val="28"/>
          <w:szCs w:val="28"/>
          <w:rtl w:val="true"/>
          <w:lang w:bidi="fa-IR"/>
        </w:rPr>
        <w:t>.</w:t>
      </w:r>
      <w:r>
        <w:rPr>
          <w:rStyle w:val="FootnoteAnchor"/>
          <w:rtl w:val="true"/>
        </w:rPr>
        <w:footnoteReference w:id="744"/>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فقها معتقدند که مقصود از ولی در روایات، کسی است که متصدّی کودک در امور حج باشد، او را مُحرم نماید، مناسک را به وی بیاموزد و بر اعمالش</w:t>
      </w:r>
    </w:p>
    <w:p>
      <w:pPr>
        <w:pStyle w:val="BookText"/>
        <w:rPr/>
      </w:pPr>
      <w:r>
        <w:rPr>
          <w:rFonts w:ascii="IRNazanin" w:hAnsi="IRNazanin" w:eastAsia="IRNazanin"/>
          <w:color w:val="111111"/>
          <w:sz w:val="28"/>
          <w:sz w:val="28"/>
          <w:szCs w:val="28"/>
          <w:rtl w:val="true"/>
          <w:lang w:bidi="fa-IR"/>
        </w:rPr>
        <w:t>نظارت کند و این‌که در بعضی از روایات، نام پدر به میان آمده از باب مثال است</w:t>
      </w:r>
      <w:r>
        <w:rPr>
          <w:rStyle w:val="FootnoteAnchor"/>
          <w:rtl w:val="true"/>
        </w:rPr>
        <w:footnoteReference w:id="745"/>
      </w:r>
      <w:r>
        <w:rPr>
          <w:rFonts w:ascii="IRNazanin" w:hAnsi="IRNazanin" w:eastAsia="IRNazanin"/>
          <w:color w:val="111111"/>
          <w:sz w:val="28"/>
          <w:sz w:val="28"/>
          <w:szCs w:val="28"/>
          <w:rtl w:val="true"/>
          <w:lang w:bidi="fa-IR"/>
        </w:rPr>
        <w:t>و ویژگی خاصی ندارد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هم‌چنین به برخی از اخبار خاص استناد نموده‌اند، مانند این‌که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اگر در سفر حج، کودکان همراه شما میباشند،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w:t>
      </w:r>
      <w:r>
        <w:rPr>
          <w:rStyle w:val="FootnoteAnchor"/>
          <w:rtl w:val="true"/>
        </w:rPr>
        <w:footnoteReference w:id="747"/>
      </w:r>
      <w:r>
        <w:rPr>
          <w:rFonts w:ascii="Amiri" w:hAnsi="Amiri" w:eastAsia="Amiri" w:cs="Amiri"/>
          <w:color w:val="111111"/>
          <w:sz w:val="28"/>
          <w:sz w:val="28"/>
          <w:szCs w:val="28"/>
          <w:rtl w:val="true"/>
          <w:lang w:bidi="ar-SA"/>
        </w:rPr>
        <w:t>برده و از آنجا مُحرم نمایید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مَنْ کانَ مَعَکُمْ مِنَ الصِّبْیانِ فَقَدِّمُوهُ الَی الْجُحْفَةِ</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است از این‌که کودک، ولی خود باشد یا دیگری او را به حج برده باشد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در روایت صحیح دیگری، زراره از امام باقر یا امام صادق علیهما السلام نقل نموده‌که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که همراه خود به حج برده‌اید، لبیک گفتن را نیکو ادا نمینماید، از طرف او بگویید و او را طواف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یُحْسِنْ أَنْ یُلَبِّیَ لَبَّوا عَنْهُ وَیُطافُ بِهِ</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صراحت دلالت دارد بر این‌که برای هر یک از حجّاج که همراه کودک میباشند، جایز است از طرف او لبیّک بگویند یا او را در ادای صحیح آن یاری نمایند و ادّعای این‌که این جمله فقط مربوط به ولی کودک است و برای دیگران جایز نیست که در این‌باره دخالت کنند، خلاف ظاهر روایت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از دو روایتی که ذکر شد به خوبی استفاده میشود غیر از اولیای شرعی کودک و مادر، افراد دیگر نیز میتوانند متصدّی حج کودک قرار گیرند و او را در این زمینه یاری دهند، و مقصود از ولی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پیش‌تر ذکر شد در امور مالی مربوط به حج کودک، منحصراً ولی شرعی حق دخالت دارد و دیگران مجاز به دخل و تصرّف در اموال وی نیستند، حتّی اگر متصدّی امورِ حج کودک قرار گیرند، باید</w:t>
      </w:r>
      <w:bookmarkStart w:id="378" w:name="pg13713_164468"/>
    </w:p>
    <w:p>
      <w:pPr>
        <w:pStyle w:val="BookText"/>
        <w:rPr/>
      </w:pPr>
      <w:bookmarkEnd w:id="378"/>
      <w:r>
        <w:rPr>
          <w:rFonts w:ascii="IRNazanin" w:hAnsi="IRNazanin" w:eastAsia="IRNazanin"/>
          <w:color w:val="111111"/>
          <w:sz w:val="28"/>
          <w:sz w:val="28"/>
          <w:szCs w:val="28"/>
          <w:rtl w:val="true"/>
          <w:lang w:bidi="fa-IR"/>
        </w:rPr>
        <w:t>مخارج او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لزوم کفّاره باید از مال خود پرداخت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فقهاء</w:t>
      </w:r>
      <w:r>
        <w:rPr>
          <w:rStyle w:val="FootnoteAnchor"/>
          <w:rtl w:val="true"/>
        </w:rPr>
        <w:footnoteReference w:id="751"/>
      </w:r>
      <w:r>
        <w:rPr>
          <w:rFonts w:ascii="IRNazanin" w:hAnsi="IRNazanin" w:eastAsia="IRNazanin"/>
          <w:color w:val="111111"/>
          <w:sz w:val="28"/>
          <w:sz w:val="28"/>
          <w:szCs w:val="28"/>
          <w:rtl w:val="true"/>
          <w:lang w:bidi="fa-IR"/>
        </w:rPr>
        <w:t>در ضمن مباحث خود، به این نکته تذکّر داده‌اند</w:t>
      </w:r>
      <w:r>
        <w:rPr>
          <w:rFonts w:eastAsia="IRNazanin" w:cs="IRNazanin"/>
          <w:color w:val="111111"/>
          <w:sz w:val="28"/>
          <w:szCs w:val="28"/>
          <w:rtl w:val="true"/>
          <w:lang w:bidi="fa-IR"/>
        </w:rPr>
        <w:t>.</w:t>
      </w:r>
    </w:p>
    <w:p>
      <w:pPr>
        <w:pStyle w:val="Heading4"/>
        <w:numPr>
          <w:ilvl w:val="3"/>
          <w:numId w:val="1"/>
        </w:numPr>
        <w:rPr/>
      </w:pPr>
      <w:bookmarkStart w:id="379" w:name="__RefHeading___Toc1259590_1468164448"/>
      <w:bookmarkStart w:id="380" w:name="_Toc140"/>
      <w:bookmarkEnd w:id="379"/>
      <w:r>
        <w:rPr/>
        <w:t>11</w:t>
      </w:r>
      <w:r>
        <w:rPr>
          <w:rtl w:val="true"/>
        </w:rPr>
        <w:t xml:space="preserve">- </w:t>
      </w:r>
      <w:r>
        <w:rPr>
          <w:rtl w:val="true"/>
        </w:rPr>
        <w:t>اجازه ولی کودک در حج</w:t>
      </w:r>
      <w:bookmarkEnd w:id="380"/>
    </w:p>
    <w:p>
      <w:pPr>
        <w:pStyle w:val="BookText"/>
        <w:rPr/>
      </w:pPr>
      <w:r>
        <w:rPr>
          <w:rFonts w:ascii="IRNazanin" w:hAnsi="IRNazanin" w:eastAsia="IRNazanin"/>
          <w:color w:val="111111"/>
          <w:sz w:val="28"/>
          <w:sz w:val="28"/>
          <w:szCs w:val="28"/>
          <w:rtl w:val="true"/>
          <w:lang w:bidi="fa-IR"/>
        </w:rPr>
        <w:t>آیا در صحّت حج کودک ممیّز، اجازة ولی شرعی شرط است؟ به گونه‌ای که اگر بدون اجازه به حج یا عمره رود، صحیح نباشد؟ در این مسأله چند نظریّه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اجازة پدر و هم مادر را شرط دانسته‌اند</w:t>
      </w:r>
      <w:r>
        <w:rPr>
          <w:rFonts w:eastAsia="IRNazanin" w:cs="IRNazanin"/>
          <w:color w:val="111111"/>
          <w:sz w:val="28"/>
          <w:szCs w:val="28"/>
          <w:rtl w:val="true"/>
          <w:lang w:bidi="fa-IR"/>
        </w:rPr>
        <w:t>.</w:t>
      </w:r>
      <w:r>
        <w:rPr>
          <w:rStyle w:val="FootnoteAnchor"/>
          <w:rtl w:val="true"/>
        </w:rPr>
        <w:footnoteReference w:id="752"/>
      </w:r>
      <w:r>
        <w:rPr>
          <w:rFonts w:ascii="IRNazanin" w:hAnsi="IRNazanin" w:eastAsia="IRNazanin"/>
          <w:color w:val="111111"/>
          <w:sz w:val="28"/>
          <w:sz w:val="28"/>
          <w:szCs w:val="28"/>
          <w:rtl w:val="true"/>
          <w:lang w:bidi="fa-IR"/>
        </w:rPr>
        <w:t>مستند این نظریّه روایتی</w:t>
      </w:r>
      <w:r>
        <w:rPr>
          <w:rStyle w:val="FootnoteAnchor"/>
          <w:rtl w:val="true"/>
        </w:rPr>
        <w:footnoteReference w:id="753"/>
      </w:r>
      <w:r>
        <w:rPr>
          <w:rFonts w:ascii="IRNazanin" w:hAnsi="IRNazanin" w:eastAsia="IRNazanin"/>
          <w:color w:val="111111"/>
          <w:sz w:val="28"/>
          <w:sz w:val="28"/>
          <w:szCs w:val="28"/>
          <w:rtl w:val="true"/>
          <w:lang w:bidi="fa-IR"/>
        </w:rPr>
        <w:t>است که از جهت سند و دلالت، ضعیف است و قابل اعتماد نیست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دیگری که بین فقها مشهور است این است که فقط اجازه پدر شرط باشد</w:t>
      </w:r>
      <w:r>
        <w:rPr>
          <w:rFonts w:eastAsia="IRNazanin" w:cs="IRNazanin"/>
          <w:color w:val="111111"/>
          <w:sz w:val="28"/>
          <w:szCs w:val="28"/>
          <w:rtl w:val="true"/>
          <w:lang w:bidi="fa-IR"/>
        </w:rPr>
        <w:t>.</w:t>
      </w:r>
      <w:r>
        <w:rPr>
          <w:rStyle w:val="FootnoteAnchor"/>
          <w:rtl w:val="true"/>
        </w:rPr>
        <w:footnoteReference w:id="755"/>
      </w:r>
      <w:r>
        <w:rPr>
          <w:rFonts w:ascii="IRNazanin" w:hAnsi="IRNazanin" w:eastAsia="IRNazanin"/>
          <w:color w:val="111111"/>
          <w:sz w:val="28"/>
          <w:sz w:val="28"/>
          <w:szCs w:val="28"/>
          <w:rtl w:val="true"/>
          <w:lang w:bidi="fa-IR"/>
        </w:rPr>
        <w:t>علاّمه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کودک ممیّز صحیح نیست، مگر با اجازة ولی او</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ادلّه‌ای که بر اثبات این نظریه اقامه شده،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اجماع ولاخلاف</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نیاز به صرف مال دارد و تصرّف کودک در اموال بدون اجازه ولی، باطل‌وغیر مؤثر است</w:t>
      </w:r>
      <w:r>
        <w:rPr>
          <w:rFonts w:eastAsia="IRNazanin" w:cs="IRNazanin"/>
          <w:color w:val="111111"/>
          <w:sz w:val="28"/>
          <w:szCs w:val="28"/>
          <w:rtl w:val="true"/>
          <w:lang w:bidi="fa-IR"/>
        </w:rPr>
        <w:t>.</w:t>
      </w:r>
      <w:r>
        <w:rPr>
          <w:rStyle w:val="FootnoteAnchor"/>
          <w:rtl w:val="true"/>
        </w:rPr>
        <w:footnoteReference w:id="758"/>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عبادتی است که از طرف شارع تعیین گردیده و مخالف اصل است، بنابراین در انجام آن، باید به قدر متیقن اکتفا شود و آن موردی است که کودک اجازه ولی شرعی خود را به دست آورده باشد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که پیش‌تر از امام صادق علیه السلام نقل شده وادّعا شده که این روایت دلیل است بر این‌که حج کودک متوقف بر اجازه ولی و اذن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که برخی از فقها گذشته و بسیاری از بزرگان معاصر آن راپذیرفته و قویتر مینماید، این است‌که اجازة ولی در صحّت حج کودک‌شرط نیست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این دسته از فقیهان از استدلال اخیر نظریّة قبل جواب داده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ازروایت‌مزبور استفاده میشود، لازم است ولی کودک، مسائل حج مانند گفتن لبیّک را به او آموزش دهد و در مقام بیان این‌که اجازه او شرط صحّت حج وی‌میباشد،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پیروان نظریه سوم، اجماع را هم دلیل مستقل ندانسته‌اند و استدلال دوّم و سوّم را هم مورد خدشه قرار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کودک مشروع میباشد و به مقتضای اطلاقات و عمومات وارد شده، استحباب آن ثابت است، نیاز به اجازه ولی نمیباشد، هر چند در امور مالی فقط نظر ولی مؤثر است و باید از او اجازه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این دو حکم که حج کودک ممیّز بدون اجازه ولی صحیح است، در عین حال برای مصرف اموال کودک، نظر ولی او شرط است، منافاتی دیده نمیشود</w:t>
      </w:r>
      <w:r>
        <w:rPr>
          <w:rFonts w:eastAsia="IRNazanin" w:cs="IRNazanin"/>
          <w:color w:val="111111"/>
          <w:sz w:val="28"/>
          <w:szCs w:val="28"/>
          <w:rtl w:val="true"/>
          <w:lang w:bidi="fa-IR"/>
        </w:rPr>
        <w:t>».</w:t>
      </w:r>
      <w:r>
        <w:rPr>
          <w:rStyle w:val="FootnoteAnchor"/>
          <w:rtl w:val="true"/>
        </w:rPr>
        <w:footnoteReference w:id="7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براین، طرفداران نظریّة سوّم بر این عقیده‌اند که به مقتضای عمومات ادلّه واصل، نباید اذن ولی، شرط باشد، به این معنی که اصل عدم اعتبار اجازه ولی در صحّت حج کودک است و فرض بر این است که دلیل تعبّدی که آن را لازم بداند وجود دارد، هم‌چنان‌که در مورد نماز و روزه کودک، اجازة ولی لازم نیست</w:t>
      </w:r>
      <w:r>
        <w:rPr>
          <w:rFonts w:eastAsia="IRNazanin" w:cs="IRNazanin"/>
          <w:color w:val="111111"/>
          <w:sz w:val="28"/>
          <w:szCs w:val="28"/>
          <w:rtl w:val="true"/>
          <w:lang w:bidi="fa-IR"/>
        </w:rPr>
        <w:t>.</w:t>
      </w:r>
      <w:r>
        <w:rPr>
          <w:rStyle w:val="FootnoteAnchor"/>
          <w:rtl w:val="true"/>
        </w:rPr>
        <w:footnoteReference w:id="762"/>
      </w:r>
      <w:bookmarkStart w:id="381" w:name="pg13713_164470"/>
    </w:p>
    <w:p>
      <w:pPr>
        <w:pStyle w:val="BookText"/>
        <w:rPr/>
      </w:pPr>
      <w:bookmarkEnd w:id="381"/>
      <w:r>
        <w:rPr>
          <w:rFonts w:ascii="IRNazanin" w:hAnsi="IRNazanin" w:eastAsia="IRNazanin"/>
          <w:color w:val="111111"/>
          <w:sz w:val="28"/>
          <w:sz w:val="28"/>
          <w:szCs w:val="28"/>
          <w:rtl w:val="true"/>
          <w:lang w:bidi="fa-IR"/>
        </w:rPr>
        <w:t>به هر صورت، با قبول این‌که عبادات کودک مشروع است و حج وی صحیح است، در حقیقت شارع به او اجازة حج داده و نیاز به اجازه ولی نمیباشد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لیکن در عین حال احتیاط نیکوست، و خوب است کودک با اجازة ولی حج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ذکر شد در صورتی است که رفتن کودک به حج، بیخطر باشد و موجب آزار و ناراحتی والدین و دیگر مؤمنین نباشد، والاّ حج او صحیح نیست و لازم است ولی، او را از رفتن به حج منع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برخی از فقها به این نکته اشاره شده است</w:t>
      </w:r>
      <w:r>
        <w:rPr>
          <w:rFonts w:eastAsia="IRNazanin" w:cs="IRNazanin"/>
          <w:color w:val="111111"/>
          <w:sz w:val="28"/>
          <w:szCs w:val="28"/>
          <w:rtl w:val="true"/>
          <w:lang w:bidi="fa-IR"/>
        </w:rPr>
        <w:t>.</w:t>
      </w:r>
      <w:r>
        <w:rPr>
          <w:rStyle w:val="FootnoteAnchor"/>
          <w:rtl w:val="true"/>
        </w:rPr>
        <w:footnoteReference w:id="764"/>
      </w:r>
    </w:p>
    <w:p>
      <w:pPr>
        <w:pStyle w:val="Heading4"/>
        <w:numPr>
          <w:ilvl w:val="3"/>
          <w:numId w:val="1"/>
        </w:numPr>
        <w:rPr/>
      </w:pPr>
      <w:bookmarkStart w:id="382" w:name="__RefHeading___Toc1259592_1468164448"/>
      <w:bookmarkStart w:id="383" w:name="_Toc141"/>
      <w:bookmarkEnd w:id="382"/>
      <w:r>
        <w:rPr/>
        <w:t>12</w:t>
      </w:r>
      <w:r>
        <w:rPr>
          <w:rtl w:val="true"/>
        </w:rPr>
        <w:t xml:space="preserve">- </w:t>
      </w:r>
      <w:r>
        <w:rPr>
          <w:rtl w:val="true"/>
        </w:rPr>
        <w:t>هزینه حج کودک</w:t>
      </w:r>
      <w:bookmarkEnd w:id="383"/>
    </w:p>
    <w:p>
      <w:pPr>
        <w:pStyle w:val="BookText"/>
        <w:rPr/>
      </w:pPr>
      <w:r>
        <w:rPr>
          <w:rFonts w:ascii="IRNazanin" w:hAnsi="IRNazanin" w:eastAsia="IRNazanin"/>
          <w:color w:val="111111"/>
          <w:sz w:val="28"/>
          <w:sz w:val="28"/>
          <w:szCs w:val="28"/>
          <w:rtl w:val="true"/>
          <w:lang w:bidi="fa-IR"/>
        </w:rPr>
        <w:t>آیا هزینة حج کودک بر ولی اوست، یا اگر خودش مالی را داشته باشد، از آن پرداخت میشود و یا تفصیلی غیر از این دو مطرح است؟ در این مسأله چند صورت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هزینة حج بر عهده ولی</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است که ولی، سبب مسافرت کودک و حج او میگردد در این فرض به اجماع فقها هزینه سفر و مخارجی که زائد بر نفقه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زمانی که به سفر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میگردد، باید ولی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اندازه از مخارج که مصرف غذا، مسکن و لباس کودک است که اگر در مسافرت نباشد لازم دارد، از اموال کودک پرداخت میشود و زائد بر آن مثل مخارج رفت و برگشت و آن‌چه در سفر به طور خاص لازم میباشد، باید ولی، آنها را بپردازد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ادلّه این نظریّه عبارت است از</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اجماع و عدم خلاف</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مقتضای اصل در فرض مزبور، ولی کودک، ولایت در تصرّف نسبت به اموال‌او را ندارد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سفر و آن‌چه زائد بر مخارج اوّلیه است، خسارت و ضرری است که ولی سبب شده تا بر کودک وارد شود، بنابراین باید خودش آن را بپردازد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صحیحه زراره از امام باقر یا امام صادق علیهما السلام که 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که او را به حج برده، وی را از ارتکاب آن‌چه بر مُحر م، حرام است، مثل پوشیدن لباس دوخته، استشمام عطر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مینماید و اگر در حال احرام صید کند، کفّارة آن به عهده ولی‌میباشد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وَیُتَّقیَ عَلَیْهِمْ مایُتَّقیَ عَلَی الْمُحْرِمِ مِنَ الثِّیابِ وَالطِّیبِ، وَاِنْ قَتَلَ صَیْداً فَعَلی أَبِیهِ</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این روایت به صراحت دلالت دارد بر این‌که کفّاره صید کودک در حال احرام، بر ولی است و به نظر برخی از فقها به حکم اولویّت از آن فهمیده میشود که هزینه سفر حج وی نیز در صورتیکه ولی سبب آن گردیده، با اوست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حج بر عهده کودک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محافظت و تربیت کودک متوقّف بر مسافرت او با ولی باشد، مثل این‌که شخص یا موسسة مورد اطمینان نباشد تا او را نگهداری نماید و مسافرت به مصلحت باشد، در این صورت هزینه سفر از اموال کودک پرداخت میشود،</w:t>
      </w:r>
      <w:r>
        <w:rPr>
          <w:rStyle w:val="FootnoteAnchor"/>
          <w:rtl w:val="true"/>
        </w:rPr>
        <w:footnoteReference w:id="771"/>
      </w:r>
      <w:r>
        <w:rPr>
          <w:rFonts w:ascii="IRNazanin" w:hAnsi="IRNazanin" w:eastAsia="IRNazanin"/>
          <w:color w:val="111111"/>
          <w:sz w:val="28"/>
          <w:sz w:val="28"/>
          <w:szCs w:val="28"/>
          <w:rtl w:val="true"/>
          <w:lang w:bidi="fa-IR"/>
        </w:rPr>
        <w:t>زیرا اطلاقات و عموماتی که دلالت بر جواز تصرّف ولی در اموال کودک با رعایت مصلحت دارد، این مورد را شامل میباشد، چرا که معیار در جواز تصرّف در اموال کودک، مصلحت اوست</w:t>
      </w:r>
      <w:r>
        <w:rPr>
          <w:rFonts w:eastAsia="IRNazanin" w:cs="IRNazanin"/>
          <w:color w:val="111111"/>
          <w:sz w:val="28"/>
          <w:szCs w:val="28"/>
          <w:rtl w:val="true"/>
          <w:lang w:bidi="fa-IR"/>
        </w:rPr>
        <w:t>.</w:t>
      </w:r>
      <w:bookmarkStart w:id="384" w:name="pg13713_164472"/>
    </w:p>
    <w:p>
      <w:pPr>
        <w:pStyle w:val="BookText"/>
        <w:rPr/>
      </w:pPr>
      <w:bookmarkEnd w:id="384"/>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کودک بدون اجازة ولی به حج میرود، در این صورت تمام هزینه از اموال کودک پرداخت میشود، زیرا حج در حق او مستحب است و در حقیقت شارع مقدّس اجازه مصرف اموال خودش در حدّ هزینة حج را به او داده است</w:t>
      </w:r>
      <w:r>
        <w:rPr>
          <w:rFonts w:eastAsia="IRNazanin" w:cs="IRNazanin"/>
          <w:color w:val="111111"/>
          <w:sz w:val="28"/>
          <w:szCs w:val="28"/>
          <w:rtl w:val="true"/>
          <w:lang w:bidi="fa-IR"/>
        </w:rPr>
        <w:t>.</w:t>
      </w:r>
      <w:r>
        <w:rPr>
          <w:rStyle w:val="FootnoteAnchor"/>
          <w:rtl w:val="true"/>
        </w:rPr>
        <w:footnoteReference w:id="772"/>
      </w:r>
    </w:p>
    <w:p>
      <w:pPr>
        <w:pStyle w:val="Heading4"/>
        <w:numPr>
          <w:ilvl w:val="3"/>
          <w:numId w:val="1"/>
        </w:numPr>
        <w:rPr/>
      </w:pPr>
      <w:bookmarkStart w:id="385" w:name="__RefHeading___Toc1259594_1468164448"/>
      <w:bookmarkStart w:id="386" w:name="_Toc142"/>
      <w:bookmarkEnd w:id="385"/>
      <w:r>
        <w:rPr/>
        <w:t>13</w:t>
      </w:r>
      <w:r>
        <w:rPr>
          <w:rtl w:val="true"/>
        </w:rPr>
        <w:t xml:space="preserve">- </w:t>
      </w:r>
      <w:r>
        <w:rPr>
          <w:rtl w:val="true"/>
        </w:rPr>
        <w:t>میقات احرام کودک</w:t>
      </w:r>
      <w:bookmarkEnd w:id="386"/>
    </w:p>
    <w:p>
      <w:pPr>
        <w:pStyle w:val="BookText"/>
        <w:rPr/>
      </w:pPr>
      <w:r>
        <w:rPr>
          <w:rFonts w:ascii="IRNazanin" w:hAnsi="IRNazanin" w:eastAsia="IRNazanin"/>
          <w:color w:val="111111"/>
          <w:sz w:val="28"/>
          <w:sz w:val="28"/>
          <w:szCs w:val="28"/>
          <w:rtl w:val="true"/>
          <w:lang w:bidi="fa-IR"/>
        </w:rPr>
        <w:t xml:space="preserve">میقات از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مواقیت است و به معنی مقداری از زمان است که برای انجام کار معیّنی در نظر گرفته شده است و به طور مجازی در مورد مکان معیّن نیز به کار رفته است</w:t>
      </w:r>
      <w:r>
        <w:rPr>
          <w:rStyle w:val="FootnoteAnchor"/>
          <w:rtl w:val="true"/>
        </w:rPr>
        <w:footnoteReference w:id="773"/>
      </w:r>
      <w:r>
        <w:rPr>
          <w:rFonts w:ascii="IRNazanin" w:hAnsi="IRNazanin" w:eastAsia="IRNazanin"/>
          <w:color w:val="111111"/>
          <w:sz w:val="28"/>
          <w:sz w:val="28"/>
          <w:szCs w:val="28"/>
          <w:rtl w:val="true"/>
          <w:lang w:bidi="fa-IR"/>
        </w:rPr>
        <w:t>و مقصود از آن در این بحث، اماکنی است که از آن‌جا برای انجام حج، محرم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احرام، اوّلین واجب از واجبات حج و عمره است و باید در مکان مشخص که از طرف شارع مقدّس تعیین گردیده،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اخبار رسیده و اجماع فقها</w:t>
      </w:r>
      <w:r>
        <w:rPr>
          <w:rStyle w:val="FootnoteAnchor"/>
          <w:rtl w:val="true"/>
        </w:rPr>
        <w:footnoteReference w:id="774"/>
      </w:r>
      <w:r>
        <w:rPr>
          <w:rFonts w:ascii="IRNazanin" w:hAnsi="IRNazanin" w:eastAsia="IRNazanin"/>
          <w:color w:val="111111"/>
          <w:sz w:val="28"/>
          <w:sz w:val="28"/>
          <w:szCs w:val="28"/>
          <w:rtl w:val="true"/>
          <w:lang w:bidi="fa-IR"/>
        </w:rPr>
        <w:t>، پیامبر اعظم صلی الله علیه و آله شش مکان برای طوائف مختلف که قصد انجام حج داشتند، تعیین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ذالحلیفه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میقات مردم مدینه و هر کسی که از مدینه عازم مکّه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جحفه، میقات مردم سوریه و شام، ایرانیان، از این دو میقات، محرم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 المنازل، میقات اهالی نجد و طائف و هر کس که از آن طریق عازم حج میباشند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یَلَمْلَم، میقات مردم یمن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عقیق، میقات اهل عراق، ذات عرق نیز که ادامه همان مسیر است، میقات عراقیان و کسی که از آن مسیر به حج مشرّف میباشد، است</w:t>
      </w:r>
      <w:r>
        <w:rPr>
          <w:rFonts w:eastAsia="IRNazanin" w:cs="IRNazanin"/>
          <w:color w:val="111111"/>
          <w:sz w:val="28"/>
          <w:szCs w:val="28"/>
          <w:rtl w:val="true"/>
          <w:lang w:bidi="fa-IR"/>
        </w:rPr>
        <w:t>.</w:t>
      </w:r>
      <w:r>
        <w:rPr>
          <w:rStyle w:val="FootnoteAnchor"/>
          <w:rtl w:val="true"/>
        </w:rPr>
        <w:footnoteReference w:id="77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میقات کسانی که محل زندگی آنها، نزدیک‌تر از مکان‌های یاد شده به مکّه میباشد، منزل آنها است</w:t>
      </w:r>
      <w:r>
        <w:rPr>
          <w:rFonts w:eastAsia="IRNazanin" w:cs="IRNazanin"/>
          <w:color w:val="111111"/>
          <w:sz w:val="28"/>
          <w:szCs w:val="28"/>
          <w:rtl w:val="true"/>
          <w:lang w:bidi="fa-IR"/>
        </w:rPr>
        <w:t>.</w:t>
      </w:r>
      <w:r>
        <w:rPr>
          <w:rStyle w:val="FootnoteAnchor"/>
          <w:rtl w:val="true"/>
        </w:rPr>
        <w:footnoteReference w:id="776"/>
      </w:r>
      <w:bookmarkStart w:id="387" w:name="pg13713_164473"/>
    </w:p>
    <w:p>
      <w:pPr>
        <w:pStyle w:val="BookText"/>
        <w:rPr/>
      </w:pPr>
      <w:bookmarkEnd w:id="387"/>
      <w:r>
        <w:rPr>
          <w:rFonts w:ascii="IRNazanin" w:hAnsi="IRNazanin" w:eastAsia="IRNazanin"/>
          <w:color w:val="111111"/>
          <w:sz w:val="28"/>
          <w:sz w:val="28"/>
          <w:szCs w:val="28"/>
          <w:rtl w:val="true"/>
          <w:lang w:bidi="fa-IR"/>
        </w:rPr>
        <w:t>اماکن یاد شده، میقات حج و عمره مکلّفین است، و امّا کودکان آیا حکمشان مانند افراد بالغ است و باید از اماکن مزبور مُحرم شوند، زیرا طبیعت حج آنها با افراد بالغ یکی است، مگر این‌که در حق کودکان مستحب است یا این‌که کودکان مجازند احرام را از مواقیت یاد شده به تأخیر بیندازند؟ در این‌باره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معتقدند، میقات کودکان، صحرایی است به نام فخّ که حدود یک فرسخ از شهر مکّه در زمان قدیم دور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دلیل این دیدگاه، روایت صحیحه‌ای است از امام صادق علیه السلام؛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شده، از کجا کودکان را برهنه و بر آنها لباس احرام بپوشند؟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محل برهنه نمودن کودکان را فخّ معیّن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یُجَرِّدُهُمْ مِنْ فَخٍّ</w:t>
      </w:r>
      <w:r>
        <w:rPr>
          <w:rFonts w:eastAsia="IRNazanin" w:cs="IRNazanin"/>
          <w:color w:val="111111"/>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که برخی دیگر آن را پذیرفته‌اند این‌که میقات کودکان، همان میقات افراد مکلّف است، لیکن اجازه داده شده به جهت جلوگیری از سرما و تسهیل نسبت به آنها، از اماکن میقات تا فخّ لباس دوخته بپوشند و از آنجا برهنه شده و با لباس احرام وارد شهر مکّه گردند</w:t>
      </w:r>
      <w:r>
        <w:rPr>
          <w:rFonts w:eastAsia="IRNazanin" w:cs="IRNazanin"/>
          <w:color w:val="111111"/>
          <w:sz w:val="28"/>
          <w:szCs w:val="28"/>
          <w:rtl w:val="true"/>
          <w:lang w:bidi="fa-IR"/>
        </w:rPr>
        <w:t>.</w:t>
      </w:r>
    </w:p>
    <w:p>
      <w:pPr>
        <w:pStyle w:val="BookText"/>
        <w:rPr/>
      </w:pPr>
      <w:r>
        <w:rPr>
          <w:rStyle w:val="FootnoteAnchor"/>
          <w:rtl w:val="true"/>
        </w:rPr>
        <w:footnoteReference w:id="779"/>
      </w:r>
      <w:r>
        <w:rPr>
          <w:rFonts w:ascii="IRNazanin" w:hAnsi="IRNazanin" w:eastAsia="IRNazanin"/>
          <w:color w:val="111111"/>
          <w:sz w:val="28"/>
          <w:sz w:val="28"/>
          <w:szCs w:val="28"/>
          <w:rtl w:val="true"/>
          <w:lang w:bidi="fa-IR"/>
        </w:rPr>
        <w:t>بعضی از بزرگان فقهای معاصر، این نظر را مقتضای احتیاط دانسته‌اند</w:t>
      </w:r>
      <w:r>
        <w:rPr>
          <w:rFonts w:eastAsia="IRNazanin" w:cs="IRNazanin"/>
          <w:color w:val="111111"/>
          <w:sz w:val="28"/>
          <w:szCs w:val="28"/>
          <w:rtl w:val="true"/>
          <w:lang w:bidi="fa-IR"/>
        </w:rPr>
        <w:t>.</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مستند این دیدگاه، اطلاقات ادلّه مواقیت</w:t>
      </w:r>
      <w:r>
        <w:rPr>
          <w:rStyle w:val="FootnoteAnchor"/>
          <w:rtl w:val="true"/>
        </w:rPr>
        <w:footnoteReference w:id="781"/>
      </w:r>
      <w:r>
        <w:rPr>
          <w:rFonts w:ascii="IRNazanin" w:hAnsi="IRNazanin" w:eastAsia="IRNazanin"/>
          <w:color w:val="111111"/>
          <w:sz w:val="28"/>
          <w:sz w:val="28"/>
          <w:szCs w:val="28"/>
          <w:rtl w:val="true"/>
          <w:lang w:bidi="fa-IR"/>
        </w:rPr>
        <w:t xml:space="preserve">است، به علاوه روایتی که برای اثبات قول اوّل به آن استدلال شده، صریح در آن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کندن لباس کودکان است و با هر دو قول سازگار است</w:t>
      </w:r>
      <w:r>
        <w:rPr>
          <w:rFonts w:eastAsia="IRNazanin" w:cs="IRNazanin"/>
          <w:color w:val="111111"/>
          <w:sz w:val="28"/>
          <w:szCs w:val="28"/>
          <w:rtl w:val="true"/>
          <w:lang w:bidi="fa-IR"/>
        </w:rPr>
        <w:t>.</w:t>
      </w:r>
    </w:p>
    <w:p>
      <w:pPr>
        <w:pStyle w:val="Heading4"/>
        <w:numPr>
          <w:ilvl w:val="3"/>
          <w:numId w:val="1"/>
        </w:numPr>
        <w:rPr/>
      </w:pPr>
      <w:bookmarkStart w:id="388" w:name="__RefHeading___Toc1259596_1468164448"/>
      <w:bookmarkStart w:id="389" w:name="_Toc143"/>
      <w:bookmarkEnd w:id="388"/>
      <w:r>
        <w:rPr/>
        <w:t>14</w:t>
      </w:r>
      <w:r>
        <w:rPr>
          <w:rtl w:val="true"/>
        </w:rPr>
        <w:t xml:space="preserve">- </w:t>
      </w:r>
      <w:r>
        <w:rPr>
          <w:rtl w:val="true"/>
        </w:rPr>
        <w:t>محرّمات احرام نسبت به کودک</w:t>
      </w:r>
      <w:bookmarkEnd w:id="38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دیدگاه مشهور فقها، در محرّمات احرام، کودک مانند بالغ است و باید از آن‌چه بر فرد مکلّف اجتناب از آن واجب است، اجتناب نماید و به جهت این‌که تکلیفی بر</w:t>
      </w:r>
      <w:bookmarkStart w:id="390" w:name="pg13713_164474"/>
    </w:p>
    <w:p>
      <w:pPr>
        <w:pStyle w:val="BookText"/>
        <w:rPr/>
      </w:pPr>
      <w:bookmarkEnd w:id="390"/>
      <w:r>
        <w:rPr>
          <w:rFonts w:ascii="IRNazanin" w:hAnsi="IRNazanin" w:eastAsia="IRNazanin"/>
          <w:color w:val="111111"/>
          <w:sz w:val="28"/>
          <w:sz w:val="28"/>
          <w:szCs w:val="28"/>
          <w:rtl w:val="true"/>
          <w:lang w:bidi="fa-IR"/>
        </w:rPr>
        <w:t>کودک نیست، بر ولی واجب است او را از انجام آنها منع نماید،</w:t>
      </w:r>
      <w:r>
        <w:rPr>
          <w:rStyle w:val="FootnoteAnchor"/>
          <w:rtl w:val="true"/>
        </w:rPr>
        <w:footnoteReference w:id="782"/>
      </w:r>
      <w:r>
        <w:rPr>
          <w:rFonts w:ascii="IRNazanin" w:hAnsi="IRNazanin" w:eastAsia="IRNazanin"/>
          <w:color w:val="111111"/>
          <w:sz w:val="28"/>
          <w:sz w:val="28"/>
          <w:szCs w:val="28"/>
          <w:rtl w:val="true"/>
          <w:lang w:bidi="fa-IR"/>
        </w:rPr>
        <w:t>زیرا چنان‌که پیش‌تر ذکر شد، احرام کودک، شرعی است؛ بنابراین احکام احرام بر آن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باید از آن‌چه مُحرم از آن اجتناب مینماید، منع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وَیُتَّقیِ عَلَیْهِمْ ما یُتَّقیِ عَلَی الْمُحْرِمِ</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وَیُصْنَعْ بِهِمْ ما یُصْنَعُ بِالْمُحْرِمِ</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391" w:name="__RefHeading___Toc1259598_1468164448"/>
      <w:bookmarkStart w:id="392" w:name="_Toc144"/>
      <w:bookmarkEnd w:id="391"/>
      <w:r>
        <w:rPr/>
        <w:t>15</w:t>
      </w:r>
      <w:r>
        <w:rPr>
          <w:rtl w:val="true"/>
        </w:rPr>
        <w:t xml:space="preserve">- </w:t>
      </w:r>
      <w:r>
        <w:rPr>
          <w:rtl w:val="true"/>
        </w:rPr>
        <w:t>جواز استفاده از سایه</w:t>
      </w:r>
      <w:bookmarkEnd w:id="392"/>
    </w:p>
    <w:p>
      <w:pPr>
        <w:pStyle w:val="BookText"/>
        <w:rPr/>
      </w:pPr>
      <w:r>
        <w:rPr>
          <w:rFonts w:ascii="IRNazanin" w:hAnsi="IRNazanin" w:eastAsia="IRNazanin"/>
          <w:color w:val="111111"/>
          <w:sz w:val="28"/>
          <w:sz w:val="28"/>
          <w:szCs w:val="28"/>
          <w:rtl w:val="true"/>
          <w:lang w:bidi="fa-IR"/>
        </w:rPr>
        <w:t>کودک مُحرم مجاز است در حال پیمودن مسیر از میقات تا منزل از سایه استفاده نماید</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توضیح این‌که یکی ازمحرّمات احرام برای مردان، استفاده از سایه در زمان طی مسیر در حال احرام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 کودک از این حکم استثناء شده و مجازند از سایه‌بان استفاده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حدیث معتبر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زنان و کودکان منعی نیست، در حال احرام از سایه‌بان استفاده 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بِالْقُُبَّةِ عَلَی النِّساءِ وَالصِّبْیانِ وَهُمْ مُحْرِمُونَ</w:t>
      </w:r>
      <w:r>
        <w:rPr>
          <w:rFonts w:eastAsia="Amiri" w:cs="Amiri" w:ascii="Amiri" w:hAnsi="Amiri"/>
          <w:color w:val="111111"/>
          <w:sz w:val="28"/>
          <w:szCs w:val="28"/>
          <w:rtl w:val="true"/>
          <w:lang w:bidi="ar-SA"/>
        </w:rPr>
        <w:t>».</w:t>
      </w:r>
      <w:r>
        <w:rPr>
          <w:rStyle w:val="FootnoteAnchor"/>
          <w:rtl w:val="true"/>
        </w:rPr>
        <w:footnoteReference w:id="786"/>
      </w:r>
    </w:p>
    <w:p>
      <w:pPr>
        <w:pStyle w:val="Heading4"/>
        <w:numPr>
          <w:ilvl w:val="3"/>
          <w:numId w:val="1"/>
        </w:numPr>
        <w:rPr/>
      </w:pPr>
      <w:bookmarkStart w:id="393" w:name="__RefHeading___Toc1259600_1468164448"/>
      <w:bookmarkStart w:id="394" w:name="_Toc145"/>
      <w:bookmarkEnd w:id="393"/>
      <w:r>
        <w:rPr/>
        <w:t>16</w:t>
      </w:r>
      <w:r>
        <w:rPr>
          <w:rtl w:val="true"/>
        </w:rPr>
        <w:t xml:space="preserve">- </w:t>
      </w:r>
      <w:r>
        <w:rPr>
          <w:rtl w:val="true"/>
        </w:rPr>
        <w:t>حکم کفّاره احرام نسبت به کودک</w:t>
      </w:r>
      <w:bookmarkEnd w:id="394"/>
    </w:p>
    <w:p>
      <w:pPr>
        <w:pStyle w:val="BookText"/>
        <w:rPr/>
      </w:pPr>
      <w:r>
        <w:rPr>
          <w:rFonts w:ascii="IRNazanin" w:hAnsi="IRNazanin" w:eastAsia="IRNazanin"/>
          <w:color w:val="111111"/>
          <w:sz w:val="28"/>
          <w:sz w:val="28"/>
          <w:szCs w:val="28"/>
          <w:rtl w:val="true"/>
          <w:lang w:bidi="fa-IR"/>
        </w:rPr>
        <w:t>اگر کودک در حال احرام آن‌چه را که بر مُحرم بالغ حرام است، مرتکب شد، آیاموجب کفّاره میشود یا خیر؟ و اگر موجب شود، آیا باید از مال کودک پرداخت شود و یا از مال ولی؟</w:t>
      </w:r>
    </w:p>
    <w:p>
      <w:pPr>
        <w:pStyle w:val="BookText"/>
        <w:rPr/>
      </w:pPr>
      <w:r>
        <w:rPr>
          <w:rFonts w:ascii="IRNazanin" w:hAnsi="IRNazanin" w:eastAsia="IRNazanin"/>
          <w:color w:val="111111"/>
          <w:sz w:val="28"/>
          <w:sz w:val="28"/>
          <w:szCs w:val="28"/>
          <w:rtl w:val="true"/>
          <w:lang w:bidi="fa-IR"/>
        </w:rPr>
        <w:t>باید دانست محرّمات احرام که موجب کفّاره میباشد، دو قسم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قسمی از آنها همواره موجب کفّاره میباشد، خواه به عمد انجام شود و یا از روی سهو و خطا مثل صید کردن و آمیزش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دیگر، فقط در صورت عمد موجب کفّاره میباشد نه سهو، مانند دیگر محرّمات، بنابراین لازم است این بحث در دو بخش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غیر از صید</w:t>
      </w:r>
    </w:p>
    <w:p>
      <w:pPr>
        <w:pStyle w:val="BookText"/>
        <w:rPr/>
      </w:pPr>
      <w:r>
        <w:rPr>
          <w:rFonts w:ascii="IRNazanin" w:hAnsi="IRNazanin" w:eastAsia="IRNazanin"/>
          <w:color w:val="111111"/>
          <w:sz w:val="28"/>
          <w:sz w:val="28"/>
          <w:szCs w:val="28"/>
          <w:rtl w:val="true"/>
          <w:lang w:bidi="fa-IR"/>
        </w:rPr>
        <w:t>بیتردید، در مورد چیزی که فقط انجام عمدی آن، موجب کفّاره می‌باشد و نه سهو، مثل استشمام عطر، پوشیدن لباس دوخته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 آن را از روی سهو مرتکب گردد، کفّاره بر او واجب نمیشود، زیرا چیزی که ارتکاب آن بر بالغ در حال غیر عمد موجب کفّاره نیست، باید به طریق اولی بر کودک نباشد</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امّا اگر آن را به عمد انجام دهد، آیا موجب کفّاره میشود یا خیر؟ چند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 که کفاره‌ای را موجب نمیشود، نه بر کودک و نه بر ولی او</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از فقیهان بر این باورند که در این صورت پرداخت کفّاره بر عهده ولی است</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امام خمینی قدس سره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قربانی در حج کودک بر عهده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کفّارات را احتیاطاً باید بپردازد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آیت الله فاضل لنکرانی</w:t>
      </w:r>
      <w:r>
        <w:rPr>
          <w:rStyle w:val="FootnoteAnchor"/>
          <w:rtl w:val="true"/>
        </w:rPr>
        <w:footnoteReference w:id="791"/>
      </w:r>
      <w:r>
        <w:rPr>
          <w:rFonts w:ascii="IRNazanin" w:hAnsi="IRNazanin" w:eastAsia="IRNazanin"/>
          <w:color w:val="111111"/>
          <w:sz w:val="28"/>
          <w:sz w:val="28"/>
          <w:szCs w:val="28"/>
          <w:rtl w:val="true"/>
          <w:lang w:bidi="fa-IR"/>
        </w:rPr>
        <w:t>و آیت‌الله گلپایگانی</w:t>
      </w:r>
      <w:r>
        <w:rPr>
          <w:rStyle w:val="FootnoteAnchor"/>
          <w:rtl w:val="true"/>
        </w:rPr>
        <w:footnoteReference w:id="792"/>
      </w:r>
      <w:r>
        <w:rPr>
          <w:rFonts w:ascii="IRNazanin" w:hAnsi="IRNazanin" w:eastAsia="IRNazanin"/>
          <w:color w:val="111111"/>
          <w:sz w:val="28"/>
          <w:sz w:val="28"/>
          <w:szCs w:val="28"/>
          <w:rtl w:val="true"/>
          <w:lang w:bidi="fa-IR"/>
        </w:rPr>
        <w:t>و برخی دیگر از بزرگان فقهای‌معاصر</w:t>
      </w:r>
      <w:r>
        <w:rPr>
          <w:rStyle w:val="FootnoteAnchor"/>
          <w:rtl w:val="true"/>
        </w:rPr>
        <w:footnoteReference w:id="793"/>
      </w:r>
      <w:r>
        <w:rPr>
          <w:rFonts w:ascii="IRNazanin" w:hAnsi="IRNazanin" w:eastAsia="IRNazanin"/>
          <w:color w:val="111111"/>
          <w:sz w:val="28"/>
          <w:sz w:val="28"/>
          <w:szCs w:val="28"/>
          <w:rtl w:val="true"/>
          <w:lang w:bidi="fa-IR"/>
        </w:rPr>
        <w:t>نیز معتقد به این نظریّه میباشند، زیرا ولی سبب وجوب کفّاره گردیده است، چرا که او کودک را به حج برده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حکم از بعضی از روایات نیز استفاده میگردد، مانند آن‌که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طرف کودک قربانی شود و بزرگترها به جای او روزه‌گیرند و بر ولی واجب است او را از آن‌چه بر مُحرم حرام است، مانند استشمام عطر و پوشیدن لباس</w:t>
      </w:r>
      <w:bookmarkStart w:id="395" w:name="pg13713_164476"/>
    </w:p>
    <w:p>
      <w:pPr>
        <w:pStyle w:val="BookText"/>
        <w:rPr/>
      </w:pPr>
      <w:bookmarkEnd w:id="395"/>
      <w:r>
        <w:rPr>
          <w:rFonts w:ascii="IRNazanin" w:hAnsi="IRNazanin" w:eastAsia="IRNazanin"/>
          <w:color w:val="111111"/>
          <w:sz w:val="28"/>
          <w:sz w:val="28"/>
          <w:szCs w:val="28"/>
          <w:rtl w:val="true"/>
          <w:lang w:bidi="fa-IR"/>
        </w:rPr>
        <w:t>دوخته، منع نماید،</w:t>
      </w:r>
      <w:r>
        <w:rPr>
          <w:rStyle w:val="FootnoteAnchor"/>
          <w:rtl w:val="true"/>
        </w:rPr>
        <w:footnoteReference w:id="794"/>
      </w:r>
      <w:r>
        <w:rPr>
          <w:rFonts w:ascii="IRNazanin" w:hAnsi="IRNazanin" w:eastAsia="IRNazanin"/>
          <w:color w:val="111111"/>
          <w:sz w:val="28"/>
          <w:sz w:val="28"/>
          <w:szCs w:val="28"/>
          <w:rtl w:val="true"/>
          <w:lang w:bidi="fa-IR"/>
        </w:rPr>
        <w:t xml:space="preserve">چون خطاب متوجّه ولی است، بنابراین حکم مترتب بر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کفّاره در صورت ارتکاب محرّمات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متوجه ولی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سوّم این است که باید کفّاره از مال کودک پرداخت گردد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کفّاره صید</w:t>
      </w:r>
    </w:p>
    <w:p>
      <w:pPr>
        <w:pStyle w:val="BookText"/>
        <w:rPr/>
      </w:pPr>
      <w:r>
        <w:rPr>
          <w:rFonts w:ascii="IRNazanin" w:hAnsi="IRNazanin" w:eastAsia="IRNazanin"/>
          <w:color w:val="111111"/>
          <w:sz w:val="28"/>
          <w:sz w:val="28"/>
          <w:szCs w:val="28"/>
          <w:rtl w:val="true"/>
          <w:lang w:bidi="fa-IR"/>
        </w:rPr>
        <w:t>اگر کودک در حال احرام صیدی انجام دهد، کفّاره بر کیست؟ در این باره بین فقها بحث و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طبق نظریّه‌ای که مشهور است، کفّاره بر ولی اوست؛</w:t>
      </w:r>
      <w:r>
        <w:rPr>
          <w:rStyle w:val="FootnoteAnchor"/>
          <w:rtl w:val="true"/>
        </w:rPr>
        <w:footnoteReference w:id="796"/>
      </w:r>
      <w:r>
        <w:rPr>
          <w:rFonts w:ascii="IRNazanin" w:hAnsi="IRNazanin" w:eastAsia="IRNazanin"/>
          <w:color w:val="111111"/>
          <w:sz w:val="28"/>
          <w:sz w:val="28"/>
          <w:szCs w:val="28"/>
          <w:rtl w:val="true"/>
          <w:lang w:bidi="fa-IR"/>
        </w:rPr>
        <w:t>زیرا در روایت صحیح،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مرتکب صید شد، کفّاره بر پدر او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قَتَلَ صَیْداً فَعَلی أَبِیهِ</w:t>
      </w:r>
      <w:r>
        <w:rPr>
          <w:rFonts w:eastAsia="IRNazanin" w:cs="IRNazanin"/>
          <w:color w:val="111111"/>
          <w:sz w:val="28"/>
          <w:szCs w:val="28"/>
          <w:rtl w:val="true"/>
          <w:lang w:bidi="fa-IR"/>
        </w:rPr>
        <w:t>».</w:t>
      </w:r>
      <w:r>
        <w:rPr>
          <w:rStyle w:val="FootnoteAnchor"/>
        </w:rPr>
        <w:footnoteReference w:id="797"/>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دیگر، کفّاره را واجب نمیداند، نه بر کودک و نه بر ولی، زیرا خطاب الزام‌آور متوجّه افراد بالغ است وکودک، مخاطب به چنین خطابی نیست</w:t>
      </w:r>
      <w:r>
        <w:rPr>
          <w:rFonts w:eastAsia="IRNazanin" w:cs="IRNazanin"/>
          <w:color w:val="111111"/>
          <w:sz w:val="28"/>
          <w:szCs w:val="28"/>
          <w:rtl w:val="true"/>
          <w:lang w:bidi="fa-IR"/>
        </w:rPr>
        <w:t>.</w:t>
      </w:r>
    </w:p>
    <w:p>
      <w:pPr>
        <w:pStyle w:val="BookText"/>
        <w:rPr/>
      </w:pPr>
      <w:r>
        <w:rPr>
          <w:rStyle w:val="FootnoteAnchor"/>
        </w:rPr>
        <w:footnoteReference w:id="798"/>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سوّم، این است که باید کفّاره صید از مال کودک پرداخت شود، زیرا با فعل او واجب گردیده است، مانند این‌که اگر مال غیر را اتلاف نمود، ضامن است</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البته بر این نظریّه ایراد شده که کفّاره از باب ضمان نیست، بلکه حکم تکلیفی است، بنابراین نمیتواند متوجه کودک باشد</w:t>
      </w:r>
      <w:r>
        <w:rPr>
          <w:rFonts w:eastAsia="IRNazanin" w:cs="IRNazanin"/>
          <w:color w:val="111111"/>
          <w:sz w:val="28"/>
          <w:szCs w:val="28"/>
          <w:rtl w:val="true"/>
          <w:lang w:bidi="fa-IR"/>
        </w:rPr>
        <w:t>.</w:t>
      </w:r>
      <w:r>
        <w:rPr>
          <w:rStyle w:val="FootnoteAnchor"/>
          <w:rtl w:val="true"/>
        </w:rPr>
        <w:footnoteReference w:id="800"/>
      </w:r>
    </w:p>
    <w:p>
      <w:pPr>
        <w:pStyle w:val="Heading4"/>
        <w:numPr>
          <w:ilvl w:val="3"/>
          <w:numId w:val="1"/>
        </w:numPr>
        <w:rPr/>
      </w:pPr>
      <w:bookmarkStart w:id="396" w:name="__RefHeading___Toc1259602_1468164448"/>
      <w:bookmarkStart w:id="397" w:name="_Toc146"/>
      <w:bookmarkEnd w:id="396"/>
      <w:r>
        <w:rPr/>
        <w:t>17</w:t>
      </w:r>
      <w:r>
        <w:rPr>
          <w:rtl w:val="true"/>
        </w:rPr>
        <w:t xml:space="preserve">- </w:t>
      </w:r>
      <w:r>
        <w:rPr>
          <w:rtl w:val="true"/>
        </w:rPr>
        <w:t>شیوه انجام مناسک حج توسط کودک</w:t>
      </w:r>
      <w:bookmarkEnd w:id="39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کلّی هر اندازه از مناسک حج که کودک، خودش توانایی آن را دارد، انجام میدهد، هرچند که ولی در حین عمل، او را آموزش دهد یا به وی تلقین نماید و آن مقدار که توانایی ندارد، ولی کودک به نیابت از او انجام میدهد</w:t>
      </w:r>
      <w:r>
        <w:rPr>
          <w:rFonts w:eastAsia="IRNazanin" w:cs="IRNazanin"/>
          <w:color w:val="111111"/>
          <w:sz w:val="28"/>
          <w:szCs w:val="28"/>
          <w:rtl w:val="true"/>
          <w:lang w:bidi="fa-IR"/>
        </w:rPr>
        <w:t>.</w:t>
      </w:r>
      <w:r>
        <w:rPr>
          <w:rStyle w:val="FootnoteAnchor"/>
          <w:rtl w:val="true"/>
        </w:rPr>
        <w:footnoteReference w:id="801"/>
      </w:r>
      <w:bookmarkStart w:id="398" w:name="pg13713_164477"/>
    </w:p>
    <w:p>
      <w:pPr>
        <w:pStyle w:val="BookText"/>
        <w:rPr/>
      </w:pPr>
      <w:bookmarkEnd w:id="398"/>
      <w:r>
        <w:rPr>
          <w:rFonts w:ascii="IRNazanin" w:hAnsi="IRNazanin" w:eastAsia="IRNazanin"/>
          <w:color w:val="111111"/>
          <w:sz w:val="28"/>
          <w:sz w:val="28"/>
          <w:szCs w:val="28"/>
          <w:rtl w:val="true"/>
          <w:lang w:bidi="fa-IR"/>
        </w:rPr>
        <w:t>در روایت صحیح،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سفر حج با شماست را به حجفه یا بطن مرّ</w:t>
      </w:r>
      <w:r>
        <w:rPr>
          <w:rStyle w:val="FootnoteAnchor"/>
          <w:rtl w:val="true"/>
        </w:rPr>
        <w:footnoteReference w:id="802"/>
      </w:r>
      <w:r>
        <w:rPr>
          <w:rFonts w:ascii="IRNazanin" w:hAnsi="IRNazanin" w:eastAsia="IRNazanin"/>
          <w:color w:val="111111"/>
          <w:sz w:val="28"/>
          <w:sz w:val="28"/>
          <w:szCs w:val="28"/>
          <w:rtl w:val="true"/>
          <w:lang w:bidi="fa-IR"/>
        </w:rPr>
        <w:t>برده و آن‌گونه که دیگر افراد مُحرم مناسک حج را انجام میدهند به آنان آموزش دهید، تا انجام دهند و به نیابت از آنها، طواف به جا آورید و رمی نمایید</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در روایت دیگری از امیر المؤمنین علی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ازطرف‌مریض رمی کنید و سنگ ریزه به دست کودک دهید تا خود رمی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اَلْمَرِیضُ یُرْمِی عَنْهُ وَ الصَّبِیُّ یُعْطَی الْحَصَی فَیَرْمِی</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باید یادآور شد کسی که کودک را طواف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وی باشد یا غیر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طرف خود نیز نیّت کند و طواف برای هر دو واقع میشود</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 xml:space="preserve">در روایت صحیح، از امام صادق علیه السلام در مورد زنی که همزمان با طواف خود، کودک خویش را نیز طواف میدهد و به نیابت از وی سعی مینماید، سؤال شد، آن طواف انجام شده از هر دو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کودک و مادرش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کفایت میکند؟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یُجْزِی ذلِکَ عَنْها وَعَنِ الصَّبِیِّ؟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07"/>
      </w:r>
    </w:p>
    <w:p>
      <w:pPr>
        <w:pStyle w:val="Heading4"/>
        <w:numPr>
          <w:ilvl w:val="3"/>
          <w:numId w:val="1"/>
        </w:numPr>
        <w:rPr/>
      </w:pPr>
      <w:bookmarkStart w:id="399" w:name="__RefHeading___Toc1259604_1468164448"/>
      <w:bookmarkStart w:id="400" w:name="_Toc147"/>
      <w:bookmarkEnd w:id="399"/>
      <w:r>
        <w:rPr/>
        <w:t>18</w:t>
      </w:r>
      <w:r>
        <w:rPr>
          <w:rtl w:val="true"/>
        </w:rPr>
        <w:t xml:space="preserve">- </w:t>
      </w:r>
      <w:r>
        <w:rPr>
          <w:rtl w:val="true"/>
        </w:rPr>
        <w:t>شرایط طواف نسبت به کودک</w:t>
      </w:r>
      <w:bookmarkEnd w:id="40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بین فقها اختلافی دیده نشده که بیش‌تر شرایطی که در صحت طواف معتبر است، مثل نیّت</w:t>
      </w:r>
      <w:r>
        <w:rPr>
          <w:rStyle w:val="FootnoteAnchor"/>
          <w:rtl w:val="true"/>
        </w:rPr>
        <w:footnoteReference w:id="808"/>
      </w:r>
      <w:r>
        <w:rPr>
          <w:rFonts w:ascii="IRNazanin" w:hAnsi="IRNazanin" w:eastAsia="IRNazanin"/>
          <w:color w:val="111111"/>
          <w:sz w:val="28"/>
          <w:sz w:val="28"/>
          <w:szCs w:val="28"/>
          <w:rtl w:val="true"/>
          <w:lang w:bidi="fa-IR"/>
        </w:rPr>
        <w:t>هفت دور بودن طواف، ابتدا نمودن از حجر الاسود، ختم به آن، در حال طواف، خانه خدا طرف چپ طواف کننده قرار داشتن، ستر عورتین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مشترک بین مکلّف و غیر مکلّف است و کودک باید آنها را رعایت نماید و اگر توانایی ندارد، ولی وی باید به نیابت از او،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بین شرایط، دو شرط مورد بحث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طهارت به این معنی که باید بدن و لباس طواف کننده پاک و با وضو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ختنه نسبت به مرد، که در ادامه به بیان و بررسی دیدگاه‌های مطرح شده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p>
    <w:p>
      <w:pPr>
        <w:pStyle w:val="BookText"/>
        <w:rPr/>
      </w:pPr>
      <w:r>
        <w:rPr>
          <w:rFonts w:ascii="IRNazanin" w:hAnsi="IRNazanin" w:eastAsia="IRNazanin"/>
          <w:color w:val="111111"/>
          <w:sz w:val="28"/>
          <w:sz w:val="28"/>
          <w:szCs w:val="28"/>
          <w:rtl w:val="true"/>
          <w:lang w:bidi="fa-IR"/>
        </w:rPr>
        <w:t>کودک ممیّزی که توانایی تحصیل طهارت را دارد، مانند بالغ است و باید در حین طواف دارای طهارت باشد، زیرا عموم و اطلاقات</w:t>
      </w:r>
      <w:r>
        <w:rPr>
          <w:rStyle w:val="FootnoteAnchor"/>
          <w:rtl w:val="true"/>
        </w:rPr>
        <w:footnoteReference w:id="809"/>
      </w:r>
      <w:r>
        <w:rPr>
          <w:rFonts w:ascii="IRNazanin" w:hAnsi="IRNazanin" w:eastAsia="IRNazanin"/>
          <w:color w:val="111111"/>
          <w:sz w:val="28"/>
          <w:sz w:val="28"/>
          <w:szCs w:val="28"/>
          <w:rtl w:val="true"/>
          <w:lang w:bidi="fa-IR"/>
        </w:rPr>
        <w:t>ادلّة لزوم طهارت در حین طواف، ممیّز را شامل میشود و فرق او با افراد بالغ در این است که حج و طواف در حق وی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کودک غیرممّیز، اگر در سنّی است که توانایی تحصیل طهارت را دارد، هرچندکه ولی او را تعلیم دهد، در حق وی نیز شرط است و باید با طهارت طواف کند،</w:t>
      </w:r>
      <w:r>
        <w:rPr>
          <w:rStyle w:val="FootnoteAnchor"/>
          <w:rtl w:val="true"/>
        </w:rPr>
        <w:footnoteReference w:id="810"/>
      </w:r>
      <w:r>
        <w:rPr>
          <w:rFonts w:ascii="IRNazanin" w:hAnsi="IRNazanin" w:eastAsia="IRNazanin"/>
          <w:color w:val="111111"/>
          <w:sz w:val="28"/>
          <w:sz w:val="28"/>
          <w:szCs w:val="28"/>
          <w:rtl w:val="true"/>
          <w:lang w:bidi="fa-IR"/>
        </w:rPr>
        <w:t>ولی اگر توان تحصیل آن را ندارد، مانند طفل شیرخوار یا نزدیک به شیرخوارگی، در این‌باره چند نظر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است ولی، خود با وضو باشد و برای طفل نیز وضو بگیرد</w:t>
      </w:r>
      <w:r>
        <w:rPr>
          <w:rStyle w:val="FootnoteAnchor"/>
          <w:rtl w:val="true"/>
        </w:rPr>
        <w:footnoteReference w:id="811"/>
      </w:r>
      <w:r>
        <w:rPr>
          <w:rFonts w:ascii="IRNazanin" w:hAnsi="IRNazanin" w:eastAsia="IRNazanin"/>
          <w:color w:val="111111"/>
          <w:sz w:val="28"/>
          <w:sz w:val="28"/>
          <w:szCs w:val="28"/>
          <w:rtl w:val="true"/>
          <w:lang w:bidi="fa-IR"/>
        </w:rPr>
        <w:t>و سپس او را طواف دهد، بعضی از فقها این نظریّه را موافق احتیاط دانسته‌اند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ولی که طفل را طواف میدهد با طهارت باشد، کافی است</w:t>
      </w:r>
      <w:r>
        <w:rPr>
          <w:rStyle w:val="FootnoteAnchor"/>
          <w:rtl w:val="true"/>
        </w:rPr>
        <w:footnoteReference w:id="813"/>
      </w:r>
      <w:r>
        <w:rPr>
          <w:rFonts w:ascii="IRNazanin" w:hAnsi="IRNazanin" w:eastAsia="IRNazanin"/>
          <w:color w:val="111111"/>
          <w:sz w:val="28"/>
          <w:sz w:val="28"/>
          <w:szCs w:val="28"/>
          <w:rtl w:val="true"/>
          <w:lang w:bidi="fa-IR"/>
        </w:rPr>
        <w:t>و نیاز به طهارت کودک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سوّم معتقد است، وضوی کودک به تنهایی کافی است، هرچند صورت وضو باشد؛</w:t>
      </w:r>
      <w:r>
        <w:rPr>
          <w:rStyle w:val="FootnoteAnchor"/>
          <w:rtl w:val="true"/>
        </w:rPr>
        <w:footnoteReference w:id="814"/>
      </w:r>
      <w:r>
        <w:rPr>
          <w:rFonts w:ascii="IRNazanin" w:hAnsi="IRNazanin" w:eastAsia="IRNazanin"/>
          <w:color w:val="111111"/>
          <w:sz w:val="28"/>
          <w:sz w:val="28"/>
          <w:szCs w:val="28"/>
          <w:rtl w:val="true"/>
          <w:lang w:bidi="fa-IR"/>
        </w:rPr>
        <w:t>زیرا طفل شیرخوار نمیتواند نیّت وضو کند تا وضوی حقیقی داشته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معتقدند در چنین موردی نیز طهارت هیچ‌کدام از ولی و طفل شرط نیست</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برای هر کدام از نظریات یاد شده ادلّه‌ای بیان گردیده است</w:t>
      </w:r>
      <w:r>
        <w:rPr>
          <w:rStyle w:val="FootnoteAnchor"/>
          <w:rtl w:val="true"/>
        </w:rPr>
        <w:footnoteReference w:id="816"/>
      </w:r>
      <w:r>
        <w:rPr>
          <w:rFonts w:ascii="IRNazanin" w:hAnsi="IRNazanin" w:eastAsia="IRNazanin"/>
          <w:color w:val="111111"/>
          <w:sz w:val="28"/>
          <w:sz w:val="28"/>
          <w:szCs w:val="28"/>
          <w:rtl w:val="true"/>
          <w:lang w:bidi="fa-IR"/>
        </w:rPr>
        <w:t>که ذکر آنها موجب طولانی شدن بحث است و ظاهراً نظریّه سوّم قویتر میباشد، البتّه نظر اوّل هم مقتضای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w:t>
      </w:r>
    </w:p>
    <w:p>
      <w:pPr>
        <w:pStyle w:val="BookText"/>
        <w:rPr/>
      </w:pPr>
      <w:r>
        <w:rPr>
          <w:rFonts w:ascii="IRNazanin" w:hAnsi="IRNazanin" w:eastAsia="IRNazanin"/>
          <w:color w:val="111111"/>
          <w:sz w:val="28"/>
          <w:sz w:val="28"/>
          <w:szCs w:val="28"/>
          <w:rtl w:val="true"/>
          <w:lang w:bidi="fa-IR"/>
        </w:rPr>
        <w:t>آیا ختنه بودن پسر بچه در حین طواف شرط است؟ در این‌باره بحث و گفتگو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فقها بر این باورند که رعایت این شرط در طواف کودک لازم نیست، بنابراین اگر کودکی که ختنه نشده، طواف کند صحیح 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نظریّه‌ای دیگر که قویتر به نظر میرسد، رعایت این شرط را به نحو مطلق لازم دانسته است،</w:t>
      </w:r>
      <w:r>
        <w:rPr>
          <w:rStyle w:val="FootnoteAnchor"/>
          <w:rtl w:val="true"/>
        </w:rPr>
        <w:footnoteReference w:id="818"/>
      </w:r>
      <w:r>
        <w:rPr>
          <w:rFonts w:ascii="IRNazanin" w:hAnsi="IRNazanin" w:eastAsia="IRNazanin"/>
          <w:color w:val="111111"/>
          <w:sz w:val="28"/>
          <w:sz w:val="28"/>
          <w:szCs w:val="28"/>
          <w:rtl w:val="true"/>
          <w:lang w:bidi="fa-IR"/>
        </w:rPr>
        <w:t>اعمّ از این‌که پسر بچه ممیّز باشد یا غیر ممیّز، برخی از بزرگان فقهای معاصر، این نظریّه را پذیرفته‌اند،</w:t>
      </w:r>
      <w:r>
        <w:rPr>
          <w:rStyle w:val="FootnoteAnchor"/>
          <w:rtl w:val="true"/>
        </w:rPr>
        <w:footnoteReference w:id="819"/>
      </w:r>
      <w:r>
        <w:rPr>
          <w:rFonts w:ascii="IRNazanin" w:hAnsi="IRNazanin" w:eastAsia="IRNazanin"/>
          <w:color w:val="111111"/>
          <w:sz w:val="28"/>
          <w:sz w:val="28"/>
          <w:szCs w:val="28"/>
          <w:rtl w:val="true"/>
          <w:lang w:bidi="fa-IR"/>
        </w:rPr>
        <w:t>زیرا اطلاق روایاتی که رعایت این شرط را لازم میداند، کودک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شد مردی مسلمان شده و قصد دارد حج به جا آورد و هم‌اکنون موسم حج رسیده است، آیا قبل از ختنه شدن، حج انجام دهد یا لازم است ختنه‌شود و سپس حج به جا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انجام ندهد، مگر بعد از ختنه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لایَحُجُّ حَتّی یَخْتَتِنَ</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مستفاد از سیاق این اخبار به قرینه این‌که زن را استثنا نموده، لزوم این شرط نسبت به هر کسی است که رعایت آن نسبت به او متصوّر است، مرد باشد یا کودک ممیّز و یا غیر ممیّز</w:t>
      </w:r>
      <w:r>
        <w:rPr>
          <w:rFonts w:eastAsia="IRNazanin" w:cs="IRNazanin"/>
          <w:color w:val="111111"/>
          <w:sz w:val="28"/>
          <w:szCs w:val="28"/>
          <w:rtl w:val="true"/>
          <w:lang w:bidi="fa-IR"/>
        </w:rPr>
        <w:t>.</w:t>
      </w:r>
      <w:r>
        <w:rPr>
          <w:rStyle w:val="FootnoteAnchor"/>
          <w:rtl w:val="true"/>
        </w:rPr>
        <w:footnoteReference w:id="82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بزرگان فقهای معاصر، بین پسر بچه ممیّز و غیر ممیّز تفصیل قائل شده و رعایت این شرط در مورد کودک ممیّزی که خودش طواف را انجام میدهد، لازم دانسته‌اند</w:t>
      </w:r>
      <w:r>
        <w:rPr>
          <w:rFonts w:eastAsia="IRNazanin" w:cs="IRNazanin"/>
          <w:color w:val="111111"/>
          <w:sz w:val="28"/>
          <w:szCs w:val="28"/>
          <w:rtl w:val="true"/>
          <w:lang w:bidi="fa-IR"/>
        </w:rPr>
        <w:t>.</w:t>
      </w:r>
      <w:r>
        <w:rPr>
          <w:rStyle w:val="FootnoteAnchor"/>
          <w:rtl w:val="true"/>
        </w:rPr>
        <w:footnoteReference w:id="823"/>
      </w:r>
      <w:bookmarkStart w:id="401" w:name="pg13713_164480"/>
    </w:p>
    <w:p>
      <w:pPr>
        <w:pStyle w:val="Heading4"/>
        <w:numPr>
          <w:ilvl w:val="3"/>
          <w:numId w:val="1"/>
        </w:numPr>
        <w:rPr/>
      </w:pPr>
      <w:bookmarkStart w:id="402" w:name="__RefHeading___Toc1259606_1468164448"/>
      <w:bookmarkStart w:id="403" w:name="_Toc148"/>
      <w:bookmarkEnd w:id="401"/>
      <w:bookmarkEnd w:id="402"/>
      <w:r>
        <w:rPr/>
        <w:t>19</w:t>
      </w:r>
      <w:r>
        <w:rPr>
          <w:rtl w:val="true"/>
        </w:rPr>
        <w:t xml:space="preserve">- </w:t>
      </w:r>
      <w:r>
        <w:rPr>
          <w:rtl w:val="true"/>
        </w:rPr>
        <w:t>نماز طواف کودک</w:t>
      </w:r>
      <w:bookmarkEnd w:id="403"/>
    </w:p>
    <w:p>
      <w:pPr>
        <w:pStyle w:val="BookText"/>
        <w:rPr/>
      </w:pPr>
      <w:r>
        <w:rPr>
          <w:rFonts w:ascii="IRNazanin" w:hAnsi="IRNazanin" w:eastAsia="IRNazanin"/>
          <w:color w:val="111111"/>
          <w:sz w:val="28"/>
          <w:sz w:val="28"/>
          <w:szCs w:val="28"/>
          <w:rtl w:val="true"/>
          <w:lang w:bidi="fa-IR"/>
        </w:rPr>
        <w:t>به اتفاق فقها، اگر کودک ممیّز که توانایی نماز خواندن را دارد، طواف نماید، باید نماز طواف را خود به جا آورد و امّا غیر ممیّز، ولی وی به نیابت از او به جا میآورد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در روایت صحیح،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کودکی که حج انجام میدهد، لبیّک گفتن را نیکو نمیداند، ولی وی به نیابت از او میگوید و او را طواف میدهد و به نیابت از وی نماز طواف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وَیُطافُ بِهِ وَ یُصَلِّی عَنْهُ</w:t>
      </w:r>
      <w:r>
        <w:rPr>
          <w:rFonts w:eastAsia="IRNazanin" w:cs="IRNazanin"/>
          <w:color w:val="111111"/>
          <w:sz w:val="28"/>
          <w:szCs w:val="28"/>
          <w:rtl w:val="true"/>
          <w:lang w:bidi="fa-IR"/>
        </w:rPr>
        <w:t>».</w:t>
      </w:r>
      <w:r>
        <w:rPr>
          <w:rStyle w:val="FootnoteAnchor"/>
          <w:rtl w:val="true"/>
        </w:rPr>
        <w:footnoteReference w:id="825"/>
      </w:r>
    </w:p>
    <w:p>
      <w:pPr>
        <w:pStyle w:val="Heading4"/>
        <w:numPr>
          <w:ilvl w:val="3"/>
          <w:numId w:val="1"/>
        </w:numPr>
        <w:rPr/>
      </w:pPr>
      <w:bookmarkStart w:id="404" w:name="__RefHeading___Toc1259608_1468164448"/>
      <w:bookmarkStart w:id="405" w:name="_Toc149"/>
      <w:bookmarkEnd w:id="404"/>
      <w:r>
        <w:rPr/>
        <w:t>20</w:t>
      </w:r>
      <w:r>
        <w:rPr>
          <w:rtl w:val="true"/>
        </w:rPr>
        <w:t xml:space="preserve">- </w:t>
      </w:r>
      <w:r>
        <w:rPr>
          <w:rtl w:val="true"/>
        </w:rPr>
        <w:t>قربانی در حج کودک</w:t>
      </w:r>
      <w:bookmarkEnd w:id="405"/>
    </w:p>
    <w:p>
      <w:pPr>
        <w:pStyle w:val="BookText"/>
        <w:rPr/>
      </w:pPr>
      <w:r>
        <w:rPr>
          <w:rFonts w:ascii="IRNazanin" w:hAnsi="IRNazanin" w:eastAsia="IRNazanin"/>
          <w:color w:val="111111"/>
          <w:sz w:val="28"/>
          <w:sz w:val="28"/>
          <w:szCs w:val="28"/>
          <w:rtl w:val="true"/>
          <w:lang w:bidi="fa-IR"/>
        </w:rPr>
        <w:t>در مورد قربانی این پرسش مطرح است که آیا قربانی حج کودک، بر عهده ولی است یا از مال کودک پرداخت میشود؟ و آیا بین کودک ممیّز و غیر ممیّز در این مسأله فرق است؟ در ذیل به توضیح در این‌باره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کودک غیر ممیّز</w:t>
      </w:r>
    </w:p>
    <w:p>
      <w:pPr>
        <w:pStyle w:val="BookText"/>
        <w:rPr/>
      </w:pPr>
      <w:r>
        <w:rPr>
          <w:rFonts w:ascii="IRNazanin" w:hAnsi="IRNazanin" w:eastAsia="IRNazanin"/>
          <w:color w:val="111111"/>
          <w:sz w:val="28"/>
          <w:sz w:val="28"/>
          <w:szCs w:val="28"/>
          <w:rtl w:val="true"/>
          <w:lang w:bidi="fa-IR"/>
        </w:rPr>
        <w:t>به اتّفاق فقها، قربانی در حج کودک غیر ممیّز، بر ولی است</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او واجب است، هرگاه قربانی موجود نبود، بدل از قربانی به نیابت از کودک روزه بگیرد</w:t>
      </w:r>
      <w:r>
        <w:rPr>
          <w:rStyle w:val="FootnoteAnchor"/>
          <w:rtl w:val="true"/>
        </w:rPr>
        <w:footnoteReference w:id="827"/>
      </w:r>
      <w:r>
        <w:rPr>
          <w:rFonts w:ascii="IRNazanin" w:hAnsi="IRNazanin" w:eastAsia="IRNazanin"/>
          <w:color w:val="111111"/>
          <w:sz w:val="28"/>
          <w:sz w:val="28"/>
          <w:szCs w:val="28"/>
          <w:rtl w:val="true"/>
          <w:lang w:bidi="fa-IR"/>
        </w:rPr>
        <w:t>و ادلّه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سبب حج کودک است، بنابراین باید هزینه قربانی را بپردازد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مقتضای اصل، ولی، ولایت بر اموال کودک برای پرداخت هزینه قربانی حج او را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زراره از امام باقر یا امام صادق علیهما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کودکان در حج قربانی میشود و اگر یافت نشد بزرگترها به نیابت از آنها روزه میگیرند</w:t>
      </w:r>
      <w:r>
        <w:rPr>
          <w:rFonts w:eastAsia="IRNazanin" w:cs="IRNazanin"/>
          <w:color w:val="111111"/>
          <w:sz w:val="28"/>
          <w:szCs w:val="28"/>
          <w:rtl w:val="true"/>
          <w:lang w:bidi="fa-IR"/>
        </w:rPr>
        <w:t>.</w:t>
      </w:r>
      <w:bookmarkStart w:id="406" w:name="pg13713_164481"/>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 عَنِ الصِّغارِ وَیَصُومُ الْکِبارُ</w:t>
      </w:r>
      <w:r>
        <w:rPr>
          <w:rFonts w:eastAsia="Amiri" w:cs="Amiri" w:ascii="Amiri" w:hAnsi="Amiri"/>
          <w:color w:val="111111"/>
          <w:sz w:val="28"/>
          <w:szCs w:val="28"/>
          <w:rtl w:val="true"/>
          <w:lang w:bidi="ar-SA"/>
        </w:rPr>
        <w:t>».</w:t>
      </w:r>
      <w:r>
        <w:rPr>
          <w:rStyle w:val="FootnoteAnchor"/>
          <w:rtl w:val="true"/>
        </w:rPr>
        <w:footnoteReference w:id="829"/>
      </w:r>
      <w:r>
        <w:rPr>
          <w:rFonts w:ascii="IRNazanin" w:hAnsi="IRNazanin" w:eastAsia="IRNazanin"/>
          <w:color w:val="111111"/>
          <w:sz w:val="28"/>
          <w:sz w:val="28"/>
          <w:szCs w:val="28"/>
          <w:rtl w:val="true"/>
          <w:lang w:bidi="fa-IR"/>
        </w:rPr>
        <w:t>این روایت دلیل است بر این‌که هر کس کودک را به حج ببرد، و به تعبیری دیگر، سبب حج او گردد، باید از طرف او قربانی نماید، ولی‌اوباشد یا نباشد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در روایت صحیح دیگری،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را طواف دهید و از طرف آنها رمی نمایید و اگر قربانی یافت نشد، ولی کودک به نیابت از او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لا یَجِدُ الْهَدْیَ مِنْهُمْ فَلْیَصُمْ عَنْهُ وَلِیُّهُ</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کودک ممیّز</w:t>
      </w:r>
    </w:p>
    <w:p>
      <w:pPr>
        <w:pStyle w:val="BookText"/>
        <w:rPr/>
      </w:pPr>
      <w:r>
        <w:rPr>
          <w:rFonts w:ascii="IRNazanin" w:hAnsi="IRNazanin" w:eastAsia="IRNazanin"/>
          <w:color w:val="111111"/>
          <w:sz w:val="28"/>
          <w:sz w:val="28"/>
          <w:szCs w:val="28"/>
          <w:rtl w:val="true"/>
          <w:lang w:bidi="fa-IR"/>
        </w:rPr>
        <w:t>در مورد هزینه قربانی در حج کودک ممیّز، دو نظریّه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مال کودک پرداخت میشود</w:t>
      </w:r>
      <w:r>
        <w:rPr>
          <w:rStyle w:val="FootnoteAnchor"/>
          <w:rtl w:val="true"/>
        </w:rPr>
        <w:footnoteReference w:id="833"/>
      </w:r>
      <w:r>
        <w:rPr>
          <w:rFonts w:ascii="IRNazanin" w:hAnsi="IRNazanin" w:eastAsia="IRNazanin"/>
          <w:color w:val="111111"/>
          <w:sz w:val="28"/>
          <w:sz w:val="28"/>
          <w:szCs w:val="28"/>
          <w:rtl w:val="true"/>
          <w:lang w:bidi="fa-IR"/>
        </w:rPr>
        <w:t>و اگر قربانی یافت نشد، ولی به وی امر مینماید تا بدل از قربانی، روزه بگیرد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دیگری که قویتر به نظر میرسد، معتقد است در این مسأله بین کودک ممیّز و غیر ممیّز فرقی نیست و قربانی و بدل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ولی است</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روایاتی که در ذیل عنوان قبل ذکر شد و برخی دیگر از روایات،</w:t>
      </w:r>
      <w:r>
        <w:rPr>
          <w:rStyle w:val="FootnoteAnchor"/>
          <w:rtl w:val="true"/>
        </w:rPr>
        <w:footnoteReference w:id="836"/>
      </w:r>
      <w:r>
        <w:rPr>
          <w:rFonts w:ascii="IRNazanin" w:hAnsi="IRNazanin" w:eastAsia="IRNazanin"/>
          <w:color w:val="111111"/>
          <w:sz w:val="28"/>
          <w:sz w:val="28"/>
          <w:szCs w:val="28"/>
          <w:rtl w:val="true"/>
          <w:lang w:bidi="fa-IR"/>
        </w:rPr>
        <w:t>بر این مسأله نیز دلالت دارد</w:t>
      </w:r>
      <w:r>
        <w:rPr>
          <w:rFonts w:eastAsia="IRNazanin" w:cs="IRNazanin"/>
          <w:color w:val="111111"/>
          <w:sz w:val="28"/>
          <w:szCs w:val="28"/>
          <w:rtl w:val="true"/>
          <w:lang w:bidi="fa-IR"/>
        </w:rPr>
        <w:t>.</w:t>
      </w:r>
    </w:p>
    <w:p>
      <w:pPr>
        <w:pStyle w:val="Heading4"/>
        <w:numPr>
          <w:ilvl w:val="3"/>
          <w:numId w:val="1"/>
        </w:numPr>
        <w:rPr/>
      </w:pPr>
      <w:bookmarkStart w:id="407" w:name="__RefHeading___Toc1259610_1468164448"/>
      <w:bookmarkStart w:id="408" w:name="_Toc150"/>
      <w:bookmarkEnd w:id="407"/>
      <w:r>
        <w:rPr/>
        <w:t>21</w:t>
      </w:r>
      <w:r>
        <w:rPr>
          <w:rtl w:val="true"/>
        </w:rPr>
        <w:t xml:space="preserve">- </w:t>
      </w:r>
      <w:r>
        <w:rPr>
          <w:rtl w:val="true"/>
        </w:rPr>
        <w:t>طواف نساء در حج کودک</w:t>
      </w:r>
      <w:bookmarkEnd w:id="40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اتفاق فقهای امامیّه بر هر حاجی، مرد باشد یا زن، مکلّف یا غیر مکلّف، حتّی اگر کودک غیر ممیّز باشد، واجب است بعد از اعمال روز عید قربان در منی و اعمال حج در مکه، یک طواف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r>
        <w:rPr>
          <w:rStyle w:val="FootnoteAnchor"/>
          <w:rtl w:val="true"/>
        </w:rPr>
        <w:footnoteReference w:id="837"/>
      </w:r>
      <w:bookmarkStart w:id="409" w:name="pg13713_164482"/>
    </w:p>
    <w:p>
      <w:pPr>
        <w:pStyle w:val="BookText"/>
        <w:rPr/>
      </w:pPr>
      <w:bookmarkEnd w:id="409"/>
      <w:r>
        <w:rPr>
          <w:rFonts w:ascii="IRNazanin" w:hAnsi="IRNazanin" w:eastAsia="IRNazanin"/>
          <w:color w:val="111111"/>
          <w:sz w:val="28"/>
          <w:sz w:val="28"/>
          <w:szCs w:val="28"/>
          <w:rtl w:val="true"/>
          <w:lang w:bidi="fa-IR"/>
        </w:rPr>
        <w:t>امام خمینی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نساء اختصاص به مردان ندارد، بلکه عمومیّت این حکم زنان و خنثی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حتّی اگر ولی کودک غیر ممیّز را مُحرم نماید، واجب است احتیاطاً به عنوان طواف نساء نیز او را طواف دهد تا زن بر او حلال شود</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دلیل این حکم علاوه بر اجماع</w:t>
      </w:r>
      <w:r>
        <w:rPr>
          <w:rStyle w:val="FootnoteAnchor"/>
          <w:rtl w:val="true"/>
        </w:rPr>
        <w:footnoteReference w:id="839"/>
      </w:r>
      <w:r>
        <w:rPr>
          <w:rFonts w:ascii="IRNazanin" w:hAnsi="IRNazanin" w:eastAsia="IRNazanin"/>
          <w:color w:val="111111"/>
          <w:sz w:val="28"/>
          <w:sz w:val="28"/>
          <w:szCs w:val="28"/>
          <w:rtl w:val="true"/>
          <w:lang w:bidi="fa-IR"/>
        </w:rPr>
        <w:t>که بعضی ادّعا نموده‌اند، عموم و اطلاق بعضی از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دیگر افراد مُحرم باید انجام دهند در مورد کودکان نیز رعایت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وَیُصْنَعُ بِهِمْ ما یُصْنَعُ بِالْمُحْرِمِ</w:t>
      </w:r>
      <w:r>
        <w:rPr>
          <w:rFonts w:eastAsia="IRNazanin" w:cs="IRNazanin"/>
          <w:color w:val="111111"/>
          <w:sz w:val="28"/>
          <w:szCs w:val="28"/>
          <w:rtl w:val="true"/>
          <w:lang w:bidi="fa-IR"/>
        </w:rPr>
        <w:t>».</w:t>
      </w:r>
      <w:r>
        <w:rPr>
          <w:rStyle w:val="FootnoteAnchor"/>
          <w:rtl w:val="true"/>
        </w:rPr>
        <w:footnoteReference w:id="840"/>
      </w:r>
      <w:r>
        <w:rPr>
          <w:rFonts w:ascii="IRNazanin" w:hAnsi="IRNazanin" w:eastAsia="IRNazanin"/>
          <w:color w:val="111111"/>
          <w:sz w:val="28"/>
          <w:sz w:val="28"/>
          <w:szCs w:val="28"/>
          <w:rtl w:val="true"/>
          <w:lang w:bidi="fa-IR"/>
        </w:rPr>
        <w:t>از این روایت معلوم میشود در مسائل احرام و احکام مترتب بر آن، از جمله طواف نساء بین کودک و غیر کودک،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مرد حاجی در روز عید، قربانی کرد و حلق نمود، همه محرمات احرام بر او حلال میشود، مگر زن و عطر و آنگاه که طواف حج به‌جا آورد و سعی بین صفا و مروه نمود، استشمام عطر نیز بر او حلال میشود و آنگاه که طواف نساء انجام داد، تمام محرّمات احرام حلال میشود، مگر صید و</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در مورد مکلّف وارد شده، ولی به مقتضای روایت اوّل حکم آن مشترک بین بالغ و کودک است</w:t>
      </w:r>
      <w:r>
        <w:rPr>
          <w:rFonts w:eastAsia="IRNazanin" w:cs="IRNazanin"/>
          <w:color w:val="111111"/>
          <w:sz w:val="28"/>
          <w:szCs w:val="28"/>
          <w:rtl w:val="true"/>
          <w:lang w:bidi="fa-IR"/>
        </w:rPr>
        <w:t>.</w:t>
      </w:r>
    </w:p>
    <w:p>
      <w:pPr>
        <w:pStyle w:val="Heading4"/>
        <w:numPr>
          <w:ilvl w:val="3"/>
          <w:numId w:val="1"/>
        </w:numPr>
        <w:rPr/>
      </w:pPr>
      <w:bookmarkStart w:id="410" w:name="__RefHeading___Toc1259612_1468164448"/>
      <w:bookmarkStart w:id="411" w:name="_Toc151"/>
      <w:bookmarkEnd w:id="410"/>
      <w:r>
        <w:rPr/>
        <w:t>22</w:t>
      </w:r>
      <w:r>
        <w:rPr>
          <w:rtl w:val="true"/>
        </w:rPr>
        <w:t xml:space="preserve">- </w:t>
      </w:r>
      <w:r>
        <w:rPr>
          <w:rtl w:val="true"/>
        </w:rPr>
        <w:t>حکم ترک طواف نساء نسبت به کودک</w:t>
      </w:r>
      <w:bookmarkEnd w:id="411"/>
    </w:p>
    <w:p>
      <w:pPr>
        <w:pStyle w:val="BookText"/>
        <w:rPr/>
      </w:pPr>
      <w:r>
        <w:rPr>
          <w:rFonts w:ascii="IRNazanin" w:hAnsi="IRNazanin" w:eastAsia="IRNazanin"/>
          <w:color w:val="111111"/>
          <w:sz w:val="28"/>
          <w:sz w:val="28"/>
          <w:szCs w:val="28"/>
          <w:rtl w:val="true"/>
          <w:lang w:bidi="fa-IR"/>
        </w:rPr>
        <w:t>به اعتقاد فقهای امامیّه، اگر مرد در حج طواف نساء را ترک نماید، استمتاع و همبستر شدن با زن بر او حرام میشود، و اگر زن است، مرد بر او حرام میشود و بر آنها واجب است آن را قضا نمایند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این حکم اختصاص به افراد بالغ دارد یا کودک را نیز شامل میشود؟ در این خصوص چند نظریّه مطرح است</w:t>
      </w:r>
      <w:r>
        <w:rPr>
          <w:rFonts w:eastAsia="IRNazanin" w:cs="IRNazanin"/>
          <w:color w:val="111111"/>
          <w:sz w:val="28"/>
          <w:szCs w:val="28"/>
          <w:rtl w:val="true"/>
          <w:lang w:bidi="fa-IR"/>
        </w:rPr>
        <w:t>:</w:t>
      </w:r>
      <w:bookmarkStart w:id="412" w:name="pg13713_164483"/>
    </w:p>
    <w:p>
      <w:pPr>
        <w:pStyle w:val="BookText"/>
        <w:rPr/>
      </w:pPr>
      <w:bookmarkEnd w:id="41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فقها بر این باورند که، این حکم بر احرام کودک خواه ممیّز باشد و خواه غیر ممیّز، مترتّب میگردد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زیرا احکام وضعی اختصاص به افراد بالغ ندارد و کودک را نیز شامل میشود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خویی از بزرگان فقهای معاصر معتقد است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زن بر مرد و مرد 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احرام کودک مترتب نمیگردد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سوّم در بردارنده تفصیل است، به این که این حکم بر احرام کودک ممیّز بار میشود ولی بر احرام کودک غیر ممیز مترتّب نمیگردد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چهارم معتقد است که حکم این مسأله نسبت به قبل از بلوغ و بعد از بلوغ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چون احکام الزام‌آور متوجّه کودک نیست، بنابراین اگر طواف نساء را ترک نمود بعد از بلوغ، زن بر او حرام میگردد</w:t>
      </w:r>
      <w:r>
        <w:rPr>
          <w:rFonts w:eastAsia="IRNazanin" w:cs="IRNazanin"/>
          <w:color w:val="111111"/>
          <w:sz w:val="28"/>
          <w:szCs w:val="28"/>
          <w:rtl w:val="true"/>
          <w:lang w:bidi="fa-IR"/>
        </w:rPr>
        <w:t>.</w:t>
      </w:r>
      <w:r>
        <w:rPr>
          <w:rStyle w:val="FootnoteAnchor"/>
          <w:rtl w:val="true"/>
        </w:rPr>
        <w:footnoteReference w:id="846"/>
      </w:r>
    </w:p>
    <w:p>
      <w:pPr>
        <w:pStyle w:val="Heading4"/>
        <w:numPr>
          <w:ilvl w:val="3"/>
          <w:numId w:val="1"/>
        </w:numPr>
        <w:rPr/>
      </w:pPr>
      <w:bookmarkStart w:id="413" w:name="__RefHeading___Toc1259614_1468164448"/>
      <w:bookmarkStart w:id="414" w:name="_Toc152"/>
      <w:bookmarkEnd w:id="413"/>
      <w:r>
        <w:rPr/>
        <w:t>23</w:t>
      </w:r>
      <w:r>
        <w:rPr>
          <w:rtl w:val="true"/>
        </w:rPr>
        <w:t xml:space="preserve">- </w:t>
      </w:r>
      <w:r>
        <w:rPr>
          <w:rtl w:val="true"/>
        </w:rPr>
        <w:t>حکم بطلان حج نسبت به کودک</w:t>
      </w:r>
      <w:bookmarkEnd w:id="41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دیدگاه مشهور در میان فقها، فرد بالغی که برای انجام حج محرم شده، اگر قبل از مشعر از روی اختیار آمیزش نماید، حجش باطل و فاسد میگردد و باید آن را تمام نماید و یک شتر کفّاره دهد و در سال آینده قضا نماید، اعم از این‌که آمیزش با زن خودش باشد یا با زن اجنبیّه، و به عقیده برخی از فقها اگر در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مفرده یا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سعی، آمیزش صورت پذیرد، این حکم بر آن بار میگردد، و اگر زن در مقابل شوهر تمکین نموده و او را اطاعت نماید، محکوم به حکم مذکور میگردد، یعنی حجش فاسد میشود و باید آن را تمام و کفّاره نیز بدهد و در سال بعد قضا نماید</w:t>
      </w:r>
      <w:r>
        <w:rPr>
          <w:rFonts w:eastAsia="IRNazanin" w:cs="IRNazanin"/>
          <w:color w:val="111111"/>
          <w:sz w:val="28"/>
          <w:szCs w:val="28"/>
          <w:rtl w:val="true"/>
          <w:lang w:bidi="fa-IR"/>
        </w:rPr>
        <w:t>.</w:t>
      </w:r>
      <w:r>
        <w:rPr>
          <w:rStyle w:val="FootnoteAnchor"/>
          <w:rtl w:val="true"/>
        </w:rPr>
        <w:footnoteReference w:id="847"/>
      </w:r>
      <w:bookmarkStart w:id="415" w:name="pg13713_164484"/>
    </w:p>
    <w:p>
      <w:pPr>
        <w:pStyle w:val="BookText"/>
        <w:rPr/>
      </w:pPr>
      <w:bookmarkEnd w:id="415"/>
      <w:r>
        <w:rPr>
          <w:rFonts w:ascii="IRNazanin" w:hAnsi="IRNazanin" w:eastAsia="IRNazanin"/>
          <w:color w:val="111111"/>
          <w:sz w:val="28"/>
          <w:sz w:val="28"/>
          <w:szCs w:val="28"/>
          <w:rtl w:val="true"/>
          <w:lang w:bidi="fa-IR"/>
        </w:rPr>
        <w:t>حال آیا کودک هم مشمول این حکم قرار میگیرد؟ چرا که شرط تحقّق جماع، انزال منی نیست، بلکه با صِرف دخول صورت میپذیرد و در مورد کودک ممیّز این عمل امکان‌پذیر است، یا این‌که حکم مذکور اختصاص به افراد بالغ دارد؟ در این‌باره بحث و گفتگو است و چند نظر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مختص به افراد بالغ دانسته‌اند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که کودک مشمول این حکم قرار میگیرد،</w:t>
      </w:r>
      <w:r>
        <w:rPr>
          <w:rStyle w:val="FootnoteAnchor"/>
          <w:rtl w:val="true"/>
        </w:rPr>
        <w:footnoteReference w:id="849"/>
      </w:r>
      <w:r>
        <w:rPr>
          <w:rFonts w:ascii="IRNazanin" w:hAnsi="IRNazanin" w:eastAsia="IRNazanin"/>
          <w:color w:val="111111"/>
          <w:sz w:val="28"/>
          <w:sz w:val="28"/>
          <w:szCs w:val="28"/>
          <w:rtl w:val="true"/>
          <w:lang w:bidi="fa-IR"/>
        </w:rPr>
        <w:t>زیرا عموم و اطلاق ادلّه</w:t>
      </w:r>
      <w:r>
        <w:rPr>
          <w:rStyle w:val="FootnoteAnchor"/>
          <w:rtl w:val="true"/>
        </w:rPr>
        <w:footnoteReference w:id="850"/>
      </w:r>
      <w:r>
        <w:rPr>
          <w:rFonts w:ascii="IRNazanin" w:hAnsi="IRNazanin" w:eastAsia="IRNazanin"/>
          <w:color w:val="111111"/>
          <w:sz w:val="28"/>
          <w:sz w:val="28"/>
          <w:szCs w:val="28"/>
          <w:rtl w:val="true"/>
          <w:lang w:bidi="fa-IR"/>
        </w:rPr>
        <w:t>، وی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بر این باورند که با آمیزش در فرض مزبور حج کودک باطل میشود و کفّاره به عهده او میآید، ولی قضاء حج بر او واجب نمیشود</w:t>
      </w:r>
      <w:r>
        <w:rPr>
          <w:rFonts w:eastAsia="IRNazanin" w:cs="IRNazanin"/>
          <w:color w:val="111111"/>
          <w:sz w:val="28"/>
          <w:szCs w:val="28"/>
          <w:rtl w:val="true"/>
          <w:lang w:bidi="fa-IR"/>
        </w:rPr>
        <w:t>.</w:t>
      </w:r>
      <w:r>
        <w:rPr>
          <w:rStyle w:val="FootnoteAnchor"/>
          <w:rtl w:val="true"/>
        </w:rPr>
        <w:footnoteReference w:id="851"/>
      </w:r>
    </w:p>
    <w:p>
      <w:pPr>
        <w:pStyle w:val="Heading4"/>
        <w:numPr>
          <w:ilvl w:val="3"/>
          <w:numId w:val="1"/>
        </w:numPr>
        <w:rPr/>
      </w:pPr>
      <w:bookmarkStart w:id="416" w:name="__RefHeading___Toc1259616_1468164448"/>
      <w:bookmarkStart w:id="417" w:name="_Toc153"/>
      <w:bookmarkEnd w:id="416"/>
      <w:r>
        <w:rPr/>
        <w:t>24</w:t>
      </w:r>
      <w:r>
        <w:rPr>
          <w:rtl w:val="true"/>
        </w:rPr>
        <w:t xml:space="preserve">- </w:t>
      </w:r>
      <w:r>
        <w:rPr>
          <w:rtl w:val="true"/>
        </w:rPr>
        <w:t>هزینه قضای حج کودک و زمان آن</w:t>
      </w:r>
      <w:bookmarkEnd w:id="417"/>
    </w:p>
    <w:p>
      <w:pPr>
        <w:pStyle w:val="BookText"/>
        <w:rPr/>
      </w:pPr>
      <w:r>
        <w:rPr>
          <w:rFonts w:ascii="IRNazanin" w:hAnsi="IRNazanin" w:eastAsia="IRNazanin"/>
          <w:color w:val="111111"/>
          <w:sz w:val="28"/>
          <w:sz w:val="28"/>
          <w:szCs w:val="28"/>
          <w:rtl w:val="true"/>
          <w:lang w:bidi="fa-IR"/>
        </w:rPr>
        <w:t>در فرض یاد شده، طبق این نظریّه که قضای حج بر کودک واجب است، برخی از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آن را باید ولی پرداخت نماید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برخی دیگر معتقدند در صورتی که کودک صاحب مال باشد، از اموال خودش پرداخت میشود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هم‌چنین در فرض مزبور باید بعد از بلوغ آن را قضا نماید،</w:t>
      </w:r>
      <w:r>
        <w:rPr>
          <w:rStyle w:val="FootnoteAnchor"/>
          <w:rtl w:val="true"/>
        </w:rPr>
        <w:footnoteReference w:id="854"/>
      </w:r>
      <w:r>
        <w:rPr>
          <w:rFonts w:ascii="IRNazanin" w:hAnsi="IRNazanin" w:eastAsia="IRNazanin"/>
          <w:color w:val="111111"/>
          <w:sz w:val="28"/>
          <w:sz w:val="28"/>
          <w:szCs w:val="28"/>
          <w:rtl w:val="true"/>
          <w:lang w:bidi="fa-IR"/>
        </w:rPr>
        <w:t>زیرا خطاب وجوب قضا، متوجّه مکلّف است و قبل از بلوغ متوجه کودک نمیگردد</w:t>
      </w:r>
      <w:r>
        <w:rPr>
          <w:rFonts w:eastAsia="IRNazanin" w:cs="IRNazanin"/>
          <w:color w:val="111111"/>
          <w:sz w:val="28"/>
          <w:szCs w:val="28"/>
          <w:rtl w:val="true"/>
          <w:lang w:bidi="fa-IR"/>
        </w:rPr>
        <w:t>.</w:t>
      </w:r>
      <w:r>
        <w:rPr>
          <w:rStyle w:val="FootnoteAnchor"/>
          <w:rtl w:val="true"/>
        </w:rPr>
        <w:footnoteReference w:id="85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حجی که قضا شده از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نمیکند</w:t>
      </w:r>
      <w:r>
        <w:rPr>
          <w:rStyle w:val="FootnoteAnchor"/>
          <w:rtl w:val="true"/>
        </w:rPr>
        <w:footnoteReference w:id="856"/>
      </w:r>
      <w:r>
        <w:rPr>
          <w:rFonts w:ascii="IRNazanin" w:hAnsi="IRNazanin" w:eastAsia="IRNazanin"/>
          <w:color w:val="111111"/>
          <w:sz w:val="28"/>
          <w:sz w:val="28"/>
          <w:szCs w:val="28"/>
          <w:rtl w:val="true"/>
          <w:lang w:bidi="fa-IR"/>
        </w:rPr>
        <w:t>و در صورتی که کودک بعد از بلوغ، شرایط وجوب حج را برخوردار گردد، باید علاوه بر</w:t>
      </w:r>
      <w:bookmarkStart w:id="418" w:name="pg13713_164485"/>
    </w:p>
    <w:p>
      <w:pPr>
        <w:pStyle w:val="BookText"/>
        <w:rPr/>
      </w:pPr>
      <w:bookmarkEnd w:id="418"/>
      <w:r>
        <w:rPr>
          <w:rFonts w:ascii="IRNazanin" w:hAnsi="IRNazanin" w:eastAsia="IRNazanin"/>
          <w:color w:val="111111"/>
          <w:sz w:val="28"/>
          <w:sz w:val="28"/>
          <w:szCs w:val="28"/>
          <w:rtl w:val="true"/>
          <w:lang w:bidi="fa-IR"/>
        </w:rPr>
        <w:t>قضای حج فاسد شده، حج واجب خویش را نیز به جا آورد، زیرا وجوب قضا بر طبق نظریّه‌ای که آن را واجب میداند، و وجوب حجة الاسلام، دو عنوان مستقل میباشند و در یکدیگر تداخل نمینمایند، چرا که اصل در عناوین، عدم تداخل است</w:t>
      </w:r>
      <w:r>
        <w:rPr>
          <w:rStyle w:val="FootnoteAnchor"/>
          <w:rtl w:val="true"/>
        </w:rPr>
        <w:footnoteReference w:id="857"/>
      </w:r>
      <w:r>
        <w:rPr>
          <w:rFonts w:ascii="IRNazanin" w:hAnsi="IRNazanin" w:eastAsia="IRNazanin"/>
          <w:color w:val="111111"/>
          <w:sz w:val="28"/>
          <w:sz w:val="28"/>
          <w:szCs w:val="28"/>
          <w:rtl w:val="true"/>
          <w:lang w:bidi="fa-IR"/>
        </w:rPr>
        <w:t>و ابتدا باید حج واجب را به جا آورد، سپس حج فاسد شده را قضا نماید،</w:t>
      </w:r>
      <w:r>
        <w:rPr>
          <w:rStyle w:val="FootnoteAnchor"/>
          <w:rtl w:val="true"/>
        </w:rPr>
        <w:footnoteReference w:id="858"/>
      </w:r>
      <w:r>
        <w:rPr>
          <w:rFonts w:ascii="IRNazanin" w:hAnsi="IRNazanin" w:eastAsia="IRNazanin"/>
          <w:color w:val="111111"/>
          <w:sz w:val="28"/>
          <w:sz w:val="28"/>
          <w:szCs w:val="28"/>
          <w:rtl w:val="true"/>
          <w:lang w:bidi="fa-IR"/>
        </w:rPr>
        <w:t>زیرا وجوب حج واجب بالاصالة و فوری است</w:t>
      </w:r>
      <w:r>
        <w:rPr>
          <w:rFonts w:eastAsia="IRNazanin" w:cs="IRNazanin"/>
          <w:color w:val="111111"/>
          <w:sz w:val="28"/>
          <w:szCs w:val="28"/>
          <w:rtl w:val="true"/>
          <w:lang w:bidi="fa-IR"/>
        </w:rPr>
        <w:t>.</w:t>
      </w:r>
      <w:r>
        <w:rPr>
          <w:rStyle w:val="FootnoteAnchor"/>
          <w:rtl w:val="true"/>
        </w:rPr>
        <w:footnoteReference w:id="859"/>
      </w:r>
    </w:p>
    <w:p>
      <w:pPr>
        <w:pStyle w:val="Heading4"/>
        <w:numPr>
          <w:ilvl w:val="3"/>
          <w:numId w:val="1"/>
        </w:numPr>
        <w:rPr/>
      </w:pPr>
      <w:bookmarkStart w:id="419" w:name="__RefHeading___Toc1259618_1468164448"/>
      <w:bookmarkStart w:id="420" w:name="_Toc154"/>
      <w:bookmarkEnd w:id="419"/>
      <w:r>
        <w:rPr/>
        <w:t>25</w:t>
      </w:r>
      <w:r>
        <w:rPr>
          <w:rtl w:val="true"/>
        </w:rPr>
        <w:t xml:space="preserve">- </w:t>
      </w:r>
      <w:r>
        <w:rPr>
          <w:rtl w:val="true"/>
        </w:rPr>
        <w:t>بلوغ کودک در اثنای مناسک حج</w:t>
      </w:r>
      <w:bookmarkEnd w:id="420"/>
    </w:p>
    <w:p>
      <w:pPr>
        <w:pStyle w:val="BookText"/>
        <w:rPr/>
      </w:pPr>
      <w:r>
        <w:rPr>
          <w:rFonts w:ascii="IRNazanin" w:hAnsi="IRNazanin" w:eastAsia="IRNazanin"/>
          <w:color w:val="111111"/>
          <w:sz w:val="28"/>
          <w:sz w:val="28"/>
          <w:szCs w:val="28"/>
          <w:rtl w:val="true"/>
          <w:lang w:bidi="fa-IR"/>
        </w:rPr>
        <w:t>به اجماع فقها،</w:t>
      </w:r>
      <w:r>
        <w:rPr>
          <w:rStyle w:val="FootnoteAnchor"/>
          <w:rtl w:val="true"/>
        </w:rPr>
        <w:footnoteReference w:id="860"/>
      </w:r>
      <w:r>
        <w:rPr>
          <w:rFonts w:ascii="IRNazanin" w:hAnsi="IRNazanin" w:eastAsia="IRNazanin"/>
          <w:color w:val="111111"/>
          <w:sz w:val="28"/>
          <w:sz w:val="28"/>
          <w:szCs w:val="28"/>
          <w:rtl w:val="true"/>
          <w:lang w:bidi="fa-IR"/>
        </w:rPr>
        <w:t>حج کودک از حج واجب کفایت نمیکند، حال اگر در اثنای مناسک حج بالغ شود، آیا از حجة الاسلام کفایت میکند یا خیر؟ در این مسأله چند فرض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مشعر</w:t>
      </w:r>
    </w:p>
    <w:p>
      <w:pPr>
        <w:pStyle w:val="BookText"/>
        <w:rPr/>
      </w:pPr>
      <w:r>
        <w:rPr>
          <w:rFonts w:ascii="IRNazanin" w:hAnsi="IRNazanin" w:eastAsia="IRNazanin"/>
          <w:color w:val="111111"/>
          <w:sz w:val="28"/>
          <w:sz w:val="28"/>
          <w:szCs w:val="28"/>
          <w:rtl w:val="true"/>
          <w:lang w:bidi="fa-IR"/>
        </w:rPr>
        <w:t>اگر کودک قبل از وقوف به مشعر بالغ گردد، طبق نظریّه مشهور فقها از حج واجب وی کفایت میکند؛</w:t>
      </w:r>
      <w:r>
        <w:rPr>
          <w:rStyle w:val="FootnoteAnchor"/>
          <w:rtl w:val="true"/>
        </w:rPr>
        <w:footnoteReference w:id="861"/>
      </w:r>
      <w:r>
        <w:rPr>
          <w:rFonts w:ascii="IRNazanin" w:hAnsi="IRNazanin" w:eastAsia="IRNazanin"/>
          <w:color w:val="111111"/>
          <w:sz w:val="28"/>
          <w:sz w:val="28"/>
          <w:szCs w:val="28"/>
          <w:rtl w:val="true"/>
          <w:lang w:bidi="fa-IR"/>
        </w:rPr>
        <w:t>دلیل این نظریّه علاوه بر اجماع،</w:t>
      </w:r>
      <w:r>
        <w:rPr>
          <w:rStyle w:val="FootnoteAnchor"/>
          <w:rtl w:val="true"/>
        </w:rPr>
        <w:footnoteReference w:id="862"/>
      </w:r>
      <w:r>
        <w:rPr>
          <w:rFonts w:ascii="IRNazanin" w:hAnsi="IRNazanin" w:eastAsia="IRNazanin"/>
          <w:color w:val="111111"/>
          <w:sz w:val="28"/>
          <w:sz w:val="28"/>
          <w:szCs w:val="28"/>
          <w:rtl w:val="true"/>
          <w:lang w:bidi="fa-IR"/>
        </w:rPr>
        <w:t>روایات مختلفی</w:t>
      </w:r>
      <w:r>
        <w:rPr>
          <w:rStyle w:val="FootnoteAnchor"/>
          <w:rtl w:val="true"/>
        </w:rPr>
        <w:footnoteReference w:id="863"/>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روایاتی که دلالت دارد هر کس وقوف مشعرالحرام را در روز عید قربان قبل از ظهر درک نماید، در حقیقت حج را درک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این‌باره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مَنْاَدْرَکَ الْمَشْعَرَ یَوْمَ النَّحْرِ قَبْلَ زَوالِ الشَّمْسِ فَقَدْ ادْرَکَ الْحَجَّ</w:t>
      </w:r>
      <w:r>
        <w:rPr>
          <w:rFonts w:eastAsia="Amiri" w:cs="Amiri" w:ascii="Amiri" w:hAnsi="Amiri"/>
          <w:color w:val="111111"/>
          <w:sz w:val="28"/>
          <w:szCs w:val="28"/>
          <w:rtl w:val="true"/>
          <w:lang w:bidi="ar-SA"/>
        </w:rPr>
        <w:t>...».</w:t>
      </w:r>
      <w:r>
        <w:rPr>
          <w:rStyle w:val="FootnoteAnchor"/>
          <w:rtl w:val="true"/>
        </w:rPr>
        <w:footnoteReference w:id="864"/>
      </w:r>
      <w:r>
        <w:rPr>
          <w:rFonts w:ascii="IRNazanin" w:hAnsi="IRNazanin" w:eastAsia="IRNazanin"/>
          <w:color w:val="111111"/>
          <w:sz w:val="28"/>
          <w:sz w:val="28"/>
          <w:szCs w:val="28"/>
          <w:rtl w:val="true"/>
          <w:lang w:bidi="fa-IR"/>
        </w:rPr>
        <w:t>اطلاق این روایت و روایات دیگری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5"/>
      </w:r>
      <w:r>
        <w:rPr>
          <w:rFonts w:ascii="IRNazanin" w:hAnsi="IRNazanin" w:eastAsia="IRNazanin"/>
          <w:color w:val="111111"/>
          <w:sz w:val="28"/>
          <w:sz w:val="28"/>
          <w:szCs w:val="28"/>
          <w:rtl w:val="true"/>
          <w:lang w:bidi="fa-IR"/>
        </w:rPr>
        <w:t>که به همین مضمون وارد شده، کودکی که تازه به سن بلوغ رسیده را نیز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در مقابل این دیدگاه، برخی معتقدند در فرض مزبور حج کودکی که به حدّ بلوغ رسیده از حج واجب کفایت نمیکند</w:t>
      </w:r>
      <w:r>
        <w:rPr>
          <w:rStyle w:val="FootnoteAnchor"/>
          <w:rtl w:val="true"/>
        </w:rPr>
        <w:footnoteReference w:id="866"/>
      </w:r>
      <w:r>
        <w:rPr>
          <w:rFonts w:ascii="IRNazanin" w:hAnsi="IRNazanin" w:eastAsia="IRNazanin"/>
          <w:color w:val="111111"/>
          <w:sz w:val="28"/>
          <w:sz w:val="28"/>
          <w:szCs w:val="28"/>
          <w:rtl w:val="true"/>
          <w:lang w:bidi="fa-IR"/>
        </w:rPr>
        <w:t>و اطلاق روایاتی که ذکر شد، او را شامل نمیگردد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احکام مترتب بر فرض اوّل</w:t>
      </w:r>
    </w:p>
    <w:p>
      <w:pPr>
        <w:pStyle w:val="BookText"/>
        <w:rPr/>
      </w:pPr>
      <w:r>
        <w:rPr>
          <w:rFonts w:ascii="IRNazanin" w:hAnsi="IRNazanin" w:eastAsia="IRNazanin"/>
          <w:color w:val="111111"/>
          <w:sz w:val="28"/>
          <w:sz w:val="28"/>
          <w:szCs w:val="28"/>
          <w:rtl w:val="true"/>
          <w:lang w:bidi="fa-IR"/>
        </w:rPr>
        <w:t>بر طبق دیدگاهی که حج را در فرض مزبور، از حج واجب کافی میداند، احکامی بر آن مترتب میگردد که در ادامه به طور خلاصه بدان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تجدید نیّت،</w:t>
      </w:r>
      <w:r>
        <w:rPr>
          <w:rStyle w:val="FootnoteAnchor"/>
          <w:rtl w:val="true"/>
        </w:rPr>
        <w:footnoteReference w:id="868"/>
      </w:r>
      <w:r>
        <w:rPr>
          <w:rFonts w:ascii="IRNazanin" w:hAnsi="IRNazanin" w:eastAsia="IRNazanin"/>
          <w:color w:val="111111"/>
          <w:sz w:val="28"/>
          <w:sz w:val="28"/>
          <w:szCs w:val="28"/>
          <w:rtl w:val="true"/>
          <w:lang w:bidi="fa-IR"/>
        </w:rPr>
        <w:t>به این معنی که واجب است بعد از بلوغ، قصد کند که برای حجِ واجب مُحرم میباشد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استطاعت از حین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این پرسش مطرح است که آیا در فرض مزبور لازم است، کودک در وقت شروع به احرام، شرایط دیگری که برای وجوب حج لازم است را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اگر بعد از بلوغ مستطیع شود، کافی است و یا این‌که در هیچ‌کدام از این دو مرحله، لازم نیست مستطیع باشد؟ در این باره چند دیدگاه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استطاعت را لازم ندانسته‌اند،</w:t>
      </w:r>
      <w:r>
        <w:rPr>
          <w:rStyle w:val="FootnoteAnchor"/>
          <w:rtl w:val="true"/>
        </w:rPr>
        <w:footnoteReference w:id="870"/>
      </w:r>
      <w:r>
        <w:rPr>
          <w:rFonts w:ascii="IRNazanin" w:hAnsi="IRNazanin" w:eastAsia="IRNazanin"/>
          <w:color w:val="111111"/>
          <w:sz w:val="28"/>
          <w:sz w:val="28"/>
          <w:szCs w:val="28"/>
          <w:rtl w:val="true"/>
          <w:lang w:bidi="fa-IR"/>
        </w:rPr>
        <w:t>زیرا ادلّه وجوب حج در فرض مزبور، مطلق است</w:t>
      </w:r>
      <w:r>
        <w:rPr>
          <w:rStyle w:val="FootnoteAnchor"/>
          <w:rtl w:val="true"/>
        </w:rPr>
        <w:footnoteReference w:id="871"/>
      </w:r>
      <w:r>
        <w:rPr>
          <w:rFonts w:ascii="IRNazanin" w:hAnsi="IRNazanin" w:eastAsia="IRNazanin"/>
          <w:color w:val="111111"/>
          <w:sz w:val="28"/>
          <w:sz w:val="28"/>
          <w:szCs w:val="28"/>
          <w:rtl w:val="true"/>
          <w:lang w:bidi="fa-IR"/>
        </w:rPr>
        <w:t>و ادلّه‌ای که به‌طور عام، استطاعت را در حج شرط میداند، از این فرض منصرف است</w:t>
      </w:r>
      <w:r>
        <w:rPr>
          <w:rFonts w:eastAsia="IRNazanin" w:cs="IRNazanin"/>
          <w:color w:val="111111"/>
          <w:sz w:val="28"/>
          <w:szCs w:val="28"/>
          <w:rtl w:val="true"/>
          <w:lang w:bidi="fa-IR"/>
        </w:rPr>
        <w:t>.</w:t>
      </w:r>
      <w:r>
        <w:rPr>
          <w:rStyle w:val="FootnoteAnchor"/>
          <w:rtl w:val="true"/>
        </w:rPr>
        <w:footnoteReference w:id="872"/>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معتقدند که لازم است از شهر خود مستطیع بوده و همواره آن را داشته باشد</w:t>
      </w:r>
      <w:r>
        <w:rPr>
          <w:rStyle w:val="FootnoteAnchor"/>
          <w:rtl w:val="true"/>
        </w:rPr>
        <w:footnoteReference w:id="873"/>
      </w:r>
      <w:r>
        <w:rPr>
          <w:rFonts w:ascii="IRNazanin" w:hAnsi="IRNazanin" w:eastAsia="IRNazanin"/>
          <w:color w:val="111111"/>
          <w:sz w:val="28"/>
          <w:sz w:val="28"/>
          <w:szCs w:val="28"/>
          <w:rtl w:val="true"/>
          <w:lang w:bidi="fa-IR"/>
        </w:rPr>
        <w:t>و دلیل آن را اطلاق آیه مبارکه و روایات</w:t>
      </w:r>
      <w:r>
        <w:rPr>
          <w:rStyle w:val="FootnoteAnchor"/>
          <w:rtl w:val="true"/>
        </w:rPr>
        <w:footnoteReference w:id="874"/>
      </w:r>
      <w:r>
        <w:rPr>
          <w:rFonts w:ascii="IRNazanin" w:hAnsi="IRNazanin" w:eastAsia="IRNazanin"/>
          <w:color w:val="111111"/>
          <w:sz w:val="28"/>
          <w:sz w:val="28"/>
          <w:szCs w:val="28"/>
          <w:rtl w:val="true"/>
          <w:lang w:bidi="fa-IR"/>
        </w:rPr>
        <w:t>ذکر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سوم، وجود استطاعت را از میقات و مکانی که کودک از آنجا مُحرم میشود، لازم میداند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چهارم، استطاعت را از زمانی که کودک به حدّ بلوغ میرسد، لازم میداند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باید دانست که دیدگاه اخیر قویتر میباشد؛ زیرا استطاعت در حین وجوب حج لازم است، نه قبل از آن؛ چرا که قبل از بلوغ، حج بر کودک واجب نیست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در آخر تذکّر این نکته لازم است که در فرض مزبور، درک وقوف اختیاری مشعر</w:t>
      </w:r>
      <w:r>
        <w:rPr>
          <w:rStyle w:val="FootnoteAnchor"/>
          <w:rtl w:val="true"/>
        </w:rPr>
        <w:footnoteReference w:id="878"/>
      </w:r>
      <w:r>
        <w:rPr>
          <w:rFonts w:ascii="IRNazanin" w:hAnsi="IRNazanin" w:eastAsia="IRNazanin"/>
          <w:color w:val="111111"/>
          <w:sz w:val="28"/>
          <w:sz w:val="28"/>
          <w:szCs w:val="28"/>
          <w:rtl w:val="true"/>
          <w:lang w:bidi="fa-IR"/>
        </w:rPr>
        <w:t>، لازم</w:t>
      </w:r>
      <w:r>
        <w:rPr>
          <w:rStyle w:val="FootnoteAnchor"/>
          <w:rtl w:val="true"/>
        </w:rPr>
        <w:footnoteReference w:id="879"/>
      </w:r>
      <w:r>
        <w:rPr>
          <w:rFonts w:ascii="IRNazanin" w:hAnsi="IRNazanin" w:eastAsia="IRNazanin"/>
          <w:color w:val="111111"/>
          <w:sz w:val="28"/>
          <w:sz w:val="28"/>
          <w:szCs w:val="28"/>
          <w:rtl w:val="true"/>
          <w:lang w:bidi="fa-IR"/>
        </w:rPr>
        <w:t>است و درک وقوف اضطراری آن کافی نیست و در این صورت حج واجب محسوب نمیگردد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مشعر</w:t>
      </w:r>
    </w:p>
    <w:p>
      <w:pPr>
        <w:pStyle w:val="BookText"/>
        <w:rPr/>
      </w:pPr>
      <w:r>
        <w:rPr>
          <w:rFonts w:ascii="IRNazanin" w:hAnsi="IRNazanin" w:eastAsia="IRNazanin"/>
          <w:color w:val="111111"/>
          <w:sz w:val="28"/>
          <w:sz w:val="28"/>
          <w:szCs w:val="28"/>
          <w:rtl w:val="true"/>
          <w:lang w:bidi="fa-IR"/>
        </w:rPr>
        <w:t>به اتّفاق فقها اگر کودک بعد از وقوف به مشعر الحرام بالغ شود، حجی که انجام میدهد از حج واجب کفایت نمیکند</w:t>
      </w:r>
      <w:r>
        <w:rPr>
          <w:rStyle w:val="FootnoteAnchor"/>
          <w:rtl w:val="true"/>
        </w:rPr>
        <w:footnoteReference w:id="881"/>
      </w:r>
      <w:r>
        <w:rPr>
          <w:rFonts w:ascii="IRNazanin" w:hAnsi="IRNazanin" w:eastAsia="IRNazanin"/>
          <w:color w:val="111111"/>
          <w:sz w:val="28"/>
          <w:sz w:val="28"/>
          <w:szCs w:val="28"/>
          <w:rtl w:val="true"/>
          <w:lang w:bidi="fa-IR"/>
        </w:rPr>
        <w:t>، بلکه به عنوان حج مستحب واقع میشود و دلیل آن، علاوه بر اجماع</w:t>
      </w:r>
      <w:r>
        <w:rPr>
          <w:rStyle w:val="FootnoteAnchor"/>
          <w:rtl w:val="true"/>
        </w:rPr>
        <w:footnoteReference w:id="882"/>
      </w: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عدم کفایت حج مستحب، از حج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w:t>
      </w:r>
      <w:r>
        <w:rPr>
          <w:rStyle w:val="FootnoteAnchor"/>
          <w:rtl w:val="true"/>
        </w:rPr>
        <w:footnoteReference w:id="88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مُحرم شدن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این‌باره اختلافی دیده نشده که اگر کودک قبل از احرام در میقات بالغ شود و دیگر شرایط استطاعت را دارا باشد، حج بر او واجب میشود و باید آن را به عنوان حجة</w:t>
      </w:r>
      <w:bookmarkStart w:id="421" w:name="pg13713_164488"/>
    </w:p>
    <w:p>
      <w:pPr>
        <w:pStyle w:val="BookText"/>
        <w:rPr/>
      </w:pPr>
      <w:bookmarkEnd w:id="421"/>
      <w:r>
        <w:rPr>
          <w:rFonts w:ascii="IRNazanin" w:hAnsi="IRNazanin" w:eastAsia="IRNazanin"/>
          <w:color w:val="111111"/>
          <w:sz w:val="28"/>
          <w:sz w:val="28"/>
          <w:szCs w:val="28"/>
          <w:rtl w:val="true"/>
          <w:lang w:bidi="fa-IR"/>
        </w:rPr>
        <w:t>الاسلام انجام دهد،</w:t>
      </w:r>
      <w:r>
        <w:rPr>
          <w:rStyle w:val="FootnoteAnchor"/>
          <w:rtl w:val="true"/>
        </w:rPr>
        <w:footnoteReference w:id="884"/>
      </w:r>
      <w:r>
        <w:rPr>
          <w:rFonts w:ascii="IRNazanin" w:hAnsi="IRNazanin" w:eastAsia="IRNazanin"/>
          <w:color w:val="111111"/>
          <w:sz w:val="28"/>
          <w:sz w:val="28"/>
          <w:szCs w:val="28"/>
          <w:rtl w:val="true"/>
          <w:lang w:bidi="fa-IR"/>
        </w:rPr>
        <w:t>زیرا ادلّه وجوب حج، این فرض را شامل میشود و تمام مناسک حج، در زمان بلوغ کودک انجام میگردد</w:t>
      </w:r>
      <w:r>
        <w:rPr>
          <w:rFonts w:eastAsia="IRNazanin" w:cs="IRNazanin"/>
          <w:color w:val="111111"/>
          <w:sz w:val="28"/>
          <w:szCs w:val="28"/>
          <w:rtl w:val="true"/>
          <w:lang w:bidi="fa-IR"/>
        </w:rPr>
        <w:t>.</w:t>
      </w:r>
    </w:p>
    <w:p>
      <w:pPr>
        <w:pStyle w:val="Heading4"/>
        <w:numPr>
          <w:ilvl w:val="3"/>
          <w:numId w:val="1"/>
        </w:numPr>
        <w:rPr/>
      </w:pPr>
      <w:bookmarkStart w:id="422" w:name="__RefHeading___Toc1259620_1468164448"/>
      <w:bookmarkStart w:id="423" w:name="_Toc155"/>
      <w:bookmarkEnd w:id="422"/>
      <w:r>
        <w:rPr/>
        <w:t>26</w:t>
      </w:r>
      <w:r>
        <w:rPr>
          <w:rtl w:val="true"/>
        </w:rPr>
        <w:t xml:space="preserve">- </w:t>
      </w:r>
      <w:r>
        <w:rPr>
          <w:rtl w:val="true"/>
        </w:rPr>
        <w:t>بررسی دو فرع پیرامون حج کودک</w:t>
      </w:r>
      <w:bookmarkEnd w:id="423"/>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اعتقاد این‌که غیر بالغ است، به قصد استحباب، حج را به‌جا آورد و بعد از انجام آن معلوم شود در آن زمان بالغ بوده، با فرض این‌که دیگر شرایط را واجد بوده، آیا از حج واجب وی کفایت میکند؟ در این‌باره دو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اگر ما حج واجب را با ویژگیها و آثار خاصی که دارد، در ذات و حقیقت، متعدّد و متغایر از حج مستحب بدانیم، مانند نماز صبح و نافله صبح که دو حقیقت متغایر میباشند و قصد وجوب و استحباب را نیز در انجام عبادات لازم بدانیم، در این‌صورت حج انجام شده نمیتواند به جای واجب قرار گیرد، هم چنان‌که بعضی از بزرگان فقهای معاصر این‌گونه نظر داده‌اند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امام خمینی قدس سره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مزبور حج انجام شده بنابر اقوی از حج واجب کفایت نمیکند، مگر این‌که امکان اشتباه در تطبیق وجود داشته باشد</w:t>
      </w:r>
      <w:r>
        <w:rPr>
          <w:rFonts w:eastAsia="IRNazanin" w:cs="IRNazanin"/>
          <w:color w:val="111111"/>
          <w:sz w:val="28"/>
          <w:szCs w:val="28"/>
          <w:rtl w:val="true"/>
          <w:lang w:bidi="fa-IR"/>
        </w:rPr>
        <w:t>».</w:t>
      </w:r>
      <w:r>
        <w:rPr>
          <w:rStyle w:val="FootnoteAnchor"/>
          <w:rtl w:val="true"/>
        </w:rPr>
        <w:footnoteReference w:id="88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 در توضیح این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اقوی، حقیقت حج واجب و مستحب با یکدیگر مغایرت دارند، بنابراین در فرض مزبور باید حکم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حج انجام شده از حج واجب کفایت نمیکند، مگر در صورتی که اشتباه در تطبیق امکان داشته باشد،</w:t>
      </w:r>
      <w:r>
        <w:rPr>
          <w:rStyle w:val="FootnoteAnchor"/>
          <w:rtl w:val="true"/>
        </w:rPr>
        <w:footnoteReference w:id="887"/>
      </w:r>
      <w:r>
        <w:rPr>
          <w:rFonts w:ascii="IRNazanin" w:hAnsi="IRNazanin" w:eastAsia="IRNazanin"/>
          <w:color w:val="111111"/>
          <w:sz w:val="28"/>
          <w:sz w:val="28"/>
          <w:szCs w:val="28"/>
          <w:rtl w:val="true"/>
          <w:lang w:bidi="fa-IR"/>
        </w:rPr>
        <w:t>یعنی قصد کند آن‌چه بر عهده اوست به‌طور مطلق انجام شود، لیکن به جای واجب، مستحب به نظر آورد</w:t>
      </w:r>
      <w:r>
        <w:rPr>
          <w:rFonts w:eastAsia="IRNazanin" w:cs="IRNazanin"/>
          <w:color w:val="111111"/>
          <w:sz w:val="28"/>
          <w:szCs w:val="28"/>
          <w:rtl w:val="true"/>
          <w:lang w:bidi="fa-IR"/>
        </w:rPr>
        <w:t>».</w:t>
      </w:r>
      <w:bookmarkStart w:id="424" w:name="pg13713_164489"/>
    </w:p>
    <w:p>
      <w:pPr>
        <w:pStyle w:val="BookText"/>
        <w:rPr/>
      </w:pPr>
      <w:bookmarkEnd w:id="424"/>
      <w:r>
        <w:rPr>
          <w:rFonts w:ascii="IRNazanin" w:hAnsi="IRNazanin" w:eastAsia="IRNazanin"/>
          <w:color w:val="111111"/>
          <w:sz w:val="28"/>
          <w:sz w:val="28"/>
          <w:szCs w:val="28"/>
          <w:rtl w:val="true"/>
          <w:lang w:bidi="fa-IR"/>
        </w:rPr>
        <w:t>امّا آن دسته از فقها که قائل به عدم تعدّد و تغایر حج واجب و مستحب میباشند، حج انجام شده را از حج واجب کافی میدانند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فرع‌دوّم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با وجود دیگر شرایط استطاعت و با اعتقاد این‌که بالغ است، حج به جا آورد، سپس معلوم شود بالغ نبوده، از حج واجب کفایت نمیکند</w:t>
      </w:r>
      <w:r>
        <w:rPr>
          <w:rStyle w:val="FootnoteAnchor"/>
          <w:rtl w:val="true"/>
        </w:rPr>
        <w:footnoteReference w:id="889"/>
      </w:r>
      <w:r>
        <w:rPr>
          <w:rFonts w:ascii="IRNazanin" w:hAnsi="IRNazanin" w:eastAsia="IRNazanin"/>
          <w:color w:val="111111"/>
          <w:sz w:val="28"/>
          <w:sz w:val="28"/>
          <w:szCs w:val="28"/>
          <w:rtl w:val="true"/>
          <w:lang w:bidi="fa-IR"/>
        </w:rPr>
        <w:t>و در آینده اگر شرایط استطاعت را واجد گردد، باید حج به جا آورد، زیرا حجی که انجام شده به دلیل عدم بلوغ، شرایط حج واجب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مقتضای ادلّه،</w:t>
      </w:r>
      <w:r>
        <w:rPr>
          <w:rStyle w:val="FootnoteAnchor"/>
          <w:rtl w:val="true"/>
        </w:rPr>
        <w:footnoteReference w:id="890"/>
      </w:r>
      <w:r>
        <w:rPr>
          <w:rFonts w:ascii="IRNazanin" w:hAnsi="IRNazanin" w:eastAsia="IRNazanin"/>
          <w:color w:val="111111"/>
          <w:sz w:val="28"/>
          <w:sz w:val="28"/>
          <w:szCs w:val="28"/>
          <w:rtl w:val="true"/>
          <w:lang w:bidi="fa-IR"/>
        </w:rPr>
        <w:t>شرطِ بلوغ در وجوب حج شرط واقعی است و علم و جهل کسی که حج به جا میآورد در این‌باره دخالتی ندارد، بدین سان اطلاق روایات نیز این نظریّه را 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ده بار حج انجام دهد، سپس بالغ شود، حج واجب، با وجود شرایط استطاعت، بر عهدة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 غُلاماً حَجَّ عَشَرَ حِجَجٍ ثُمَّ احْتَلَمَ کانَتْ عَلَیْهِ فَریِضَةُ الاِسْلامِ</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به هر صورت، ظاهراً در فرض مزبور، حج واقع شده، مستحب است، زیرا حجی که کودک ممیّز میتواند انجام دهد، حج مستحبی است، خواه عنوان استحباب را قصد کرده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قصد وجوب هم داشته باشد، مستحب واقع میشود، زیرا قصد وجوب عمل انجام شده را از حقیقت و ذات خود و آن‌چه هست، خارج نمیسازد</w:t>
      </w:r>
      <w:r>
        <w:rPr>
          <w:rFonts w:eastAsia="IRNazanin" w:cs="IRNazanin"/>
          <w:color w:val="111111"/>
          <w:sz w:val="28"/>
          <w:szCs w:val="28"/>
          <w:rtl w:val="true"/>
          <w:lang w:bidi="fa-IR"/>
        </w:rPr>
        <w:t>.</w:t>
      </w:r>
    </w:p>
    <w:p>
      <w:pPr>
        <w:pStyle w:val="Heading4"/>
        <w:numPr>
          <w:ilvl w:val="3"/>
          <w:numId w:val="1"/>
        </w:numPr>
        <w:rPr/>
      </w:pPr>
      <w:bookmarkStart w:id="425" w:name="__RefHeading___Toc1259622_1468164448"/>
      <w:bookmarkStart w:id="426" w:name="_Toc156"/>
      <w:bookmarkEnd w:id="425"/>
      <w:r>
        <w:rPr/>
        <w:t>27</w:t>
      </w:r>
      <w:r>
        <w:rPr>
          <w:rtl w:val="true"/>
        </w:rPr>
        <w:t xml:space="preserve">- </w:t>
      </w:r>
      <w:r>
        <w:rPr>
          <w:rtl w:val="true"/>
        </w:rPr>
        <w:t>نیابت کودک در حج</w:t>
      </w:r>
      <w:bookmarkEnd w:id="42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اجماع قطعی فقها، نیابت کودک غیر ممیّز در حج، صحیح نیست،</w:t>
      </w:r>
      <w:r>
        <w:rPr>
          <w:rStyle w:val="FootnoteAnchor"/>
          <w:rtl w:val="true"/>
        </w:rPr>
        <w:footnoteReference w:id="892"/>
      </w:r>
      <w:r>
        <w:rPr>
          <w:rFonts w:ascii="IRNazanin" w:hAnsi="IRNazanin" w:eastAsia="IRNazanin"/>
          <w:color w:val="111111"/>
          <w:sz w:val="28"/>
          <w:sz w:val="28"/>
          <w:szCs w:val="28"/>
          <w:rtl w:val="true"/>
          <w:lang w:bidi="fa-IR"/>
        </w:rPr>
        <w:t>زیرا او قادر به قصد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شرط است که نائب از جهت عقل کامل باشد و کودک غیر ممیّز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کودک ممیّز، بنابر این‌که عبادت وی مشروع وصحیح نباشد، نمیتواند نائب قرار گیرد، زیرا در این فرض، عبادت او، صورت عبادت را داراست و در حقیقت عبادت نیست تا از دیگری واقع شود، ولی بنابر این‌که عبادات وی را مشروع و صحیح بدانیم، چنان‌که نظر حق این است، آیا میتواند در حج، نائب قرار گیرد؟ در این‌باره چند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این است که کودک مطلقاً نمیتواند در حج، نائب قرار گیرد، اعمّ از این‌که در حج واجب باشد یا حج مستحبی، از شخص مرده نیابت کند یا زنده، با اجازه ولی باشد یا بدون اجازه، اجرت بگیرد یا تبرعاً نائب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فقیهان به این مسأله تصریح نموده‌اند،</w:t>
      </w:r>
      <w:r>
        <w:rPr>
          <w:rStyle w:val="FootnoteAnchor"/>
          <w:rtl w:val="true"/>
        </w:rPr>
        <w:footnoteReference w:id="893"/>
      </w:r>
      <w:r>
        <w:rPr>
          <w:rFonts w:ascii="IRNazanin" w:hAnsi="IRNazanin" w:eastAsia="IRNazanin"/>
          <w:color w:val="111111"/>
          <w:sz w:val="28"/>
          <w:sz w:val="28"/>
          <w:szCs w:val="28"/>
          <w:rtl w:val="true"/>
          <w:lang w:bidi="fa-IR"/>
        </w:rPr>
        <w:t>زیرا نیابت بر خلاف اصل است و انجام آن توسط کودک مشکوک است و اصل عدم جواز آن است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مرحوم 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صحت نیابت این است که فعل صادر ازنائب به جای منوب‌عنه واقع میشود و او را بریء الذمّه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نیاز به دلیل دارد و بدون دلیل، چنان‌که مفروض کلام در نیابت کودک چنین است، به مقتضای اصل، اشتغال ذمه شخصی که از او نیابت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و فعل نائب، او را بریء الذمّه نمیسازد</w:t>
      </w:r>
      <w:r>
        <w:rPr>
          <w:rFonts w:eastAsia="IRNazanin" w:cs="IRNazanin"/>
          <w:color w:val="111111"/>
          <w:sz w:val="28"/>
          <w:szCs w:val="28"/>
          <w:rtl w:val="true"/>
          <w:lang w:bidi="fa-IR"/>
        </w:rPr>
        <w:t>.</w:t>
      </w:r>
      <w:r>
        <w:rPr>
          <w:rStyle w:val="FootnoteAnchor"/>
          <w:rtl w:val="true"/>
        </w:rPr>
        <w:footnoteReference w:id="89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این، ادلّه صحت نیابت، مانند فرموده امام 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به نیابت از زن، حج به جا میآورد و زن به نیابت از مرد و زن به نیابت از 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یَحُجُّ الرَّجُلُ عَنِ الْمَرْأَةِ وَالْمَرْأَةُ عَنِ الرَّجُلِ وَالْمَرْأَةُ عَنِ الْمَرْأَةِ</w:t>
      </w:r>
      <w:r>
        <w:rPr>
          <w:rFonts w:eastAsia="Amiri" w:cs="Amiri" w:ascii="Amiri" w:hAnsi="Amiri"/>
          <w:color w:val="111111"/>
          <w:sz w:val="28"/>
          <w:szCs w:val="28"/>
          <w:rtl w:val="true"/>
          <w:lang w:bidi="ar-SA"/>
        </w:rPr>
        <w:t>»</w:t>
      </w:r>
      <w:r>
        <w:rPr>
          <w:rStyle w:val="FootnoteAnchor"/>
          <w:rtl w:val="true"/>
        </w:rPr>
        <w:footnoteReference w:id="896"/>
      </w:r>
      <w:r>
        <w:rPr>
          <w:rFonts w:ascii="IRNazanin" w:hAnsi="IRNazanin" w:eastAsia="IRNazanin"/>
          <w:color w:val="111111"/>
          <w:sz w:val="28"/>
          <w:sz w:val="28"/>
          <w:szCs w:val="28"/>
          <w:rtl w:val="true"/>
          <w:lang w:bidi="fa-IR"/>
        </w:rPr>
        <w:t xml:space="preserve">، و روایات دیگر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را شامل نمیشود، زیرا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ظهور در بالغ دارد یا منصرف از غیر بالغ است و دست کم مشکوک میباشد، بنابراین لازم است نائب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دیدگاه اوّل، برخی معتقدند نیابت کودک در حج مطلقاً صحیح است</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به نظر این دسته از فقها، ادلّه نیابت مطلق است و شامل کودک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دیدگاه نمیتواند مورد قبول واقع شود، زیرا اصل در عناوین، موضوعیّت است، یعنی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ادلّه وارد شده در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نیابت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 و اگر نیابت مرد از زن و بالعکس، جایز است، به استناد دلیل خاص میباشد، بنابراین نیابت کودک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سوّم این است که نیابت کودک از کسی که فوت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ولی از شخص زنده صحیح نیست، مستند این دیدگاه بعضی از روایات است، مانند آن‌که راوی میگوید از امام صادق 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چه عملی بعداز مرگ شخص، به او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نیکوکار برای والدین خود طلب‌آمرزش نماید و حج به جا آورد و صدقه دهد و به نیابت از آنها نماز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وَالْوَلَدُ الطَّیِّبُ یَدْعُو لِوالِدَیْهِ بَعْدَ مَوْتِهِما وَیَحُجُّ وَیَتَصَدَّقُ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w:t>
      </w:r>
      <w:r>
        <w:rPr>
          <w:rFonts w:eastAsia="IRNazanin" w:cs="IRNazanin"/>
          <w:color w:val="111111"/>
          <w:sz w:val="28"/>
          <w:szCs w:val="28"/>
          <w:rtl w:val="true"/>
          <w:lang w:bidi="fa-IR"/>
        </w:rPr>
        <w:t>»</w:t>
      </w:r>
      <w:r>
        <w:rPr>
          <w:rStyle w:val="FootnoteAnchor"/>
          <w:rtl w:val="true"/>
        </w:rPr>
        <w:footnoteReference w:id="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دراین روایت شامل کودک غیر بالغ نیز میباشد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البته‌این‌روایت از جهت سند ضعیف است،</w:t>
      </w:r>
      <w:r>
        <w:rPr>
          <w:rStyle w:val="FootnoteAnchor"/>
          <w:rtl w:val="true"/>
        </w:rPr>
        <w:footnoteReference w:id="901"/>
      </w:r>
      <w:r>
        <w:rPr>
          <w:rFonts w:ascii="IRNazanin" w:hAnsi="IRNazanin" w:eastAsia="IRNazanin"/>
          <w:color w:val="111111"/>
          <w:sz w:val="28"/>
          <w:sz w:val="28"/>
          <w:szCs w:val="28"/>
          <w:rtl w:val="true"/>
          <w:lang w:bidi="fa-IR"/>
        </w:rPr>
        <w:t>بنابراین نمیتواند مستند حکم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چهارم که قویتر از دیگر دیدگاه‌ها میباشد، قائل به تفصیل شده و معتقد است نیابت کودک در حج مستحبّی جایز است و در غیر آن جایز نیست</w:t>
      </w:r>
      <w:r>
        <w:rPr>
          <w:rFonts w:eastAsia="IRNazanin" w:cs="IRNazanin"/>
          <w:color w:val="111111"/>
          <w:sz w:val="28"/>
          <w:szCs w:val="28"/>
          <w:rtl w:val="true"/>
          <w:lang w:bidi="fa-IR"/>
        </w:rPr>
        <w:t>.</w:t>
      </w:r>
      <w:r>
        <w:rPr>
          <w:rStyle w:val="FootnoteAnchor"/>
          <w:rtl w:val="true"/>
        </w:rPr>
        <w:footnoteReference w:id="90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دیدگاه، اطلاق ادلّه استحباب نیابت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مادرم فوت کرده و از آن زمان هر موقع صدقه دادم به نیابت از ایشان پرداخت کردم، آیا به وی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ایشان نماز</w:t>
      </w:r>
      <w:bookmarkStart w:id="427" w:name="pg13713_164492"/>
    </w:p>
    <w:p>
      <w:pPr>
        <w:pStyle w:val="BookText"/>
        <w:rPr/>
      </w:pPr>
      <w:bookmarkEnd w:id="427"/>
      <w:r>
        <w:rPr>
          <w:rFonts w:ascii="IRNazanin" w:hAnsi="IRNazanin" w:eastAsia="IRNazanin"/>
          <w:color w:val="111111"/>
          <w:sz w:val="28"/>
          <w:sz w:val="28"/>
          <w:szCs w:val="28"/>
          <w:rtl w:val="true"/>
          <w:lang w:bidi="fa-IR"/>
        </w:rPr>
        <w:t>خواندم و به حج رفتم، آیا به ایشان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و روایات دیگری</w:t>
      </w:r>
      <w:r>
        <w:rPr>
          <w:rStyle w:val="FootnoteAnchor"/>
          <w:rtl w:val="true"/>
        </w:rPr>
        <w:footnoteReference w:id="904"/>
      </w:r>
      <w:r>
        <w:rPr>
          <w:rFonts w:ascii="IRNazanin" w:hAnsi="IRNazanin" w:eastAsia="IRNazanin"/>
          <w:color w:val="111111"/>
          <w:sz w:val="28"/>
          <w:sz w:val="28"/>
          <w:szCs w:val="28"/>
          <w:rtl w:val="true"/>
          <w:lang w:bidi="fa-IR"/>
        </w:rPr>
        <w:t>که با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خویی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این روایات دلیل است که نیابت کودک از شخص زنده در مستحبات، جایز است</w:t>
      </w:r>
      <w:r>
        <w:rPr>
          <w:rFonts w:eastAsia="IRNazanin" w:cs="IRNazanin"/>
          <w:color w:val="111111"/>
          <w:sz w:val="28"/>
          <w:szCs w:val="28"/>
          <w:rtl w:val="true"/>
          <w:lang w:bidi="fa-IR"/>
        </w:rPr>
        <w:t>».</w:t>
      </w:r>
      <w:r>
        <w:rPr>
          <w:rStyle w:val="FootnoteAnchor"/>
          <w:rtl w:val="true"/>
        </w:rPr>
        <w:footnoteReference w:id="905"/>
      </w:r>
    </w:p>
    <w:p>
      <w:pPr>
        <w:pStyle w:val="Heading4"/>
        <w:numPr>
          <w:ilvl w:val="3"/>
          <w:numId w:val="1"/>
        </w:numPr>
        <w:rPr/>
      </w:pPr>
      <w:bookmarkStart w:id="428" w:name="__RefHeading___Toc1259624_1468164448"/>
      <w:bookmarkStart w:id="429" w:name="_Toc157"/>
      <w:bookmarkEnd w:id="428"/>
      <w:r>
        <w:rPr/>
        <w:t>28</w:t>
      </w:r>
      <w:r>
        <w:rPr>
          <w:rtl w:val="true"/>
        </w:rPr>
        <w:t xml:space="preserve">- </w:t>
      </w:r>
      <w:r>
        <w:rPr>
          <w:rtl w:val="true"/>
        </w:rPr>
        <w:t>هدیه کردن پاداش حج توسط کودک</w:t>
      </w:r>
      <w:bookmarkEnd w:id="429"/>
    </w:p>
    <w:p>
      <w:pPr>
        <w:pStyle w:val="BookText"/>
        <w:rPr/>
      </w:pPr>
      <w:r>
        <w:rPr>
          <w:rFonts w:ascii="IRNazanin" w:hAnsi="IRNazanin" w:eastAsia="IRNazanin"/>
          <w:color w:val="111111"/>
          <w:sz w:val="28"/>
          <w:sz w:val="28"/>
          <w:szCs w:val="28"/>
          <w:rtl w:val="true"/>
          <w:lang w:bidi="fa-IR"/>
        </w:rPr>
        <w:t>اختلافی در میان فقها دیده نشده است که اگر کودک حج به‌جا آورد، جایز است بعد از اتمام آن، ثواب آن را به دیگری هدیه کند، هم چنان‌که جایز است از ابتدا، حج را با این نیّت که ثواب آن برای دیگری باشد، آغاز نماید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w:t>
      </w:r>
      <w:r>
        <w:rPr>
          <w:rStyle w:val="FootnoteAnchor"/>
          <w:rtl w:val="true"/>
        </w:rPr>
        <w:footnoteReference w:id="906"/>
      </w:r>
      <w:r>
        <w:rPr>
          <w:rFonts w:ascii="IRNazanin" w:hAnsi="IRNazanin" w:eastAsia="IRNazanin"/>
          <w:color w:val="111111"/>
          <w:sz w:val="28"/>
          <w:sz w:val="28"/>
          <w:szCs w:val="28"/>
          <w:rtl w:val="true"/>
          <w:lang w:bidi="fa-IR"/>
        </w:rPr>
        <w:t>به این مسأله تصریح نموده و بعضی دیگر از اطلاق</w:t>
      </w:r>
      <w:r>
        <w:rPr>
          <w:rStyle w:val="FootnoteAnchor"/>
          <w:rtl w:val="true"/>
        </w:rPr>
        <w:footnoteReference w:id="907"/>
      </w:r>
      <w:r>
        <w:rPr>
          <w:rFonts w:ascii="IRNazanin" w:hAnsi="IRNazanin" w:eastAsia="IRNazanin"/>
          <w:color w:val="111111"/>
          <w:sz w:val="28"/>
          <w:sz w:val="28"/>
          <w:szCs w:val="28"/>
          <w:rtl w:val="true"/>
          <w:lang w:bidi="fa-IR"/>
        </w:rPr>
        <w:t>کلماتشان فهمیده میشود، ضمن این‌که این مسأله ربطی به جواز یا عدم جواز نیابت</w:t>
      </w:r>
      <w:r>
        <w:rPr>
          <w:rStyle w:val="FootnoteAnchor"/>
          <w:rtl w:val="true"/>
        </w:rPr>
        <w:footnoteReference w:id="908"/>
      </w:r>
      <w:r>
        <w:rPr>
          <w:rFonts w:ascii="IRNazanin" w:hAnsi="IRNazanin" w:eastAsia="IRNazanin"/>
          <w:color w:val="111111"/>
          <w:sz w:val="28"/>
          <w:sz w:val="28"/>
          <w:szCs w:val="28"/>
          <w:rtl w:val="true"/>
          <w:lang w:bidi="fa-IR"/>
        </w:rPr>
        <w:t>کودک در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آن، اولاً این است که خداوند متعال ثواب عمل را از روی تفضّل حق هر عامل دانسته و او می‌تواند به هر کس بخواهد هدیه کند، ثانیاً موافق با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 ومنافعهم و حقوقهم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زیرا اهدای ثواب شامل محجوریّت کودک نمی‌باشد و ثالثاً روایاتی است در حدّ استفاضه بلکه تواتر معنوی، از جمله این که</w:t>
      </w:r>
      <w:r>
        <w:rPr>
          <w:rFonts w:eastAsia="IRNazanin" w:cs="IRNazanin"/>
          <w:color w:val="111111"/>
          <w:sz w:val="28"/>
          <w:szCs w:val="28"/>
          <w:rtl w:val="true"/>
          <w:lang w:bidi="fa-IR"/>
        </w:rPr>
        <w:t>:</w:t>
      </w:r>
      <w:bookmarkStart w:id="430" w:name="pg13713_164493"/>
    </w:p>
    <w:p>
      <w:pPr>
        <w:pStyle w:val="BookText"/>
        <w:rPr/>
      </w:pPr>
      <w:bookmarkEnd w:id="43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پدر، مادر و برادرانم، حج انجام داده‌اند، ولی من اراده نموده‌ام آنها را در ثواب حج خود شریک سازم و دوست دارم چنین باشد که با من حج انجام داده‌اند؟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حج خود وارد ساز، خداوند حج را برای تو و آنها قرار میدهد، افزون بر این، به شما اجر صله‌رحم نیز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مَعَکَ فَإِنَّ اللهَ جاعِلٌ لَهُمْ حَجّاً وَلَکَ حَجّاً وَلَکَ أَجْراً بِصِلَتِکَ إِیّاهُمْ</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بعد از پایان حج به محضر امام صادق علیه السلام رسیدم و از ایشان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ثواب حجی که انجام دادم برای دخترم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ازهم اکنون برای او قرار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ذلِکَ لَهَا الآنَ</w:t>
      </w:r>
      <w:r>
        <w:rPr>
          <w:rFonts w:eastAsia="Amiri" w:cs="Amiri" w:ascii="Amiri" w:hAnsi="Amiri"/>
          <w:color w:val="111111"/>
          <w:sz w:val="28"/>
          <w:szCs w:val="28"/>
          <w:rtl w:val="true"/>
          <w:lang w:bidi="ar-SA"/>
        </w:rPr>
        <w:t>»</w:t>
      </w:r>
      <w:r>
        <w:rPr>
          <w:rStyle w:val="FootnoteAnchor"/>
          <w:rtl w:val="true"/>
        </w:rPr>
        <w:footnoteReference w:id="910"/>
      </w:r>
      <w:r>
        <w:rPr>
          <w:rFonts w:ascii="IRNazanin" w:hAnsi="IRNazanin" w:eastAsia="IRNazanin"/>
          <w:color w:val="111111"/>
          <w:sz w:val="28"/>
          <w:sz w:val="28"/>
          <w:szCs w:val="28"/>
          <w:rtl w:val="true"/>
          <w:lang w:bidi="fa-IR"/>
        </w:rPr>
        <w:t>و غیر از این دو روایت</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بیگمان اطلاق این روایات، کودک ممیّز را شامل میگردد</w:t>
      </w:r>
      <w:r>
        <w:rPr>
          <w:rFonts w:eastAsia="IRNazanin" w:cs="IRNazanin"/>
          <w:color w:val="111111"/>
          <w:sz w:val="28"/>
          <w:szCs w:val="28"/>
          <w:rtl w:val="true"/>
          <w:lang w:bidi="fa-IR"/>
        </w:rPr>
        <w:t>.</w:t>
      </w:r>
    </w:p>
    <w:p>
      <w:pPr>
        <w:pStyle w:val="Heading4"/>
        <w:numPr>
          <w:ilvl w:val="3"/>
          <w:numId w:val="1"/>
        </w:numPr>
        <w:rPr/>
      </w:pPr>
      <w:bookmarkStart w:id="431" w:name="__RefHeading___Toc1259626_1468164448"/>
      <w:bookmarkStart w:id="432" w:name="_Toc158"/>
      <w:bookmarkEnd w:id="431"/>
      <w:r>
        <w:rPr/>
        <w:t>29</w:t>
      </w:r>
      <w:r>
        <w:rPr>
          <w:rtl w:val="true"/>
        </w:rPr>
        <w:t xml:space="preserve">- </w:t>
      </w:r>
      <w:r>
        <w:rPr>
          <w:rtl w:val="true"/>
        </w:rPr>
        <w:t>نیابت از کودک در حج</w:t>
      </w:r>
      <w:bookmarkEnd w:id="432"/>
    </w:p>
    <w:p>
      <w:pPr>
        <w:pStyle w:val="BookText"/>
        <w:rPr/>
      </w:pPr>
      <w:r>
        <w:rPr>
          <w:rFonts w:ascii="IRNazanin" w:hAnsi="IRNazanin" w:eastAsia="IRNazanin"/>
          <w:color w:val="111111"/>
          <w:sz w:val="28"/>
          <w:sz w:val="28"/>
          <w:szCs w:val="28"/>
          <w:rtl w:val="true"/>
          <w:lang w:bidi="fa-IR"/>
        </w:rPr>
        <w:t>بیتردید نیابت از کودک غیر ممیّز در هیچ عبادتی صحیح نیست، زیرا در نیابت، نائب عمل را به قصد منوب‌عنه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ویژگی در صورتی صحیح است که خطابات شرعی اعمّ از وجوبی یا استحبابی متوجّه منوب‌عنه باشد و نائب عبادت را به نیابت از او انجام دهد، این در حالی است که کودک غیر ممیّز چون هیچ نوع خطاب اعم از وجوبی یا استحبابی متوجّه او نیست، نمیتواند عمل عبادی برای او قرار گیرد تا از او نیابت 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نیابت از کودک ممیّز بر طبق نظر کسانی که عبادات وی را مشروع میدانند،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بسیاری از بزرگان فقهای معاصر به آن تصریح نموده‌اند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و ادله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در حج، عملی است مشروع و نسبت به حج استحبابی به طور مطلق صحیح است، اعم از این‌که منوب‌عنه زنده باشد یا مرده، صغیر باشد یا کبیر، بعضی از فقها حتی در این‌باره ادّعای اجماع نموده‌اند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روایاتی که در حدّ استفاضه میباشد و دلالت بر صحّت نیابت دارد، و بعضی از آنها پیش‌تر ذکر شد،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در کتاب شریف کافی از امام صادق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نفر را در حج خود شریک کنی برای هر یک از آنها پاداش حج است، بدون این‌که از ثواب حج خودت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أَشْرَکْتَ أَلْفاً فِی حَجَّتِکَ لَکانَ لِکُلِّ واحِدٍ حَجُّ مِنْ غَیْرِ أَنْ یَنْقُصَ مِنْ حجتِکَ شَیْءٌ</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وروایات دیگر</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بی تردید، اطلاق جواز شریک قرار دادن جماعتی در ثواب حج مستحبی، کودک ممیّز را نیز شامل میگردد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اطلاق روایاتی که دلالت دارد کسی که فوت کرده هر عمل نیک که برای او انجام شود، از جمله حج مستحبّی و عمره در عالم برزخ از آن بهره‌مند میگردد و چه بسا اگر ناراحتی داشته باشد رفع میشود</w:t>
      </w:r>
      <w:r>
        <w:rPr>
          <w:rStyle w:val="FootnoteAnchor"/>
          <w:rtl w:val="true"/>
        </w:rPr>
        <w:footnoteReference w:id="916"/>
      </w:r>
      <w:r>
        <w:rPr>
          <w:rFonts w:ascii="IRNazanin" w:hAnsi="IRNazanin" w:eastAsia="IRNazanin"/>
          <w:color w:val="111111"/>
          <w:sz w:val="28"/>
          <w:sz w:val="28"/>
          <w:szCs w:val="28"/>
          <w:rtl w:val="true"/>
          <w:lang w:bidi="fa-IR"/>
        </w:rPr>
        <w:t>، کودک ممیّز را شامل میشود</w:t>
      </w:r>
      <w:r>
        <w:rPr>
          <w:rFonts w:eastAsia="IRNazanin" w:cs="IRNazanin"/>
          <w:color w:val="111111"/>
          <w:sz w:val="28"/>
          <w:szCs w:val="28"/>
          <w:rtl w:val="true"/>
          <w:lang w:bidi="fa-IR"/>
        </w:rPr>
        <w:t>.</w:t>
      </w:r>
      <w:bookmarkStart w:id="433" w:name="pg13713_164495"/>
    </w:p>
    <w:p>
      <w:pPr>
        <w:pStyle w:val="Heading3"/>
        <w:numPr>
          <w:ilvl w:val="2"/>
          <w:numId w:val="1"/>
        </w:numPr>
        <w:rPr/>
      </w:pPr>
      <w:bookmarkStart w:id="434" w:name="__RefHeading___Toc1259628_1468164448"/>
      <w:bookmarkStart w:id="435" w:name="_Toc159"/>
      <w:bookmarkEnd w:id="433"/>
      <w:bookmarkEnd w:id="434"/>
      <w:r>
        <w:rPr>
          <w:rtl w:val="true"/>
        </w:rPr>
        <w:t>گفتار هفتم</w:t>
      </w:r>
      <w:r>
        <w:rPr>
          <w:rtl w:val="true"/>
        </w:rPr>
        <w:t xml:space="preserve">: </w:t>
      </w:r>
      <w:r>
        <w:rPr>
          <w:rtl w:val="true"/>
        </w:rPr>
        <w:t>حکم جهاد نسبت به کودک</w:t>
      </w:r>
      <w:bookmarkEnd w:id="435"/>
    </w:p>
    <w:p>
      <w:pPr>
        <w:pStyle w:val="Heading4"/>
        <w:numPr>
          <w:ilvl w:val="3"/>
          <w:numId w:val="1"/>
        </w:numPr>
        <w:rPr/>
      </w:pPr>
      <w:bookmarkStart w:id="436" w:name="__RefHeading___Toc1259630_1468164448"/>
      <w:bookmarkStart w:id="437" w:name="_Toc160"/>
      <w:bookmarkEnd w:id="436"/>
      <w:r>
        <w:rPr/>
        <w:t>1</w:t>
      </w:r>
      <w:r>
        <w:rPr>
          <w:rtl w:val="true"/>
        </w:rPr>
        <w:t xml:space="preserve">- </w:t>
      </w:r>
      <w:r>
        <w:rPr>
          <w:rtl w:val="true"/>
        </w:rPr>
        <w:t>مفهوم جهاد و اهمّیت آن</w:t>
      </w:r>
      <w:bookmarkEnd w:id="437"/>
    </w:p>
    <w:p>
      <w:pPr>
        <w:pStyle w:val="BookText"/>
        <w:rPr/>
      </w:pPr>
      <w:r>
        <w:rPr>
          <w:rFonts w:ascii="IRNazanin" w:hAnsi="IRNazanin" w:eastAsia="IRNazanin"/>
          <w:color w:val="111111"/>
          <w:sz w:val="28"/>
          <w:sz w:val="28"/>
          <w:szCs w:val="28"/>
          <w:rtl w:val="true"/>
          <w:lang w:bidi="fa-IR"/>
        </w:rPr>
        <w:t xml:space="preserve">جهاد در لغت از ماده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مشقّت و سختی و از ماده جهد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به کار گرفتن توانایی است</w:t>
      </w:r>
      <w:r>
        <w:rPr>
          <w:rStyle w:val="FootnoteAnchor"/>
          <w:rtl w:val="true"/>
        </w:rPr>
        <w:footnoteReference w:id="917"/>
      </w:r>
      <w:r>
        <w:rPr>
          <w:rFonts w:ascii="IRNazanin" w:hAnsi="IRNazanin" w:eastAsia="IRNazanin"/>
          <w:color w:val="111111"/>
          <w:sz w:val="28"/>
          <w:sz w:val="28"/>
          <w:szCs w:val="28"/>
          <w:rtl w:val="true"/>
          <w:lang w:bidi="fa-IR"/>
        </w:rPr>
        <w:t>و در اصطلاح فقهی، عبارت است از بذل جان و مال برای جنگ با مشرکین و باغین،</w:t>
      </w:r>
      <w:r>
        <w:rPr>
          <w:rStyle w:val="FootnoteAnchor"/>
          <w:rtl w:val="true"/>
        </w:rPr>
        <w:footnoteReference w:id="918"/>
      </w:r>
      <w:r>
        <w:rPr>
          <w:rFonts w:ascii="IRNazanin" w:hAnsi="IRNazanin" w:eastAsia="IRNazanin"/>
          <w:color w:val="111111"/>
          <w:sz w:val="28"/>
          <w:sz w:val="28"/>
          <w:szCs w:val="28"/>
          <w:rtl w:val="true"/>
          <w:lang w:bidi="fa-IR"/>
        </w:rPr>
        <w:t>به شیوه خاص</w:t>
      </w:r>
      <w:r>
        <w:rPr>
          <w:rStyle w:val="FootnoteAnchor"/>
          <w:rtl w:val="true"/>
        </w:rPr>
        <w:footnoteReference w:id="919"/>
      </w:r>
      <w:r>
        <w:rPr>
          <w:rFonts w:ascii="IRNazanin" w:hAnsi="IRNazanin" w:eastAsia="IRNazanin"/>
          <w:color w:val="111111"/>
          <w:sz w:val="28"/>
          <w:sz w:val="28"/>
          <w:szCs w:val="28"/>
          <w:rtl w:val="true"/>
          <w:lang w:bidi="fa-IR"/>
        </w:rPr>
        <w:t>با اذن امام معصوم علیه السلام یاکسی‌که از جانب او مأذون و منصوب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جهاد در اسلام بذل جان و مال است برای اعتلا و برتری کلمه اسلام و اقامه شعائر ایمانی</w:t>
      </w:r>
      <w:r>
        <w:rPr>
          <w:rFonts w:eastAsia="IRNazanin" w:cs="IRNazanin"/>
          <w:color w:val="111111"/>
          <w:sz w:val="28"/>
          <w:szCs w:val="28"/>
          <w:rtl w:val="true"/>
          <w:lang w:bidi="fa-IR"/>
        </w:rPr>
        <w:t>».</w:t>
      </w:r>
      <w:r>
        <w:rPr>
          <w:rStyle w:val="FootnoteAnchor"/>
          <w:rtl w:val="true"/>
        </w:rPr>
        <w:footnoteReference w:id="92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در راه دین، واجبی از واجبات الهی و یکی از فروع دین میباشد و از اهمیّت بالایی برخوردار است؛ پیامبر اعظم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همگی در زیر سایه شمشیر مجاهدین جمع است، فقط شمشیر مجاهدین می‌تواند مردم را به اقامه عدل و صراط مستقیم وا دارد، آری شمشیر مجاهدین کلید بهشت است</w:t>
      </w:r>
      <w:r>
        <w:rPr>
          <w:rFonts w:eastAsia="IRNazanin" w:cs="IRNazanin"/>
          <w:color w:val="111111"/>
          <w:sz w:val="28"/>
          <w:szCs w:val="28"/>
          <w:rtl w:val="true"/>
          <w:lang w:bidi="fa-IR"/>
        </w:rPr>
        <w:t>.</w:t>
      </w:r>
      <w:r>
        <w:rPr>
          <w:rStyle w:val="FootnoteAnchor"/>
          <w:rtl w:val="true"/>
        </w:rPr>
        <w:footnoteReference w:id="921"/>
      </w:r>
      <w:bookmarkStart w:id="438" w:name="pg13713_164496"/>
    </w:p>
    <w:p>
      <w:pPr>
        <w:pStyle w:val="BookText"/>
        <w:rPr/>
      </w:pPr>
      <w:bookmarkEnd w:id="438"/>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در نزد خدا محبوب‌تر از قطره خونی که در راه خدا ریخته 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أَحَبَّ إِلی اللهِ عَزَّوَجَلَّ مِنْ قَطْرَةٍ دَمٍ فِی سَبِیلِ اللهِ</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جهاد بر مسلمانان مذکر، بالغ، عاقل، با وجود شرایطی که در فقه بیان شده، واجب کفایی است و به اجماع فقها،</w:t>
      </w:r>
    </w:p>
    <w:p>
      <w:pPr>
        <w:pStyle w:val="BookText"/>
        <w:rPr/>
      </w:pPr>
      <w:r>
        <w:rPr>
          <w:rStyle w:val="FootnoteAnchor"/>
          <w:rtl w:val="true"/>
        </w:rPr>
        <w:footnoteReference w:id="923"/>
      </w:r>
      <w:r>
        <w:rPr>
          <w:rFonts w:ascii="IRNazanin" w:hAnsi="IRNazanin" w:eastAsia="IRNazanin"/>
          <w:color w:val="111111"/>
          <w:sz w:val="28"/>
          <w:sz w:val="28"/>
          <w:szCs w:val="28"/>
          <w:rtl w:val="true"/>
          <w:lang w:bidi="fa-IR"/>
        </w:rPr>
        <w:t>بر کودک چه ممیّز و چه غیر ممیّز، واجب نیست، زیرا شرط وجوب آن بلوغ است</w:t>
      </w:r>
      <w:r>
        <w:rPr>
          <w:rFonts w:eastAsia="IRNazanin" w:cs="IRNazanin"/>
          <w:color w:val="111111"/>
          <w:sz w:val="28"/>
          <w:szCs w:val="28"/>
          <w:rtl w:val="true"/>
          <w:lang w:bidi="fa-IR"/>
        </w:rPr>
        <w:t>.</w:t>
      </w:r>
    </w:p>
    <w:p>
      <w:pPr>
        <w:pStyle w:val="Heading4"/>
        <w:numPr>
          <w:ilvl w:val="3"/>
          <w:numId w:val="1"/>
        </w:numPr>
        <w:rPr/>
      </w:pPr>
      <w:bookmarkStart w:id="439" w:name="__RefHeading___Toc1259632_1468164448"/>
      <w:bookmarkStart w:id="440" w:name="_Toc161"/>
      <w:bookmarkEnd w:id="439"/>
      <w:r>
        <w:rPr/>
        <w:t>2</w:t>
      </w:r>
      <w:r>
        <w:rPr>
          <w:rtl w:val="true"/>
        </w:rPr>
        <w:t xml:space="preserve">- </w:t>
      </w:r>
      <w:r>
        <w:rPr>
          <w:rtl w:val="true"/>
        </w:rPr>
        <w:t>مشروعیّت جهاد برای کودک</w:t>
      </w:r>
      <w:bookmarkEnd w:id="440"/>
    </w:p>
    <w:p>
      <w:pPr>
        <w:pStyle w:val="BookText"/>
        <w:rPr/>
      </w:pPr>
      <w:r>
        <w:rPr>
          <w:rFonts w:ascii="IRNazanin" w:hAnsi="IRNazanin" w:eastAsia="IRNazanin"/>
          <w:color w:val="111111"/>
          <w:sz w:val="28"/>
          <w:sz w:val="28"/>
          <w:szCs w:val="28"/>
          <w:rtl w:val="true"/>
          <w:lang w:bidi="fa-IR"/>
        </w:rPr>
        <w:t>بحث مشروعیت جهاد برای کودک، در نوشتارهای فقیهان مطرح نشده است، ولی علاوه بر ادلّه‌ای که به صورت عام دلالت به مشروعیّت عبادت کودک دارد و در این بخش میتواند اجمالاً مستند واقع شود، قرائن و شواهد متعدّدی در دست است که مجموع آن‌ها میتواند دلیل بر مشروعیّت جهاد برای کودک، البته در موارد استثنایی و حساس و آن جا که نیاز به کمک آن‌ها باشد، قرار گیرد هرچند فرد فرد آنها این توانایی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قرائن و شواهد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فقیهان به صراحت ذکر نموده‌اند که امام علیه السلام میتواند به کودکان ممیّزِمراهق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دهد، تا در اموری که توانایی دارند به جهادگران علیه‌کفّار و مشرکین کمک کنند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ظاهر این است که اذن به کودکان در فرض مزبور، دلیل بر مشروعیّت جهاد در حق‌آنان میباشد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طریق اهل سنّت وارد گردیده است که دلالت دارد بر این‌که کودکان با مجاهدین روانه جهاد میشوند،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یکی از زنان مسلمان، شمشیری به کودک خود داد تا به جنگ رود، در حالی که او توانایی حمل آن را نداشت، شمشیر را به بازوی وی بست و هر دو نفر نزد پیامبر اکرم صلی الله علیه و آله آمدند، مادر به آن حضرت</w:t>
      </w:r>
    </w:p>
    <w:p>
      <w:pPr>
        <w:pStyle w:val="BookText"/>
        <w:rPr/>
      </w:pPr>
      <w:r>
        <w:rPr>
          <w:rFonts w:ascii="IRNazanin" w:hAnsi="IRNazanin" w:eastAsia="IRNazanin"/>
          <w:color w:val="111111"/>
          <w:sz w:val="28"/>
          <w:sz w:val="28"/>
          <w:szCs w:val="28"/>
          <w:rtl w:val="true"/>
          <w:lang w:bidi="fa-IR"/>
        </w:rPr>
        <w:t>عرض کرد فرزندم را برای جنگیدن علیه دشمنان تو به میدان آورده‌ام، آن حضرت به‌کودک مأموریت داد در نقطه‌ای خاص بایستد، ناگهان جراحتی بر او وارد آمد و به زمین افتاد، بعد از آن به نزد پیامبر صلی الله علیه و آله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نترسیدم</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در روایت دیگری نقل شده است که در جنگ بدر پیامبر مکرّم اسلام صلی الله علیه و آله از ورود عمیر بن ابی وقّاص به جنگ، به دلیل این‌که کودک بود جلوگیری کرد، او گریه کرد، بعداز آن به او اجازه داد</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و روایات دیگری هم به همین مضمون وجود دارد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اگر در جبهه جنگ حاضر شود، از غنایم سهم دارد و نیز از سَلَب بهره میبرد که در ادامه توضیح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شهید بر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بسیاری از فقها</w:t>
      </w:r>
      <w:r>
        <w:rPr>
          <w:rStyle w:val="FootnoteAnchor"/>
          <w:rtl w:val="true"/>
        </w:rPr>
        <w:footnoteReference w:id="928"/>
      </w:r>
      <w:r>
        <w:rPr>
          <w:rFonts w:ascii="IRNazanin" w:hAnsi="IRNazanin" w:eastAsia="IRNazanin"/>
          <w:color w:val="111111"/>
          <w:sz w:val="28"/>
          <w:sz w:val="28"/>
          <w:szCs w:val="28"/>
          <w:rtl w:val="true"/>
          <w:lang w:bidi="fa-IR"/>
        </w:rPr>
        <w:t>ذکر نموده‌اند، بلکه ادّعای اجماع دارند</w:t>
      </w:r>
      <w:r>
        <w:rPr>
          <w:rStyle w:val="FootnoteAnchor"/>
          <w:rtl w:val="true"/>
        </w:rPr>
        <w:footnoteReference w:id="929"/>
      </w:r>
      <w:r>
        <w:rPr>
          <w:rFonts w:ascii="IRNazanin" w:hAnsi="IRNazanin" w:eastAsia="IRNazanin"/>
          <w:color w:val="111111"/>
          <w:sz w:val="28"/>
          <w:sz w:val="28"/>
          <w:szCs w:val="28"/>
          <w:rtl w:val="true"/>
          <w:lang w:bidi="fa-IR"/>
        </w:rPr>
        <w:t>که اگر کودک در معرکه و میدان جهاد کشته شود، لازم نیست غسل داده شود و کفن گردد، بلکه با همان لباسی که در تن دارد، دفن میشود، زیرا به او شهید گفته میشود و اطلاق ادلّه‌ای که در این‌باره وارد شده، او را نیز شامل میگردد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مرحوم محقّق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و مجنون اگر در معرکه جهاد کشته شوند، شهید محسوب میشوند و حکم بالغ عاقل را دارند</w:t>
      </w:r>
      <w:r>
        <w:rPr>
          <w:rFonts w:eastAsia="IRNazanin" w:cs="IRNazanin"/>
          <w:color w:val="111111"/>
          <w:sz w:val="28"/>
          <w:szCs w:val="28"/>
          <w:rtl w:val="true"/>
          <w:lang w:bidi="fa-IR"/>
        </w:rPr>
        <w:t>».</w:t>
      </w:r>
      <w:r>
        <w:rPr>
          <w:rStyle w:val="FootnoteAnchor"/>
          <w:rtl w:val="true"/>
        </w:rPr>
        <w:footnoteReference w:id="93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تاریخ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واقعه کربلا تعدادی از کودکان مانند قاسم و عبدالله از فرزندان امام مجتبی علیه السلام همراه حضرت سیّد الشهداء علیه السلام به شهادت رسیدند و</w:t>
      </w:r>
      <w:bookmarkStart w:id="441" w:name="pg13713_164498"/>
    </w:p>
    <w:p>
      <w:pPr>
        <w:pStyle w:val="BookText"/>
        <w:rPr/>
      </w:pPr>
      <w:bookmarkEnd w:id="441"/>
      <w:r>
        <w:rPr>
          <w:rFonts w:ascii="IRNazanin" w:hAnsi="IRNazanin" w:eastAsia="IRNazanin"/>
          <w:color w:val="111111"/>
          <w:sz w:val="28"/>
          <w:sz w:val="28"/>
          <w:szCs w:val="28"/>
          <w:rtl w:val="true"/>
          <w:lang w:bidi="fa-IR"/>
        </w:rPr>
        <w:t>هرگز ذکر نشده که آنها غسل داده شدند، بلکه نقل شده است که بعد از شهادت علیاصغر علیه السلام طفل شیرخواره امام حسین علیه السلام آن حضرت با نوک نی گودالی حفر نمود و بر او نماز خواند و با همان وضعیت با لباس خون‌آلود دفن نمود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به هر صورت مواردی که ذکر شد، میتواند مؤیّد بلکه دلیل مشروعیّت جهاد برای کودک ممیّز در موارد حسّاس و استثنایی و آن جا که امر بر مسلمانان سخت باشد،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همان گونه که در ابتدای بحث اشاره شد، بلوغ شرط اساسی جهاد است و موارد یاد شده نیز از باب استثنا یا تحت عنوان دفاع قابل ملاحظه میباشند</w:t>
      </w:r>
      <w:r>
        <w:rPr>
          <w:rFonts w:eastAsia="IRNazanin" w:cs="IRNazanin"/>
          <w:color w:val="111111"/>
          <w:sz w:val="28"/>
          <w:szCs w:val="28"/>
          <w:rtl w:val="true"/>
          <w:lang w:bidi="fa-IR"/>
        </w:rPr>
        <w:t>.</w:t>
      </w:r>
    </w:p>
    <w:p>
      <w:pPr>
        <w:pStyle w:val="Heading4"/>
        <w:numPr>
          <w:ilvl w:val="3"/>
          <w:numId w:val="1"/>
        </w:numPr>
        <w:rPr/>
      </w:pPr>
      <w:bookmarkStart w:id="442" w:name="__RefHeading___Toc1259634_1468164448"/>
      <w:bookmarkStart w:id="443" w:name="_Toc162"/>
      <w:bookmarkEnd w:id="442"/>
      <w:r>
        <w:rPr/>
        <w:t>3</w:t>
      </w:r>
      <w:r>
        <w:rPr>
          <w:rtl w:val="true"/>
        </w:rPr>
        <w:t xml:space="preserve">- </w:t>
      </w:r>
      <w:r>
        <w:rPr>
          <w:rtl w:val="true"/>
        </w:rPr>
        <w:t>بررسی چند فرع فقهی پیرامون جهاد کودک</w:t>
      </w:r>
      <w:bookmarkEnd w:id="443"/>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کودک از غنایم جنگی</w:t>
      </w:r>
    </w:p>
    <w:p>
      <w:pPr>
        <w:pStyle w:val="BookText"/>
        <w:rPr/>
      </w:pPr>
      <w:r>
        <w:rPr>
          <w:rFonts w:ascii="IRNazanin" w:hAnsi="IRNazanin" w:eastAsia="IRNazanin"/>
          <w:color w:val="111111"/>
          <w:sz w:val="28"/>
          <w:sz w:val="28"/>
          <w:szCs w:val="28"/>
          <w:rtl w:val="true"/>
          <w:lang w:bidi="fa-IR"/>
        </w:rPr>
        <w:t>به اتفاق فقیهان‌کودک از غنایم جنگی سهم دارد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شیخ طوسی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مانند مردان از غنایم جنگی دارای سهم میباشند</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محقق حلی نیز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سهم از غنایم جنگی برای کسانی است که در جنگ حضور دارند، حتّی کودک، هر چند بعد از این‌که غنایم در اختیار مجاهدین قرار گرفته و قبل از تقسیم آن، متوّلد شده باشد</w:t>
      </w:r>
      <w:r>
        <w:rPr>
          <w:rFonts w:eastAsia="IRNazanin" w:cs="IRNazanin"/>
          <w:color w:val="111111"/>
          <w:sz w:val="28"/>
          <w:szCs w:val="28"/>
          <w:rtl w:val="true"/>
          <w:lang w:bidi="fa-IR"/>
        </w:rPr>
        <w:t>».</w:t>
      </w:r>
      <w:r>
        <w:rPr>
          <w:rStyle w:val="FootnoteAnchor"/>
          <w:rtl w:val="true"/>
        </w:rPr>
        <w:footnoteReference w:id="93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آن، اولاً اجماع</w:t>
      </w:r>
      <w:r>
        <w:rPr>
          <w:rStyle w:val="FootnoteAnchor"/>
          <w:rtl w:val="true"/>
        </w:rPr>
        <w:footnoteReference w:id="936"/>
      </w:r>
      <w:r>
        <w:rPr>
          <w:rFonts w:ascii="IRNazanin" w:hAnsi="IRNazanin" w:eastAsia="IRNazanin"/>
          <w:color w:val="111111"/>
          <w:sz w:val="28"/>
          <w:sz w:val="28"/>
          <w:szCs w:val="28"/>
          <w:rtl w:val="true"/>
          <w:lang w:bidi="fa-IR"/>
        </w:rPr>
        <w:t>است و ثانیاً این‌که کودک همانند دیگر مسلمانان است که در جبهه حضور دارند و دارای سهم است، افزون بر این در معرض تلف است، مانند دیگر جنگجویان، بدین جهت باید سهم داشته باشد</w:t>
      </w:r>
      <w:r>
        <w:rPr>
          <w:rStyle w:val="FootnoteAnchor"/>
          <w:rtl w:val="true"/>
        </w:rPr>
        <w:footnoteReference w:id="937"/>
      </w:r>
      <w:r>
        <w:rPr>
          <w:rFonts w:ascii="IRNazanin" w:hAnsi="IRNazanin" w:eastAsia="IRNazanin"/>
          <w:color w:val="111111"/>
          <w:sz w:val="28"/>
          <w:sz w:val="28"/>
          <w:szCs w:val="28"/>
          <w:rtl w:val="true"/>
          <w:lang w:bidi="fa-IR"/>
        </w:rPr>
        <w:t>وثالثاً، دلیل اصلی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امام صادق علیه السلام از جدّش امیر المؤمنین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w:t>
      </w:r>
    </w:p>
    <w:p>
      <w:pPr>
        <w:pStyle w:val="BookText"/>
        <w:rPr/>
      </w:pPr>
      <w:r>
        <w:rPr>
          <w:rFonts w:ascii="IRNazanin" w:hAnsi="IRNazanin" w:eastAsia="IRNazanin"/>
          <w:color w:val="111111"/>
          <w:sz w:val="28"/>
          <w:sz w:val="28"/>
          <w:szCs w:val="28"/>
          <w:rtl w:val="true"/>
          <w:lang w:bidi="fa-IR"/>
        </w:rPr>
        <w:t>در جنگ متولّد شود، قسمی از آن‌چه خداوند برای مجاهدین قرار داده، به او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الْمُولُودُ فیِ ارْضِ الْحَرْبِ قُسِّمَ لَهُ مِمّا أَفاءَ اللهُ عَلَیْهِمْ</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نیز سهمی است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فرع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کودک از سَلَب</w:t>
      </w:r>
    </w:p>
    <w:p>
      <w:pPr>
        <w:pStyle w:val="BookText"/>
        <w:rPr/>
      </w:pPr>
      <w:r>
        <w:rPr>
          <w:rFonts w:ascii="IRNazanin" w:hAnsi="IRNazanin" w:eastAsia="IRNazanin"/>
          <w:color w:val="111111"/>
          <w:sz w:val="28"/>
          <w:sz w:val="28"/>
          <w:szCs w:val="28"/>
          <w:rtl w:val="true"/>
          <w:lang w:bidi="fa-IR"/>
        </w:rPr>
        <w:t>مقصود از سَلَب اموالی است که متعلّق به کشته شدگانِ مخالف در جنگ است که همراه آنان باشد، مثل لباس، زره، اسلحه، مرکب سواری</w:t>
      </w:r>
      <w:r>
        <w:rPr>
          <w:rStyle w:val="FootnoteAnchor"/>
          <w:rtl w:val="true"/>
        </w:rPr>
        <w:footnoteReference w:id="940"/>
      </w:r>
      <w:r>
        <w:rPr>
          <w:rFonts w:ascii="IRNazanin" w:hAnsi="IRNazanin" w:eastAsia="IRNazanin"/>
          <w:color w:val="111111"/>
          <w:sz w:val="28"/>
          <w:sz w:val="28"/>
          <w:szCs w:val="28"/>
          <w:rtl w:val="true"/>
          <w:lang w:bidi="fa-IR"/>
        </w:rPr>
        <w:t>و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مشهور فقهای امامیّه این است که کودک استحقاق گرفتن سَلَب دارد</w:t>
      </w:r>
      <w:r>
        <w:rPr>
          <w:rStyle w:val="FootnoteAnchor"/>
          <w:rtl w:val="true"/>
        </w:rPr>
        <w:footnoteReference w:id="941"/>
      </w:r>
      <w:r>
        <w:rPr>
          <w:rFonts w:ascii="IRNazanin" w:hAnsi="IRNazanin" w:eastAsia="IRNazanin"/>
          <w:color w:val="111111"/>
          <w:sz w:val="28"/>
          <w:sz w:val="28"/>
          <w:szCs w:val="28"/>
          <w:rtl w:val="true"/>
          <w:lang w:bidi="fa-IR"/>
        </w:rPr>
        <w:t>و دلیل آن اطلاق روایت معروفی است از پیامبر اکرم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جنگ، فردی از دشمن را میکُشد، اموالش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سَلَبهُ</w:t>
      </w:r>
      <w:r>
        <w:rPr>
          <w:rFonts w:eastAsia="IRNazanin" w:cs="IRNazanin"/>
          <w:color w:val="111111"/>
          <w:sz w:val="28"/>
          <w:szCs w:val="28"/>
          <w:rtl w:val="true"/>
          <w:lang w:bidi="fa-IR"/>
        </w:rPr>
        <w:t>»</w:t>
      </w:r>
      <w:r>
        <w:rPr>
          <w:rStyle w:val="FootnoteAnchor"/>
          <w:rtl w:val="true"/>
        </w:rPr>
        <w:footnoteReference w:id="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درعبارت دیگری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کافِراً فَلَهُ سَلَبَهُ</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البته این روایت از جهت سند ضعیف است و قابل اعتماد برای اثبات 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قتل کودکان کفّار در جنگ</w:t>
      </w:r>
    </w:p>
    <w:p>
      <w:pPr>
        <w:pStyle w:val="BookText"/>
        <w:rPr/>
      </w:pPr>
      <w:r>
        <w:rPr>
          <w:rFonts w:ascii="IRNazanin" w:hAnsi="IRNazanin" w:eastAsia="IRNazanin"/>
          <w:color w:val="111111"/>
          <w:sz w:val="28"/>
          <w:sz w:val="28"/>
          <w:szCs w:val="28"/>
          <w:rtl w:val="true"/>
          <w:lang w:bidi="fa-IR"/>
        </w:rPr>
        <w:t>به اتفاق فقیهان کُشتن کودکان کفّار در جنگ جایز نیست، هر چند کمک و همکار هم‌کیشان خود 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مجانین، کودکان و زنان کفّار در جنگ جایز نیست و اگر چه هم‌کیشان خود را در جنگ یاری دهند، مگر در حال ضرورت</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عبارت بسیاری از فقها نیز شبیه آن‌چه ذکر شد میباشد</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دلیل این حکم، علاوه بر اجماع</w:t>
      </w:r>
      <w:r>
        <w:rPr>
          <w:rStyle w:val="FootnoteAnchor"/>
          <w:rtl w:val="true"/>
        </w:rPr>
        <w:footnoteReference w:id="946"/>
      </w:r>
      <w:r>
        <w:rPr>
          <w:rFonts w:ascii="IRNazanin" w:hAnsi="IRNazanin" w:eastAsia="IRNazanin"/>
          <w:color w:val="111111"/>
          <w:sz w:val="28"/>
          <w:sz w:val="28"/>
          <w:szCs w:val="28"/>
          <w:rtl w:val="true"/>
          <w:lang w:bidi="fa-IR"/>
        </w:rPr>
        <w:t>، اخبار بسیاری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خدا صلی الله علیه و آله این بود، هرگاه‌گروهی را به جنگ کفّار میفرستاد، قبل از حرکت، آنها را دعوت مینمود و در نزد خود مینشانید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حرکت کنید و در راه او و بر ملّت رسول او، در جنگ خیانت نکنید، افراد را مُثله ننمایید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و بینی آنها را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بیوفا نباشید، پیرمردان، زنان وکودکان را نکُشید، درختان را قطع ننمایید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تَقْتُلُوا شَیْخاً فانِیاً وَلا صَبِیّاً وَلا إِمْرَأَةً وَلا تَقْطَعُوا شَجَراً إِلاّ انْ تُضْطَرُّوا إِلَیْها</w:t>
      </w:r>
      <w:r>
        <w:rPr>
          <w:rFonts w:eastAsia="IRNazanin" w:cs="IRNazanin"/>
          <w:color w:val="111111"/>
          <w:sz w:val="28"/>
          <w:szCs w:val="28"/>
          <w:rtl w:val="true"/>
          <w:lang w:bidi="fa-IR"/>
        </w:rPr>
        <w:t>».</w:t>
      </w:r>
      <w:r>
        <w:rPr>
          <w:rStyle w:val="FootnoteAnchor"/>
        </w:rPr>
        <w:footnoteReference w:id="947"/>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صحیحة دیگری میخوانیم، روش آن حضرت این بود هرگاه تصمیم میگرفت گروهی را به جنگ با کفّار بفرستد، فرمانده آنها را همراه با دیگر افراد جنگجو به نزد خود میخواند و در حضور فرمانده، کلماتی که در روایت قبل ذکر شد، بیان میفرمود</w:t>
      </w:r>
      <w:r>
        <w:rPr>
          <w:rFonts w:eastAsia="IRNazanin" w:cs="IRNazanin"/>
          <w:color w:val="111111"/>
          <w:sz w:val="28"/>
          <w:szCs w:val="28"/>
          <w:rtl w:val="true"/>
          <w:lang w:bidi="fa-IR"/>
        </w:rPr>
        <w:t>.</w:t>
      </w:r>
    </w:p>
    <w:p>
      <w:pPr>
        <w:pStyle w:val="BookText"/>
        <w:rPr/>
      </w:pPr>
      <w:r>
        <w:rPr>
          <w:rStyle w:val="FootnoteAnchor"/>
          <w:rtl w:val="true"/>
        </w:rPr>
        <w:footnoteReference w:id="948"/>
      </w:r>
      <w:r>
        <w:rPr>
          <w:rFonts w:ascii="IRNazanin" w:hAnsi="IRNazanin" w:eastAsia="IRNazanin"/>
          <w:color w:val="111111"/>
          <w:sz w:val="28"/>
          <w:sz w:val="28"/>
          <w:szCs w:val="28"/>
          <w:rtl w:val="true"/>
          <w:lang w:bidi="fa-IR"/>
        </w:rPr>
        <w:t xml:space="preserve">سپر قرار گرفتن کودکانِ کفّار در جنگ در عبارات فقها،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قتل کودکان کفّار یک مورد استثنا شده است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تترّس</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به اطفال کفّار، یاد شده است، به این صورت که اگر کفّار کودکان خود را سپر خویش قرار داده و در سایه آنها بر علیه مسلمانان بجنگند، به گونه‌ای که اگر به کودکان حمله نشود و قتل آنها را جایز ندانیم، موجب غلبه کفّار و شکست مسلمانان خواهد شد، در این حالت استثنایی به عنوان ضرورت، قتل کودکان کفّار جایز است</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البته تشخیص این ضرورت به عهده امام معصوم علیه السلام یا نائب مأذون از طرف او میباشد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استثنا، علاوه بر این‌که جواز آن به مقتضای ضرورت است، زیرا فرض بر این است که اگر به کودکان حمله نشود، مسلمانان مغلوب خواهند شد، روایات است، مانند آن‌که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از من درخواست کردند از امام صادق علیه السلام سؤال کنم در مورد شهری از شهرها که در آن مسلمانان و کفّار در حال جنگ میباشند،</w:t>
      </w:r>
    </w:p>
    <w:p>
      <w:pPr>
        <w:pStyle w:val="BookText"/>
        <w:rPr/>
      </w:pPr>
      <w:r>
        <w:rPr>
          <w:rFonts w:ascii="IRNazanin" w:hAnsi="IRNazanin" w:eastAsia="IRNazanin"/>
          <w:color w:val="111111"/>
          <w:sz w:val="28"/>
          <w:sz w:val="28"/>
          <w:szCs w:val="28"/>
          <w:rtl w:val="true"/>
          <w:lang w:bidi="fa-IR"/>
        </w:rPr>
        <w:t>آیا جایز است جنگجویان و مجاهدین وارد شهر شوند و چه بسا ممکن است بر اثر جنگ، اماکنی به آتش کشیده شود، در حالیکه زنان، کودکان، افراد سالخورده و اسیران مسلمان و تجّار در آن شهر میباشند؟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چنان‌چه افراد مذکور کشته شوند، دیه آنها بر مسلمانان نیست، هم‌چنین واجب نیست مسلمانان کفّاره بپردازند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سپر قرار گرفتن کودکانِ مسلمان در جنگ</w:t>
      </w:r>
    </w:p>
    <w:p>
      <w:pPr>
        <w:pStyle w:val="BookText"/>
        <w:rPr/>
      </w:pPr>
      <w:r>
        <w:rPr>
          <w:rFonts w:ascii="IRNazanin" w:hAnsi="IRNazanin" w:eastAsia="IRNazanin"/>
          <w:color w:val="111111"/>
          <w:sz w:val="28"/>
          <w:sz w:val="28"/>
          <w:szCs w:val="28"/>
          <w:rtl w:val="true"/>
          <w:lang w:bidi="fa-IR"/>
        </w:rPr>
        <w:t>اگر کفّار در جنگ، کودکان، زنان و اسیران مسلمان را سپر خود قرار دهند و علیه مسلمانان بجنگند، به عنوان ضرورت و در یک حالت استثنایی به گونه‌ای که در مورد سپر قرار گرفتن کودکان کفّار توضیح داده شد، حمله بر کودکان مسلمان جایز است، هر چند منتهی به قتل آنان شود و ظاهراً به اتفاق فقها، پرداخت دیه بر مسلمان جنگجو،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حفظ جان مسلمانی که کفّار او را در جنگ سپر خود قرار داده‌اند، ممکن باشد و جنگجو به او حمله کند و او را بکُشد، واجب است قصاص شود و کفّاره قتل نیز به عهده او میآید، ولی اگر پیکار با دشمن ممکن نباشد، مگر با حمله به مسلمان، جایز است به او حمله شود و در این صورت، قصاص و دیه نیست</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عبارات برخی دیگر از فقیهان نیز شبیه آن‌چه ذکر شد، میباشد</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دلیل این حکم، اجماع</w:t>
      </w:r>
      <w:r>
        <w:rPr>
          <w:rStyle w:val="FootnoteAnchor"/>
          <w:rtl w:val="true"/>
        </w:rPr>
        <w:footnoteReference w:id="954"/>
      </w:r>
      <w:r>
        <w:rPr>
          <w:rFonts w:ascii="IRNazanin" w:hAnsi="IRNazanin" w:eastAsia="IRNazanin"/>
          <w:color w:val="111111"/>
          <w:sz w:val="28"/>
          <w:sz w:val="28"/>
          <w:szCs w:val="28"/>
          <w:rtl w:val="true"/>
          <w:lang w:bidi="fa-IR"/>
        </w:rPr>
        <w:t>و روایت</w:t>
      </w:r>
      <w:r>
        <w:rPr>
          <w:rStyle w:val="FootnoteAnchor"/>
          <w:rtl w:val="true"/>
        </w:rPr>
        <w:footnoteReference w:id="955"/>
      </w:r>
      <w:r>
        <w:rPr>
          <w:rFonts w:ascii="IRNazanin" w:hAnsi="IRNazanin" w:eastAsia="IRNazanin"/>
          <w:color w:val="111111"/>
          <w:sz w:val="28"/>
          <w:sz w:val="28"/>
          <w:szCs w:val="28"/>
          <w:rtl w:val="true"/>
          <w:lang w:bidi="fa-IR"/>
        </w:rPr>
        <w:t>معتبری است از امام صادق علیه السلام که پیش‌تر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فرض مزبور کفّاره قتل بر عهده مسلمان جنگجو واجب میشود یا خیر؟ در این باره بحث و گفتگو است و دو نظریّه مطرح گردیده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مشهور در میان فقها، وجوب کفاره است</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مقابل نظریّه مشهور، برخی از فقها قائل به عدم وجوب کفّاره در فرض مزبور میباشند</w:t>
      </w:r>
      <w:r>
        <w:rPr>
          <w:rStyle w:val="FootnoteAnchor"/>
          <w:rtl w:val="true"/>
        </w:rPr>
        <w:footnoteReference w:id="957"/>
      </w:r>
      <w:r>
        <w:rPr>
          <w:rFonts w:ascii="Amiri" w:hAnsi="Amiri" w:eastAsia="Amiri" w:cs="Amiri"/>
          <w:color w:val="111111"/>
          <w:sz w:val="28"/>
          <w:sz w:val="28"/>
          <w:szCs w:val="28"/>
          <w:rtl w:val="true"/>
          <w:lang w:bidi="ar-SA"/>
        </w:rPr>
        <w:t>و دلیل آن، اصل و روایت معتبره‌ای است از امام صادق علیه السلام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دیه و کفّاره بر مسلمان مجاهد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دِیَهَ عَلَیْهِمْ لِلْمُسْلِمیِنَ وَلا کَفّارَةَ</w:t>
      </w:r>
      <w:r>
        <w:rPr>
          <w:rFonts w:eastAsia="Amiri" w:cs="Amiri" w:ascii="Amiri" w:hAnsi="Amiri"/>
          <w:color w:val="111111"/>
          <w:sz w:val="28"/>
          <w:szCs w:val="28"/>
          <w:rtl w:val="true"/>
          <w:lang w:bidi="ar-SA"/>
        </w:rPr>
        <w:t>».</w:t>
      </w:r>
      <w:r>
        <w:rPr>
          <w:rStyle w:val="FootnoteAnchor"/>
          <w:rtl w:val="true"/>
        </w:rPr>
        <w:footnoteReference w:id="958"/>
      </w:r>
      <w:r>
        <w:rPr>
          <w:rFonts w:ascii="IRNazanin" w:hAnsi="IRNazanin" w:eastAsia="IRNazanin"/>
          <w:color w:val="111111"/>
          <w:sz w:val="28"/>
          <w:sz w:val="28"/>
          <w:szCs w:val="28"/>
          <w:rtl w:val="true"/>
          <w:lang w:bidi="fa-IR"/>
        </w:rPr>
        <w:t>بنابراین قول دوّم قویتر از نظر اوّل است، لیکن مخالفت نظرِ مشهور فقها مشکل است و مشکل‌تر از آن، پذیرفتن نظر آنان بدون دلیل است از این رو باید احتیاط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اجماع فقها در فرض مزبور، بر مجاهد مسلمان که جهادش بر علیه کفّار موجب قتل مسلمان شده، قصاص نیست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کودکان و احکام آن</w:t>
      </w:r>
    </w:p>
    <w:p>
      <w:pPr>
        <w:pStyle w:val="BookText"/>
        <w:rPr/>
      </w:pPr>
      <w:r>
        <w:rPr>
          <w:rFonts w:ascii="IRNazanin" w:hAnsi="IRNazanin" w:eastAsia="IRNazanin"/>
          <w:color w:val="111111"/>
          <w:sz w:val="28"/>
          <w:sz w:val="28"/>
          <w:szCs w:val="28"/>
          <w:rtl w:val="true"/>
          <w:lang w:bidi="fa-IR"/>
        </w:rPr>
        <w:t>اگر در جنگ، کودکان و زنان کفّار اسیر شوند، به اجماع فقهای امامیّه، قتل آنان جایز نیست،</w:t>
      </w:r>
      <w:r>
        <w:rPr>
          <w:rStyle w:val="FootnoteAnchor"/>
          <w:rtl w:val="true"/>
        </w:rPr>
        <w:footnoteReference w:id="960"/>
      </w:r>
      <w:r>
        <w:rPr>
          <w:rFonts w:ascii="IRNazanin" w:hAnsi="IRNazanin" w:eastAsia="IRNazanin"/>
          <w:color w:val="111111"/>
          <w:sz w:val="28"/>
          <w:sz w:val="28"/>
          <w:szCs w:val="28"/>
          <w:rtl w:val="true"/>
          <w:lang w:bidi="fa-IR"/>
        </w:rPr>
        <w:t>زیرا اگر قبل از اسارت، قتل آنها جایز نباشد، بعد از اسارت که در اختیار مسلمانان میباشند به طریق اولی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زنان و کودکان بعد از اسارت به اجماع فقها جایز نیست، زیرا پیامبر گرامی اسلام صلی الله علیه و آله از قتل آنها نهی فرموده است</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برای کودکان و زنانِ اسیر در فقه آثاری است، از جمله این‌که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غنایم جنگی ملک مجاهدین قرار میگیرند</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به عبارت دیگر، حکم به رقیّت و بنده بودن میشود و میتوان آنها را خرید و فروش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دیگری که اختصاص به کودکان دارد و قابل ذکر است این‌است که، طبق نظر برخی از فقها، جایز نیست بین کودک و مادرش و نیز بین کودک و مادر بزرگش در تقسیم غنایم یا به وسیلة خرید و فروش، جدایی افتد</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در روایت صحیح،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اسرا، از یمن به حضور پیامبر صلی الله علیه و آله میآوردند، وقتی به سرزمین 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آذوقه و مواد خوراکی آنها تمام شد، نگهبانان دختر بچه‌ای که مادرش در بین اسرا حضور داشت را برای تأمین مواد خوراکی به فروش رساندند، وقتی به حضور پیامبر صلی الله علیه و آله رسیدند، آن حضرت شنید زنی گریه میکند، علّت را جویا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بین راه برای تأمین مخارج، دخترش را فروختیم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به کسی که او را خریده برگردانند و دختر را باز پس‌گیرند،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مادر و دختر هر دو را بفروشید و یا هر دو را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بِیْعُوهُما جَمیِعاً اوْ امْسِکُوهُما جَمیِعًا</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دیدگاه دیگری، جدایی بین مادر و کودک را مکروه میداند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6"/>
      </w:r>
      <w:r>
        <w:rPr>
          <w:rFonts w:ascii="IRNazanin" w:hAnsi="IRNazanin" w:eastAsia="IRNazanin"/>
          <w:color w:val="111111"/>
          <w:sz w:val="28"/>
          <w:sz w:val="28"/>
          <w:szCs w:val="28"/>
          <w:rtl w:val="true"/>
          <w:lang w:bidi="fa-IR"/>
        </w:rPr>
        <w:t>و روایات وارد شده را حمل بر کراهت مینماید، آثار دیگری نیز بیان شده ولی به دلیل این‌که مسأله اسارت موضوع ندارد و در زمان ما مورد ابتلا نیست از ذکر و تفصیل آن خودداری میشود</w:t>
      </w:r>
      <w:r>
        <w:rPr>
          <w:rFonts w:eastAsia="IRNazanin" w:cs="IRNazanin"/>
          <w:color w:val="111111"/>
          <w:sz w:val="28"/>
          <w:szCs w:val="28"/>
          <w:rtl w:val="true"/>
          <w:lang w:bidi="fa-IR"/>
        </w:rPr>
        <w:t>.</w:t>
      </w:r>
      <w:bookmarkStart w:id="444" w:name="pg13713_164504"/>
    </w:p>
    <w:p>
      <w:pPr>
        <w:pStyle w:val="Heading3"/>
        <w:numPr>
          <w:ilvl w:val="2"/>
          <w:numId w:val="1"/>
        </w:numPr>
        <w:rPr/>
      </w:pPr>
      <w:bookmarkStart w:id="445" w:name="__RefHeading___Toc1259636_1468164448"/>
      <w:bookmarkStart w:id="446" w:name="_Toc163"/>
      <w:bookmarkEnd w:id="444"/>
      <w:bookmarkEnd w:id="445"/>
      <w:r>
        <w:rPr>
          <w:rtl w:val="true"/>
        </w:rPr>
        <w:t>گفتار هشتم</w:t>
      </w:r>
      <w:r>
        <w:rPr>
          <w:rtl w:val="true"/>
        </w:rPr>
        <w:t xml:space="preserve">: </w:t>
      </w:r>
      <w:r>
        <w:rPr>
          <w:rtl w:val="true"/>
        </w:rPr>
        <w:t>امر به معروف و نهی از منکر نسبت به کودک</w:t>
      </w:r>
      <w:bookmarkEnd w:id="446"/>
    </w:p>
    <w:p>
      <w:pPr>
        <w:pStyle w:val="Heading4"/>
        <w:numPr>
          <w:ilvl w:val="3"/>
          <w:numId w:val="1"/>
        </w:numPr>
        <w:rPr/>
      </w:pPr>
      <w:bookmarkStart w:id="447" w:name="__RefHeading___Toc1259638_1468164448"/>
      <w:bookmarkStart w:id="448" w:name="_Toc164"/>
      <w:bookmarkEnd w:id="447"/>
      <w:r>
        <w:rPr/>
        <w:t>1</w:t>
      </w:r>
      <w:r>
        <w:rPr>
          <w:rtl w:val="true"/>
        </w:rPr>
        <w:t xml:space="preserve">- </w:t>
      </w:r>
      <w:r>
        <w:rPr>
          <w:rtl w:val="true"/>
        </w:rPr>
        <w:t>مفهوم و اهمّیت این دو فریضه</w:t>
      </w:r>
      <w:bookmarkEnd w:id="448"/>
    </w:p>
    <w:p>
      <w:pPr>
        <w:pStyle w:val="BookText"/>
        <w:rPr/>
      </w:pPr>
      <w:r>
        <w:rPr>
          <w:rFonts w:ascii="IRNazanin" w:hAnsi="IRNazanin" w:eastAsia="IRNazanin"/>
          <w:color w:val="111111"/>
          <w:sz w:val="28"/>
          <w:sz w:val="28"/>
          <w:szCs w:val="28"/>
          <w:rtl w:val="true"/>
          <w:lang w:bidi="fa-IR"/>
        </w:rPr>
        <w:t xml:space="preserve">معروف در لغت به معنی شناخته شده،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خیر و نیک و احسان</w:t>
      </w:r>
      <w:r>
        <w:rPr>
          <w:rStyle w:val="FootnoteAnchor"/>
          <w:rtl w:val="true"/>
        </w:rPr>
        <w:footnoteReference w:id="967"/>
      </w:r>
      <w:r>
        <w:rPr>
          <w:rFonts w:ascii="IRNazanin" w:hAnsi="IRNazanin" w:eastAsia="IRNazanin"/>
          <w:color w:val="111111"/>
          <w:sz w:val="28"/>
          <w:sz w:val="28"/>
          <w:szCs w:val="28"/>
          <w:rtl w:val="true"/>
          <w:lang w:bidi="fa-IR"/>
        </w:rPr>
        <w:t xml:space="preserve">و منکر به معنی ناشناس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معروف است</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به این ترتیب، کارهای نیک، اموری شناخته شده و کارهای زشت و ناپسند اموری ناشناس معرفی شده‌اند، زیرا فطرت پاک انسانی با دستة اوّل آشنا و با دوّم ناآشنا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از فروعات دین اسلام و از واجبات بسیار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مجید و روایات که در منابع معتبر اسلامی آمده در اهمّیت این دو وظیفه بزرگ اجتماعی وارد شده است که در آنها به خطرات و عواقب شومی که بر اثر ترک این دو وظیفه در جامعه بوجود میآید، اشاره گردیده است، به عنوان نمونه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میان شما جمعی دعوت به نیکی کنند و امر به معروف و نهی از منکر نمایند و آنها رستگارانند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آیه دستور داده شده که در میان مسلمانان همواره باید گروهی باشند که این دو وظیفه بزرگ اجتماعی را انجام دهند، مردم را به نیکیها دعوت کنند و از بدیها باز دارند</w:t>
      </w:r>
      <w:r>
        <w:rPr>
          <w:rFonts w:eastAsia="IRNazanin" w:cs="IRNazanin"/>
          <w:color w:val="111111"/>
          <w:sz w:val="28"/>
          <w:szCs w:val="28"/>
          <w:rtl w:val="true"/>
          <w:lang w:bidi="fa-IR"/>
        </w:rPr>
        <w:t>.</w:t>
      </w:r>
      <w:bookmarkStart w:id="449" w:name="pg13713_164505"/>
    </w:p>
    <w:p>
      <w:pPr>
        <w:pStyle w:val="BookText"/>
        <w:rPr/>
      </w:pPr>
      <w:bookmarkEnd w:id="44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دو فریضه بزرگ الهی است که دیگر فرائض با آنها برپا میشوند و به وسیله این دو، راه‌ها امن میگردد و کسب و کار مردم حلال میشود، حقوق افراد تأمین میگردد و در سایه آن، زمین‌ها آباد و از دشمنان انتقام گرفته میشود و در پرتو آن، همه کارها رو به راه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الاَمْرَ بِالْمَعْروُفِ وَالنَّهْیَ عَنِ الْمُنْکَرِ فَرِیضَةٌ عَظِیَمةٌ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وَتَأْمَنُ الْمَذاهِبُ وَتَحِلُ الْمَکاسِبُ وَتُرَدُّ الْمَظالِمَُ وَتُعْمَرُ الاَرْضُ وَیُنْتَصَفُ مِنَ الاَعْداءِ وَیَسْتَقیِمُ الاَمْرُ</w:t>
      </w:r>
      <w:r>
        <w:rPr>
          <w:rFonts w:eastAsia="IRNazanin" w:cs="IRNazanin"/>
          <w:color w:val="111111"/>
          <w:sz w:val="28"/>
          <w:szCs w:val="28"/>
          <w:rtl w:val="true"/>
          <w:lang w:bidi="fa-IR"/>
        </w:rPr>
        <w:t>...».</w:t>
      </w:r>
      <w:r>
        <w:rPr>
          <w:rStyle w:val="FootnoteAnchor"/>
          <w:rtl w:val="true"/>
        </w:rPr>
        <w:footnoteReference w:id="969"/>
      </w:r>
    </w:p>
    <w:p>
      <w:pPr>
        <w:pStyle w:val="Heading4"/>
        <w:numPr>
          <w:ilvl w:val="3"/>
          <w:numId w:val="1"/>
        </w:numPr>
        <w:rPr/>
      </w:pPr>
      <w:bookmarkStart w:id="450" w:name="__RefHeading___Toc1259640_1468164448"/>
      <w:bookmarkStart w:id="451" w:name="_Toc165"/>
      <w:bookmarkEnd w:id="450"/>
      <w:r>
        <w:rPr/>
        <w:t>2</w:t>
      </w:r>
      <w:r>
        <w:rPr>
          <w:rtl w:val="true"/>
        </w:rPr>
        <w:t xml:space="preserve">- </w:t>
      </w:r>
      <w:r>
        <w:rPr>
          <w:rtl w:val="true"/>
        </w:rPr>
        <w:t>وجوب کفایی یا عینی بودن این دو فریضه</w:t>
      </w:r>
      <w:bookmarkEnd w:id="451"/>
    </w:p>
    <w:p>
      <w:pPr>
        <w:pStyle w:val="BookText"/>
        <w:rPr/>
      </w:pPr>
      <w:r>
        <w:rPr>
          <w:rFonts w:ascii="IRNazanin" w:hAnsi="IRNazanin" w:eastAsia="IRNazanin"/>
          <w:color w:val="111111"/>
          <w:sz w:val="28"/>
          <w:sz w:val="28"/>
          <w:szCs w:val="28"/>
          <w:rtl w:val="true"/>
          <w:lang w:bidi="fa-IR"/>
        </w:rPr>
        <w:t>دیدگاه مشهور فقهای امامیه این است که وجوب امر به معروف و نهی از منکر، کفایی است، به این معنی که اگر فرد یا افرادی به انجام آن قیام نموده‌اند، از دیگران ساقط میشود و اگر ترک شود همگان معصیّت نموده‌اند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در مقابل این دیدگاه، بعضی قائل به وجوب عینی بودن آن میباشند</w:t>
      </w:r>
      <w:r>
        <w:rPr>
          <w:rFonts w:eastAsia="IRNazanin" w:cs="IRNazanin"/>
          <w:color w:val="111111"/>
          <w:sz w:val="28"/>
          <w:szCs w:val="28"/>
          <w:rtl w:val="true"/>
          <w:lang w:bidi="fa-IR"/>
        </w:rPr>
        <w:t>.</w:t>
      </w:r>
      <w:r>
        <w:rPr>
          <w:rStyle w:val="FootnoteAnchor"/>
          <w:rtl w:val="true"/>
        </w:rPr>
        <w:footnoteReference w:id="971"/>
      </w:r>
    </w:p>
    <w:p>
      <w:pPr>
        <w:pStyle w:val="Heading4"/>
        <w:numPr>
          <w:ilvl w:val="3"/>
          <w:numId w:val="1"/>
        </w:numPr>
        <w:rPr/>
      </w:pPr>
      <w:bookmarkStart w:id="452" w:name="__RefHeading___Toc1259642_1468164448"/>
      <w:bookmarkStart w:id="453" w:name="_Toc166"/>
      <w:bookmarkEnd w:id="452"/>
      <w:r>
        <w:rPr/>
        <w:t>3</w:t>
      </w:r>
      <w:r>
        <w:rPr>
          <w:rtl w:val="true"/>
        </w:rPr>
        <w:t xml:space="preserve">- </w:t>
      </w:r>
      <w:r>
        <w:rPr>
          <w:rtl w:val="true"/>
        </w:rPr>
        <w:t>عقلی یا تعبدی بودن این دو فریضه</w:t>
      </w:r>
      <w:bookmarkEnd w:id="453"/>
    </w:p>
    <w:p>
      <w:pPr>
        <w:pStyle w:val="BookText"/>
        <w:rPr/>
      </w:pPr>
      <w:r>
        <w:rPr>
          <w:rFonts w:ascii="IRNazanin" w:hAnsi="IRNazanin" w:eastAsia="IRNazanin"/>
          <w:color w:val="111111"/>
          <w:sz w:val="28"/>
          <w:sz w:val="28"/>
          <w:szCs w:val="28"/>
          <w:rtl w:val="true"/>
          <w:lang w:bidi="fa-IR"/>
        </w:rPr>
        <w:t>آیا وجوب این دو فریضه الهی، عقلی است یا تعبدی و شرعی که با ادلّه نقلی ثابت میشود؟ در این باره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بین دانشمندان، اعم از فقها و متکلّمین این است که وجوب این دو فریضه تنها با دلیل نقلی ثابت است</w:t>
      </w:r>
      <w:r>
        <w:rPr>
          <w:rFonts w:eastAsia="IRNazanin" w:cs="IRNazanin"/>
          <w:color w:val="111111"/>
          <w:sz w:val="28"/>
          <w:szCs w:val="28"/>
          <w:rtl w:val="true"/>
          <w:lang w:bidi="fa-IR"/>
        </w:rPr>
        <w:t>.</w:t>
      </w:r>
      <w:r>
        <w:rPr>
          <w:rStyle w:val="FootnoteAnchor"/>
          <w:rtl w:val="true"/>
        </w:rPr>
        <w:footnoteReference w:id="97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 وجوب این دو، عقلی است، زیرا عقل مستقلاً لزوم آن را درک میکند</w:t>
      </w:r>
      <w:r>
        <w:rPr>
          <w:rFonts w:eastAsia="IRNazanin" w:cs="IRNazanin"/>
          <w:color w:val="111111"/>
          <w:sz w:val="28"/>
          <w:szCs w:val="28"/>
          <w:rtl w:val="true"/>
          <w:lang w:bidi="fa-IR"/>
        </w:rPr>
        <w:t>.</w:t>
      </w:r>
      <w:r>
        <w:rPr>
          <w:rStyle w:val="FootnoteAnchor"/>
          <w:rtl w:val="true"/>
        </w:rPr>
        <w:footnoteReference w:id="973"/>
      </w:r>
      <w:bookmarkStart w:id="454" w:name="pg13713_164506"/>
    </w:p>
    <w:p>
      <w:pPr>
        <w:pStyle w:val="BookText"/>
        <w:rPr/>
      </w:pPr>
      <w:bookmarkEnd w:id="454"/>
      <w:r>
        <w:rPr>
          <w:rFonts w:ascii="IRNazanin" w:hAnsi="IRNazanin" w:eastAsia="IRNazanin"/>
          <w:color w:val="111111"/>
          <w:sz w:val="28"/>
          <w:sz w:val="28"/>
          <w:szCs w:val="28"/>
          <w:rtl w:val="true"/>
          <w:lang w:bidi="fa-IR"/>
        </w:rPr>
        <w:t xml:space="preserve">به توضیحی دیگر، در اجتماع چیزی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هر زیان فردی امکان این‌را دارد که به صورت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آید، و به همین دلیل، منطق و عقل به افراد اجتماع اجازه میدهد که در پاک نگه داشتن محیط زندگی خود، از هرگونه تلاش و کوششی خودداری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ویژگی، عقلی بودن این دو فریضه تقویت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هیچ منافاتی دیده نمیشود که حکمی از احکام، وجوب مولوی شرعی و تعبّدی داشته باشد، در عین حال متعلّق حکم عقل نیز باشد و انجام آن را ترغیب و تشویق نماید و ترک آن را قبیح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امر به معروف و نهی از منکر از این قبیل است و از این رو به دو اعتبار میتواند وجوب شرعی و عقلی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نزاع دانشمندان در آن، لفظی است</w:t>
      </w:r>
      <w:r>
        <w:rPr>
          <w:rFonts w:eastAsia="IRNazanin" w:cs="IRNazanin"/>
          <w:color w:val="111111"/>
          <w:sz w:val="28"/>
          <w:szCs w:val="28"/>
          <w:rtl w:val="true"/>
          <w:lang w:bidi="fa-IR"/>
        </w:rPr>
        <w:t>.</w:t>
      </w:r>
    </w:p>
    <w:p>
      <w:pPr>
        <w:pStyle w:val="Heading4"/>
        <w:numPr>
          <w:ilvl w:val="3"/>
          <w:numId w:val="1"/>
        </w:numPr>
        <w:rPr/>
      </w:pPr>
      <w:bookmarkStart w:id="455" w:name="__RefHeading___Toc1259644_1468164448"/>
      <w:bookmarkStart w:id="456" w:name="_Toc167"/>
      <w:bookmarkEnd w:id="455"/>
      <w:r>
        <w:rPr/>
        <w:t>4</w:t>
      </w:r>
      <w:r>
        <w:rPr>
          <w:rtl w:val="true"/>
        </w:rPr>
        <w:t xml:space="preserve">- </w:t>
      </w:r>
      <w:r>
        <w:rPr>
          <w:rtl w:val="true"/>
        </w:rPr>
        <w:t>انجام امر به معروف و نهی از منکر توسط کودک</w:t>
      </w:r>
      <w:bookmarkEnd w:id="456"/>
    </w:p>
    <w:p>
      <w:pPr>
        <w:pStyle w:val="BookText"/>
        <w:rPr/>
      </w:pPr>
      <w:r>
        <w:rPr>
          <w:rFonts w:ascii="IRNazanin" w:hAnsi="IRNazanin" w:eastAsia="IRNazanin"/>
          <w:color w:val="111111"/>
          <w:sz w:val="28"/>
          <w:sz w:val="28"/>
          <w:szCs w:val="28"/>
          <w:rtl w:val="true"/>
          <w:lang w:bidi="fa-IR"/>
        </w:rPr>
        <w:t xml:space="preserve">به اتفاق فقها، امر به معروف و نهی از منکر بر کودک هر چند ممیّز و مراهق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نظر شرعی واجب نیست، زیرا همان گونه که بارها بیان شد از شرایط هر حکمِ الزام‌آور از جمله وجوب این دو فریضه الهی، تکلیف است و مقصود ما از بحث، این است که اگر کودک ممیّز به این واجب عمل نمود، آیا وجوب از افراد مکلّف ساقط میگردد یا خیر؟</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مبتنی است بر این‌که آیا واجب کفایی در صورتیکه کودک ممیّز آن را انجام دهد، مثل ردّ سلام، تجهیز و تکفین میّت، از مکلّف ساقط میگردد یا خیر؟</w:t>
      </w:r>
    </w:p>
    <w:p>
      <w:pPr>
        <w:pStyle w:val="BookText"/>
        <w:rPr/>
      </w:pPr>
      <w:r>
        <w:rPr>
          <w:rFonts w:ascii="IRNazanin" w:hAnsi="IRNazanin" w:eastAsia="IRNazanin"/>
          <w:color w:val="111111"/>
          <w:sz w:val="28"/>
          <w:sz w:val="28"/>
          <w:szCs w:val="28"/>
          <w:rtl w:val="true"/>
          <w:lang w:bidi="fa-IR"/>
        </w:rPr>
        <w:t>با قبول این‌که امر به معروف و نهی از منکر وجوب کفایی دارد، چنان‌که حق این است و اعتقاد به این‌که مقصود از واجب کفایی در نظر شرع مقدّس این است که فعل معروف انجام شود و منکر رفع گردد و هدف این نیست که فردی خاص به انجام آن مبادرت ورزد، اگر کودک ممیّز امر به معروف و نهی از منکر نمود، وجوب آن از افراد مکلّف برداشته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شرط وجوب که ترک معروف و اصرار بر منکر باشد، وجود ندارد، بنابراین بر مکلّف واجب نیست</w:t>
      </w:r>
      <w:r>
        <w:rPr>
          <w:rFonts w:eastAsia="IRNazanin" w:cs="IRNazanin"/>
          <w:color w:val="111111"/>
          <w:sz w:val="28"/>
          <w:szCs w:val="28"/>
          <w:rtl w:val="true"/>
          <w:lang w:bidi="fa-IR"/>
        </w:rPr>
        <w:t>.</w:t>
      </w:r>
      <w:bookmarkStart w:id="457" w:name="pg13713_164507"/>
    </w:p>
    <w:p>
      <w:pPr>
        <w:pStyle w:val="Heading4"/>
        <w:numPr>
          <w:ilvl w:val="3"/>
          <w:numId w:val="1"/>
        </w:numPr>
        <w:rPr/>
      </w:pPr>
      <w:bookmarkStart w:id="458" w:name="__RefHeading___Toc1259646_1468164448"/>
      <w:bookmarkStart w:id="459" w:name="_Toc168"/>
      <w:bookmarkEnd w:id="457"/>
      <w:bookmarkEnd w:id="458"/>
      <w:r>
        <w:rPr/>
        <w:t>5</w:t>
      </w:r>
      <w:r>
        <w:rPr>
          <w:rtl w:val="true"/>
        </w:rPr>
        <w:t xml:space="preserve">- </w:t>
      </w:r>
      <w:r>
        <w:rPr>
          <w:rtl w:val="true"/>
        </w:rPr>
        <w:t>وجوب امر به معروف و نهی از منکر بر کودک به حکم عقل</w:t>
      </w:r>
      <w:bookmarkEnd w:id="45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اعتقاد به این‌که وجوب امر به معروف و نهی از منکر به بیانی که توضیح داده شد، به اعتباری عقلی است، انجام آن بر کودک ممیّز به‌ویژه آنها که تا بلوغشان زمان زیادی باقی نمانده، به حکم عقل واجب است، زیرا عقل همان‌گونه که حکم به وجوب دارد، مجری حکم خود را نیز معیّن مینماید و از دیدگاه او، فعلِ معروف پسندیده است و باید انجام پذیرد و از این جهت که توسط فرد بالغ انجام پذیرد و یا غیر بالغ، فرقی نیست، زیرا مفروض این است که کودک ممیّز توانایی انجام این دو فریضه را دارد و با انجام آن، وجوب از مکلّف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 شرع نیز با قبول این‌که عبادات وی صحیح و مشروع است، نسبت به کودک ممیّز مستحب میباشد</w:t>
      </w:r>
      <w:r>
        <w:rPr>
          <w:rFonts w:eastAsia="IRNazanin" w:cs="IRNazanin"/>
          <w:color w:val="111111"/>
          <w:sz w:val="28"/>
          <w:szCs w:val="28"/>
          <w:rtl w:val="true"/>
          <w:lang w:bidi="fa-IR"/>
        </w:rPr>
        <w:t>.</w:t>
      </w:r>
      <w:bookmarkStart w:id="460" w:name="pg13713_164508"/>
    </w:p>
    <w:p>
      <w:pPr>
        <w:pStyle w:val="Heading3"/>
        <w:numPr>
          <w:ilvl w:val="2"/>
          <w:numId w:val="1"/>
        </w:numPr>
        <w:rPr/>
      </w:pPr>
      <w:bookmarkStart w:id="461" w:name="__RefHeading___Toc1259648_1468164448"/>
      <w:bookmarkStart w:id="462" w:name="_Toc169"/>
      <w:bookmarkEnd w:id="460"/>
      <w:bookmarkEnd w:id="461"/>
      <w:r>
        <w:rPr>
          <w:rtl w:val="true"/>
        </w:rPr>
        <w:t>گفتار نهم</w:t>
      </w:r>
      <w:r>
        <w:rPr>
          <w:rtl w:val="true"/>
        </w:rPr>
        <w:t xml:space="preserve">: </w:t>
      </w:r>
      <w:r>
        <w:rPr>
          <w:rtl w:val="true"/>
        </w:rPr>
        <w:t>حکم سلام نسبت به کودک</w:t>
      </w:r>
      <w:bookmarkEnd w:id="462"/>
    </w:p>
    <w:p>
      <w:pPr>
        <w:pStyle w:val="Heading4"/>
        <w:numPr>
          <w:ilvl w:val="3"/>
          <w:numId w:val="1"/>
        </w:numPr>
        <w:rPr/>
      </w:pPr>
      <w:bookmarkStart w:id="463" w:name="__RefHeading___Toc1259650_1468164448"/>
      <w:bookmarkStart w:id="464" w:name="_Toc170"/>
      <w:bookmarkEnd w:id="463"/>
      <w:r>
        <w:rPr/>
        <w:t>1</w:t>
      </w:r>
      <w:r>
        <w:rPr>
          <w:rtl w:val="true"/>
        </w:rPr>
        <w:t xml:space="preserve">- </w:t>
      </w:r>
      <w:r>
        <w:rPr>
          <w:rtl w:val="true"/>
        </w:rPr>
        <w:t>مفهوم سلام و تحیّت</w:t>
      </w:r>
      <w:bookmarkEnd w:id="464"/>
    </w:p>
    <w:p>
      <w:pPr>
        <w:pStyle w:val="BookText"/>
        <w:rPr/>
      </w:pPr>
      <w:r>
        <w:rPr>
          <w:rFonts w:ascii="IRNazanin" w:hAnsi="IRNazanin" w:eastAsia="IRNazanin"/>
          <w:color w:val="111111"/>
          <w:sz w:val="28"/>
          <w:sz w:val="28"/>
          <w:szCs w:val="28"/>
          <w:rtl w:val="true"/>
          <w:lang w:bidi="fa-IR"/>
        </w:rPr>
        <w:t>برای سلام در لغت چند معنی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خداوند متعال است، یعنی خداوند حافظ و نگهبان و ناصر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الْمُؤْمِنُ الْمُهَیْمِنُ</w:t>
      </w:r>
      <w:r>
        <w:rPr>
          <w:rFonts w:eastAsia="IRNazanin" w:cs="IRNazanin"/>
          <w:color w:val="111111"/>
          <w:sz w:val="28"/>
          <w:szCs w:val="28"/>
          <w:rtl w:val="true"/>
          <w:lang w:bidi="fa-IR"/>
        </w:rPr>
        <w:t>)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دعاست، یعنی خداوند شما را سالم نگه دارد و از آفات و بلیّات دنیوی و اخروی در امان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امنیت و درود و تحیّت است، بدین جهت بهشت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نامیده شده‌است، زیرا خانه‌ای است که انسان در آن از ناراحتی و درد و موت در امان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دارُ السَّلامِ عِنْدَ رَبِّهِمْ</w:t>
      </w:r>
      <w:r>
        <w:rPr>
          <w:rFonts w:eastAsia="Amiri" w:cs="Amiri" w:ascii="Amiri" w:hAnsi="Amiri"/>
          <w:color w:val="111111"/>
          <w:sz w:val="28"/>
          <w:szCs w:val="28"/>
          <w:rtl w:val="true"/>
          <w:lang w:bidi="ar-SA"/>
        </w:rPr>
        <w:t>)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لیکن مقصود از سلام در نزد فقها، تحیّتی است که خداوند به آن امر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کسی به شما تحیّت گوید، پاسخ آن را بهتر بدهید یا لااقّل به طور مساوی پاسخ 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 .</w:t>
      </w:r>
      <w:r>
        <w:rPr>
          <w:rStyle w:val="FootnoteAnchor"/>
          <w:rtl w:val="true"/>
        </w:rPr>
        <w:footnoteReference w:id="97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تحیّت در لغت از مادّه حیات و به معنی دعا برای دیگری است، خواه این دعا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سلامت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زنده</w:t>
      </w:r>
      <w:bookmarkStart w:id="465" w:name="pg13713_164509"/>
    </w:p>
    <w:p>
      <w:pPr>
        <w:pStyle w:val="BookText"/>
        <w:rPr/>
      </w:pPr>
      <w:bookmarkEnd w:id="465"/>
      <w:r>
        <w:rPr>
          <w:rFonts w:ascii="IRNazanin" w:hAnsi="IRNazanin" w:eastAsia="IRNazanin"/>
          <w:color w:val="111111"/>
          <w:sz w:val="28"/>
          <w:sz w:val="28"/>
          <w:szCs w:val="28"/>
          <w:rtl w:val="true"/>
          <w:lang w:bidi="fa-IR"/>
        </w:rPr>
        <w:t>بدارد و یا مانند آن باشد، ولی معمولاً از این کلمه هر نوع اظهار محبّتی را که افراد به وسیله سخن با یکدیگر دارند، شامل میشود که روشن‌ترین مصداق آن سلام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خانه‌ای شدید بر یکدیگر تحیّت و سلام‌بفرستید، تحیّتی پربرکت و پاکیزه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دَخَلْتُمْ بُیُوتاً فَسَلِّمُوا عَلی أَنْفُسِکُمْ تَحِیَّةً مِنْ عِنْدِ اللّهِ مُبارَکَةً طَیِّبَةً</w:t>
      </w:r>
      <w:r>
        <w:rPr>
          <w:rFonts w:eastAsia="IRNazanin" w:cs="IRNazanin"/>
          <w:color w:val="111111"/>
          <w:sz w:val="28"/>
          <w:szCs w:val="28"/>
          <w:rtl w:val="true"/>
          <w:lang w:bidi="fa-IR"/>
        </w:rPr>
        <w:t>)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در این آیه، سلام به عنوان تحیّت الهی که هم مبارک است و هم پاکیزه، معرّفی شده است و در ضمن میتوان از آن استفاده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سلام الله علیکم است، یعنی درود پروردگار بر تو باد یا خداوند تو را سلامت دارد و در امن و امان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سلام کردن یک نوع اعلام دوستی و صلح و ترک مخاصمه و جنگ محسوب میشود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به هر صورت، به اجماع فقها، بلکه تمام مسلمین، سلام مستحب است و پاسخ آن به نحو کفایی واجب می‌باشد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اگر کسی که به او سلام شده، یک نفر است، متعیّناً باید او پاسخ دهد و اگر چند نفر باشند بر همگان واجب است و اگر یکی از آنها پاسخ داد، از دیگران ساقط میشود و اگر هیچکدام پاسخ ندهند، تمام آنها گناهکار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جدّ بزرگوارش پیامبر گرامی اسلام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مستحب است و پاسخ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تَطَوُّعٌ وَالرَّدُّ فَرِیضَةٌ</w:t>
      </w:r>
      <w:r>
        <w:rPr>
          <w:rFonts w:eastAsia="IRNazanin" w:cs="IRNazanin"/>
          <w:color w:val="111111"/>
          <w:sz w:val="28"/>
          <w:szCs w:val="28"/>
          <w:rtl w:val="true"/>
          <w:lang w:bidi="fa-IR"/>
        </w:rPr>
        <w:t>».</w:t>
      </w:r>
      <w:r>
        <w:rPr>
          <w:rStyle w:val="FootnoteAnchor"/>
          <w:rtl w:val="true"/>
        </w:rPr>
        <w:footnoteReference w:id="980"/>
      </w:r>
    </w:p>
    <w:p>
      <w:pPr>
        <w:pStyle w:val="Heading4"/>
        <w:numPr>
          <w:ilvl w:val="3"/>
          <w:numId w:val="1"/>
        </w:numPr>
        <w:rPr/>
      </w:pPr>
      <w:bookmarkStart w:id="466" w:name="__RefHeading___Toc1259652_1468164448"/>
      <w:bookmarkStart w:id="467" w:name="_Toc171"/>
      <w:bookmarkEnd w:id="466"/>
      <w:r>
        <w:rPr/>
        <w:t>2</w:t>
      </w:r>
      <w:r>
        <w:rPr>
          <w:rtl w:val="true"/>
        </w:rPr>
        <w:t xml:space="preserve">- </w:t>
      </w:r>
      <w:r>
        <w:rPr>
          <w:rtl w:val="true"/>
        </w:rPr>
        <w:t>استحباب سلام در حقّ کودک</w:t>
      </w:r>
      <w:bookmarkEnd w:id="467"/>
    </w:p>
    <w:p>
      <w:pPr>
        <w:pStyle w:val="BookText"/>
        <w:rPr/>
      </w:pPr>
      <w:r>
        <w:rPr>
          <w:rFonts w:ascii="IRNazanin" w:hAnsi="IRNazanin" w:eastAsia="IRNazanin"/>
          <w:color w:val="111111"/>
          <w:sz w:val="28"/>
          <w:sz w:val="28"/>
          <w:szCs w:val="28"/>
          <w:rtl w:val="true"/>
          <w:lang w:bidi="fa-IR"/>
        </w:rPr>
        <w:t>برای کودک ممیّز، سلام و تحیّت دادن به دیگران همانند افراد بالغ، مستحب است</w:t>
      </w:r>
      <w:r>
        <w:rPr>
          <w:rFonts w:eastAsia="IRNazanin" w:cs="IRNazanin"/>
          <w:color w:val="111111"/>
          <w:sz w:val="28"/>
          <w:szCs w:val="28"/>
          <w:rtl w:val="true"/>
          <w:lang w:bidi="fa-IR"/>
        </w:rPr>
        <w:t>.</w:t>
      </w:r>
      <w:r>
        <w:rPr>
          <w:rStyle w:val="FootnoteAnchor"/>
          <w:rtl w:val="true"/>
        </w:rPr>
        <w:footnoteReference w:id="98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کودک بر بزرگسال، و کسی که در حال عبور است بر آن‌که نشسته، و جمعیّت کم بر افراد زیاد، سلام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الصَّغِیرُ عَلَی الْکَبِیرِ وَالْمارُّ عَلَی الْقاعِدِ وَالْقَلیِلُ عَلَی الْکَثِیرِ</w:t>
      </w:r>
      <w:r>
        <w:rPr>
          <w:rFonts w:eastAsia="IRNazanin" w:cs="IRNazanin"/>
          <w:color w:val="111111"/>
          <w:sz w:val="28"/>
          <w:szCs w:val="28"/>
          <w:rtl w:val="true"/>
          <w:lang w:bidi="fa-IR"/>
        </w:rPr>
        <w:t>».</w:t>
      </w:r>
      <w:r>
        <w:rPr>
          <w:rStyle w:val="FootnoteAnchor"/>
          <w:rtl w:val="true"/>
        </w:rPr>
        <w:footnoteReference w:id="982"/>
      </w:r>
      <w:bookmarkStart w:id="468" w:name="pg13713_164510"/>
    </w:p>
    <w:p>
      <w:pPr>
        <w:pStyle w:val="Heading4"/>
        <w:numPr>
          <w:ilvl w:val="3"/>
          <w:numId w:val="1"/>
        </w:numPr>
        <w:rPr/>
      </w:pPr>
      <w:bookmarkStart w:id="469" w:name="__RefHeading___Toc1259654_1468164448"/>
      <w:bookmarkStart w:id="470" w:name="_Toc172"/>
      <w:bookmarkEnd w:id="468"/>
      <w:bookmarkEnd w:id="469"/>
      <w:r>
        <w:rPr/>
        <w:t>3</w:t>
      </w:r>
      <w:r>
        <w:rPr>
          <w:rtl w:val="true"/>
        </w:rPr>
        <w:t xml:space="preserve">- </w:t>
      </w:r>
      <w:r>
        <w:rPr>
          <w:rtl w:val="true"/>
        </w:rPr>
        <w:t>وجوب پاسخ به سلام کودک</w:t>
      </w:r>
      <w:bookmarkEnd w:id="470"/>
    </w:p>
    <w:p>
      <w:pPr>
        <w:pStyle w:val="BookText"/>
        <w:rPr/>
      </w:pPr>
      <w:r>
        <w:rPr>
          <w:rFonts w:ascii="IRNazanin" w:hAnsi="IRNazanin" w:eastAsia="IRNazanin"/>
          <w:color w:val="111111"/>
          <w:sz w:val="28"/>
          <w:sz w:val="28"/>
          <w:szCs w:val="28"/>
          <w:rtl w:val="true"/>
          <w:lang w:bidi="fa-IR"/>
        </w:rPr>
        <w:t>اگر کودک ممیّز سلام کرد، به نظر بسیاری از فقها پاسخ و ردّ سلام او، واجب است</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محقّق نراقی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سلام کودک ممیّز در نماز و غیر نماز، واجب است</w:t>
      </w:r>
      <w:r>
        <w:rPr>
          <w:rStyle w:val="FootnoteAnchor"/>
          <w:rtl w:val="true"/>
        </w:rPr>
        <w:footnoteReference w:id="984"/>
      </w:r>
      <w:r>
        <w:rPr>
          <w:rFonts w:ascii="Amiri" w:hAnsi="Amiri" w:eastAsia="Amiri" w:cs="Amiri"/>
          <w:color w:val="111111"/>
          <w:sz w:val="28"/>
          <w:sz w:val="28"/>
          <w:szCs w:val="28"/>
          <w:rtl w:val="true"/>
          <w:lang w:bidi="ar-SA"/>
        </w:rPr>
        <w:t>، دلیل این حکم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اخبار</w:t>
      </w:r>
      <w:r>
        <w:rPr>
          <w:rStyle w:val="FootnoteAnchor"/>
          <w:rtl w:val="true"/>
        </w:rPr>
        <w:footnoteReference w:id="985"/>
      </w:r>
      <w:r>
        <w:rPr>
          <w:rFonts w:ascii="IRNazanin" w:hAnsi="IRNazanin" w:eastAsia="IRNazanin"/>
          <w:color w:val="111111"/>
          <w:sz w:val="28"/>
          <w:sz w:val="28"/>
          <w:szCs w:val="28"/>
          <w:rtl w:val="true"/>
          <w:lang w:bidi="fa-IR"/>
        </w:rPr>
        <w:t>وارد شده در این مورد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تحیّت کودک ممیّز، سلام صدق میکند، بنابراین اطلاق اخبار، آن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اگر به جماعتی سلام شود و کودک ممیّزی که در بین آنها است، بدان پاسخ دهد، کافی است و وجوب ردّ سلام از دیگران ساقط میشود؟ در این‌باره چند نظر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کافی نمیدانند</w:t>
      </w:r>
      <w:r>
        <w:rPr>
          <w:rStyle w:val="FootnoteAnchor"/>
          <w:rtl w:val="true"/>
        </w:rPr>
        <w:footnoteReference w:id="986"/>
      </w:r>
      <w:r>
        <w:rPr>
          <w:rFonts w:ascii="IRNazanin" w:hAnsi="IRNazanin" w:eastAsia="IRNazanin"/>
          <w:color w:val="111111"/>
          <w:sz w:val="28"/>
          <w:sz w:val="28"/>
          <w:szCs w:val="28"/>
          <w:rtl w:val="true"/>
          <w:lang w:bidi="fa-IR"/>
        </w:rPr>
        <w:t>و معتقدند امر به پاسخ سلام در آیه شریفه، مخصوص مکلّفین است</w:t>
      </w:r>
      <w:r>
        <w:rPr>
          <w:rStyle w:val="FootnoteAnchor"/>
          <w:rtl w:val="true"/>
        </w:rPr>
        <w:footnoteReference w:id="987"/>
      </w:r>
      <w:r>
        <w:rPr>
          <w:rFonts w:ascii="IRNazanin" w:hAnsi="IRNazanin" w:eastAsia="IRNazanin"/>
          <w:color w:val="111111"/>
          <w:sz w:val="28"/>
          <w:sz w:val="28"/>
          <w:szCs w:val="28"/>
          <w:rtl w:val="true"/>
          <w:lang w:bidi="fa-IR"/>
        </w:rPr>
        <w:t>، زیرا خطاب وجوبی متوّجه کودک نیست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این مسأله را مبتنی بر شرعی بودن عبادات کودک دانسته و معتقدند با قبول این مبنی، به پاسخ کودک اکتفا میشود و وجوب از دیگران ساقط میشود</w:t>
      </w:r>
      <w:r>
        <w:rPr>
          <w:rFonts w:eastAsia="IRNazanin" w:cs="IRNazanin"/>
          <w:color w:val="111111"/>
          <w:sz w:val="28"/>
          <w:szCs w:val="28"/>
          <w:rtl w:val="true"/>
          <w:lang w:bidi="fa-IR"/>
        </w:rPr>
        <w:t>.</w:t>
      </w:r>
      <w:r>
        <w:rPr>
          <w:rStyle w:val="FootnoteAnchor"/>
          <w:rtl w:val="true"/>
        </w:rPr>
        <w:footnoteReference w:id="989"/>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سوّم که قویتر مینماید و عدّه‌ای از بزرگان فقها اعمّ از گذشتگان</w:t>
      </w:r>
      <w:r>
        <w:rPr>
          <w:rStyle w:val="FootnoteAnchor"/>
          <w:rtl w:val="true"/>
        </w:rPr>
        <w:footnoteReference w:id="990"/>
      </w:r>
      <w:r>
        <w:rPr>
          <w:rFonts w:ascii="IRNazanin" w:hAnsi="IRNazanin" w:eastAsia="IRNazanin"/>
          <w:color w:val="111111"/>
          <w:sz w:val="28"/>
          <w:sz w:val="28"/>
          <w:szCs w:val="28"/>
          <w:rtl w:val="true"/>
          <w:lang w:bidi="fa-IR"/>
        </w:rPr>
        <w:t>و معاصرین</w:t>
      </w:r>
      <w:r>
        <w:rPr>
          <w:rStyle w:val="FootnoteAnchor"/>
          <w:rtl w:val="true"/>
        </w:rPr>
        <w:footnoteReference w:id="991"/>
      </w:r>
      <w:r>
        <w:rPr>
          <w:rFonts w:ascii="IRNazanin" w:hAnsi="IRNazanin" w:eastAsia="IRNazanin"/>
          <w:color w:val="111111"/>
          <w:sz w:val="28"/>
          <w:sz w:val="28"/>
          <w:szCs w:val="28"/>
          <w:rtl w:val="true"/>
          <w:lang w:bidi="fa-IR"/>
        </w:rPr>
        <w:t>آن را پذیرفته‌اند این است که پاسخ کودک کافی است و نیاز به پاسخ دیگران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صحیح،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گروهی که با هم وارد مجلس میشود بر آنها سلام کند، از دیگران کفایت میکند و اگر یک نفر از آنها پاسخ دهد نیاز به پاسخ دیگران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سَلَّمَ مِنَ الْقَوْمِ واحِدً اجْزَأَ عَنْهُمْ وَاِذا رَدَّ واحِدٌ اجْزأ عَنْهُمْ</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این مضمون در چند روایت تکرار شده است</w:t>
      </w:r>
      <w:r>
        <w:rPr>
          <w:rStyle w:val="FootnoteAnchor"/>
          <w:rtl w:val="true"/>
        </w:rPr>
        <w:footnoteReference w:id="993"/>
      </w:r>
      <w:r>
        <w:rPr>
          <w:rFonts w:ascii="IRNazanin" w:hAnsi="IRNazanin" w:eastAsia="IRNazanin"/>
          <w:color w:val="111111"/>
          <w:sz w:val="28"/>
          <w:sz w:val="28"/>
          <w:szCs w:val="28"/>
          <w:rtl w:val="true"/>
          <w:lang w:bidi="fa-IR"/>
        </w:rPr>
        <w:t>و بیتردید اطلاق در آنها، کودک ممیّز را شامل میگردد و این مسأله همان‌گونه که برخی از فقها بیان نموده‌اند،</w:t>
      </w:r>
      <w:r>
        <w:rPr>
          <w:rStyle w:val="FootnoteAnchor"/>
          <w:rtl w:val="true"/>
        </w:rPr>
        <w:footnoteReference w:id="994"/>
      </w:r>
      <w:r>
        <w:rPr>
          <w:rFonts w:ascii="IRNazanin" w:hAnsi="IRNazanin" w:eastAsia="IRNazanin"/>
          <w:color w:val="111111"/>
          <w:sz w:val="28"/>
          <w:sz w:val="28"/>
          <w:szCs w:val="28"/>
          <w:rtl w:val="true"/>
          <w:lang w:bidi="fa-IR"/>
        </w:rPr>
        <w:t>ربطی به مشروعیّت عبادات کودک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صورت، ظهور اخبار با ظهور آیه شریفه، طبق این نظریّه که معتقد شویم، خطاب در آن متوجه کودک نمیباشد، در تعارض قرار میگیرد، ولی اطلاق اخبار، حاکم‌بر ظهور آیه می‌باشد</w:t>
      </w:r>
      <w:r>
        <w:rPr>
          <w:rFonts w:eastAsia="IRNazanin" w:cs="IRNazanin"/>
          <w:color w:val="111111"/>
          <w:sz w:val="28"/>
          <w:szCs w:val="28"/>
          <w:rtl w:val="true"/>
          <w:lang w:bidi="fa-IR"/>
        </w:rPr>
        <w:t>.</w:t>
      </w:r>
      <w:r>
        <w:rPr>
          <w:rStyle w:val="FootnoteAnchor"/>
          <w:rtl w:val="true"/>
        </w:rPr>
        <w:footnoteReference w:id="99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یادآوری این نکته مناسب است که سلام کردن افراد مکلّف نیز بر کودک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را تا وقت مرگ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کودکان، تا بعد از من سنّت قرار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وَالتَّسْلِیمُ عَلَی الصِّبْیانِ، لِیَکُونَ ذلِکَ سُنَّةً مِنْ بَعْدیِ</w:t>
      </w:r>
      <w:r>
        <w:rPr>
          <w:rFonts w:eastAsia="IRNazanin" w:cs="IRNazanin"/>
          <w:color w:val="111111"/>
          <w:sz w:val="28"/>
          <w:szCs w:val="28"/>
          <w:rtl w:val="true"/>
          <w:lang w:bidi="fa-IR"/>
        </w:rPr>
        <w:t>».</w:t>
      </w:r>
      <w:r>
        <w:rPr>
          <w:rStyle w:val="FootnoteAnchor"/>
          <w:rtl w:val="true"/>
        </w:rPr>
        <w:footnoteReference w:id="996"/>
      </w:r>
      <w:bookmarkStart w:id="471" w:name="pg13713_164513"/>
    </w:p>
    <w:p>
      <w:pPr>
        <w:pStyle w:val="Heading2"/>
        <w:numPr>
          <w:ilvl w:val="1"/>
          <w:numId w:val="1"/>
        </w:numPr>
        <w:rPr/>
      </w:pPr>
      <w:bookmarkStart w:id="472" w:name="__RefHeading___Toc1259656_1468164448"/>
      <w:bookmarkStart w:id="473" w:name="_Toc173"/>
      <w:bookmarkEnd w:id="471"/>
      <w:bookmarkEnd w:id="472"/>
      <w:r>
        <w:rPr>
          <w:rtl w:val="true"/>
        </w:rPr>
        <w:t>فصل سیزدهم</w:t>
      </w:r>
      <w:r>
        <w:rPr>
          <w:rtl w:val="true"/>
        </w:rPr>
        <w:t xml:space="preserve">: </w:t>
      </w:r>
      <w:r>
        <w:rPr>
          <w:rtl w:val="true"/>
        </w:rPr>
        <w:t>تصرفات کودک</w:t>
      </w:r>
      <w:bookmarkEnd w:id="47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1259658_1468164448"/>
      <w:bookmarkStart w:id="475" w:name="_Toc174"/>
      <w:bookmarkEnd w:id="474"/>
      <w:r>
        <w:rPr>
          <w:rtl w:val="true"/>
        </w:rPr>
        <w:t>اشاره</w:t>
      </w:r>
      <w:bookmarkStart w:id="476" w:name="pg13713_164515"/>
      <w:bookmarkEnd w:id="475"/>
    </w:p>
    <w:p>
      <w:pPr>
        <w:pStyle w:val="BookText"/>
        <w:rPr/>
      </w:pPr>
      <w:bookmarkEnd w:id="476"/>
      <w:r>
        <w:rPr>
          <w:rFonts w:ascii="IRNazanin" w:hAnsi="IRNazanin" w:eastAsia="IRNazanin"/>
          <w:color w:val="111111"/>
          <w:sz w:val="28"/>
          <w:sz w:val="28"/>
          <w:szCs w:val="28"/>
          <w:rtl w:val="true"/>
          <w:lang w:bidi="fa-IR"/>
        </w:rPr>
        <w:t>یکی از مباحث مهم و کاربردی پیرامون حقوق و احکام کودکان، تصرفات حقوقی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طی شش گفتار مباحث مختلفی که در این باره وجود دارد از قبیل انجام عقود و معاملات توسط کودکان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هفتم به کار کودک و حمایت از او در برابر استثمار و بهره کشی خواهیم پرداخت</w:t>
      </w:r>
      <w:r>
        <w:rPr>
          <w:rFonts w:eastAsia="IRNazanin" w:cs="IRNazanin"/>
          <w:color w:val="111111"/>
          <w:sz w:val="28"/>
          <w:szCs w:val="28"/>
          <w:rtl w:val="true"/>
          <w:lang w:bidi="fa-IR"/>
        </w:rPr>
        <w:t>.</w:t>
      </w:r>
    </w:p>
    <w:p>
      <w:pPr>
        <w:pStyle w:val="Heading3"/>
        <w:numPr>
          <w:ilvl w:val="2"/>
          <w:numId w:val="1"/>
        </w:numPr>
        <w:rPr/>
      </w:pPr>
      <w:bookmarkStart w:id="477" w:name="__RefHeading___Toc1259660_1468164448"/>
      <w:bookmarkStart w:id="478" w:name="_Toc175"/>
      <w:bookmarkEnd w:id="477"/>
      <w:r>
        <w:rPr>
          <w:rtl w:val="true"/>
        </w:rPr>
        <w:t>گفتار اول</w:t>
      </w:r>
      <w:r>
        <w:rPr>
          <w:rtl w:val="true"/>
        </w:rPr>
        <w:t xml:space="preserve">: </w:t>
      </w:r>
      <w:r>
        <w:rPr>
          <w:rtl w:val="true"/>
        </w:rPr>
        <w:t>خرید و فروش توسط کودک</w:t>
      </w:r>
      <w:bookmarkEnd w:id="478"/>
    </w:p>
    <w:p>
      <w:pPr>
        <w:pStyle w:val="Heading4"/>
        <w:numPr>
          <w:ilvl w:val="3"/>
          <w:numId w:val="1"/>
        </w:numPr>
        <w:rPr/>
      </w:pPr>
      <w:bookmarkStart w:id="479" w:name="__RefHeading___Toc1259662_1468164448"/>
      <w:bookmarkStart w:id="480" w:name="_Toc176"/>
      <w:bookmarkEnd w:id="479"/>
      <w:r>
        <w:rPr/>
        <w:t>1</w:t>
      </w:r>
      <w:r>
        <w:rPr>
          <w:rtl w:val="true"/>
        </w:rPr>
        <w:t xml:space="preserve">- </w:t>
      </w:r>
      <w:r>
        <w:rPr>
          <w:rtl w:val="true"/>
        </w:rPr>
        <w:t>مفهوم تصرّف و قلمرو آن</w:t>
      </w:r>
      <w:bookmarkEnd w:id="480"/>
    </w:p>
    <w:p>
      <w:pPr>
        <w:pStyle w:val="BookText"/>
        <w:rPr/>
      </w:pPr>
      <w:r>
        <w:rPr>
          <w:rFonts w:ascii="IRNazanin" w:hAnsi="IRNazanin" w:eastAsia="IRNazanin"/>
          <w:color w:val="111111"/>
          <w:sz w:val="28"/>
          <w:sz w:val="28"/>
          <w:szCs w:val="28"/>
          <w:rtl w:val="true"/>
          <w:lang w:bidi="fa-IR"/>
        </w:rPr>
        <w:t>تصرّف در لغت، به معنی ایجاد دگرگونی و تغییر است</w:t>
      </w:r>
      <w:r>
        <w:rPr>
          <w:rStyle w:val="FootnoteAnchor"/>
          <w:rtl w:val="true"/>
        </w:rPr>
        <w:footnoteReference w:id="9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چیز تصرّف نمود، یعنی دگرگونی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فرزندان خویش، کارکرد و برای کسب، کوشش نمود</w:t>
      </w:r>
      <w:r>
        <w:rPr>
          <w:rFonts w:eastAsia="IRNazanin" w:cs="IRNazanin"/>
          <w:color w:val="111111"/>
          <w:sz w:val="28"/>
          <w:szCs w:val="28"/>
          <w:rtl w:val="true"/>
          <w:lang w:bidi="fa-IR"/>
        </w:rPr>
        <w:t>.</w:t>
      </w:r>
      <w:r>
        <w:rPr>
          <w:rStyle w:val="FootnoteAnchor"/>
          <w:rtl w:val="true"/>
        </w:rPr>
        <w:footnoteReference w:id="99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اصطلاح، فقها آن را تعریف ننموده‌اند ولی از نوشتارهای آنان به‌دست میآید که مقصود آن‌ها از تصرّف، هر قول و فعلی است که الزام‌آور باشد و شارع بر آن</w:t>
      </w:r>
      <w:bookmarkStart w:id="481" w:name="pg13713_164516"/>
    </w:p>
    <w:p>
      <w:pPr>
        <w:pStyle w:val="BookText"/>
        <w:rPr/>
      </w:pPr>
      <w:bookmarkEnd w:id="481"/>
      <w:r>
        <w:rPr>
          <w:rFonts w:ascii="IRNazanin" w:hAnsi="IRNazanin" w:eastAsia="IRNazanin"/>
          <w:color w:val="111111"/>
          <w:sz w:val="28"/>
          <w:sz w:val="28"/>
          <w:szCs w:val="28"/>
          <w:rtl w:val="true"/>
          <w:lang w:bidi="fa-IR"/>
        </w:rPr>
        <w:t>اثری مترتب نماید</w:t>
      </w:r>
      <w:r>
        <w:rPr>
          <w:rFonts w:eastAsia="IRNazanin" w:cs="IRNazanin"/>
          <w:color w:val="111111"/>
          <w:sz w:val="28"/>
          <w:szCs w:val="28"/>
          <w:rtl w:val="true"/>
          <w:lang w:bidi="fa-IR"/>
        </w:rPr>
        <w:t>.</w:t>
      </w:r>
      <w:r>
        <w:rPr>
          <w:rStyle w:val="FootnoteAnchor"/>
          <w:rtl w:val="true"/>
        </w:rPr>
        <w:footnoteReference w:id="999"/>
      </w:r>
      <w:r>
        <w:rPr>
          <w:rFonts w:ascii="IRNazanin" w:hAnsi="IRNazanin" w:eastAsia="IRNazanin"/>
          <w:color w:val="111111"/>
          <w:sz w:val="28"/>
          <w:sz w:val="28"/>
          <w:szCs w:val="28"/>
          <w:rtl w:val="true"/>
          <w:lang w:bidi="fa-IR"/>
        </w:rPr>
        <w:t>به عبارت دیگر هر قول و فعلی که با اراده از شخص صادر شود و شارع احکام مختلف بر آن بار نماید، تصرّف نامیده میشود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یکی از صاحب‌نظران در حقوق مدنی تصرّف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تصرّف عبارت است از این‌که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یا غیر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بیواسطه یا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او بتواند به حساب خود یا به حساب غیر درباره آن مال،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تصرّف را به اقسامی تقسیم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تصرّف ابتدایی، اتلافی، اختیاری، اداری، استعمالی، استیفائی، اصلاحی، تصرّف از طرف غیر و</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به هرصورت تصرفاتی که از کودک صادر میشود به اعتبارات مختلف قابل تقسیم است و اجمال آن بدین قرار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آن به اعتبار نفس تصرّف، به تصرّفات قولی و تصرّفات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آن به اعتبار موضوع تصرّف به تصرّفات مالیه و غیر 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تصرّفات مالیه تصرّفاتی است که موضوع آن مال است، اعم از این‌که قول‌باشد یا فعل، بنابراین شامل عقود و ایقاعات مثل خرید و فروش و اتلاف مال غیر واستیلای بر مال مباح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تصرّفی موضوع آن مال نباشد غیر مالی است، مثل‌طلاق، نذر، قَسَم</w:t>
      </w:r>
      <w:r>
        <w:rPr>
          <w:rFonts w:eastAsia="IRNazanin" w:cs="IRNazanin"/>
          <w:color w:val="111111"/>
          <w:sz w:val="28"/>
          <w:szCs w:val="28"/>
          <w:rtl w:val="true"/>
          <w:lang w:bidi="fa-IR"/>
        </w:rPr>
        <w:t>.</w:t>
      </w:r>
      <w:r>
        <w:rPr>
          <w:rStyle w:val="FootnoteAnchor"/>
          <w:rtl w:val="true"/>
        </w:rPr>
        <w:footnoteReference w:id="1002"/>
      </w:r>
    </w:p>
    <w:p>
      <w:pPr>
        <w:pStyle w:val="Heading4"/>
        <w:numPr>
          <w:ilvl w:val="3"/>
          <w:numId w:val="1"/>
        </w:numPr>
        <w:rPr/>
      </w:pPr>
      <w:bookmarkStart w:id="482" w:name="__RefHeading___Toc1259664_1468164448"/>
      <w:bookmarkStart w:id="483" w:name="_Toc177"/>
      <w:bookmarkEnd w:id="482"/>
      <w:r>
        <w:rPr/>
        <w:t>2</w:t>
      </w:r>
      <w:r>
        <w:rPr>
          <w:rtl w:val="true"/>
        </w:rPr>
        <w:t xml:space="preserve">- </w:t>
      </w:r>
      <w:r>
        <w:rPr>
          <w:rtl w:val="true"/>
        </w:rPr>
        <w:t>بطلان خرید و فروش توسط کودک</w:t>
      </w:r>
      <w:bookmarkEnd w:id="48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توسط کودک غیر ممیز صحیح نیست و هیچ اثری بر آن مترتّب نمیگردد و در مورد کودک ممیز بحث و گفتگو است و نظریات متفاوتی ابراز گردیده است، لیکن مشهور در بین فقها این است که خرید و فروش از کودک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خرید و فروش کودک صحیح نیست، اعم از این‌که ولی وی به او اجازه داده باشد یا خیر</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شبیه این تعبیر در عبارات بسیاری از فقیهان دیده میشود</w:t>
      </w:r>
      <w:r>
        <w:rPr>
          <w:rStyle w:val="FootnoteAnchor"/>
          <w:rtl w:val="true"/>
        </w:rPr>
        <w:footnoteReference w:id="1004"/>
      </w:r>
      <w:r>
        <w:rPr>
          <w:rFonts w:ascii="IRNazanin" w:hAnsi="IRNazanin" w:eastAsia="IRNazanin"/>
          <w:color w:val="111111"/>
          <w:sz w:val="28"/>
          <w:sz w:val="28"/>
          <w:szCs w:val="28"/>
          <w:rtl w:val="true"/>
          <w:lang w:bidi="fa-IR"/>
        </w:rPr>
        <w:t>و صاحب جواهر مدّعی است در این‌باره اختلافی دیده نشده است</w:t>
      </w:r>
      <w:r>
        <w:rPr>
          <w:rFonts w:eastAsia="IRNazanin" w:cs="IRNazanin"/>
          <w:color w:val="111111"/>
          <w:sz w:val="28"/>
          <w:szCs w:val="28"/>
          <w:rtl w:val="true"/>
          <w:lang w:bidi="fa-IR"/>
        </w:rPr>
        <w:t>.</w:t>
      </w:r>
      <w:r>
        <w:rPr>
          <w:rStyle w:val="FootnoteAnchor"/>
          <w:rtl w:val="true"/>
        </w:rPr>
        <w:footnoteReference w:id="1005"/>
      </w:r>
      <w:r>
        <w:rPr>
          <w:rFonts w:ascii="IRNazanin" w:hAnsi="IRNazanin" w:eastAsia="IRNazanin"/>
          <w:color w:val="111111"/>
          <w:sz w:val="28"/>
          <w:sz w:val="28"/>
          <w:szCs w:val="28"/>
          <w:rtl w:val="true"/>
          <w:lang w:bidi="fa-IR"/>
        </w:rPr>
        <w:t>همچنین‌محقق نراقی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 کودک مطلقاً صحیح نیست، خواه ممیز باشد یا غیرممیز، ولی‌وی به او اجازه داده باشد یا خیر، در مال خودش باشد یا دیگری</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بطلان خرید و فروش توسط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یتیمان را بیازمایید تا هنگامی که به حدّ بلوغ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یافتید اموالشان را به آنها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الْیَتامی حَتّی إِذا بَلَغُوا النِّکاحَ فَإِنْ آنَسْتُمْ مِنْهُمْ رُشْداً فَادْفَعُوا إِلَیْهِمْ أَمْوالَهُمْ</w:t>
      </w:r>
      <w:r>
        <w:rPr>
          <w:rFonts w:eastAsia="IRNazanin" w:cs="IRNazanin"/>
          <w:color w:val="111111"/>
          <w:sz w:val="28"/>
          <w:szCs w:val="28"/>
          <w:rtl w:val="true"/>
          <w:lang w:bidi="fa-IR"/>
        </w:rPr>
        <w:t>) .</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در این آیه مبارکه، خداوند متعال تصرّف یتیم در اموال خود را متوقف بر دو امر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رشد، و از آن فهمیده میشود، با نبودن هرکدام از این دو، تصرّفات وی صحیح نیست، بنا بر این نمیتواند در اموا ل خود تصرف نماید، هر چند رشید باشد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تفسیر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در این آیه متوجه اولیای یتیم است و جواز سپردن اموال یتیم به وی، مشروط به دو شرط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اثبات رشد واین خود دلیل است بر این‌که با نبودن این دو شرط، تصرّف یتیم در اموال خویش صحیح نیست و نباید اموال وی در اختیارش قرار گیرد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باید یادآور شد هرچند در آیه بحث از یتیم به میان آمده است ولی چون جواز سپرده شدن اموال به وی معلّق به دو شرط بلوغ و رشد گردیده از آن فهمیده میشود که منع یتیم از دخالت در اموال خویش به دلیل عدم بلوغ میباشد و این علت در غیر یتیم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استدلال مورد ایراد قرار گرفته، به این‌که دلالت آیه شریفه بر اثبات مدّعا صریح نیست، زیرا عدم جواز واگذار نمودن اموال یتیم به وی، مستلزم عدم جواز اجرای عقد بیع توسط ایشان و این‌که کلام او دارای اعتبار نیست، نمیباشد، به‌ویژه این‌که اگر با اذن ولی به انجام آن مبادرت ورزد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اموال خود را که خداوند وسیله قوام زندگی شما قرار داده به دست سفیهان ندهید و از آن به آن‌ها روزی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 الَّتِی جَعَلَ اللّهُ لَکُمْ قِیاماً وَ ارْزُقُوهُمْ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 شده این آیه به حکم اولویت، دلالت بر بطلان معامله کودک دارد، زیرا اغلب کودکان دارای رشد و عقل داد و ستد نیستند و در این خصوص ضعیف‌تر از سفیهان میباشند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این استدلال نیز نمیتواند مورد قبول قرار گیرد، زیرا بسیاری از کودکان ممیّز، به‌ویژه‌جوانانی که نزدیک به زمان بلوغ آنها است، دارای رشد و عقل میباشند و قدرت داد و ستد دارند و قویتر از سفیهان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دلیل حاضر اخص از مدّعی است و شامل بطلان معامله کودک در صورتی که ولی او اجازه داده باشد و مصلحت وی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بحث در این است که معامله کودک مطلقا صحیح نیست، ولی اجازه داده باشد یا خیر و این دلیل چنین عمومیتی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به روایات مختلف برای بطلان معامله کودک استناد شده است، به عنوان نمونه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سه نفر برداشته شده است؛ از کودک تا زمانی که بالغ شود، از مجنون تا بهبود یابد، و از کسی که خواب است تا بیدار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اَنَّالْقَلم رُفِعَ عَن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الصَّبِی حَتَّی یَحْتَلِمْ وَعَنِ الْمَجْنُون حَتَّی یفِیْق وَعَنِ النَّائِمِ حَتَّی‌یَسْتَیْقِظَ</w:t>
      </w:r>
      <w:r>
        <w:rPr>
          <w:rFonts w:eastAsia="Amiri" w:cs="Amiri" w:ascii="Amiri" w:hAnsi="Amiri"/>
          <w:color w:val="111111"/>
          <w:sz w:val="28"/>
          <w:szCs w:val="28"/>
          <w:rtl w:val="true"/>
          <w:lang w:bidi="ar-SA"/>
        </w:rPr>
        <w:t>».</w:t>
      </w:r>
      <w:r>
        <w:rPr>
          <w:rStyle w:val="FootnoteAnchor"/>
          <w:rtl w:val="true"/>
        </w:rPr>
        <w:footnoteReference w:id="1012"/>
      </w:r>
      <w:r>
        <w:rPr>
          <w:rFonts w:ascii="IRNazanin" w:hAnsi="IRNazanin" w:eastAsia="IRNazanin"/>
          <w:color w:val="111111"/>
          <w:sz w:val="28"/>
          <w:sz w:val="28"/>
          <w:szCs w:val="28"/>
          <w:rtl w:val="true"/>
          <w:lang w:bidi="fa-IR"/>
        </w:rPr>
        <w:t>برداشته شدن و رفع قلم مقتضی این است که کلام ایشان دارای حکمی نیست و بود و نبودش یکسان است و تصرّفاتشان در اموال مطلقاً بی اثر است،</w:t>
      </w:r>
      <w:r>
        <w:rPr>
          <w:rStyle w:val="FootnoteAnchor"/>
          <w:rtl w:val="true"/>
        </w:rPr>
        <w:footnoteReference w:id="1013"/>
      </w:r>
      <w:r>
        <w:rPr>
          <w:rFonts w:ascii="IRNazanin" w:hAnsi="IRNazanin" w:eastAsia="IRNazanin"/>
          <w:color w:val="111111"/>
          <w:sz w:val="28"/>
          <w:sz w:val="28"/>
          <w:szCs w:val="28"/>
          <w:rtl w:val="true"/>
          <w:lang w:bidi="fa-IR"/>
        </w:rPr>
        <w:t>بنابراین‌کلام کودک شرعاً بیاثر است و حکمی بر آن مترتب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استدلال ایراد شده که این حدیث شریف دلالت دارد که احکام الزام‌آور بر مکلفین از کودک قبل از بلوغ برداشته شده است، چنان‌که همین معنی سازگار با امتنان و رفق و مدارای با کودک است که مفاد این حدیث میبا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اجرای صیغه عقد معامله از احکام الزامی نیست تا به حکم این حدیث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رفع قلم تکلیف از کودک با صحت اجرای عقد و ایقاع وی با اذن ولی، در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این حدیث دلیل است بر این که کودک محکوم به حکم الزامی نیست، در عین حال منافات ندارد که معاملات وی با اذن ولی او صحیح باشد و برای افراد بالغ دارای اثر واقع شود یا کودک بعد از بلوغ به انجام آن ملزم گردد</w:t>
      </w:r>
      <w:r>
        <w:rPr>
          <w:rFonts w:eastAsia="IRNazanin" w:cs="IRNazanin"/>
          <w:color w:val="111111"/>
          <w:sz w:val="28"/>
          <w:szCs w:val="28"/>
          <w:rtl w:val="true"/>
          <w:lang w:bidi="fa-IR"/>
        </w:rPr>
        <w:t>.</w:t>
      </w:r>
      <w:r>
        <w:rPr>
          <w:rStyle w:val="FootnoteAnchor"/>
          <w:rtl w:val="true"/>
        </w:rPr>
        <w:footnoteReference w:id="101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در حد استفاضه وارد شده مبنی بر این‌که امر کودک قبل از بلوغ نافذ نیست، از جمله در روایت صحیح، عبدالله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درحضور من سؤال نمود، امر یتیم چه زمانی نافذ و دارای اثر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به حدّ بلوغ رسیده و محتلم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شد ممکن است به سن هیجده سال یا کم‌تر و بیش‌تر برسد و محتلم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بالغ گردد و قلم تکلیف بر او نوشته شود، امر او جایز و دارای اثر است، مگر این‌که ضعیف یا سفیه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وَکُتِبَ عَلَیهِ الشَّیُء جَازَ امْرُهُ الاّ انْ یَکُونَ سَفیِهَاً أوْ ضَعِیفَاً</w:t>
      </w:r>
      <w:r>
        <w:rPr>
          <w:rFonts w:eastAsia="IRNazanin" w:cs="IRNazanin"/>
          <w:color w:val="111111"/>
          <w:sz w:val="28"/>
          <w:szCs w:val="28"/>
          <w:rtl w:val="true"/>
          <w:lang w:bidi="fa-IR"/>
        </w:rPr>
        <w:t>»</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Style w:val="FootnoteAnchor"/>
          <w:rtl w:val="true"/>
        </w:rPr>
        <w:footnoteReference w:id="1016"/>
      </w:r>
      <w:r>
        <w:rPr>
          <w:rFonts w:ascii="IRNazanin" w:hAnsi="IRNazanin" w:eastAsia="IRNazanin"/>
          <w:color w:val="111111"/>
          <w:sz w:val="28"/>
          <w:sz w:val="28"/>
          <w:szCs w:val="28"/>
          <w:rtl w:val="true"/>
          <w:lang w:bidi="fa-IR"/>
        </w:rPr>
        <w:t>دیگری نیز به همین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تصرّفات قولی و فعلی است</w:t>
      </w:r>
      <w:r>
        <w:rPr>
          <w:rStyle w:val="FootnoteAnchor"/>
          <w:rtl w:val="true"/>
        </w:rPr>
        <w:footnoteReference w:id="1017"/>
      </w:r>
      <w:r>
        <w:rPr>
          <w:rFonts w:ascii="IRNazanin" w:hAnsi="IRNazanin" w:eastAsia="IRNazanin"/>
          <w:color w:val="111111"/>
          <w:sz w:val="28"/>
          <w:sz w:val="28"/>
          <w:szCs w:val="28"/>
          <w:rtl w:val="true"/>
          <w:lang w:bidi="fa-IR"/>
        </w:rPr>
        <w:t>و به مفهوم شرط دلالت دارد بر این‌که خرید و فروش و دیگر تصرّفات کودک قبل از بلوغ صحیح نیست و دارای اثر نمیباشد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این استدلال نیز قابل پذیرش نیست، زیرا این روایات دلیل است بر این‌که تصرّفات کودک قبل از بلوغ به طور مستقل دارای اثر نیست، لیکن بر عدم نفوذ تصرّفات وی با اذن ولی یا به وکالت از طرف او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فروشنده، در حقیقت ولی باشد و کودک واسطه قرار گیرد و اجرای عقد نماید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روایات وارد شده است که معامله اموال ایتام فقط توسط قیّم صورت میپذیرد، مانند این که در حدیث صحیح، راوی میگوید از امام کاظم علیه السلام در مورد مردی از بستگانم که فوت کرده و تعدادی صغیر از او باقی مانده، در خصوص خرید خدمتگزاران زن که جزء اموال ایشان میباشد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قیّم که ناظر بر آن‌ها است به نحوی که مصلحت آن‌ها اقتضا دارد بفروشد، منعی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إِذَا بَاعَ عَلَیْهِمْ القَیِّمُ لَهُمْ النَّاظِرُ لَهُمْ فِیمَا یُصْلِحُهُمْ</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این روایت به مفهوم شرط دلالت دارد بر این که اگرکسی غیراز قیّم متصدّی فروش اموال صغار باشد جایز نیست</w:t>
      </w:r>
      <w:r>
        <w:rPr>
          <w:rFonts w:eastAsia="IRNazanin" w:cs="IRNazanin"/>
          <w:color w:val="111111"/>
          <w:sz w:val="28"/>
          <w:szCs w:val="28"/>
          <w:rtl w:val="true"/>
          <w:lang w:bidi="fa-IR"/>
        </w:rPr>
        <w:t>.</w:t>
      </w:r>
      <w:r>
        <w:rPr>
          <w:rStyle w:val="FootnoteAnchor"/>
          <w:rtl w:val="true"/>
        </w:rPr>
        <w:footnoteReference w:id="1021"/>
      </w:r>
      <w:r>
        <w:rPr>
          <w:rFonts w:ascii="IRNazanin" w:hAnsi="IRNazanin" w:eastAsia="IRNazanin"/>
          <w:color w:val="111111"/>
          <w:sz w:val="28"/>
          <w:sz w:val="28"/>
          <w:szCs w:val="28"/>
          <w:rtl w:val="true"/>
          <w:lang w:bidi="fa-IR"/>
        </w:rPr>
        <w:t>اعم از این‌که کودکان باشند یا غیر آنها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نیز نمیتواند مدّعا را اثبات نماید، زیرا روایات دلالت دارد بر این‌که معاملات کودک در صورتی که خود مستقلاً به انجام آن، مبادرت ورزند و بدون مصلحت باشد، باطل و غیر صحیح است و امّا اگر با اذن ولی و با رعایت مصلحت صورت پذیرد، از این روایات بطلان آن استفاده نمیشود</w:t>
      </w:r>
      <w:r>
        <w:rPr>
          <w:rFonts w:eastAsia="IRNazanin" w:cs="IRNazanin"/>
          <w:color w:val="111111"/>
          <w:sz w:val="28"/>
          <w:szCs w:val="28"/>
          <w:rtl w:val="true"/>
          <w:lang w:bidi="fa-IR"/>
        </w:rPr>
        <w:t>.</w:t>
      </w:r>
      <w:bookmarkStart w:id="484" w:name="pg13713_164521"/>
    </w:p>
    <w:p>
      <w:pPr>
        <w:pStyle w:val="BookText"/>
        <w:rPr/>
      </w:pPr>
      <w:bookmarkEnd w:id="48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برخی از فقها در مورد بطلان معاملات کودک به طور مطلق ادّعای اجماع نموده‌اند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لیکن چنین اجماعی با این‌که برخی از فقها مخالفت نموده‌اند ثابت نیست</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p>
    <w:p>
      <w:pPr>
        <w:pStyle w:val="BookText"/>
        <w:rPr/>
      </w:pPr>
      <w:r>
        <w:rPr>
          <w:rFonts w:ascii="IRNazanin" w:hAnsi="IRNazanin" w:eastAsia="IRNazanin"/>
          <w:color w:val="111111"/>
          <w:sz w:val="28"/>
          <w:sz w:val="28"/>
          <w:szCs w:val="28"/>
          <w:rtl w:val="true"/>
          <w:lang w:bidi="fa-IR"/>
        </w:rPr>
        <w:t>به این معنا که اصل بقای ملک هر یک از متعاملین، در ملک آنهاست، مگر دلیل روشنی بر نقل و انتقال پیدا شود و هیچ نقل و انتقالی بدون سبب شرعی تحقق نمییابد و از طرفی ثابت نیست معامله کودک سبب شرعی قرار گیرد، بنابراین اصل بقای هر یک از ثمن و مثمن را در ملک مالک قبل ازمعامله اقتضا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مقتضای اصل معامله کودک صحیح نیست</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لیکن به نظر میرسد مقتضای اصل عدم اعتبار بلوغ است، زیرا در این‌که آیا بلوغ شرط در انجام معامله میباشد یا خیر تردید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مسأله از مصادیق‌شک در شرطیت بلوغ است، چون به نظر عرف بر معاملات کودک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و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ادلّه دیگری نیز برای اثبات عدم صحت معامله کودک به طور مطلق اقامه شده است</w:t>
      </w:r>
      <w:r>
        <w:rPr>
          <w:rStyle w:val="FootnoteAnchor"/>
          <w:rtl w:val="true"/>
        </w:rPr>
        <w:footnoteReference w:id="1026"/>
      </w:r>
      <w:r>
        <w:rPr>
          <w:rFonts w:ascii="IRNazanin" w:hAnsi="IRNazanin" w:eastAsia="IRNazanin"/>
          <w:color w:val="111111"/>
          <w:sz w:val="28"/>
          <w:sz w:val="28"/>
          <w:szCs w:val="28"/>
          <w:rtl w:val="true"/>
          <w:lang w:bidi="fa-IR"/>
        </w:rPr>
        <w:t>که قابل خدشه و مورد ایراد است و برای پرهیز از طولانی شدن بحث، از ذکر آنها خودداری میگردد</w:t>
      </w:r>
      <w:r>
        <w:rPr>
          <w:rFonts w:eastAsia="IRNazanin" w:cs="IRNazanin"/>
          <w:color w:val="111111"/>
          <w:sz w:val="28"/>
          <w:szCs w:val="28"/>
          <w:rtl w:val="true"/>
          <w:lang w:bidi="fa-IR"/>
        </w:rPr>
        <w:t>.</w:t>
      </w:r>
    </w:p>
    <w:p>
      <w:pPr>
        <w:pStyle w:val="Heading4"/>
        <w:numPr>
          <w:ilvl w:val="3"/>
          <w:numId w:val="1"/>
        </w:numPr>
        <w:rPr/>
      </w:pPr>
      <w:bookmarkStart w:id="485" w:name="__RefHeading___Toc1259666_1468164448"/>
      <w:bookmarkStart w:id="486" w:name="_Toc178"/>
      <w:bookmarkEnd w:id="485"/>
      <w:r>
        <w:rPr/>
        <w:t>3</w:t>
      </w:r>
      <w:r>
        <w:rPr>
          <w:rtl w:val="true"/>
        </w:rPr>
        <w:t xml:space="preserve">- </w:t>
      </w:r>
      <w:r>
        <w:rPr>
          <w:rtl w:val="true"/>
        </w:rPr>
        <w:t>صحّت خرید و فروش کودک با اذن ولی</w:t>
      </w:r>
      <w:bookmarkEnd w:id="4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دیدگاه مشهور برخی از فقها معتقدند خرید و فروش توسط کودک با اذن ولی و با رعایت مصلحت او صحیح است</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محقق اردبیلی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به‌مقتضای اصل، حکم خرید و فروش توسط کودک به شرط این‌که ممیّز باشد و سود و زیان را تشخیص دهد و با اذن ولی انجام پذیرد، جایز است</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محقق اصفهانی نیز اعلام میدارد این قسم از معاملات کودک مشمول روایات و اجماع فقها مبنی بر عدم صحت نمیباشد</w:t>
      </w:r>
      <w:r>
        <w:rPr>
          <w:rFonts w:eastAsia="IRNazanin" w:cs="IRNazanin"/>
          <w:color w:val="111111"/>
          <w:sz w:val="28"/>
          <w:szCs w:val="28"/>
          <w:rtl w:val="true"/>
          <w:lang w:bidi="fa-IR"/>
        </w:rPr>
        <w:t>.</w:t>
      </w:r>
      <w:r>
        <w:rPr>
          <w:rStyle w:val="FootnoteAnchor"/>
          <w:rtl w:val="true"/>
        </w:rPr>
        <w:footnoteReference w:id="1029"/>
      </w:r>
      <w:r>
        <w:rPr>
          <w:rFonts w:ascii="IRNazanin" w:hAnsi="IRNazanin" w:eastAsia="IRNazanin"/>
          <w:color w:val="111111"/>
          <w:sz w:val="28"/>
          <w:sz w:val="28"/>
          <w:szCs w:val="28"/>
          <w:rtl w:val="true"/>
          <w:lang w:bidi="fa-IR"/>
        </w:rPr>
        <w:t>همچنین امام خمینی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اگرشخصی به کودکی اذن دهد تا از طرف او عقد معامله را اجرا نماید یا بعد از انجام معامله اجازه دهد، ادلّه‌ای که پیش‌تر ذکر شد، نمیتواند بطلان آن را اثبات نماید</w:t>
      </w:r>
      <w:r>
        <w:rPr>
          <w:rFonts w:eastAsia="IRNazanin" w:cs="IRNazanin"/>
          <w:color w:val="111111"/>
          <w:sz w:val="28"/>
          <w:szCs w:val="28"/>
          <w:rtl w:val="true"/>
          <w:lang w:bidi="fa-IR"/>
        </w:rPr>
        <w:t>»</w:t>
      </w:r>
      <w:r>
        <w:rPr>
          <w:rStyle w:val="FootnoteAnchor"/>
          <w:rtl w:val="true"/>
        </w:rPr>
        <w:footnoteReference w:id="1030"/>
      </w:r>
      <w:r>
        <w:rPr>
          <w:rFonts w:ascii="IRNazanin" w:hAnsi="IRNazanin" w:eastAsia="IRNazanin"/>
          <w:color w:val="111111"/>
          <w:sz w:val="28"/>
          <w:sz w:val="28"/>
          <w:szCs w:val="28"/>
          <w:rtl w:val="true"/>
          <w:lang w:bidi="fa-IR"/>
        </w:rPr>
        <w:t>برخی دیگر از اعلام فقهای معاصر نیز به صحت این قسم از معاملات کودک تصریح نموده‌اند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دلایل صحت بیع کودک با اذن ولی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یتیمان رشد کافی یافتید، اموالشان را در اختیار آن‌ها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آنَسْتُمْ مِنْهُمْ رُشْداً فَادْفَعُوا إِلَیْهِمْ أَمْوالَهُمْ</w:t>
      </w:r>
      <w:r>
        <w:rPr>
          <w:rFonts w:eastAsia="IRNazanin" w:cs="IRNazanin"/>
          <w:color w:val="111111"/>
          <w:sz w:val="28"/>
          <w:szCs w:val="28"/>
          <w:rtl w:val="true"/>
          <w:lang w:bidi="fa-IR"/>
        </w:rPr>
        <w:t xml:space="preserve">) . </w:t>
      </w:r>
      <w:r>
        <w:rPr>
          <w:rStyle w:val="FootnoteAnchor"/>
          <w:rtl w:val="true"/>
        </w:rPr>
        <w:footnoteReference w:id="1032"/>
      </w:r>
      <w:r>
        <w:rPr>
          <w:rFonts w:ascii="IRNazanin" w:hAnsi="IRNazanin" w:eastAsia="IRNazanin"/>
          <w:color w:val="111111"/>
          <w:sz w:val="28"/>
          <w:sz w:val="28"/>
          <w:szCs w:val="28"/>
          <w:rtl w:val="true"/>
          <w:lang w:bidi="fa-IR"/>
        </w:rPr>
        <w:t>این جمله استدراک از صدر آیه میباشد که فرموده بود اموال یتیم قبل از رشد و بلوغ نباید در اختیار وی قرار گیرد و دلالت دارد بر این‌که اگر رشد کودک احراز شد منعی ندارد</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به‌نظرمیرسد آیه شریفه هرچند به صراحت بر این معنا دلالت ندارد، لیکن با وجود این احتمال حکم به بطلان بیع کودک با استناد به این آیه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عقد معامله با اذن ولی انجام شود، گویا خود ولی آن را انجام داده و صحیح‌میباشد</w:t>
      </w:r>
      <w:r>
        <w:rPr>
          <w:rFonts w:eastAsia="IRNazanin" w:cs="IRNazanin"/>
          <w:color w:val="111111"/>
          <w:sz w:val="28"/>
          <w:szCs w:val="28"/>
          <w:rtl w:val="true"/>
          <w:lang w:bidi="fa-IR"/>
        </w:rPr>
        <w:t>.</w:t>
      </w:r>
      <w:r>
        <w:rPr>
          <w:rStyle w:val="FootnoteAnchor"/>
          <w:rtl w:val="true"/>
        </w:rPr>
        <w:footnoteReference w:id="103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صحت معامله کودک در فرض مزبور موجود است، زیرا به نظر عرف بر معاملات وی عنوان بیع و عقد صادق است، بنابراین مشمول عموم و اطلاقات</w:t>
      </w:r>
    </w:p>
    <w:p>
      <w:pPr>
        <w:pStyle w:val="BookText"/>
        <w:rPr/>
      </w:pPr>
      <w:r>
        <w:rPr>
          <w:rFonts w:ascii="IRNazanin" w:hAnsi="IRNazanin" w:eastAsia="IRNazanin"/>
          <w:color w:val="111111"/>
          <w:sz w:val="28"/>
          <w:sz w:val="28"/>
          <w:szCs w:val="28"/>
          <w:rtl w:val="true"/>
          <w:lang w:bidi="fa-IR"/>
        </w:rPr>
        <w:t>صحّت قرار میگیرد و دعوای عدم صحّت صدق بیع و تجارت بر معاملاتی که توسط کودک انجام میشود، پذیرفتنی نیست</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نقل شده است که پیغمبر اکرم صلی الله علیه و آله از کسب کودک در صورتی که به انجام صحیح آن آگاهی ندارد، نهی فرموده است، سپس علّت آن را چنین آورده‌اند که‌اگر کودک به‌طور شایسته به کسب و کار آگاهی نداشته باشد به سرقت روی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 عَنْ کَسبِ الْغُلامِ الصَّغِیرِ الَّذِی لاَ یُحسِنُ صِنَاعَةًبِیَدِهِ، فَإنه انْ لَمْ یَجِدْ سَرَقَ</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از این روایت با ملاحظه مفهوم شرط استفاده می</w:t>
      </w:r>
    </w:p>
    <w:p>
      <w:pPr>
        <w:pStyle w:val="BookText"/>
        <w:rPr/>
      </w:pPr>
      <w:r>
        <w:rPr>
          <w:rFonts w:ascii="IRNazanin" w:hAnsi="IRNazanin" w:eastAsia="IRNazanin"/>
          <w:color w:val="111111"/>
          <w:sz w:val="28"/>
          <w:sz w:val="28"/>
          <w:szCs w:val="28"/>
          <w:rtl w:val="true"/>
          <w:lang w:bidi="fa-IR"/>
        </w:rPr>
        <w:t xml:space="preserve">شود چنان‌چه کودک به نیکویی به انجام کسب آگاهی داشته باشد، جایز است کسب نماید و روشن است مقصود این نیست فقط انشای لفظ نماید و انجام آن را دیگری به عهده داشته باشد، بلکه ظاهراً دلیل است بر این‌که میتواند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استقلال وی در کسب بدون اذن ولی مخالف با اجماع است، جواز آن مقیّد به صورتی میگردد که با اذن ولی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ظاهراً این حکم اختصاص به ولی کودک ندارد، مفهوم آن نیز چنین است، بنابراین خطاب در آن نسبت به هر کسی که با کودک معامله داشته باشد، تعمیم دارد، در نتیجه این روایت دلیل است بر جواز معامله با کودک مشروط به این‌که با اذن ولی صورت پذیرد</w:t>
      </w:r>
      <w:r>
        <w:rPr>
          <w:rFonts w:eastAsia="IRNazanin" w:cs="IRNazanin"/>
          <w:color w:val="111111"/>
          <w:sz w:val="28"/>
          <w:szCs w:val="28"/>
          <w:rtl w:val="true"/>
          <w:lang w:bidi="fa-IR"/>
        </w:rPr>
        <w:t>.</w:t>
      </w:r>
      <w:r>
        <w:rPr>
          <w:rStyle w:val="FootnoteAnchor"/>
          <w:rtl w:val="true"/>
        </w:rPr>
        <w:footnoteReference w:id="1037"/>
      </w:r>
      <w:r>
        <w:rPr>
          <w:rFonts w:ascii="IRNazanin" w:hAnsi="IRNazanin" w:eastAsia="IRNazanin"/>
          <w:color w:val="111111"/>
          <w:sz w:val="28"/>
          <w:sz w:val="28"/>
          <w:szCs w:val="28"/>
          <w:rtl w:val="true"/>
          <w:lang w:bidi="fa-IR"/>
        </w:rPr>
        <w:t>امام خمینی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دلالت دارد بر صحت معاملات کودکی که میتواند به نیکویی کار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اضافه میکند قدر متیقن آن است که معامله کودک با اذن ولی صحیح است</w:t>
      </w:r>
      <w:r>
        <w:rPr>
          <w:rFonts w:eastAsia="IRNazanin" w:cs="IRNazanin"/>
          <w:color w:val="111111"/>
          <w:sz w:val="28"/>
          <w:szCs w:val="28"/>
          <w:rtl w:val="true"/>
          <w:lang w:bidi="fa-IR"/>
        </w:rPr>
        <w:t>.</w:t>
      </w:r>
      <w:r>
        <w:rPr>
          <w:rStyle w:val="FootnoteAnchor"/>
          <w:rtl w:val="true"/>
        </w:rPr>
        <w:footnoteReference w:id="103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برای اثبات صحّت معامله کودک با اذن ولی به سیره تمسک کرده و ادّعا نموده‌اند تردیدی نیست که از گذشته تا به امروز عقلا، معاملات کودک با اذن ولی را صحیح میدانسته‌اند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آن را ردع ننموده و ظاهراً سیره متشرعه نیز چنین</w:t>
      </w:r>
    </w:p>
    <w:p>
      <w:pPr>
        <w:pStyle w:val="BookText"/>
        <w:rPr/>
      </w:pPr>
      <w:r>
        <w:rPr>
          <w:rFonts w:ascii="IRNazanin" w:hAnsi="IRNazanin" w:eastAsia="IRNazanin"/>
          <w:color w:val="111111"/>
          <w:sz w:val="28"/>
          <w:sz w:val="28"/>
          <w:szCs w:val="28"/>
          <w:rtl w:val="true"/>
          <w:lang w:bidi="fa-IR"/>
        </w:rPr>
        <w:t>است، بنابراین نباید در حجیت آن تأمل نمود</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یکی دیگر از فقهای معاصر در توضیح این سیره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عرف، فرقی بین خبری که کودک میدهد و اجرای عقد معامله توسط وی نیست تاگفته شود خبر او با رعایت شرایط صحیح است و میتوان به آن ترتیب اثر داد و معامله وی صحیح نیست، چگونه میتوان این مدّعا را اثبات نمود، با این‌که از جمله افتخارات بعضی از انبیا علیهم السلام این است که در کودکی خداوند به آن‌ها حکم آموخته و از فضایل حضرت علی علیه السلام این است که درکودکی اسلام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جدید نیز اثبات نموده و به تجربه هم ثابت شده است که ضریب هوش و زیرکی کودکان از کردار آنها معلوم میشود، با این حال چگونه میتوان پذیرفت افعال کودک که کاشف از استعداد تکوینی وعقل فطری اوست، خطا و بیاثر است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به نظر عرف بر معاملات کودک خرید و فروش صدق مینماید و شک در این است که آیا از نظر شرعی بلوغ شرط در آن قرار گرفته یا خیر؟ اصل عدم آن است</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معامله‌ای که کودک با اذن ولی انجام میدهد، دارای دو نسبت است؛ از طرفی معامله کودک است و از سوی دیگر با واسطه و تسبیب، معامله ولی است و هیچ منعی وجود ندارد که به عنوان معامله کودک بر آن ترتیب اثر داده شود و به عنوان معامله ولی که مسبّب آن قرار گرفته، دارای اثر باشد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نتیجه بحث</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مسأله باید پذیرفت این است که اگر کودک به طور مستقل و بدون اذن و نظارت ولی، به انجام معامله مبادرت ورزد، باطل است و اثری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ادله‌ای که بر عدم صحت معامله کودک اقامه شده این مورد است و امّا اگر کودک ممیّز رشید که دارای فهم داد و ستد است، با اذن ولی که مصلحت وی را</w:t>
      </w:r>
      <w:bookmarkStart w:id="487" w:name="pg13713_164525"/>
    </w:p>
    <w:p>
      <w:pPr>
        <w:pStyle w:val="BookText"/>
        <w:rPr/>
      </w:pPr>
      <w:bookmarkEnd w:id="487"/>
      <w:r>
        <w:rPr>
          <w:rFonts w:ascii="IRNazanin" w:hAnsi="IRNazanin" w:eastAsia="IRNazanin"/>
          <w:color w:val="111111"/>
          <w:sz w:val="28"/>
          <w:sz w:val="28"/>
          <w:szCs w:val="28"/>
          <w:rtl w:val="true"/>
          <w:lang w:bidi="fa-IR"/>
        </w:rPr>
        <w:t>مورد نظر دارد معامله کند، به ویژه در چیزهای کوچک که معامله آن بین کودکان متداول است، ظاهراً دلیلی برعدم صحت آن وجود ندارد، بلکه اطلاقات ادلّه آن را شامل میگردد، بنابراین به مقتضای عموم و اطلاقات ادلّه صحت و نیز بعضی از اخبار و سیره باید حکم به درستی آن نمود و در صورتی که دیگر شرایط در آن جمع باشد، مثل این‌که با گفتار و قول انجام شود و ولی و مشتری به انجام آن راضی باشند، آثار بیع صحیح بر آن مترتّب میگردد، با وجود این، احتیاط در این است که در صورت امکان با کودک معامله نشود</w:t>
      </w:r>
      <w:r>
        <w:rPr>
          <w:rFonts w:eastAsia="IRNazanin" w:cs="IRNazanin"/>
          <w:color w:val="111111"/>
          <w:sz w:val="28"/>
          <w:szCs w:val="28"/>
          <w:rtl w:val="true"/>
          <w:lang w:bidi="fa-IR"/>
        </w:rPr>
        <w:t>.</w:t>
      </w:r>
    </w:p>
    <w:p>
      <w:pPr>
        <w:pStyle w:val="Heading4"/>
        <w:numPr>
          <w:ilvl w:val="3"/>
          <w:numId w:val="1"/>
        </w:numPr>
        <w:rPr/>
      </w:pPr>
      <w:bookmarkStart w:id="488" w:name="__RefHeading___Toc1259668_1468164448"/>
      <w:bookmarkStart w:id="489" w:name="_Toc179"/>
      <w:bookmarkEnd w:id="488"/>
      <w:r>
        <w:rPr/>
        <w:t>4</w:t>
      </w:r>
      <w:r>
        <w:rPr>
          <w:rtl w:val="true"/>
        </w:rPr>
        <w:t xml:space="preserve">- </w:t>
      </w:r>
      <w:r>
        <w:rPr>
          <w:rtl w:val="true"/>
        </w:rPr>
        <w:t>دیدگاه‌های دیگر در مورد خرید و فروش توسط کودک در این مسأله</w:t>
      </w:r>
      <w:bookmarkEnd w:id="489"/>
    </w:p>
    <w:p>
      <w:pPr>
        <w:pStyle w:val="BookText"/>
        <w:rPr/>
      </w:pPr>
      <w:r>
        <w:rPr>
          <w:rFonts w:ascii="IRNazanin" w:hAnsi="IRNazanin" w:eastAsia="IRNazanin"/>
          <w:color w:val="111111"/>
          <w:sz w:val="28"/>
          <w:sz w:val="28"/>
          <w:szCs w:val="28"/>
          <w:rtl w:val="true"/>
          <w:lang w:bidi="fa-IR"/>
        </w:rPr>
        <w:t>در بحث از معامله کودک علاوه بر آن‌چه که ذکر شد، دیدگاه‌های دیگری نیز مطرح است که تنها به ذکر آن‌ها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کودک ممیّزی که به حدّ رشد رسیده باشد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کودک ده ساله به شرط آن‌که به حدّ رشد رسیده باشد</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کودک ممیّزی که نزدیک بلوغ است و میتوان برای اثبات رشدوی را آزمود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کودک ممیّزی که به حدّ رشد رسیده باشد و بعد از انجام، ولی‌آن‌را اجازه دهد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معامله چیزهای کوچک که خرید و فروش آن توسط کودکان متداول است و کودک واسطه معامله قرار میگیرد</w:t>
      </w:r>
      <w:r>
        <w:rPr>
          <w:rFonts w:eastAsia="IRNazanin" w:cs="IRNazanin"/>
          <w:color w:val="111111"/>
          <w:sz w:val="28"/>
          <w:szCs w:val="28"/>
          <w:rtl w:val="true"/>
          <w:lang w:bidi="fa-IR"/>
        </w:rPr>
        <w:t>.</w:t>
      </w:r>
      <w:r>
        <w:rPr>
          <w:rStyle w:val="FootnoteAnchor"/>
          <w:rtl w:val="true"/>
        </w:rPr>
        <w:footnoteReference w:id="104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یک از دیدگاه‌های یاد شده دلایلی استناد شده که به لحاظ پرهیز از طولانی شدن بحث از ذکر و نقد و بررسی آن خودداری میگردد</w:t>
      </w:r>
      <w:r>
        <w:rPr>
          <w:rFonts w:eastAsia="IRNazanin" w:cs="IRNazanin"/>
          <w:color w:val="111111"/>
          <w:sz w:val="28"/>
          <w:szCs w:val="28"/>
          <w:rtl w:val="true"/>
          <w:lang w:bidi="fa-IR"/>
        </w:rPr>
        <w:t>.</w:t>
      </w:r>
      <w:r>
        <w:rPr>
          <w:rStyle w:val="FootnoteAnchor"/>
          <w:rtl w:val="true"/>
        </w:rPr>
        <w:footnoteReference w:id="1048"/>
      </w:r>
      <w:bookmarkStart w:id="490" w:name="pg13713_164526"/>
    </w:p>
    <w:p>
      <w:pPr>
        <w:pStyle w:val="Heading4"/>
        <w:numPr>
          <w:ilvl w:val="3"/>
          <w:numId w:val="1"/>
        </w:numPr>
        <w:rPr/>
      </w:pPr>
      <w:bookmarkStart w:id="491" w:name="__RefHeading___Toc1259670_1468164448"/>
      <w:bookmarkStart w:id="492" w:name="_Toc180"/>
      <w:bookmarkEnd w:id="490"/>
      <w:bookmarkEnd w:id="491"/>
      <w:r>
        <w:rPr/>
        <w:t>5</w:t>
      </w:r>
      <w:r>
        <w:rPr>
          <w:rtl w:val="true"/>
        </w:rPr>
        <w:t xml:space="preserve">- </w:t>
      </w:r>
      <w:r>
        <w:rPr>
          <w:rtl w:val="true"/>
        </w:rPr>
        <w:t>فرع فقهی</w:t>
      </w:r>
      <w:bookmarkEnd w:id="492"/>
    </w:p>
    <w:p>
      <w:pPr>
        <w:pStyle w:val="BookText"/>
        <w:rPr/>
      </w:pPr>
      <w:r>
        <w:rPr>
          <w:rFonts w:ascii="IRNazanin" w:hAnsi="IRNazanin" w:eastAsia="IRNazanin"/>
          <w:color w:val="111111"/>
          <w:sz w:val="28"/>
          <w:sz w:val="28"/>
          <w:szCs w:val="28"/>
          <w:rtl w:val="true"/>
          <w:lang w:bidi="fa-IR"/>
        </w:rPr>
        <w:t>در تمام مواردی که معامله با کودک محکوم به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طرف معامله با کودک از او گرفته است، مالک نخواهد شد و ملک کسی است که آن مال را به کودک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کودک چیزی را بخرد و تحویل بگیرد و از بین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را از بین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نیست، نه در حال کودکی و نه بعد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چیزی را قرض بگیرد، زیرا مالکی که مال را به کودک تسلیم نموده، در حقیقت خود آن را از بین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فرض مزبور اگر مالی که تحویل کودک شده است، باقی است مالک میتواند آن را به ملک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کودک قیمت آن‌چه را خریده پرداخت کرده، فروشنده باید آن را به ولی وی برگرداند و اگر به کودک دهد، بریء الذّمه نمیگردد</w:t>
      </w:r>
      <w:r>
        <w:rPr>
          <w:rFonts w:eastAsia="IRNazanin" w:cs="IRNazanin"/>
          <w:color w:val="111111"/>
          <w:sz w:val="28"/>
          <w:szCs w:val="28"/>
          <w:rtl w:val="true"/>
          <w:lang w:bidi="fa-IR"/>
        </w:rPr>
        <w:t>.</w:t>
      </w:r>
      <w:r>
        <w:rPr>
          <w:rStyle w:val="FootnoteAnchor"/>
          <w:rtl w:val="true"/>
        </w:rPr>
        <w:footnoteReference w:id="1049"/>
      </w:r>
    </w:p>
    <w:p>
      <w:pPr>
        <w:pStyle w:val="Heading4"/>
        <w:numPr>
          <w:ilvl w:val="3"/>
          <w:numId w:val="1"/>
        </w:numPr>
        <w:rPr/>
      </w:pPr>
      <w:bookmarkStart w:id="493" w:name="__RefHeading___Toc1259672_1468164448"/>
      <w:bookmarkStart w:id="494" w:name="_Toc181"/>
      <w:bookmarkEnd w:id="493"/>
      <w:r>
        <w:rPr/>
        <w:t>6</w:t>
      </w:r>
      <w:r>
        <w:rPr>
          <w:rtl w:val="true"/>
        </w:rPr>
        <w:t xml:space="preserve">- </w:t>
      </w:r>
      <w:r>
        <w:rPr>
          <w:rtl w:val="true"/>
        </w:rPr>
        <w:t>معامله توسط کودک در حقوق مدنی</w:t>
      </w:r>
      <w:bookmarkEnd w:id="494"/>
    </w:p>
    <w:p>
      <w:pPr>
        <w:pStyle w:val="BookText"/>
        <w:rPr/>
      </w:pPr>
      <w:r>
        <w:rPr>
          <w:rFonts w:ascii="IRNazanin" w:hAnsi="IRNazanin" w:eastAsia="IRNazanin"/>
          <w:color w:val="111111"/>
          <w:sz w:val="28"/>
          <w:sz w:val="28"/>
          <w:szCs w:val="28"/>
          <w:rtl w:val="true"/>
          <w:lang w:bidi="fa-IR"/>
        </w:rPr>
        <w:t xml:space="preserve">برای این‌که معامله به طور صحیح واقع شود، طبق ماده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باید متعاملین برای معامله اهلیّت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اهلیّت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تمتع یا برخورداری از حق، قابلیت شخص است برای این که بتواند دارای حقوق مدنی گردد، یعنی بتواند دارای حق شود، بر اساس قسمت اول ماده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 متمتّع از حقوق مدنی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اهلیّت برای دارا بودن حقوق با زنده متولّد شدن انسان شروع و با مرگ او تمام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استیفا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 استیفا یا قدرت اعمال حق، قابلیت شخص است برای آن‌که بتواند حق خود را استیفا و اعمال</w:t>
      </w:r>
    </w:p>
    <w:p>
      <w:pPr>
        <w:pStyle w:val="BookText"/>
        <w:rPr/>
      </w:pPr>
      <w:r>
        <w:rPr>
          <w:rFonts w:ascii="IRNazanin" w:hAnsi="IRNazanin" w:eastAsia="IRNazanin"/>
          <w:color w:val="111111"/>
          <w:sz w:val="28"/>
          <w:sz w:val="28"/>
          <w:szCs w:val="28"/>
          <w:rtl w:val="true"/>
          <w:lang w:bidi="fa-IR"/>
        </w:rPr>
        <w:t>نماید، یعنی بتواند در اموال و حقوق خود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انسان بتواند حق خود را استیفا کند، داشتن حق تمتّع کافی نمیباشد،</w:t>
      </w:r>
      <w:r>
        <w:rPr>
          <w:rStyle w:val="FootnoteAnchor"/>
          <w:rtl w:val="true"/>
        </w:rPr>
        <w:footnoteReference w:id="1050"/>
      </w:r>
      <w:r>
        <w:rPr>
          <w:rFonts w:ascii="IRNazanin" w:hAnsi="IRNazanin" w:eastAsia="IRNazanin"/>
          <w:color w:val="111111"/>
          <w:sz w:val="28"/>
          <w:sz w:val="28"/>
          <w:szCs w:val="28"/>
          <w:rtl w:val="true"/>
          <w:lang w:bidi="fa-IR"/>
        </w:rPr>
        <w:t xml:space="preserve">به‌همین جهت قسمت اخیر ماده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هیچ‌کس نمیتواند حقوق خود را اعمال و اجرا کند، مگر این‌که برای این امر اهلیّت قانونی داشته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انواع مهم اعمال حق معامله کردن است، یعنی شخص بتواند مال خود را به دیگری واگذار نماید یا تعهّد بر امری کند و یا قبول انتقال و تعهّد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متعاملین اهل محسوب شوند باید بالغ و عامل و رشید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 با اشخاصی که بالغ یا عاقل یا رشید نیستند، به واسطه عدم اهلیّت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عقل،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اهلیّت متعاملین در عقود و اهلیّت یک طرف در ایقاعات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محتاج به دو طرف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میشودبنا بر این هرگاه متعاملین یا یکی از آنها فاقد این سه عنوان یا بعضی از آنها باشند معامله آنها نافذ نیست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البته در ماده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اقوال صغیر تا حدّی که مربوط به اموال و حقوق مالی او باشد، باطل و بلااثر است، معذالک صغیر ممیز میتواند تملّک بلاعوض کند، مثل قبول هبه و صلح بلاعوض و حیازت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مقرّر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و تصرّفات غیر رشید در اموال خود نافذ نیست، مگر با اجازه ولی یا قیّم او اعم از این‌که این اجازه قبلاً داده شده باشد یا بعد از انجام عمل</w:t>
      </w:r>
      <w:r>
        <w:rPr>
          <w:rFonts w:eastAsia="IRNazanin" w:cs="IRNazanin"/>
          <w:color w:val="111111"/>
          <w:sz w:val="28"/>
          <w:szCs w:val="28"/>
          <w:rtl w:val="true"/>
          <w:lang w:bidi="fa-IR"/>
        </w:rPr>
        <w:t>...».</w:t>
      </w:r>
      <w:bookmarkStart w:id="495" w:name="pg13713_164528"/>
    </w:p>
    <w:p>
      <w:pPr>
        <w:pStyle w:val="Heading3"/>
        <w:numPr>
          <w:ilvl w:val="2"/>
          <w:numId w:val="1"/>
        </w:numPr>
        <w:rPr/>
      </w:pPr>
      <w:bookmarkStart w:id="496" w:name="__RefHeading___Toc1259674_1468164448"/>
      <w:bookmarkStart w:id="497" w:name="_Toc182"/>
      <w:bookmarkEnd w:id="495"/>
      <w:bookmarkEnd w:id="496"/>
      <w:r>
        <w:rPr>
          <w:rtl w:val="true"/>
        </w:rPr>
        <w:t>گفتار دوم</w:t>
      </w:r>
      <w:r>
        <w:rPr>
          <w:rtl w:val="true"/>
        </w:rPr>
        <w:t xml:space="preserve">: </w:t>
      </w:r>
      <w:r>
        <w:rPr>
          <w:rtl w:val="true"/>
        </w:rPr>
        <w:t>انجام رهن توسط کودک</w:t>
      </w:r>
      <w:bookmarkEnd w:id="497"/>
    </w:p>
    <w:p>
      <w:pPr>
        <w:pStyle w:val="Heading4"/>
        <w:numPr>
          <w:ilvl w:val="3"/>
          <w:numId w:val="1"/>
        </w:numPr>
        <w:rPr/>
      </w:pPr>
      <w:bookmarkStart w:id="498" w:name="__RefHeading___Toc1259676_1468164448"/>
      <w:bookmarkStart w:id="499" w:name="_Toc183"/>
      <w:bookmarkEnd w:id="498"/>
      <w:r>
        <w:rPr/>
        <w:t>1</w:t>
      </w:r>
      <w:r>
        <w:rPr>
          <w:rtl w:val="true"/>
        </w:rPr>
        <w:t xml:space="preserve">- </w:t>
      </w:r>
      <w:r>
        <w:rPr>
          <w:rtl w:val="true"/>
        </w:rPr>
        <w:t>مفهوم رهن در لغت و اصطلاح</w:t>
      </w:r>
      <w:bookmarkEnd w:id="499"/>
    </w:p>
    <w:p>
      <w:pPr>
        <w:pStyle w:val="BookText"/>
        <w:rPr/>
      </w:pPr>
      <w:r>
        <w:rPr>
          <w:rFonts w:ascii="IRNazanin" w:hAnsi="IRNazanin" w:eastAsia="IRNazanin"/>
          <w:color w:val="111111"/>
          <w:sz w:val="28"/>
          <w:sz w:val="28"/>
          <w:szCs w:val="28"/>
          <w:rtl w:val="true"/>
          <w:lang w:bidi="fa-IR"/>
        </w:rPr>
        <w:t>رهن در لغت عبارت است از گذاردن چیزی در نزد دیگری به جای آن‌چه از او میگیرد، به همین جهت آن را به ثبات و دوام معنی میکنند</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و در اصطلاح فقها وثیقه دَین را رهن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رهن عقدی است که به وسیله آن مدیون مالی را به عنوان وثیقه دَین خود، به طلبکار میدهد تا اگر بدهی را در موعد مقرّر نپرداخت، با فروش وثیقه آن را استیفا نماید</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 xml:space="preserve">کسی که مالی به عنوان رهن در نزد طلبکار میگذارد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که رهن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 که به رهن گذارده میشود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رهن از طرف راهن لازم است یعنی نمیتواند آن را فسخ نماید، لیکن نسبت به مرتهن جایز است و اختیار فسخ را دارد</w:t>
      </w:r>
      <w:r>
        <w:rPr>
          <w:rFonts w:eastAsia="IRNazanin" w:cs="IRNazanin"/>
          <w:color w:val="111111"/>
          <w:sz w:val="28"/>
          <w:szCs w:val="28"/>
          <w:rtl w:val="true"/>
          <w:lang w:bidi="fa-IR"/>
        </w:rPr>
        <w:t>.</w:t>
      </w:r>
    </w:p>
    <w:p>
      <w:pPr>
        <w:pStyle w:val="Heading4"/>
        <w:numPr>
          <w:ilvl w:val="3"/>
          <w:numId w:val="1"/>
        </w:numPr>
        <w:rPr/>
      </w:pPr>
      <w:bookmarkStart w:id="500" w:name="__RefHeading___Toc1259678_1468164448"/>
      <w:bookmarkStart w:id="501" w:name="_Toc184"/>
      <w:bookmarkEnd w:id="500"/>
      <w:r>
        <w:rPr/>
        <w:t>2</w:t>
      </w:r>
      <w:r>
        <w:rPr>
          <w:rtl w:val="true"/>
        </w:rPr>
        <w:t xml:space="preserve">- </w:t>
      </w:r>
      <w:r>
        <w:rPr>
          <w:rtl w:val="true"/>
        </w:rPr>
        <w:t>عدم صحّت رهن توسط کودک</w:t>
      </w:r>
      <w:bookmarkEnd w:id="50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راهن و مرتهن، بلوغ و رشد و عدم حجر از تصرّف در اموال شرط است، بنابراین رهن کودک صحیح نیست، هر چند ممیّز باشد</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 xml:space="preserve">و توضیح این مسأله بدین ترتیب است که کودک ممکن است خود رهن گذار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رهن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02" w:name="pg13713_164529"/>
    </w:p>
    <w:p>
      <w:pPr>
        <w:pStyle w:val="BookText"/>
        <w:rPr/>
      </w:pPr>
      <w:bookmarkEnd w:id="502"/>
      <w:r>
        <w:rPr>
          <w:rFonts w:ascii="IRNazanin" w:hAnsi="IRNazanin" w:eastAsia="IRNazanin"/>
          <w:color w:val="111111"/>
          <w:sz w:val="28"/>
          <w:sz w:val="28"/>
          <w:szCs w:val="28"/>
          <w:rtl w:val="true"/>
          <w:lang w:bidi="fa-IR"/>
        </w:rPr>
        <w:t>در هر دو صورت گاهی مال خود را رهن میگذارد یا مال دیگری را با اذن او یا به وکالت از طرف ولی و یا دیگری رهن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ممکن است فقط وکیل در اجرای عقد باشد یا در تمام امور مربوط به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معاملات کودک بیان شد در خصوص رهن وی نیز جاری است، بنابراین به نظر آن دسته از فقها که معاملات کودک را مطلقا صحیح نمیدانند، رهن وی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طبق نظر کسانی که معاملات کودک را با اذن ولی و با اجازه او و رعایت مصلحت صحیح میدانند، ظاهراً در نزد آنان حکم رهن وی نیز چنین باشد، چون بین دو مسأله فرقی نیست و ادلّه‌ای که مستند صحت معامله کودک در فرض دوم قرار گرفت در صحّت رهن وی نیز میتواند دلیل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عبارات فقها این مسأله چندان با صراحت بیان نشده است</w:t>
      </w:r>
      <w:r>
        <w:rPr>
          <w:rFonts w:eastAsia="IRNazanin" w:cs="IRNazanin"/>
          <w:color w:val="111111"/>
          <w:sz w:val="28"/>
          <w:szCs w:val="28"/>
          <w:rtl w:val="true"/>
          <w:lang w:bidi="fa-IR"/>
        </w:rPr>
        <w:t>.</w:t>
      </w:r>
    </w:p>
    <w:p>
      <w:pPr>
        <w:pStyle w:val="Heading4"/>
        <w:numPr>
          <w:ilvl w:val="3"/>
          <w:numId w:val="1"/>
        </w:numPr>
        <w:rPr/>
      </w:pPr>
      <w:bookmarkStart w:id="503" w:name="__RefHeading___Toc1259680_1468164448"/>
      <w:bookmarkStart w:id="504" w:name="_Toc185"/>
      <w:bookmarkEnd w:id="503"/>
      <w:r>
        <w:rPr/>
        <w:t>3</w:t>
      </w:r>
      <w:r>
        <w:rPr>
          <w:rtl w:val="true"/>
        </w:rPr>
        <w:t xml:space="preserve">- </w:t>
      </w:r>
      <w:r>
        <w:rPr>
          <w:rtl w:val="true"/>
        </w:rPr>
        <w:t>رهن کودک در قانون مدنی</w:t>
      </w:r>
      <w:bookmarkEnd w:id="504"/>
    </w:p>
    <w:p>
      <w:pPr>
        <w:pStyle w:val="BookText"/>
        <w:rPr/>
      </w:pPr>
      <w:r>
        <w:rPr>
          <w:rFonts w:ascii="IRNazanin" w:hAnsi="IRNazanin" w:eastAsia="IRNazanin"/>
          <w:color w:val="111111"/>
          <w:sz w:val="28"/>
          <w:sz w:val="28"/>
          <w:szCs w:val="28"/>
          <w:rtl w:val="true"/>
          <w:lang w:bidi="fa-IR"/>
        </w:rPr>
        <w:t xml:space="preserve">رهن یکی از معاملات است و طرفین آن باید بر اساس ماده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دارای اهلیّت برای معامله باشند، در غیر این صورت طبق ماده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جهت در مورد رهن قانون‌گذار حکم خاصی ندارد و با سکوت خود این عقد را تابع قواعد عمومی قرار داده است، ولی برخی از صاحب نظران حقوق مدنی متمایل بر این نظر شده‌اند که اگر مرتهن بتواند هر زمان که بخواهد از رهن منصرف شود صغیر ممیّز و سفیه نیز میتوانند به عنوان مرتهن طرف عقد واقع شوند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مبنای تمایل یاد شده این است که طبق مفاد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صغیر ممیّز و سفیه می‌توانند طرف قراردادی شوند که احتمال هیچ ضرری برای آنان ندارد، هم‌چنان‌که تملّک بدون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قبول 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مورد آن نص آمده از همین‌گونه است و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چون عقد رهن از سوی مرتهن جایز است و تعهّدی برای او به وجود نمیآورد، هیچ مانعی ندارد که صغیر ممیّز یا سفیه مالی را به عنوان وثیقه بپذیرد و نیازی به تنفیذ ولی یا قیّم خود نداشته باشد</w:t>
      </w:r>
      <w:r>
        <w:rPr>
          <w:rFonts w:eastAsia="IRNazanin" w:cs="IRNazanin"/>
          <w:color w:val="111111"/>
          <w:sz w:val="28"/>
          <w:szCs w:val="28"/>
          <w:rtl w:val="true"/>
          <w:lang w:bidi="fa-IR"/>
        </w:rPr>
        <w:t>.</w:t>
      </w:r>
      <w:bookmarkStart w:id="505" w:name="pg13713_164530"/>
    </w:p>
    <w:p>
      <w:pPr>
        <w:pStyle w:val="Heading3"/>
        <w:numPr>
          <w:ilvl w:val="2"/>
          <w:numId w:val="1"/>
        </w:numPr>
        <w:rPr/>
      </w:pPr>
      <w:bookmarkStart w:id="506" w:name="__RefHeading___Toc1259682_1468164448"/>
      <w:bookmarkStart w:id="507" w:name="_Toc186"/>
      <w:bookmarkEnd w:id="505"/>
      <w:bookmarkEnd w:id="506"/>
      <w:r>
        <w:rPr>
          <w:rtl w:val="true"/>
        </w:rPr>
        <w:t>گفتار سوم</w:t>
      </w:r>
      <w:r>
        <w:rPr>
          <w:rtl w:val="true"/>
        </w:rPr>
        <w:t xml:space="preserve">: </w:t>
      </w:r>
      <w:r>
        <w:rPr>
          <w:rtl w:val="true"/>
        </w:rPr>
        <w:t>ضمان، کفالت، حواله، صلح</w:t>
      </w:r>
      <w:bookmarkEnd w:id="507"/>
    </w:p>
    <w:p>
      <w:pPr>
        <w:pStyle w:val="Heading4"/>
        <w:numPr>
          <w:ilvl w:val="3"/>
          <w:numId w:val="1"/>
        </w:numPr>
        <w:rPr/>
      </w:pPr>
      <w:bookmarkStart w:id="508" w:name="__RefHeading___Toc1259684_1468164448"/>
      <w:bookmarkStart w:id="509" w:name="_Toc187"/>
      <w:bookmarkEnd w:id="508"/>
      <w:r>
        <w:rPr/>
        <w:t>1</w:t>
      </w:r>
      <w:r>
        <w:rPr>
          <w:rtl w:val="true"/>
        </w:rPr>
        <w:t xml:space="preserve">- </w:t>
      </w:r>
      <w:r>
        <w:rPr>
          <w:rtl w:val="true"/>
        </w:rPr>
        <w:t>مفهوم ضمان در لغت و اصطلاح</w:t>
      </w:r>
      <w:bookmarkEnd w:id="509"/>
    </w:p>
    <w:p>
      <w:pPr>
        <w:pStyle w:val="BookText"/>
        <w:rPr/>
      </w:pPr>
      <w:r>
        <w:rPr>
          <w:rFonts w:ascii="IRNazanin" w:hAnsi="IRNazanin" w:eastAsia="IRNazanin"/>
          <w:color w:val="111111"/>
          <w:sz w:val="28"/>
          <w:sz w:val="28"/>
          <w:szCs w:val="28"/>
          <w:rtl w:val="true"/>
          <w:lang w:bidi="fa-IR"/>
        </w:rPr>
        <w:t>ضمان در لغت در چند معنی به‌کار میرود، از جلمه التزام به تأدیه حق یا دین دیگری است</w:t>
      </w:r>
      <w:r>
        <w:rPr>
          <w:rStyle w:val="FootnoteAnchor"/>
          <w:rtl w:val="true"/>
        </w:rPr>
        <w:footnoteReference w:id="10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اسم آن است، یعنی در مقابل شخصی امری یا کاری را به عهده گرفتن، ضامن شدن و عهده‌دار شدن</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مقصود از ضمان در اصطلاح فقهی و حقوق مدنی معنایی نزدیک به معنای لغوی است، بنابراین میتوان به طور اجمال آن را این‌گونه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ضمان عقدی است که به موجب آن شخصی از دیگری ضمانت میکند تا بدهی خود را بپردازد یا تعهد خود را انجام دهد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برای ضمان اقسام مختلفی وجود دارد</w:t>
      </w:r>
      <w:r>
        <w:rPr>
          <w:rStyle w:val="FootnoteAnchor"/>
          <w:rtl w:val="true"/>
        </w:rPr>
        <w:footnoteReference w:id="1058"/>
      </w:r>
      <w:r>
        <w:rPr>
          <w:rFonts w:ascii="IRNazanin" w:hAnsi="IRNazanin" w:eastAsia="IRNazanin"/>
          <w:color w:val="111111"/>
          <w:sz w:val="28"/>
          <w:sz w:val="28"/>
          <w:szCs w:val="28"/>
          <w:rtl w:val="true"/>
          <w:lang w:bidi="fa-IR"/>
        </w:rPr>
        <w:t>که ذکر آنها خارج از هدف این تحقیق است و در این بخش ضمان اشتغال ذمّه مورد نظر میباشد به این معنی که اگر دَینی بر کسی باشد و دیگری ضامن دین او گردد، این را ضمان اشتغال ذمّه نامیده‌اند و در مقابل ضمان عین به کار میرود</w:t>
      </w:r>
      <w:r>
        <w:rPr>
          <w:rFonts w:eastAsia="IRNazanin" w:cs="IRNazanin"/>
          <w:color w:val="111111"/>
          <w:sz w:val="28"/>
          <w:szCs w:val="28"/>
          <w:rtl w:val="true"/>
          <w:lang w:bidi="fa-IR"/>
        </w:rPr>
        <w:t>.</w:t>
      </w:r>
      <w:r>
        <w:rPr>
          <w:rStyle w:val="FootnoteAnchor"/>
          <w:rtl w:val="true"/>
        </w:rPr>
        <w:footnoteReference w:id="105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 دارای پنج رکن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ضامن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ضمانت شده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ضمانت شده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و مالی که ضمانت به آن تعلّق گرفته است</w:t>
      </w:r>
      <w:r>
        <w:rPr>
          <w:rFonts w:eastAsia="IRNazanin" w:cs="IRNazanin"/>
          <w:color w:val="111111"/>
          <w:sz w:val="28"/>
          <w:szCs w:val="28"/>
          <w:rtl w:val="true"/>
          <w:lang w:bidi="fa-IR"/>
        </w:rPr>
        <w:t>.</w:t>
      </w:r>
      <w:r>
        <w:rPr>
          <w:rStyle w:val="FootnoteAnchor"/>
          <w:rtl w:val="true"/>
        </w:rPr>
        <w:footnoteReference w:id="1060"/>
      </w:r>
      <w:bookmarkStart w:id="510" w:name="pg13713_164531"/>
    </w:p>
    <w:p>
      <w:pPr>
        <w:pStyle w:val="Heading4"/>
        <w:numPr>
          <w:ilvl w:val="3"/>
          <w:numId w:val="1"/>
        </w:numPr>
        <w:rPr/>
      </w:pPr>
      <w:bookmarkStart w:id="511" w:name="__RefHeading___Toc1259686_1468164448"/>
      <w:bookmarkStart w:id="512" w:name="_Toc188"/>
      <w:bookmarkEnd w:id="510"/>
      <w:bookmarkEnd w:id="511"/>
      <w:r>
        <w:rPr/>
        <w:t>2</w:t>
      </w:r>
      <w:r>
        <w:rPr>
          <w:rtl w:val="true"/>
        </w:rPr>
        <w:t xml:space="preserve">- </w:t>
      </w:r>
      <w:r>
        <w:rPr>
          <w:rtl w:val="true"/>
        </w:rPr>
        <w:t>عدم صحّت ضمانت کودک</w:t>
      </w:r>
      <w:bookmarkEnd w:id="512"/>
    </w:p>
    <w:p>
      <w:pPr>
        <w:pStyle w:val="BookText"/>
        <w:rPr/>
      </w:pPr>
      <w:r>
        <w:rPr>
          <w:rFonts w:ascii="IRNazanin" w:hAnsi="IRNazanin" w:eastAsia="IRNazanin"/>
          <w:color w:val="111111"/>
          <w:sz w:val="28"/>
          <w:sz w:val="28"/>
          <w:szCs w:val="28"/>
          <w:rtl w:val="true"/>
          <w:lang w:bidi="fa-IR"/>
        </w:rPr>
        <w:t>به اتّفاق فقها شرط است که ضامن بالغ، عاقل و رشید باشد، بنابراین ضمانت کودک صحیح نیست، هر چند ممیّز و نزدیک به بلوغ باشد،</w:t>
      </w:r>
      <w:r>
        <w:rPr>
          <w:rStyle w:val="FootnoteAnchor"/>
          <w:rtl w:val="true"/>
        </w:rPr>
        <w:footnoteReference w:id="1061"/>
      </w:r>
      <w:r>
        <w:rPr>
          <w:rFonts w:ascii="IRNazanin" w:hAnsi="IRNazanin" w:eastAsia="IRNazanin"/>
          <w:color w:val="111111"/>
          <w:sz w:val="28"/>
          <w:sz w:val="28"/>
          <w:szCs w:val="28"/>
          <w:rtl w:val="true"/>
          <w:lang w:bidi="fa-IR"/>
        </w:rPr>
        <w:t>زیرا کودک به دلیل این‌که مجاز به تصرّف در اموال نیست، در ذمّه نیز نمیتواند دخل و تصرّفی داشته باشد، بنابراین نمیتواند ضمانت نماید یا چیزی را به نسیه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از جمیع تصرّفات محجور و ممنوع است، مگر مواردی که از این حکم کلی استثنا شده باشد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این حکم مربوط به موردی است که کودک بدون اذن ولی ضمانت نماید و امّا اگربا اذن ولی وی ضامن شود آیا ضمانت وی صحیح است یا خیر؟ در این خصوص دو نظریه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بین فقها عدم صحّت است هم‌چنان‌که بعضی به آن تصریح نموده‌اند</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محقق کرکی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مسلوب العباره میباشد، بر گفتار وی اثری مترتّب نمیباشد، اذن ولی نیز نمیتواند آن را مؤثّر نماید، زیرا ضمانت مال دیگری نسبت به کودک بیفایده است</w:t>
      </w:r>
      <w:r>
        <w:rPr>
          <w:rFonts w:eastAsia="IRNazanin" w:cs="IRNazanin"/>
          <w:color w:val="111111"/>
          <w:sz w:val="28"/>
          <w:szCs w:val="28"/>
          <w:rtl w:val="true"/>
          <w:lang w:bidi="fa-IR"/>
        </w:rPr>
        <w:t>».</w:t>
      </w:r>
      <w:r>
        <w:rPr>
          <w:rStyle w:val="FootnoteAnchor"/>
          <w:rtl w:val="true"/>
        </w:rPr>
        <w:footnoteReference w:id="1064"/>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نظریه بعضی از فقها مانند محقق اردبیلی،</w:t>
      </w:r>
      <w:r>
        <w:rPr>
          <w:rStyle w:val="FootnoteAnchor"/>
          <w:rtl w:val="true"/>
        </w:rPr>
        <w:footnoteReference w:id="1065"/>
      </w:r>
      <w:r>
        <w:rPr>
          <w:rFonts w:ascii="IRNazanin" w:hAnsi="IRNazanin" w:eastAsia="IRNazanin"/>
          <w:color w:val="111111"/>
          <w:sz w:val="28"/>
          <w:sz w:val="28"/>
          <w:szCs w:val="28"/>
          <w:rtl w:val="true"/>
          <w:lang w:bidi="fa-IR"/>
        </w:rPr>
        <w:t>آیت الله سید ابوالقاسم خویی</w:t>
      </w:r>
      <w:r>
        <w:rPr>
          <w:rStyle w:val="FootnoteAnchor"/>
          <w:rtl w:val="true"/>
        </w:rPr>
        <w:footnoteReference w:id="1066"/>
      </w:r>
      <w:r>
        <w:rPr>
          <w:rFonts w:ascii="IRNazanin" w:hAnsi="IRNazanin" w:eastAsia="IRNazanin"/>
          <w:color w:val="111111"/>
          <w:sz w:val="28"/>
          <w:sz w:val="28"/>
          <w:szCs w:val="28"/>
          <w:rtl w:val="true"/>
          <w:lang w:bidi="fa-IR"/>
        </w:rPr>
        <w:t>وبرخی دیگر</w:t>
      </w:r>
      <w:r>
        <w:rPr>
          <w:rStyle w:val="FootnoteAnchor"/>
          <w:rtl w:val="true"/>
        </w:rPr>
        <w:footnoteReference w:id="1067"/>
      </w:r>
      <w:r>
        <w:rPr>
          <w:rFonts w:ascii="IRNazanin" w:hAnsi="IRNazanin" w:eastAsia="IRNazanin"/>
          <w:color w:val="111111"/>
          <w:sz w:val="28"/>
          <w:sz w:val="28"/>
          <w:szCs w:val="28"/>
          <w:rtl w:val="true"/>
          <w:lang w:bidi="fa-IR"/>
        </w:rPr>
        <w:t>معتقدند که با اذن ولی شرعی و با رعایت مصلحت ضمانت کودک صحیح است و ادلّه عدم صحّت را منصرف از این مورد دانسته‌اند</w:t>
      </w:r>
      <w:r>
        <w:rPr>
          <w:rFonts w:eastAsia="IRNazanin" w:cs="IRNazanin"/>
          <w:color w:val="111111"/>
          <w:sz w:val="28"/>
          <w:szCs w:val="28"/>
          <w:rtl w:val="true"/>
          <w:lang w:bidi="fa-IR"/>
        </w:rPr>
        <w:t>.</w:t>
      </w:r>
      <w:r>
        <w:rPr>
          <w:rStyle w:val="FootnoteAnchor"/>
          <w:rtl w:val="true"/>
        </w:rPr>
        <w:footnoteReference w:id="1068"/>
      </w:r>
      <w:bookmarkStart w:id="513" w:name="pg13713_164532"/>
    </w:p>
    <w:p>
      <w:pPr>
        <w:pStyle w:val="BookText"/>
        <w:rPr/>
      </w:pPr>
      <w:bookmarkEnd w:id="513"/>
      <w:r>
        <w:rPr>
          <w:rFonts w:ascii="IRNazanin" w:hAnsi="IRNazanin" w:eastAsia="IRNazanin"/>
          <w:color w:val="111111"/>
          <w:sz w:val="28"/>
          <w:sz w:val="28"/>
          <w:szCs w:val="28"/>
          <w:rtl w:val="true"/>
          <w:lang w:bidi="fa-IR"/>
        </w:rPr>
        <w:t xml:space="preserve">هم‌چنین شرط است مضمون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او ضمانت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رشید و عاقل باشد، بنابراین صحیح نیست برای کودک ضمانت شود</w:t>
      </w:r>
      <w:r>
        <w:rPr>
          <w:rFonts w:eastAsia="IRNazanin" w:cs="IRNazanin"/>
          <w:color w:val="111111"/>
          <w:sz w:val="28"/>
          <w:szCs w:val="28"/>
          <w:rtl w:val="true"/>
          <w:lang w:bidi="fa-IR"/>
        </w:rPr>
        <w:t>.</w:t>
      </w:r>
      <w:r>
        <w:rPr>
          <w:rStyle w:val="FootnoteAnchor"/>
          <w:rtl w:val="true"/>
        </w:rPr>
        <w:footnoteReference w:id="1069"/>
      </w:r>
      <w:r>
        <w:rPr>
          <w:rFonts w:ascii="IRNazanin" w:hAnsi="IRNazanin" w:eastAsia="IRNazanin"/>
          <w:color w:val="111111"/>
          <w:sz w:val="28"/>
          <w:sz w:val="28"/>
          <w:szCs w:val="28"/>
          <w:rtl w:val="true"/>
          <w:lang w:bidi="fa-IR"/>
        </w:rPr>
        <w:t>دلیل این حکم همان ادلّه عدم صحّت ضمانت کودک است</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آیت الله فاضل لنکرانی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اعتبار بلوغ، عقل، رشد و اختیار در هر یک از ضامن و مضمون‌له به این جهت است که ضمانت از تصرّفات مالی است و کسی که اوصاف مزبور یا بعضی از آن‌ها را ندارد، نمیتواند تصرّفات مالی داشته باشد</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 xml:space="preserve">امّا در 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او ضمانت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فقها بلوغ و عقل معتبر نیست</w:t>
      </w:r>
      <w:r>
        <w:rPr>
          <w:rFonts w:eastAsia="IRNazanin" w:cs="IRNazanin"/>
          <w:color w:val="111111"/>
          <w:sz w:val="28"/>
          <w:szCs w:val="28"/>
          <w:rtl w:val="true"/>
          <w:lang w:bidi="fa-IR"/>
        </w:rPr>
        <w:t>».</w:t>
      </w:r>
      <w:r>
        <w:rPr>
          <w:rStyle w:val="FootnoteAnchor"/>
          <w:rtl w:val="true"/>
        </w:rPr>
        <w:footnoteReference w:id="1072"/>
      </w:r>
      <w:r>
        <w:rPr>
          <w:rFonts w:ascii="IRNazanin" w:hAnsi="IRNazanin" w:eastAsia="IRNazanin"/>
          <w:color w:val="111111"/>
          <w:sz w:val="28"/>
          <w:sz w:val="28"/>
          <w:szCs w:val="28"/>
          <w:rtl w:val="true"/>
          <w:lang w:bidi="fa-IR"/>
        </w:rPr>
        <w:t>بایدافزود حتی لازم نیست مضمون عنه زنده باشد، از این رو صحیح است از میّت ضمانت شود،</w:t>
      </w:r>
      <w:r>
        <w:rPr>
          <w:rStyle w:val="FootnoteAnchor"/>
          <w:rtl w:val="true"/>
        </w:rPr>
        <w:footnoteReference w:id="1073"/>
      </w:r>
      <w:r>
        <w:rPr>
          <w:rFonts w:ascii="IRNazanin" w:hAnsi="IRNazanin" w:eastAsia="IRNazanin"/>
          <w:color w:val="111111"/>
          <w:sz w:val="28"/>
          <w:sz w:val="28"/>
          <w:szCs w:val="28"/>
          <w:rtl w:val="true"/>
          <w:lang w:bidi="fa-IR"/>
        </w:rPr>
        <w:t>چرا که مضمون عنه خارج از عقد ضمان میباشد</w:t>
      </w:r>
      <w:r>
        <w:rPr>
          <w:rFonts w:eastAsia="IRNazanin" w:cs="IRNazanin"/>
          <w:color w:val="111111"/>
          <w:sz w:val="28"/>
          <w:szCs w:val="28"/>
          <w:rtl w:val="true"/>
          <w:lang w:bidi="fa-IR"/>
        </w:rPr>
        <w:t>.</w:t>
      </w:r>
    </w:p>
    <w:p>
      <w:pPr>
        <w:pStyle w:val="Heading4"/>
        <w:numPr>
          <w:ilvl w:val="3"/>
          <w:numId w:val="1"/>
        </w:numPr>
        <w:rPr/>
      </w:pPr>
      <w:bookmarkStart w:id="514" w:name="__RefHeading___Toc1259688_1468164448"/>
      <w:bookmarkStart w:id="515" w:name="_Toc189"/>
      <w:bookmarkEnd w:id="514"/>
      <w:r>
        <w:rPr/>
        <w:t>3</w:t>
      </w:r>
      <w:r>
        <w:rPr>
          <w:rtl w:val="true"/>
        </w:rPr>
        <w:t xml:space="preserve">- </w:t>
      </w:r>
      <w:r>
        <w:rPr>
          <w:rtl w:val="true"/>
        </w:rPr>
        <w:t>ضمان در حقوق مدنی</w:t>
      </w:r>
      <w:bookmarkEnd w:id="515"/>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ضامن باید برای معامله اهلیّت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ضامن در عقد ضمان تعهّد به دَین مینماید و اهلیّت طبق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از شرایط اساسی هرمعامله‌ای است، بنابراین ضمان کودک و مجنون باطل است، زیرا آنان دارای اهلیّت معامله نمیباشند</w:t>
      </w:r>
      <w:r>
        <w:rPr>
          <w:rFonts w:eastAsia="IRNazanin" w:cs="IRNazanin"/>
          <w:color w:val="111111"/>
          <w:sz w:val="28"/>
          <w:szCs w:val="28"/>
          <w:rtl w:val="true"/>
          <w:lang w:bidi="fa-IR"/>
        </w:rPr>
        <w:t>.</w:t>
      </w:r>
      <w:r>
        <w:rPr>
          <w:rStyle w:val="FootnoteAnchor"/>
          <w:rtl w:val="true"/>
        </w:rPr>
        <w:footnoteReference w:id="1074"/>
      </w:r>
    </w:p>
    <w:p>
      <w:pPr>
        <w:pStyle w:val="Heading4"/>
        <w:numPr>
          <w:ilvl w:val="3"/>
          <w:numId w:val="1"/>
        </w:numPr>
        <w:rPr/>
      </w:pPr>
      <w:bookmarkStart w:id="516" w:name="__RefHeading___Toc1259690_1468164448"/>
      <w:bookmarkStart w:id="517" w:name="_Toc190"/>
      <w:bookmarkEnd w:id="516"/>
      <w:r>
        <w:rPr/>
        <w:t>4</w:t>
      </w:r>
      <w:r>
        <w:rPr>
          <w:rtl w:val="true"/>
        </w:rPr>
        <w:t xml:space="preserve">- </w:t>
      </w:r>
      <w:r>
        <w:rPr>
          <w:rtl w:val="true"/>
        </w:rPr>
        <w:t>مفهوم حواله در لغت و اصطلاح</w:t>
      </w:r>
      <w:bookmarkEnd w:id="51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حواله در لغت از حوّل به معنی نقل از جایی به جای دیگر است</w:t>
      </w:r>
      <w:r>
        <w:rPr>
          <w:rStyle w:val="FootnoteAnchor"/>
          <w:rtl w:val="true"/>
        </w:rPr>
        <w:footnoteReference w:id="1075"/>
      </w:r>
      <w:r>
        <w:rPr>
          <w:rFonts w:ascii="IRNazanin" w:hAnsi="IRNazanin" w:eastAsia="IRNazanin"/>
          <w:color w:val="111111"/>
          <w:sz w:val="28"/>
          <w:sz w:val="28"/>
          <w:szCs w:val="28"/>
          <w:rtl w:val="true"/>
          <w:lang w:bidi="fa-IR"/>
        </w:rPr>
        <w:t>و در اصطلاح فقها عقدی است که تشریع شده برای انتقال مال از ذمّه‌ای به ذمّه دیگری که مانند آن بدهکار</w:t>
      </w:r>
      <w:bookmarkStart w:id="518" w:name="pg13713_164533"/>
    </w:p>
    <w:p>
      <w:pPr>
        <w:pStyle w:val="BookText"/>
        <w:rPr/>
      </w:pPr>
      <w:bookmarkEnd w:id="5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به عبارت دیگر حواله عقدی است بین بدهکار، بستانکار به منظور ایفای دَین توسط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این‌که آیا شرط است کسی که حواله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باشد بحث و گفتگو است، دیدگاه مشهور فقها آن را لازم نمیداند، بنابراین حواله بر برئ در صورتی که قبول کند صحیح است</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حواله عقدی است که به موجب آن طلب شخصی از ذمّه مدیون به ذمّه‌شخص ثالثی منتقل میگردد و مدیون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ثالث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4"/>
        <w:numPr>
          <w:ilvl w:val="3"/>
          <w:numId w:val="1"/>
        </w:numPr>
        <w:rPr/>
      </w:pPr>
      <w:bookmarkStart w:id="519" w:name="__RefHeading___Toc1259692_1468164448"/>
      <w:bookmarkStart w:id="520" w:name="_Toc191"/>
      <w:bookmarkEnd w:id="519"/>
      <w:r>
        <w:rPr/>
        <w:t>5</w:t>
      </w:r>
      <w:r>
        <w:rPr>
          <w:rtl w:val="true"/>
        </w:rPr>
        <w:t xml:space="preserve">- </w:t>
      </w:r>
      <w:r>
        <w:rPr>
          <w:rtl w:val="true"/>
        </w:rPr>
        <w:t>عدم صحّت حواله کودک</w:t>
      </w:r>
      <w:bookmarkEnd w:id="520"/>
    </w:p>
    <w:p>
      <w:pPr>
        <w:pStyle w:val="BookText"/>
        <w:rPr/>
      </w:pPr>
      <w:r>
        <w:rPr>
          <w:rFonts w:ascii="IRNazanin" w:hAnsi="IRNazanin" w:eastAsia="IRNazanin"/>
          <w:color w:val="111111"/>
          <w:sz w:val="28"/>
          <w:sz w:val="28"/>
          <w:szCs w:val="28"/>
          <w:rtl w:val="true"/>
          <w:lang w:bidi="fa-IR"/>
        </w:rPr>
        <w:t>از شرایط صحّت حواله کمال محیل، محتال و محال علیه</w:t>
      </w:r>
      <w:r>
        <w:rPr>
          <w:rStyle w:val="FootnoteAnchor"/>
          <w:rtl w:val="true"/>
        </w:rPr>
        <w:footnoteReference w:id="1078"/>
      </w:r>
      <w:r>
        <w:rPr>
          <w:rFonts w:ascii="IRNazanin" w:hAnsi="IRNazanin" w:eastAsia="IRNazanin"/>
          <w:color w:val="111111"/>
          <w:sz w:val="28"/>
          <w:sz w:val="28"/>
          <w:szCs w:val="28"/>
          <w:rtl w:val="true"/>
          <w:lang w:bidi="fa-IR"/>
        </w:rPr>
        <w:t>، به عقل، بلوغ و رشد است، بنابراین حواله کودک صحیح نیست، هرچند ممیّز باشد، این حکم مورد توافق است و به دلیل روشن بودن آن فقها به طور جداگانه به آن نپرداخته‌اند</w:t>
      </w:r>
      <w:r>
        <w:rPr>
          <w:rFonts w:eastAsia="IRNazanin" w:cs="IRNazanin"/>
          <w:color w:val="111111"/>
          <w:sz w:val="28"/>
          <w:szCs w:val="28"/>
          <w:rtl w:val="true"/>
          <w:lang w:bidi="fa-IR"/>
        </w:rPr>
        <w:t>.</w:t>
      </w:r>
      <w:r>
        <w:rPr>
          <w:rStyle w:val="FootnoteAnchor"/>
          <w:rtl w:val="true"/>
        </w:rPr>
        <w:footnoteReference w:id="1079"/>
      </w:r>
      <w:r>
        <w:rPr>
          <w:rFonts w:ascii="IRNazanin" w:hAnsi="IRNazanin" w:eastAsia="IRNazanin"/>
          <w:color w:val="111111"/>
          <w:sz w:val="28"/>
          <w:sz w:val="28"/>
          <w:szCs w:val="28"/>
          <w:rtl w:val="true"/>
          <w:lang w:bidi="fa-IR"/>
        </w:rPr>
        <w:t>البته بعضی گفته‌اند شرایطی که در دیگر عقود معتبر است در عقد حواله نیز باید رعایت گردد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مرحوم آیت الله فاضل لنکرانی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ضمان معتبر است یعنی بلوغ، عقل، رشد و اختیار، در حواله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لازم است محتال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مفلّس شدن محجور از تصرّف در اموال خود نباشد</w:t>
      </w:r>
      <w:r>
        <w:rPr>
          <w:rFonts w:eastAsia="IRNazanin" w:cs="IRNazanin"/>
          <w:color w:val="111111"/>
          <w:sz w:val="28"/>
          <w:szCs w:val="28"/>
          <w:rtl w:val="true"/>
          <w:lang w:bidi="fa-IR"/>
        </w:rPr>
        <w:t>.</w:t>
      </w:r>
      <w:r>
        <w:rPr>
          <w:rStyle w:val="FootnoteAnchor"/>
          <w:rtl w:val="true"/>
        </w:rPr>
        <w:footnoteReference w:id="1081"/>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کودک ممیّز میتواند با اذن ولی شرعی اقدام به حواله نماید بحث در آن به همان صورتی است که در خرید و فروش و رهن گذشت</w:t>
      </w:r>
      <w:r>
        <w:rPr>
          <w:rFonts w:eastAsia="IRNazanin" w:cs="IRNazanin"/>
          <w:color w:val="111111"/>
          <w:sz w:val="28"/>
          <w:szCs w:val="28"/>
          <w:rtl w:val="true"/>
          <w:lang w:bidi="fa-IR"/>
        </w:rPr>
        <w:t>.</w:t>
      </w:r>
      <w:r>
        <w:rPr>
          <w:rStyle w:val="FootnoteAnchor"/>
          <w:rtl w:val="true"/>
        </w:rPr>
        <w:footnoteReference w:id="1082"/>
      </w:r>
      <w:bookmarkStart w:id="521" w:name="pg13713_164534"/>
    </w:p>
    <w:p>
      <w:pPr>
        <w:pStyle w:val="Heading4"/>
        <w:numPr>
          <w:ilvl w:val="3"/>
          <w:numId w:val="1"/>
        </w:numPr>
        <w:rPr/>
      </w:pPr>
      <w:bookmarkStart w:id="522" w:name="__RefHeading___Toc1259694_1468164448"/>
      <w:bookmarkStart w:id="523" w:name="_Toc192"/>
      <w:bookmarkEnd w:id="521"/>
      <w:bookmarkEnd w:id="522"/>
      <w:r>
        <w:rPr/>
        <w:t>6</w:t>
      </w:r>
      <w:r>
        <w:rPr>
          <w:rtl w:val="true"/>
        </w:rPr>
        <w:t xml:space="preserve">- </w:t>
      </w:r>
      <w:r>
        <w:rPr>
          <w:rtl w:val="true"/>
        </w:rPr>
        <w:t>حواله در حقوق مدنی</w:t>
      </w:r>
      <w:bookmarkEnd w:id="523"/>
    </w:p>
    <w:p>
      <w:pPr>
        <w:pStyle w:val="BookText"/>
        <w:rPr/>
      </w:pPr>
      <w:r>
        <w:rPr>
          <w:rFonts w:ascii="IRNazanin" w:hAnsi="IRNazanin" w:eastAsia="IRNazanin"/>
          <w:color w:val="111111"/>
          <w:sz w:val="28"/>
          <w:sz w:val="28"/>
          <w:szCs w:val="28"/>
          <w:rtl w:val="true"/>
          <w:lang w:bidi="fa-IR"/>
        </w:rPr>
        <w:t xml:space="preserve">اطراف عقد حواله باید دارای اهلیّت برای معامله باشند، زیرا در عقد حواله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در اموال خود مینمایند و طبق مواد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آنها باید عاقل و بالغ و رشید باشند، در غیر این صورت حواله باطل است</w:t>
      </w:r>
      <w:r>
        <w:rPr>
          <w:rFonts w:eastAsia="IRNazanin" w:cs="IRNazanin"/>
          <w:color w:val="111111"/>
          <w:sz w:val="28"/>
          <w:szCs w:val="28"/>
          <w:rtl w:val="true"/>
          <w:lang w:bidi="fa-IR"/>
        </w:rPr>
        <w:t>.</w:t>
      </w:r>
      <w:r>
        <w:rPr>
          <w:rStyle w:val="FootnoteAnchor"/>
          <w:rtl w:val="true"/>
        </w:rPr>
        <w:footnoteReference w:id="1083"/>
      </w:r>
    </w:p>
    <w:p>
      <w:pPr>
        <w:pStyle w:val="Heading4"/>
        <w:numPr>
          <w:ilvl w:val="3"/>
          <w:numId w:val="1"/>
        </w:numPr>
        <w:rPr/>
      </w:pPr>
      <w:bookmarkStart w:id="524" w:name="__RefHeading___Toc1259696_1468164448"/>
      <w:bookmarkStart w:id="525" w:name="_Toc193"/>
      <w:bookmarkEnd w:id="524"/>
      <w:r>
        <w:rPr/>
        <w:t>7</w:t>
      </w:r>
      <w:r>
        <w:rPr>
          <w:rtl w:val="true"/>
        </w:rPr>
        <w:t xml:space="preserve">- </w:t>
      </w:r>
      <w:r>
        <w:rPr>
          <w:rtl w:val="true"/>
        </w:rPr>
        <w:t>مفهوم کفالت در لغت و اصطلاح</w:t>
      </w:r>
      <w:bookmarkEnd w:id="525"/>
    </w:p>
    <w:p>
      <w:pPr>
        <w:pStyle w:val="BookText"/>
        <w:rPr/>
      </w:pPr>
      <w:r>
        <w:rPr>
          <w:rFonts w:ascii="IRNazanin" w:hAnsi="IRNazanin" w:eastAsia="IRNazanin"/>
          <w:color w:val="111111"/>
          <w:sz w:val="28"/>
          <w:sz w:val="28"/>
          <w:szCs w:val="28"/>
          <w:rtl w:val="true"/>
          <w:lang w:bidi="fa-IR"/>
        </w:rPr>
        <w:t>کفالت در لغت عرب اسم مصدر است و به معنی ضمان و تعهّد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لغت واژه کفالت اعمّ از ضمان است به‌طوری که اگر متعلق آن مال باشد، یعنی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تکفلت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ضمان خواهد داشت و چنان‌چه متعلّق آن نفس واقع شود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تکفلت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کفالت به کار گرفته میشود</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و در فرهنگ فارسی کفالت به معنای عهده داری، سرپرستی و نگهداری به کار میرود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در اصطلاح فقهی برخی آن را تعهّد به نفس معنی کرده‌اند، این گونه که به موجب آن کفیل متعهّد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و بدهکار است برای متعهّدله حاضر نماید</w:t>
      </w:r>
      <w:r>
        <w:rPr>
          <w:rFonts w:eastAsia="IRNazanin" w:cs="IRNazanin"/>
          <w:color w:val="111111"/>
          <w:sz w:val="28"/>
          <w:szCs w:val="28"/>
          <w:rtl w:val="true"/>
          <w:lang w:bidi="fa-IR"/>
        </w:rPr>
        <w:t>.</w:t>
      </w:r>
      <w:r>
        <w:rPr>
          <w:rStyle w:val="FootnoteAnchor"/>
          <w:rtl w:val="true"/>
        </w:rPr>
        <w:footnoteReference w:id="108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نیز آن را عقدی دانسته‌اند که به منظور تعهّد به نفس تشریع شده است</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بنابراین کفالت در حقیقت عقدی است که اثر آن التزام و تعهّد شخص ثالث است نسبت به حاضر نمودن بدهکار و تسلیم وی به طلبکار، هرگاه که او را بخواهد</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به‌این‌معنی که شخص ثالث به سود متعهّدله، ملتزم میشود که متعهّد و بدهکار وی را برای او حاضر کند</w:t>
      </w:r>
      <w:r>
        <w:rPr>
          <w:rFonts w:eastAsia="IRNazanin" w:cs="IRNazanin"/>
          <w:color w:val="111111"/>
          <w:sz w:val="28"/>
          <w:szCs w:val="28"/>
          <w:rtl w:val="true"/>
          <w:lang w:bidi="fa-IR"/>
        </w:rPr>
        <w:t>.</w:t>
      </w:r>
      <w:r>
        <w:rPr>
          <w:rStyle w:val="FootnoteAnchor"/>
          <w:rtl w:val="true"/>
        </w:rPr>
        <w:footnoteReference w:id="1089"/>
      </w:r>
      <w:bookmarkStart w:id="526" w:name="pg13713_164535"/>
    </w:p>
    <w:p>
      <w:pPr>
        <w:pStyle w:val="BookText"/>
        <w:rPr/>
      </w:pPr>
      <w:bookmarkEnd w:id="526"/>
      <w:r>
        <w:rPr>
          <w:rFonts w:ascii="IRNazanin" w:hAnsi="IRNazanin" w:eastAsia="IRNazanin"/>
          <w:color w:val="111111"/>
          <w:sz w:val="28"/>
          <w:sz w:val="28"/>
          <w:szCs w:val="28"/>
          <w:rtl w:val="true"/>
          <w:lang w:bidi="fa-IR"/>
        </w:rPr>
        <w:t xml:space="preserve">در اصطلاح حقوقی نیز ماده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کفالت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کفالت عقدی است که به موجب آن، احد طرفین در مقابل دیگر، احضار شخص ثالثی را تعهّد میکند، متعهّد را کفیل، شخص ثالث را مکفول و طرف دیگر را مکفول‌له میگویند</w:t>
      </w:r>
      <w:r>
        <w:rPr>
          <w:rFonts w:eastAsia="IRNazanin" w:cs="IRNazanin"/>
          <w:color w:val="111111"/>
          <w:sz w:val="28"/>
          <w:szCs w:val="28"/>
          <w:rtl w:val="true"/>
          <w:lang w:bidi="fa-IR"/>
        </w:rPr>
        <w:t>».</w:t>
      </w:r>
    </w:p>
    <w:p>
      <w:pPr>
        <w:pStyle w:val="Heading4"/>
        <w:numPr>
          <w:ilvl w:val="3"/>
          <w:numId w:val="1"/>
        </w:numPr>
        <w:rPr/>
      </w:pPr>
      <w:bookmarkStart w:id="527" w:name="__RefHeading___Toc1259698_1468164448"/>
      <w:bookmarkStart w:id="528" w:name="_Toc194"/>
      <w:bookmarkEnd w:id="527"/>
      <w:r>
        <w:rPr/>
        <w:t>8</w:t>
      </w:r>
      <w:r>
        <w:rPr>
          <w:rtl w:val="true"/>
        </w:rPr>
        <w:t xml:space="preserve">- </w:t>
      </w:r>
      <w:r>
        <w:rPr>
          <w:rtl w:val="true"/>
        </w:rPr>
        <w:t>صحّت کفالت از کودک</w:t>
      </w:r>
      <w:bookmarkEnd w:id="528"/>
    </w:p>
    <w:p>
      <w:pPr>
        <w:pStyle w:val="BookText"/>
        <w:rPr/>
      </w:pPr>
      <w:r>
        <w:rPr>
          <w:rFonts w:ascii="IRNazanin" w:hAnsi="IRNazanin" w:eastAsia="IRNazanin"/>
          <w:color w:val="111111"/>
          <w:sz w:val="28"/>
          <w:sz w:val="28"/>
          <w:szCs w:val="28"/>
          <w:rtl w:val="true"/>
          <w:lang w:bidi="fa-IR"/>
        </w:rPr>
        <w:t>در انعقاد کفالت شرط است کفیل، بالغ، عاقل و رشید باشد و بتواند در اموال خود تصرّف نماید، بنابراین کودک و مجنون نمیتوانند کفالت نمایند، زیرا از تصرّف در اموال خود ممنوع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صحیح است از کودک و مجنون کفالت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عقل، رشد و اختیار شرط نیست، بدین جهت جایز است از کودک در صورتی که ولی شرعی او قبول کند کفالت شود</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دلیل این حکم روشن است، زیرا مکفول طرف عقد کفالت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صحیح است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برای او کفالت شود، زیرا اوصاف مزبور در مکفول‌له شرط نیست</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آیت الله فاضل لنکرانی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مکفول‌له بلوغ و عقل معتبر نیست، هرچند طرف عقد کفالت باشد، بدین جهت کفالت برای کودک با اذن ولی و قبول وی صحیح است و با قبول ولی کودک، دلیلی برای بطلان آن وجود ندارد، چرا که کفیل متعهّد میشود مدیون را برای مکفول‌له در موعد مقرّر جهت استیفای حق از وی حاضر نماید در این صورت حقی از کودک تضییع نمیگردد</w:t>
      </w:r>
      <w:r>
        <w:rPr>
          <w:rFonts w:eastAsia="IRNazanin" w:cs="IRNazanin"/>
          <w:color w:val="111111"/>
          <w:sz w:val="28"/>
          <w:szCs w:val="28"/>
          <w:rtl w:val="true"/>
          <w:lang w:bidi="fa-IR"/>
        </w:rPr>
        <w:t>.</w:t>
      </w:r>
      <w:r>
        <w:rPr>
          <w:rStyle w:val="FootnoteAnchor"/>
          <w:rtl w:val="true"/>
        </w:rPr>
        <w:footnoteReference w:id="1092"/>
      </w:r>
    </w:p>
    <w:p>
      <w:pPr>
        <w:pStyle w:val="Heading4"/>
        <w:numPr>
          <w:ilvl w:val="3"/>
          <w:numId w:val="1"/>
        </w:numPr>
        <w:rPr/>
      </w:pPr>
      <w:bookmarkStart w:id="529" w:name="__RefHeading___Toc1259700_1468164448"/>
      <w:bookmarkStart w:id="530" w:name="_Toc195"/>
      <w:bookmarkEnd w:id="529"/>
      <w:r>
        <w:rPr/>
        <w:t>9</w:t>
      </w:r>
      <w:r>
        <w:rPr>
          <w:rtl w:val="true"/>
        </w:rPr>
        <w:t xml:space="preserve">- </w:t>
      </w:r>
      <w:r>
        <w:rPr>
          <w:rtl w:val="true"/>
        </w:rPr>
        <w:t>کفالت در حقوق مدنی</w:t>
      </w:r>
      <w:bookmarkEnd w:id="53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طرفین کفالت باید اهلیّت برای معامله داشته باشند، زیرا آنان غیر مستقیم در امور مالی خود تصرّف مینمایند و طبق ماده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کفیل باید مکفول را در زمان و مکانی که</w:t>
      </w:r>
      <w:bookmarkStart w:id="531" w:name="pg13713_164536"/>
    </w:p>
    <w:p>
      <w:pPr>
        <w:pStyle w:val="BookText"/>
        <w:rPr/>
      </w:pPr>
      <w:bookmarkEnd w:id="531"/>
      <w:r>
        <w:rPr>
          <w:rFonts w:ascii="IRNazanin" w:hAnsi="IRNazanin" w:eastAsia="IRNazanin"/>
          <w:color w:val="111111"/>
          <w:sz w:val="28"/>
          <w:sz w:val="28"/>
          <w:szCs w:val="28"/>
          <w:rtl w:val="true"/>
          <w:lang w:bidi="fa-IR"/>
        </w:rPr>
        <w:t>تعهّد کرده است، حاضر نماید، در غیر این صورت باید از عهده حقی که بر عهده مکفول ثابت میشود،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مکفول اهلیّت شرط نیست و میتوان از محجور مانند کودک، سفیه و مفلّس کفالت نمود، زیرا مکفول هیچ‌گونه مداخله‌ای در انعقاد عقد کفالت ندارد</w:t>
      </w:r>
      <w:r>
        <w:rPr>
          <w:rFonts w:eastAsia="IRNazanin" w:cs="IRNazanin"/>
          <w:color w:val="111111"/>
          <w:sz w:val="28"/>
          <w:szCs w:val="28"/>
          <w:rtl w:val="true"/>
          <w:lang w:bidi="fa-IR"/>
        </w:rPr>
        <w:t>.</w:t>
      </w:r>
      <w:r>
        <w:rPr>
          <w:rStyle w:val="FootnoteAnchor"/>
          <w:rtl w:val="true"/>
        </w:rPr>
        <w:footnoteReference w:id="1093"/>
      </w:r>
    </w:p>
    <w:p>
      <w:pPr>
        <w:pStyle w:val="Heading4"/>
        <w:numPr>
          <w:ilvl w:val="3"/>
          <w:numId w:val="1"/>
        </w:numPr>
        <w:rPr/>
      </w:pPr>
      <w:bookmarkStart w:id="532" w:name="__RefHeading___Toc1259702_1468164448"/>
      <w:bookmarkStart w:id="533" w:name="_Toc196"/>
      <w:bookmarkEnd w:id="532"/>
      <w:r>
        <w:rPr/>
        <w:t>10</w:t>
      </w:r>
      <w:r>
        <w:rPr>
          <w:rtl w:val="true"/>
        </w:rPr>
        <w:t xml:space="preserve">- </w:t>
      </w:r>
      <w:r>
        <w:rPr>
          <w:rtl w:val="true"/>
        </w:rPr>
        <w:t>مفهوم صلح در لغت و اصطلاح</w:t>
      </w:r>
      <w:bookmarkEnd w:id="533"/>
    </w:p>
    <w:p>
      <w:pPr>
        <w:pStyle w:val="BookText"/>
        <w:rPr/>
      </w:pPr>
      <w:r>
        <w:rPr>
          <w:rFonts w:ascii="IRNazanin" w:hAnsi="IRNazanin" w:eastAsia="IRNazanin"/>
          <w:color w:val="111111"/>
          <w:sz w:val="28"/>
          <w:sz w:val="28"/>
          <w:szCs w:val="28"/>
          <w:rtl w:val="true"/>
          <w:lang w:bidi="fa-IR"/>
        </w:rPr>
        <w:t>صلح مصدر است و در لغت به معنی سازش کردن، آشتی، تسالم و توافق است، ضد مخاصمه و تخاصم</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در اصطلاح فقها عقدی است که برای قطع مخاصمه تشریع شده 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بعضی از اعلام فقهای معاصر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عبارت از تراضی و تسالم بر امری است، خواه تملیک عین باشد، یا منفعت، یا اسقاط دین، یا حق و یا غیر آن با عوض یا مجّانی</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هم‌چنین به گفته بعضی از اساتید حقوق مدنی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 مصالحه عقدی است بینام که فاقد عناصر و احکام اختصاصی عقود دیگر است</w:t>
      </w:r>
      <w:r>
        <w:rPr>
          <w:rFonts w:eastAsia="IRNazanin" w:cs="IRNazanin"/>
          <w:color w:val="111111"/>
          <w:sz w:val="28"/>
          <w:szCs w:val="28"/>
          <w:rtl w:val="true"/>
          <w:lang w:bidi="fa-IR"/>
        </w:rPr>
        <w:t>».</w:t>
      </w:r>
      <w:r>
        <w:rPr>
          <w:rStyle w:val="FootnoteAnchor"/>
          <w:rtl w:val="true"/>
        </w:rPr>
        <w:footnoteReference w:id="1097"/>
      </w:r>
    </w:p>
    <w:p>
      <w:pPr>
        <w:pStyle w:val="Heading4"/>
        <w:numPr>
          <w:ilvl w:val="3"/>
          <w:numId w:val="1"/>
        </w:numPr>
        <w:rPr/>
      </w:pPr>
      <w:bookmarkStart w:id="534" w:name="__RefHeading___Toc1259704_1468164448"/>
      <w:bookmarkStart w:id="535" w:name="_Toc197"/>
      <w:bookmarkEnd w:id="534"/>
      <w:r>
        <w:rPr/>
        <w:t>11</w:t>
      </w:r>
      <w:r>
        <w:rPr>
          <w:rtl w:val="true"/>
        </w:rPr>
        <w:t xml:space="preserve">- </w:t>
      </w:r>
      <w:r>
        <w:rPr>
          <w:rtl w:val="true"/>
        </w:rPr>
        <w:t>عدم جواز صلح کودک</w:t>
      </w:r>
      <w:bookmarkEnd w:id="535"/>
    </w:p>
    <w:p>
      <w:pPr>
        <w:pStyle w:val="BookText"/>
        <w:rPr/>
      </w:pPr>
      <w:r>
        <w:rPr>
          <w:rFonts w:ascii="IRNazanin" w:hAnsi="IRNazanin" w:eastAsia="IRNazanin"/>
          <w:color w:val="111111"/>
          <w:sz w:val="28"/>
          <w:sz w:val="28"/>
          <w:szCs w:val="28"/>
          <w:rtl w:val="true"/>
          <w:lang w:bidi="fa-IR"/>
        </w:rPr>
        <w:t>شرط است طرفین عقد صلح، بالغ و رشید باشند و نسبت به آن چیزی که صلح به خاطر آن واقع شده، جائز التصرف باشند، بدین جهت صلح کودک صحیح نیست و اثری بر آن مترتب نمیشود، هرچند ممیز باشد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ادلّه‌ای که برای عدم صحّت معاملات و رهن کودک به‌طور مطلق به آن استناد شده بود، در این بخش نیز میتواند دلیل قرار گیرد</w:t>
      </w:r>
      <w:r>
        <w:rPr>
          <w:rFonts w:eastAsia="IRNazanin" w:cs="IRNazanin"/>
          <w:color w:val="111111"/>
          <w:sz w:val="28"/>
          <w:szCs w:val="28"/>
          <w:rtl w:val="true"/>
          <w:lang w:bidi="fa-IR"/>
        </w:rPr>
        <w:t>.</w:t>
      </w:r>
      <w:r>
        <w:rPr>
          <w:rStyle w:val="FootnoteAnchor"/>
          <w:rtl w:val="true"/>
        </w:rPr>
        <w:footnoteReference w:id="109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طبق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قانون مدنی باید صلح مانند عقود دیگر دارای شرایط صحت از جمله، اهلیّت طرفین آن باشد، بنابراین مطابق قانون مدنی کودک نمیتواند طرف عقد صلح قرار گیرد</w:t>
      </w:r>
      <w:r>
        <w:rPr>
          <w:rFonts w:eastAsia="IRNazanin" w:cs="IRNazanin"/>
          <w:color w:val="111111"/>
          <w:sz w:val="28"/>
          <w:szCs w:val="28"/>
          <w:rtl w:val="true"/>
          <w:lang w:bidi="fa-IR"/>
        </w:rPr>
        <w:t>.</w:t>
      </w:r>
      <w:bookmarkStart w:id="536" w:name="pg13713_164537"/>
    </w:p>
    <w:p>
      <w:pPr>
        <w:pStyle w:val="Heading3"/>
        <w:numPr>
          <w:ilvl w:val="2"/>
          <w:numId w:val="1"/>
        </w:numPr>
        <w:rPr/>
      </w:pPr>
      <w:bookmarkStart w:id="537" w:name="__RefHeading___Toc1259706_1468164448"/>
      <w:bookmarkStart w:id="538" w:name="_Toc198"/>
      <w:bookmarkEnd w:id="536"/>
      <w:bookmarkEnd w:id="537"/>
      <w:r>
        <w:rPr>
          <w:rtl w:val="true"/>
        </w:rPr>
        <w:t>گفتار چهارم</w:t>
      </w:r>
      <w:r>
        <w:rPr>
          <w:rtl w:val="true"/>
        </w:rPr>
        <w:t xml:space="preserve">: </w:t>
      </w:r>
      <w:r>
        <w:rPr>
          <w:rtl w:val="true"/>
        </w:rPr>
        <w:t>شرکت، مضاربه، مزارعه، ودیعه، عاریه</w:t>
      </w:r>
      <w:bookmarkEnd w:id="538"/>
    </w:p>
    <w:p>
      <w:pPr>
        <w:pStyle w:val="Heading4"/>
        <w:numPr>
          <w:ilvl w:val="3"/>
          <w:numId w:val="1"/>
        </w:numPr>
        <w:rPr/>
      </w:pPr>
      <w:bookmarkStart w:id="539" w:name="__RefHeading___Toc1259708_1468164448"/>
      <w:bookmarkStart w:id="540" w:name="_Toc199"/>
      <w:bookmarkEnd w:id="539"/>
      <w:r>
        <w:rPr>
          <w:rtl w:val="true"/>
        </w:rPr>
        <w:t>الف</w:t>
      </w:r>
      <w:r>
        <w:rPr>
          <w:rtl w:val="true"/>
        </w:rPr>
        <w:t xml:space="preserve">: </w:t>
      </w:r>
      <w:r>
        <w:rPr>
          <w:rtl w:val="true"/>
        </w:rPr>
        <w:t>شرکت</w:t>
      </w:r>
      <w:bookmarkEnd w:id="5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شرکت در لغت و اصطلاح</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شین و سکون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شین و کسر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به این معنی است که برای دو نفر یا بیش‌تر در چیزی به طور اشاعه سهم و نصیبی باشد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شرکت در اصطلاح فقهی</w:t>
      </w:r>
      <w:r>
        <w:rPr>
          <w:rStyle w:val="FootnoteAnchor"/>
          <w:rtl w:val="true"/>
        </w:rPr>
        <w:footnoteReference w:id="1101"/>
      </w:r>
      <w:r>
        <w:rPr>
          <w:rFonts w:ascii="IRNazanin" w:hAnsi="IRNazanin" w:eastAsia="IRNazanin"/>
          <w:color w:val="111111"/>
          <w:sz w:val="28"/>
          <w:sz w:val="28"/>
          <w:szCs w:val="28"/>
          <w:rtl w:val="true"/>
          <w:lang w:bidi="fa-IR"/>
        </w:rPr>
        <w:t>و حقوقی</w:t>
      </w:r>
      <w:r>
        <w:rPr>
          <w:rStyle w:val="FootnoteAnchor"/>
          <w:rtl w:val="true"/>
        </w:rPr>
        <w:footnoteReference w:id="1102"/>
      </w:r>
      <w:r>
        <w:rPr>
          <w:rFonts w:ascii="IRNazanin" w:hAnsi="IRNazanin" w:eastAsia="IRNazanin"/>
          <w:color w:val="111111"/>
          <w:sz w:val="28"/>
          <w:sz w:val="28"/>
          <w:szCs w:val="28"/>
          <w:rtl w:val="true"/>
          <w:lang w:bidi="fa-IR"/>
        </w:rPr>
        <w:t>نیز به همان معنای لغوی و عرفی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ذرّه‌ای از ذرّات مالی که متعلق شرکت واقع شده ملک دو مالک یا چند مالک به صورت مشاع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مشاع یا مشترک میتواند عین خارجی باشد، مانند خانه و باغ مشترک و میتواند منفعت باشد مانند منفعت خانه مورد اجاره که در اثر فوت مستأجر به ورثه منتقل شده باشد و یا حق باشد مانند حق خیار، حق شفعه، که در نتیجه فوت مورّث به ورثه منتقل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در اثر پیدایش سببی از اسباب معیّن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اسباب بر دو قسم است؛ اختیاری و قهری که به این اعتبار دو نوع شرکت اختیاری و قهری به 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یکی از امور زیر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ممکن است در نتیجه عقدی از عقود حاصل گردد، چنان‌که چند نفر ملکی را خریداری کنند یا آن را اجاره نمایند و یا به آنها هبه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ممکن است در نتیجه عمل شرکا باشد، از قبیل مزج اختیاری اجناس برای مقاصدی که مورد نظر شرکا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نتیجه ارث یا امتزاج پیدا میشود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بطلان تصرّف کودک در شرکت</w:t>
      </w:r>
    </w:p>
    <w:p>
      <w:pPr>
        <w:pStyle w:val="BookText"/>
        <w:rPr/>
      </w:pPr>
      <w:r>
        <w:rPr>
          <w:rFonts w:ascii="IRNazanin" w:hAnsi="IRNazanin" w:eastAsia="IRNazanin"/>
          <w:color w:val="111111"/>
          <w:sz w:val="28"/>
          <w:sz w:val="28"/>
          <w:szCs w:val="28"/>
          <w:rtl w:val="true"/>
          <w:lang w:bidi="fa-IR"/>
        </w:rPr>
        <w:t>برای شرکت احکام مختلفی است از جمله این‌که هیچ یک از شرکا نمیتواند بدون اجازه شرکای دیگر در مال مشترک تصرفی نماید،</w:t>
      </w:r>
      <w:r>
        <w:rPr>
          <w:rStyle w:val="FootnoteAnchor"/>
          <w:rtl w:val="true"/>
        </w:rPr>
        <w:footnoteReference w:id="1104"/>
      </w:r>
      <w:r>
        <w:rPr>
          <w:rFonts w:ascii="IRNazanin" w:hAnsi="IRNazanin" w:eastAsia="IRNazanin"/>
          <w:color w:val="111111"/>
          <w:sz w:val="28"/>
          <w:sz w:val="28"/>
          <w:szCs w:val="28"/>
          <w:rtl w:val="true"/>
          <w:lang w:bidi="fa-IR"/>
        </w:rPr>
        <w:t>زیرا تصرّف هر یک در سهم مشاع خود موجب تصرّف او در سهام دیگران خواهد بود و بدون اجازه شرکا، تجاوز به حقوق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تصرّف اعم از تصرّف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سکونت در خانه، تعمیر و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یاتصرّف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فروش، اجاره، هبه و 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باید مباشر این تصرّفات اهل تصرّف باشد و چون کودک اهل تصرّف نیست، حق دخالت در این امور را ندارد، بنابراین نمیتواند به دیگر شرکا اذن در تصرّف دهد یا حق خود را بفروشد، و یا اجاره دهد، بلکه باید ولی او به انجام آن اقدام نماید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 xml:space="preserve">هم‌چنین باید دانست که قسمی از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عقدی از عقود معاوضی و مالی میباشد و باید ارکان معیّنی داشته باشد، از جمله این‌که ایجاد کنندگان شرکت باید داری شرایط لازم در دیگر عقود باشند، بنابراین بلوغ، عقل و رشد در آنها شرط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رکن اوّل در شرکت تجاری دو طرف عقد میباشند و شرط است بالغ، عاقل و دارای اختیار و قصد و جایز التصرّف باشند و ضابطه</w:t>
      </w:r>
      <w:bookmarkStart w:id="541" w:name="pg13713_164539"/>
    </w:p>
    <w:p>
      <w:pPr>
        <w:pStyle w:val="BookText"/>
        <w:rPr/>
      </w:pPr>
      <w:bookmarkEnd w:id="541"/>
      <w:r>
        <w:rPr>
          <w:rFonts w:ascii="IRNazanin" w:hAnsi="IRNazanin" w:eastAsia="IRNazanin"/>
          <w:color w:val="111111"/>
          <w:sz w:val="28"/>
          <w:sz w:val="28"/>
          <w:szCs w:val="28"/>
          <w:rtl w:val="true"/>
          <w:lang w:bidi="fa-IR"/>
        </w:rPr>
        <w:t>کلی در آن‌ها، این‌که برای وکالت اهلیّت داشته باشند، زیرا هر یک از دو شریک در تمام مال دخالت میکند در آن‌چه حق خود اوست، چون مالک است و نسبت به حق شریک خود چون به او اذن داده است، بنابراین او وکیل شریک خود میباشد، در عین حال موکل او نیز میباشد، زیرا به وی وکالت داده در مال او تصرّف نماید، ولی وکالت کودک صحیح نیست، زیرا کلام او از نظر شرعی بیتأثیر است</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عبارات برخی دیگر از فقها نیز شبیه آن‌چه ذکر شد، میباشد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در قانون مدنی نیز در فصل هشتم از ماده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مسائل شرکت مورد بحث قرار گرفته و آن‌چه از نوشتارهای فقها در مورد شرکت کودک استفاده شد از مواد مزبور به اجمال استفاده میگردد</w:t>
      </w:r>
      <w:r>
        <w:rPr>
          <w:rFonts w:eastAsia="IRNazanin" w:cs="IRNazanin"/>
          <w:color w:val="111111"/>
          <w:sz w:val="28"/>
          <w:szCs w:val="28"/>
          <w:rtl w:val="true"/>
          <w:lang w:bidi="fa-IR"/>
        </w:rPr>
        <w:t>.</w:t>
      </w:r>
    </w:p>
    <w:p>
      <w:pPr>
        <w:pStyle w:val="Heading4"/>
        <w:numPr>
          <w:ilvl w:val="3"/>
          <w:numId w:val="1"/>
        </w:numPr>
        <w:rPr/>
      </w:pPr>
      <w:bookmarkStart w:id="542" w:name="__RefHeading___Toc1259710_1468164448"/>
      <w:bookmarkStart w:id="543" w:name="_Toc200"/>
      <w:bookmarkEnd w:id="542"/>
      <w:r>
        <w:rPr>
          <w:rtl w:val="true"/>
        </w:rPr>
        <w:t>ب</w:t>
      </w:r>
      <w:r>
        <w:rPr>
          <w:rtl w:val="true"/>
        </w:rPr>
        <w:t xml:space="preserve">: </w:t>
      </w:r>
      <w:r>
        <w:rPr>
          <w:rtl w:val="true"/>
        </w:rPr>
        <w:t>مضاربه</w:t>
      </w:r>
      <w:bookmarkEnd w:id="5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مضاربه در لغت و اصطلاح</w:t>
      </w:r>
    </w:p>
    <w:p>
      <w:pPr>
        <w:pStyle w:val="BookText"/>
        <w:rPr/>
      </w:pPr>
      <w:r>
        <w:rPr>
          <w:rFonts w:ascii="IRNazanin" w:hAnsi="IRNazanin" w:eastAsia="IRNazanin"/>
          <w:color w:val="111111"/>
          <w:sz w:val="28"/>
          <w:sz w:val="28"/>
          <w:szCs w:val="28"/>
          <w:rtl w:val="true"/>
          <w:lang w:bidi="fa-IR"/>
        </w:rPr>
        <w:t xml:space="preserve">مضاربه مصدر باب مفاعله واژه‌ای عربی است و معادل فارسی ندارد، این کلمه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سیر نمودن در زمین میباشد</w:t>
      </w:r>
      <w:r>
        <w:rPr>
          <w:rFonts w:eastAsia="IRNazanin" w:cs="IRNazanin"/>
          <w:color w:val="111111"/>
          <w:sz w:val="28"/>
          <w:szCs w:val="28"/>
          <w:rtl w:val="true"/>
          <w:lang w:bidi="fa-IR"/>
        </w:rPr>
        <w:t>.</w:t>
      </w:r>
      <w:r>
        <w:rPr>
          <w:rStyle w:val="FootnoteAnchor"/>
          <w:rtl w:val="true"/>
        </w:rPr>
        <w:footnoteReference w:id="110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شخص مسافر به ویژه در زمان‌های گذشته میبایست پا را بر زمین زند و طی طریق کند، این پا زدن در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کنایه از مسافرت است و به مسافرت در زمین برای این نوع از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گویا شخص عامل پا را بر زمین میزند و شخص صاحب مال هم پولش را بر زمین میزند، البتّه‌این معنا برای زمانی بوده که برای تجارت از محلّی به محل دیگر طی طریق مینمودند، ولی امروزه که غالباً در یک منطقه یا با تلفن و یا واسطه تجارت مینمایند، این واژه همچنان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معامله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قراض و مقارضه نیز گفته میشود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گرفته‌شده و از نظر مفهوم همان معنای مضاربه را دارد، هرچند دو لفظ مختلف میباشند، چه این‌که قرض به معنی بریدن و قطع کردن آمده و وجه تسمیه معامله مزبور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نظر است که مالک قطعه‌ای از مال خود را میبرد و به عامل میدهد که با آن معامله کند به هر صورت در مضاربه مالک مقداری از مال خود را در اختیار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تا با آن تجارت کند و سود حاصل از تجارت بین طرفین تقسیم شود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مقصود از مضاربه در اصطلاح فقها نیز همان معنای لغوی است در عبارات برخی از فقها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مضاربه عبارت است از این‌که شخصی پولی را به عنوان تجارت به دیگری میدهد تا با آن تجارت کند و سود حاصله به نحو معیّن بین آنان تقسیم شود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صحّت مضاربه کودک</w:t>
      </w:r>
    </w:p>
    <w:p>
      <w:pPr>
        <w:pStyle w:val="BookText"/>
        <w:rPr/>
      </w:pPr>
      <w:r>
        <w:rPr>
          <w:rFonts w:ascii="IRNazanin" w:hAnsi="IRNazanin" w:eastAsia="IRNazanin"/>
          <w:color w:val="111111"/>
          <w:sz w:val="28"/>
          <w:sz w:val="28"/>
          <w:szCs w:val="28"/>
          <w:rtl w:val="true"/>
          <w:lang w:bidi="fa-IR"/>
        </w:rPr>
        <w:t xml:space="preserve">شرط است دو طرف عقد مضاربه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عاقل، رشید و جایز التصرف در مال خویش باشند، بدان جهت مضاربه کودک و مجنون صحیح نیست،</w:t>
      </w:r>
      <w:r>
        <w:rPr>
          <w:rStyle w:val="FootnoteAnchor"/>
          <w:rtl w:val="true"/>
        </w:rPr>
        <w:footnoteReference w:id="1111"/>
      </w:r>
      <w:r>
        <w:rPr>
          <w:rFonts w:ascii="IRNazanin" w:hAnsi="IRNazanin" w:eastAsia="IRNazanin"/>
          <w:color w:val="111111"/>
          <w:sz w:val="28"/>
          <w:sz w:val="28"/>
          <w:szCs w:val="28"/>
          <w:rtl w:val="true"/>
          <w:lang w:bidi="fa-IR"/>
        </w:rPr>
        <w:t>زیرا اینان مجاز به تصرّف در اموال خود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در بطلان بیع کودک اقامه شد در این بخش نیز دلیل قرار میگیرد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فقها معاصر در شرح کلام صاحب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در مجری عقد مضاربه، بلوغ، عقل و اختیار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در جمیع مواردی که انسان تصرّف در مال و یا جان خود داشته باشد، لازم میباشد و ادلّه آن در کتاب حجر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فقها بخشی از آن ادلّه را در کتاب بیع بیان میکنند، زیرا اوّلین کتابی است که در آن تصرّفات اعتباری مورد بحث و تحقیق قرار میگیرد</w:t>
      </w:r>
      <w:r>
        <w:rPr>
          <w:rFonts w:eastAsia="IRNazanin" w:cs="IRNazanin"/>
          <w:color w:val="111111"/>
          <w:sz w:val="28"/>
          <w:szCs w:val="28"/>
          <w:rtl w:val="true"/>
          <w:lang w:bidi="fa-IR"/>
        </w:rPr>
        <w:t>.</w:t>
      </w:r>
      <w:r>
        <w:rPr>
          <w:rStyle w:val="FootnoteAnchor"/>
          <w:rtl w:val="true"/>
        </w:rPr>
        <w:footnoteReference w:id="1112"/>
      </w:r>
      <w:r>
        <w:rPr>
          <w:rFonts w:ascii="IRNazanin" w:hAnsi="IRNazanin" w:eastAsia="IRNazanin"/>
          <w:color w:val="111111"/>
          <w:sz w:val="28"/>
          <w:sz w:val="28"/>
          <w:szCs w:val="28"/>
          <w:rtl w:val="true"/>
          <w:lang w:bidi="fa-IR"/>
        </w:rPr>
        <w:t>بر طبق دیدگاهی که تصرّفات</w:t>
      </w:r>
      <w:bookmarkStart w:id="544" w:name="pg13713_164541"/>
    </w:p>
    <w:p>
      <w:pPr>
        <w:pStyle w:val="BookText"/>
        <w:rPr/>
      </w:pPr>
      <w:bookmarkEnd w:id="544"/>
      <w:r>
        <w:rPr>
          <w:rFonts w:ascii="IRNazanin" w:hAnsi="IRNazanin" w:eastAsia="IRNazanin"/>
          <w:color w:val="111111"/>
          <w:sz w:val="28"/>
          <w:sz w:val="28"/>
          <w:szCs w:val="28"/>
          <w:rtl w:val="true"/>
          <w:lang w:bidi="fa-IR"/>
        </w:rPr>
        <w:t xml:space="preserve">کودک ممیّز در اموال خود با اذن ولی را جایز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ما قوی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مضاربه‌کودک نیز به شرط این‌که با اذن ولی و به مصلحت وی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مذاهب اهل‌سنت نیز آن را جایز دانسته‌اند</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مضاربه کودک در حقوق مدنی</w:t>
      </w:r>
    </w:p>
    <w:p>
      <w:pPr>
        <w:pStyle w:val="BookText"/>
        <w:rPr/>
      </w:pPr>
      <w:r>
        <w:rPr>
          <w:rFonts w:ascii="IRNazanin" w:hAnsi="IRNazanin" w:eastAsia="IRNazanin"/>
          <w:color w:val="111111"/>
          <w:sz w:val="28"/>
          <w:sz w:val="28"/>
          <w:szCs w:val="28"/>
          <w:rtl w:val="true"/>
          <w:lang w:bidi="fa-IR"/>
        </w:rPr>
        <w:t xml:space="preserve">در حقوق مدنی مضاربه از عقود دانسته شده و باید دارای شرایط اساسی صحّت معامله که در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بعد از آن، بیان شده باشد و هرگاه یکی از آن شرایط را فاقد گردد، عقد مضاربه باطل خواهد بود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بر این اساس چون کودک اهلیّت انجام معامله و اجرای عقد را ندارد مضاربه او به استناد مواد فوق باطل است</w:t>
      </w:r>
      <w:r>
        <w:rPr>
          <w:rFonts w:eastAsia="IRNazanin" w:cs="IRNazanin"/>
          <w:color w:val="111111"/>
          <w:sz w:val="28"/>
          <w:szCs w:val="28"/>
          <w:rtl w:val="true"/>
          <w:lang w:bidi="fa-IR"/>
        </w:rPr>
        <w:t>.</w:t>
      </w:r>
    </w:p>
    <w:p>
      <w:pPr>
        <w:pStyle w:val="Heading4"/>
        <w:numPr>
          <w:ilvl w:val="3"/>
          <w:numId w:val="1"/>
        </w:numPr>
        <w:rPr/>
      </w:pPr>
      <w:bookmarkStart w:id="545" w:name="__RefHeading___Toc1259712_1468164448"/>
      <w:bookmarkStart w:id="546" w:name="_Toc201"/>
      <w:bookmarkEnd w:id="545"/>
      <w:r>
        <w:rPr>
          <w:rtl w:val="true"/>
        </w:rPr>
        <w:t>ج</w:t>
      </w:r>
      <w:r>
        <w:rPr>
          <w:rtl w:val="true"/>
        </w:rPr>
        <w:t xml:space="preserve">: </w:t>
      </w:r>
      <w:r>
        <w:rPr>
          <w:rtl w:val="true"/>
        </w:rPr>
        <w:t>مزارعه</w:t>
      </w:r>
      <w:bookmarkEnd w:id="5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مزارعه در لغت و اصطلاح</w:t>
      </w:r>
    </w:p>
    <w:p>
      <w:pPr>
        <w:pStyle w:val="BookText"/>
        <w:rPr/>
      </w:pPr>
      <w:r>
        <w:rPr>
          <w:rFonts w:ascii="IRNazanin" w:hAnsi="IRNazanin" w:eastAsia="IRNazanin"/>
          <w:color w:val="111111"/>
          <w:sz w:val="28"/>
          <w:sz w:val="28"/>
          <w:szCs w:val="28"/>
          <w:rtl w:val="true"/>
          <w:lang w:bidi="fa-IR"/>
        </w:rPr>
        <w:t>مزارعه مصدر باب مفاعله از مادّه زرع در زمین است و معنی آن کشت کردن دو نفر با یکدیگر است</w:t>
      </w:r>
      <w:r>
        <w:rPr>
          <w:rStyle w:val="FootnoteAnchor"/>
          <w:rtl w:val="true"/>
        </w:rPr>
        <w:footnoteReference w:id="1115"/>
      </w:r>
      <w:r>
        <w:rPr>
          <w:rFonts w:ascii="IRNazanin" w:hAnsi="IRNazanin" w:eastAsia="IRNazanin"/>
          <w:color w:val="111111"/>
          <w:sz w:val="28"/>
          <w:sz w:val="28"/>
          <w:szCs w:val="28"/>
          <w:rtl w:val="true"/>
          <w:lang w:bidi="fa-IR"/>
        </w:rPr>
        <w:t>و مقصود از آن در اصطلاح فقهی، عقدی است که یک طرف زمینی را برای زراعت در مدّتی معلوم در اختیار دیگری میگذارد و حاصل آن طبق توافق انجام شده بین آنان تقسیم میگردد</w:t>
      </w:r>
      <w:r>
        <w:rPr>
          <w:rFonts w:eastAsia="IRNazanin" w:cs="IRNazanin"/>
          <w:color w:val="111111"/>
          <w:sz w:val="28"/>
          <w:szCs w:val="28"/>
          <w:rtl w:val="true"/>
          <w:lang w:bidi="fa-IR"/>
        </w:rPr>
        <w:t>.</w:t>
      </w:r>
      <w:r>
        <w:rPr>
          <w:rStyle w:val="FootnoteAnchor"/>
          <w:rtl w:val="true"/>
        </w:rPr>
        <w:footnoteReference w:id="111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 نظران در حقوق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تحلیل حقوقی، مزارعه شرکتی است بین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 طرف انتفاع از زمین و از طرف دیگر کار به عنوان سرمایه‌گذارده میشود و عوامل لازم دیگر را برای کشت یکی از طرفین نیز عهده‌دار میگردد و محصولی که به دست میآید مانند سود شرکت به نسبتی که طرفین با یکدیگر قرار میدهند، بین خود تقسیم میکنند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مزارعه کودک</w:t>
      </w:r>
    </w:p>
    <w:p>
      <w:pPr>
        <w:pStyle w:val="BookText"/>
        <w:rPr/>
      </w:pPr>
      <w:r>
        <w:rPr>
          <w:rFonts w:ascii="IRNazanin" w:hAnsi="IRNazanin" w:eastAsia="IRNazanin"/>
          <w:color w:val="111111"/>
          <w:sz w:val="28"/>
          <w:sz w:val="28"/>
          <w:szCs w:val="28"/>
          <w:rtl w:val="true"/>
          <w:lang w:bidi="fa-IR"/>
        </w:rPr>
        <w:t>مزارعه توسط کودک غیر ممیّز، باطل و بیاثر است، ولی نسبت به ممیّز دو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آن را باطل میدانند، بعضی از فقیهان به آن تصریح نموده‌اند</w:t>
      </w:r>
      <w:r>
        <w:rPr>
          <w:rStyle w:val="FootnoteAnchor"/>
          <w:rtl w:val="true"/>
        </w:rPr>
        <w:footnoteReference w:id="1118"/>
      </w:r>
      <w:r>
        <w:rPr>
          <w:rFonts w:ascii="IRNazanin" w:hAnsi="IRNazanin" w:eastAsia="IRNazanin"/>
          <w:color w:val="111111"/>
          <w:sz w:val="28"/>
          <w:sz w:val="28"/>
          <w:szCs w:val="28"/>
          <w:rtl w:val="true"/>
          <w:lang w:bidi="fa-IR"/>
        </w:rPr>
        <w:t>و برخی دیگر از اطلاق عبارات‌شان به‌دست میآید</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مستند این نظر ادلّه‌ای است که برای بطلان بیع کودک به‌طور مطلق اقامه شده و پیش‌تر ذکر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که برخی از فقها پذیرفته‌اند و قوی هم به نظر میرسد، این است که مزارعه توسط کودک با اذن ولی شرعی صحیح است</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مرحوم کاشف الغطا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است دو طرفی که عقد مزارعه را جاری میسازند عاقل باشند، ولی شرط نیست بالغ باشند، بنابراین مزارعه کودکی که ولی به او اذن داده صحیح است</w:t>
      </w:r>
      <w:r>
        <w:rPr>
          <w:rFonts w:eastAsia="IRNazanin" w:cs="IRNazanin"/>
          <w:color w:val="111111"/>
          <w:sz w:val="28"/>
          <w:szCs w:val="28"/>
          <w:rtl w:val="true"/>
          <w:lang w:bidi="fa-IR"/>
        </w:rPr>
        <w:t>.</w:t>
      </w:r>
      <w:r>
        <w:rPr>
          <w:rStyle w:val="FootnoteAnchor"/>
          <w:rtl w:val="true"/>
        </w:rPr>
        <w:footnoteReference w:id="1121"/>
      </w:r>
      <w:r>
        <w:rPr>
          <w:rFonts w:ascii="IRNazanin" w:hAnsi="IRNazanin" w:eastAsia="IRNazanin"/>
          <w:color w:val="111111"/>
          <w:sz w:val="28"/>
          <w:sz w:val="28"/>
          <w:szCs w:val="28"/>
          <w:rtl w:val="true"/>
          <w:lang w:bidi="fa-IR"/>
        </w:rPr>
        <w:t>این نظر از کلمات برخی دیگر از فقها نیز استفاده میشود</w:t>
      </w:r>
      <w:r>
        <w:rPr>
          <w:rFonts w:eastAsia="IRNazanin" w:cs="IRNazanin"/>
          <w:color w:val="111111"/>
          <w:sz w:val="28"/>
          <w:szCs w:val="28"/>
          <w:rtl w:val="true"/>
          <w:lang w:bidi="fa-IR"/>
        </w:rPr>
        <w:t>».</w:t>
      </w:r>
      <w:r>
        <w:rPr>
          <w:rStyle w:val="FootnoteAnchor"/>
          <w:rtl w:val="true"/>
        </w:rPr>
        <w:footnoteReference w:id="112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ظاهراً دلیلی بر بطلان مزارعه کودک ممیّز، در صورتی که با اذن ولی شرعی انجام پذیرد و مصلحت او در آن رعایت شود، وجود ندارد، اعم از این‌که کودک زارع باشد و در زمین مالک زراعت نماید یا این‌که زمین مالکی خود را جهت مزارعه در اختیار زارع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نیز مزارعه را از عقود معیّنه میداند که باید دارای شرایط اساسی صحت بر معامله مذکور در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غیر این صورت باطل خواهد بود</w:t>
      </w:r>
      <w:r>
        <w:rPr>
          <w:rFonts w:eastAsia="IRNazanin" w:cs="IRNazanin"/>
          <w:color w:val="111111"/>
          <w:sz w:val="28"/>
          <w:szCs w:val="28"/>
          <w:rtl w:val="true"/>
          <w:lang w:bidi="fa-IR"/>
        </w:rPr>
        <w:t>.</w:t>
      </w:r>
      <w:r>
        <w:rPr>
          <w:rStyle w:val="FootnoteAnchor"/>
          <w:rtl w:val="true"/>
        </w:rPr>
        <w:footnoteReference w:id="1123"/>
      </w:r>
      <w:bookmarkStart w:id="547" w:name="pg13713_164543"/>
    </w:p>
    <w:p>
      <w:pPr>
        <w:pStyle w:val="Heading4"/>
        <w:numPr>
          <w:ilvl w:val="3"/>
          <w:numId w:val="1"/>
        </w:numPr>
        <w:rPr/>
      </w:pPr>
      <w:bookmarkStart w:id="548" w:name="__RefHeading___Toc1259714_1468164448"/>
      <w:bookmarkStart w:id="549" w:name="_Toc202"/>
      <w:bookmarkEnd w:id="547"/>
      <w:bookmarkEnd w:id="548"/>
      <w:r>
        <w:rPr>
          <w:rtl w:val="true"/>
        </w:rPr>
        <w:t>د</w:t>
      </w:r>
      <w:r>
        <w:rPr>
          <w:rtl w:val="true"/>
        </w:rPr>
        <w:t xml:space="preserve">: </w:t>
      </w:r>
      <w:r>
        <w:rPr>
          <w:rtl w:val="true"/>
        </w:rPr>
        <w:t>ودیعه</w:t>
      </w:r>
      <w:bookmarkEnd w:id="5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ودیعه در لغت و اصطلاح</w:t>
      </w:r>
    </w:p>
    <w:p>
      <w:pPr>
        <w:pStyle w:val="BookText"/>
        <w:rPr/>
      </w:pPr>
      <w:r>
        <w:rPr>
          <w:rFonts w:ascii="IRNazanin" w:hAnsi="IRNazanin" w:eastAsia="IRNazanin"/>
          <w:color w:val="111111"/>
          <w:sz w:val="28"/>
          <w:sz w:val="28"/>
          <w:szCs w:val="28"/>
          <w:rtl w:val="true"/>
          <w:lang w:bidi="fa-IR"/>
        </w:rPr>
        <w:t xml:space="preserve">ودیعه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مستقر نمودن، سپردن و درخواست نیابت در حفظ 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أوْدَعْتُه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را به عنوان ودیعه به او دادم و درخواست نمودم آن را محافظت نماید</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فقها با اختلاف در تعبیر آن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 عقدی است که به موجب آن مالک مال خود را به فرد امینی میسپارد و درخواست محافظت از آن را دارد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مرحوم آیت الله خویی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 از عقود جایزه میباشد و نتیجه آن درخواست حفظ مال از شخص امین است</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 عقدی است که به موجب آن یک نفر مال خود را به دیگری میسپارد برای آن‌که آن را مجاناً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فقهی و حقوقی ودیعه در زمره امانات مالکانه است، زیرا مالک به اختیار و در نتیجه پیمانی که با دیگری میبندد، مال خویش را به او میسپارد تا از آن نگاهداری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ودیعه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منظور حفظ مال انجام میشود، یعنی مالک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نایب خود قرار میدهد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ودیعه در این است که در سایر قراردادها، نیابتی که داده میشود به منظور انجام سایر تصرفات است، چنان‌که در عقد اجاره مقصود اصلی طرفین، تملیک منافع به مستأجر است، لیکن چون انتفاع از عین ایجاب میکند که در تصرّف مستأجر باشد، نیابت‌در حفظ مال نیز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قواعد عمومی مربوط به امانت و رابطه امین با مالک و مسئولیت‌های ناشی از این رابطه در ودیعه مطرح میشود و آن را امانت به معنی خاص نامیده‌اند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به هر صورت عقد ودیعه دارای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مودّع یا امانت‌گذار، یعنی کسی که مال خود را به دیگری میسپارد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امین و یا امانت‌دار، یعنی کسی که مال طرف را برای نگهداری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صحّت ودیعه کودک</w:t>
      </w:r>
    </w:p>
    <w:p>
      <w:pPr>
        <w:pStyle w:val="BookText"/>
        <w:rPr/>
      </w:pPr>
      <w:r>
        <w:rPr>
          <w:rFonts w:ascii="IRNazanin" w:hAnsi="IRNazanin" w:eastAsia="IRNazanin"/>
          <w:color w:val="111111"/>
          <w:sz w:val="28"/>
          <w:sz w:val="28"/>
          <w:szCs w:val="28"/>
          <w:rtl w:val="true"/>
          <w:lang w:bidi="fa-IR"/>
        </w:rPr>
        <w:t xml:space="preserve">به اتفاق فقها شرط است دو طرف عقد ودیعه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بالغ و رشید و جایز التصرف در اموال خود باشند</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بنابراین ودیعه کودک صحیح نیست، زیرا اهلیّت تصرّف در اموال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او واجب نیست ودیعه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بعد از آن‌که مستودع، ودیعه را تحویل گرفت بر او واجب است آن را حفظ نماید</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ولی‌کودک به دلیل این‌که مکلّف نیست نمیتوان او را ملزم به حفظ ودیعه نمود، از این رو بر ودیعه او اثری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ودیعه رضایت طرفین شرط است و رضایت کودک بیاثر است، اعم از این‌که ودیعه بدهد و یا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در دادن ودیعه و قبول آن، از طرف ولی مأذون باشد، به‌گونه‌ای که حفظ ودیعه و ردّ آن، بر ولی واجب باشد و کودک فقط واسطه در اجرای عقد باشد، ودیعه وی صحیح است، بعضی از فقها به این مسأله تصریح نموده‌اند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از دیدگاه حقوق مدنی نیز چنان‌که گذشت، ودیعه عقدی است از عقود معیّنه و طرفین آن باید دارای شرایط اساسی برای صحت معامله مذکور در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ضمان در ودیعه کودک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اجماع فقها، ودیعه امانت شرعی است و گیرنده آن بدون تعدّی و تفریط ضامن نیست</w:t>
      </w:r>
      <w:r>
        <w:rPr>
          <w:rFonts w:eastAsia="IRNazanin" w:cs="IRNazanin"/>
          <w:color w:val="111111"/>
          <w:sz w:val="28"/>
          <w:szCs w:val="28"/>
          <w:rtl w:val="true"/>
          <w:lang w:bidi="fa-IR"/>
        </w:rPr>
        <w:t>.</w:t>
      </w:r>
      <w:r>
        <w:rPr>
          <w:rStyle w:val="FootnoteAnchor"/>
          <w:rtl w:val="true"/>
        </w:rPr>
        <w:footnoteReference w:id="1131"/>
      </w:r>
      <w:r>
        <w:rPr>
          <w:rFonts w:ascii="IRNazanin" w:hAnsi="IRNazanin" w:eastAsia="IRNazanin"/>
          <w:color w:val="111111"/>
          <w:sz w:val="28"/>
          <w:sz w:val="28"/>
          <w:szCs w:val="28"/>
          <w:rtl w:val="true"/>
          <w:lang w:bidi="fa-IR"/>
        </w:rPr>
        <w:t>این حکم مربوط به افراد مکلّف است و امّا اگر کودکی مالی را در نزد بالغی به</w:t>
      </w:r>
    </w:p>
    <w:p>
      <w:pPr>
        <w:pStyle w:val="BookText"/>
        <w:rPr/>
      </w:pPr>
      <w:r>
        <w:rPr>
          <w:rFonts w:ascii="IRNazanin" w:hAnsi="IRNazanin" w:eastAsia="IRNazanin"/>
          <w:color w:val="111111"/>
          <w:sz w:val="28"/>
          <w:sz w:val="28"/>
          <w:szCs w:val="28"/>
          <w:rtl w:val="true"/>
          <w:lang w:bidi="fa-IR"/>
        </w:rPr>
        <w:t>ودیعه گذارد، جایز نیست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 در هر صورت ضامن است، خواه افراط یا تفریط نموده باشد یا خیر، البته واجب است آن را به ولی کودک تحویل دهد این حکم مورد توافق فقها است</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دلیل بر وجوب ردّ ودیعه به ولی کودک روایت معروفی است از پیغمبر اکرم صلی الله علیه و آله میباشد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چیزی را از دیگری گرفته واجب است آن را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tl w:val="true"/>
        </w:rPr>
        <w:footnoteReference w:id="1133"/>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تُؤدیه</w:t>
      </w:r>
      <w:r>
        <w:rPr>
          <w:rFonts w:eastAsia="Amiri" w:cs="Amiri" w:ascii="Amiri" w:hAnsi="Amiri"/>
          <w:color w:val="111111"/>
          <w:sz w:val="28"/>
          <w:szCs w:val="28"/>
          <w:rtl w:val="true"/>
          <w:lang w:bidi="ar-SA"/>
        </w:rPr>
        <w:t>»</w:t>
      </w:r>
      <w:r>
        <w:rPr>
          <w:rStyle w:val="FootnoteAnchor"/>
          <w:rtl w:val="true"/>
        </w:rPr>
        <w:footnoteReference w:id="1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کودک اهلیّت اذن دادن را ندارد، در این صورت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گیرنده 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اذن شرعی آن را تحویل گرفته و ضامن است</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آن‌چه ذکر شد، مربوط به موردی است که خوف تلف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مکلف بترسد از این‌که آن‌چه در اختیار کودک است، تلف گردد و به این جهت آن را از او بگیرد، ضامن نیست، البتّه واجب است آن را به ولی کودک برساند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امام خمینی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مکلّف نگران باشد از این‌که مال در دست کودک تلف میشود و به جهت حفظ آن به عنوان وظیفه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وی بگیرد، منعی ندارد و در این جهت أخذ او به عنوان ودیعه و امانت مالکی محسوب نمیشود بلکه امانت شرعی است و واجب است آن را حفظ نموده به مالک آن برساند یا به او اعلام نماید که در نزد اوست و اگر تلف شود ضامن نیست</w:t>
      </w:r>
      <w:r>
        <w:rPr>
          <w:rFonts w:eastAsia="IRNazanin" w:cs="IRNazanin"/>
          <w:color w:val="111111"/>
          <w:sz w:val="28"/>
          <w:szCs w:val="28"/>
          <w:rtl w:val="true"/>
          <w:lang w:bidi="fa-IR"/>
        </w:rPr>
        <w:t>.</w:t>
      </w:r>
      <w:r>
        <w:rPr>
          <w:rStyle w:val="FootnoteAnchor"/>
          <w:rtl w:val="true"/>
        </w:rPr>
        <w:footnoteReference w:id="113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عدم ضمان در این مورد بدین جهت است که او به عنوان حسبه و وظیفه شرعی اقدام نموده و محسن محسوب میشود و به فرموده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احسان کننده مسئولیتی نیست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ضمان کودک در تلف ودیعه</w:t>
      </w:r>
    </w:p>
    <w:p>
      <w:pPr>
        <w:pStyle w:val="BookText"/>
        <w:rPr/>
      </w:pPr>
      <w:r>
        <w:rPr>
          <w:rFonts w:ascii="IRNazanin" w:hAnsi="IRNazanin" w:eastAsia="IRNazanin"/>
          <w:color w:val="111111"/>
          <w:sz w:val="28"/>
          <w:sz w:val="28"/>
          <w:szCs w:val="28"/>
          <w:rtl w:val="true"/>
          <w:lang w:bidi="fa-IR"/>
        </w:rPr>
        <w:t xml:space="preserve">چنان‌که ذکر شد در مودع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شرط است، حال اگر مکلّف مال خود را در نزد کودک به ودیعه گذارد و تلف شود کودک ضامن نیست، هر چند در حفظ آن کوتاهی و تفریط نموده باشد، ولی وی نیز ضامن نمیباشد، ظاهراً این حکم مورد توافق فقها است</w:t>
      </w:r>
      <w:r>
        <w:rPr>
          <w:rStyle w:val="FootnoteAnchor"/>
          <w:rtl w:val="true"/>
        </w:rPr>
        <w:footnoteReference w:id="1139"/>
      </w:r>
      <w:r>
        <w:rPr>
          <w:rFonts w:ascii="IRNazanin" w:hAnsi="IRNazanin" w:eastAsia="IRNazanin"/>
          <w:color w:val="111111"/>
          <w:sz w:val="28"/>
          <w:sz w:val="28"/>
          <w:szCs w:val="28"/>
          <w:rtl w:val="true"/>
          <w:lang w:bidi="fa-IR"/>
        </w:rPr>
        <w:t>، زیرا صاحب مال با ودیعه گذاشتن در نزد کودک در حقیقت مال خویش را تلف نموده وکسی که حفظ مال و ادای امانت بر او واجب نیست را بر مال خود مسلّط نموده است</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اما این پرسش مطرح است، اگر کودک آن را اتلاف نماید، آیا ضامن است یا خیر؟ در این باره چند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مشهور فقها که قوی هم به نظر میرسد، ضمان کودک در صورت اتلاف است،</w:t>
      </w:r>
      <w:r>
        <w:rPr>
          <w:rStyle w:val="FootnoteAnchor"/>
          <w:rtl w:val="true"/>
        </w:rPr>
        <w:footnoteReference w:id="1141"/>
      </w:r>
      <w:r>
        <w:rPr>
          <w:rFonts w:ascii="IRNazanin" w:hAnsi="IRNazanin" w:eastAsia="IRNazanin"/>
          <w:color w:val="111111"/>
          <w:sz w:val="28"/>
          <w:sz w:val="28"/>
          <w:szCs w:val="28"/>
          <w:rtl w:val="true"/>
          <w:lang w:bidi="fa-IR"/>
        </w:rPr>
        <w:t>زیرا اتلاف مال دیگری در صورتی که بدون اذن صاحب مال صورت پذیرد، موجب ضمان است، خواه اتلاف کننده کودک باشد یا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اتلاف سبب ضمان است وسبب حکم وضعی است که مشترک بین صغیر و کبیر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میباشد، زیرا ودیعه دهنده خود کودک را بر مال خویش مسلّط ساخته و سبب اتلاف شده است</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به اعتقاد این دسته از فقها در این صورت کودک که مباشر در اتلاف است، ضعیف‌تر از مالک که سبب آن بوده میباشد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کودک ممیّز و غیر ممیّز تفصیل داده و فقط کودک ممیّز را ضامن میداند</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ولی چنان‌که بعضی از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اتلاف به‌طور مطلق سبب ضمان است و در این حکم بین مکلّف و غیر مکلّف و کودک ممیّز و غیر ممیّز فرقی نیست</w:t>
      </w:r>
      <w:r>
        <w:rPr>
          <w:rFonts w:eastAsia="IRNazanin" w:cs="IRNazanin"/>
          <w:color w:val="111111"/>
          <w:sz w:val="28"/>
          <w:szCs w:val="28"/>
          <w:rtl w:val="true"/>
          <w:lang w:bidi="fa-IR"/>
        </w:rPr>
        <w:t>».</w:t>
      </w:r>
      <w:r>
        <w:rPr>
          <w:rStyle w:val="FootnoteAnchor"/>
          <w:rtl w:val="true"/>
        </w:rPr>
        <w:footnoteReference w:id="1144"/>
      </w:r>
      <w:bookmarkStart w:id="550" w:name="pg13713_164547"/>
    </w:p>
    <w:p>
      <w:pPr>
        <w:pStyle w:val="Heading4"/>
        <w:numPr>
          <w:ilvl w:val="3"/>
          <w:numId w:val="1"/>
        </w:numPr>
        <w:rPr/>
      </w:pPr>
      <w:bookmarkStart w:id="551" w:name="__RefHeading___Toc1259716_1468164448"/>
      <w:bookmarkStart w:id="552" w:name="_Toc203"/>
      <w:bookmarkEnd w:id="550"/>
      <w:bookmarkEnd w:id="551"/>
      <w:r>
        <w:rPr>
          <w:rtl w:val="true"/>
        </w:rPr>
        <w:t xml:space="preserve">ه </w:t>
      </w:r>
      <w:r>
        <w:rPr>
          <w:rtl w:val="true"/>
        </w:rPr>
        <w:t xml:space="preserve">-: </w:t>
      </w:r>
      <w:r>
        <w:rPr>
          <w:rtl w:val="true"/>
        </w:rPr>
        <w:t>عاریه</w:t>
      </w:r>
      <w:bookmarkEnd w:id="5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عاریه در لغت و اصطلاح</w:t>
      </w:r>
    </w:p>
    <w:p>
      <w:pPr>
        <w:pStyle w:val="BookText"/>
        <w:rPr/>
      </w:pP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 یا تخفیف آن</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 xml:space="preserve">به گفته بعضی از لغویّین اسم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عنوان امانت از دیگری طلب کردن</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 xml:space="preserve">بعضی دیگر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به معنی عیب و ننگ است، چون عاریه خواستن ننگ و عار دارد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عاریه در اصطلاح فقها عقدی است که به موجب آن مالک مال معیّن، به عاریه گیرنده اجازه میدهد که از عین مال او منتفع گردد</w:t>
      </w:r>
      <w:r>
        <w:rPr>
          <w:rFonts w:eastAsia="IRNazanin" w:cs="IRNazanin"/>
          <w:color w:val="111111"/>
          <w:sz w:val="28"/>
          <w:szCs w:val="28"/>
          <w:rtl w:val="true"/>
          <w:lang w:bidi="fa-IR"/>
        </w:rPr>
        <w:t>.</w:t>
      </w:r>
      <w:r>
        <w:rPr>
          <w:rStyle w:val="FootnoteAnchor"/>
          <w:rtl w:val="true"/>
        </w:rPr>
        <w:footnoteReference w:id="1148"/>
      </w:r>
      <w:r>
        <w:rPr>
          <w:rFonts w:ascii="IRNazanin" w:hAnsi="IRNazanin" w:eastAsia="IRNazanin"/>
          <w:color w:val="111111"/>
          <w:sz w:val="28"/>
          <w:sz w:val="28"/>
          <w:szCs w:val="28"/>
          <w:rtl w:val="true"/>
          <w:lang w:bidi="fa-IR"/>
        </w:rPr>
        <w:t xml:space="preserve">تعریف ودیعه در ماده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نزدیک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صاحب‌نظران در حقوق مدنی آن را این‌گونه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عاریه عقدی است جایز که مالک منافع مال معیّن به دیگری اذن بهره‌برداری مجانی از آن مال را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منافع</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ارکان عاریه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معیر یا عاریه دهنده، یعنی کسی که مال خود را به دیگری میدهد تا از آن منتفع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مستعیر یا عاریه گیرنده، یعنی کسی که مال دیگری را میگیرد تا از آن انتفاع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مستعاره و آن هر مالی است که انتفاع از آن با وجود بقای عین شرعاً صحیح است</w:t>
      </w:r>
      <w:r>
        <w:rPr>
          <w:rFonts w:eastAsia="IRNazanin" w:cs="IRNazanin"/>
          <w:color w:val="111111"/>
          <w:sz w:val="28"/>
          <w:szCs w:val="28"/>
          <w:rtl w:val="true"/>
          <w:lang w:bidi="fa-IR"/>
        </w:rPr>
        <w:t>.</w:t>
      </w:r>
      <w:r>
        <w:rPr>
          <w:rStyle w:val="FootnoteAnchor"/>
          <w:rtl w:val="true"/>
        </w:rPr>
        <w:footnoteReference w:id="115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عاریه از عقود جایز میباشد و در نزد مستعیر امانت است و اگر بدون تعدّی و تفریط تلف شده ضامن نیست</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صحت عاریه کودک</w:t>
      </w:r>
    </w:p>
    <w:p>
      <w:pPr>
        <w:pStyle w:val="BookText"/>
        <w:rPr/>
      </w:pPr>
      <w:r>
        <w:rPr>
          <w:rFonts w:ascii="IRNazanin" w:hAnsi="IRNazanin" w:eastAsia="IRNazanin"/>
          <w:color w:val="111111"/>
          <w:sz w:val="28"/>
          <w:sz w:val="28"/>
          <w:szCs w:val="28"/>
          <w:rtl w:val="true"/>
          <w:lang w:bidi="fa-IR"/>
        </w:rPr>
        <w:t>برای عاریه و ارکان آن شرایطی ذکر شده، از جمله این‌که لازم است معیر و متسعیر عاقل، بالغ و جایز التصرّف در اموال خویش باشند، بدین جهت، کودک به دلیل فقدان اوصاف مزبور نمیتواند، معیر یا مستعیر قرار گیرد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آن‌چه ذکر شد مربوط به موردی است که کودک به طور مستقل تصمیم بگیرد، امّا اگر با اذن ولی و با رعایت مصلحت به انجام ودیعه اقدام نماید، طبق دیدگاه مشهور فقها عاریه وی صحیح است، اعم از این‌که مال خود را عاریه دهد یا از مالک در جهت عاریه دادن مال نیابت کند و یا مالی را عاریه بگیرد،</w:t>
      </w:r>
      <w:r>
        <w:rPr>
          <w:rStyle w:val="FootnoteAnchor"/>
          <w:rtl w:val="true"/>
        </w:rPr>
        <w:footnoteReference w:id="1153"/>
      </w:r>
      <w:r>
        <w:rPr>
          <w:rFonts w:ascii="IRNazanin" w:hAnsi="IRNazanin" w:eastAsia="IRNazanin"/>
          <w:color w:val="111111"/>
          <w:sz w:val="28"/>
          <w:sz w:val="28"/>
          <w:szCs w:val="28"/>
          <w:rtl w:val="true"/>
          <w:lang w:bidi="fa-IR"/>
        </w:rPr>
        <w:t>زیرا اذن ولی شرعی در تحقق عقد ودیعه کافی است و به چیز دیگری نیاز نیست</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به عبارت دیگر، چون عاریه از عقود جایز میباشد، در تحقق آن نیاز به لفظ نیست، بلکه با هر چیزی که دلالت بر رضایت معیر داشته باشد ایجاد میشود و چون معیر، ولی است اذن دادن به کودک به منزله ایجاب برای عقد ودیعه میباشد، بنابراین آن‌چه معتبر است اذن ولی شرعی است نه گفتار کودک، به همین جهت برخی از فقها معتقدند در این مسأله فرقی بین کودک ممیّز و غیر ممیّز نیست</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 xml:space="preserve">در توضیح این دیدگاه و نقد و بررسی آن و نیز تفاوت آن با خرید و فروش توسط کودک،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احکام الاطفال</w:t>
      </w:r>
      <w:r>
        <w:rPr>
          <w:rFonts w:eastAsia="IRNazanin" w:cs="IRNazanin"/>
          <w:color w:val="111111"/>
          <w:sz w:val="28"/>
          <w:szCs w:val="28"/>
          <w:rtl w:val="true"/>
          <w:lang w:bidi="fa-IR"/>
        </w:rPr>
        <w:t>»</w:t>
      </w:r>
      <w:r>
        <w:rPr>
          <w:rStyle w:val="FootnoteAnchor"/>
          <w:rtl w:val="true"/>
        </w:rPr>
        <w:footnoteReference w:id="1156"/>
      </w:r>
      <w:r>
        <w:rPr>
          <w:rFonts w:ascii="IRNazanin" w:hAnsi="IRNazanin" w:eastAsia="IRNazanin"/>
          <w:color w:val="111111"/>
          <w:sz w:val="28"/>
          <w:sz w:val="28"/>
          <w:szCs w:val="28"/>
          <w:rtl w:val="true"/>
          <w:lang w:bidi="fa-IR"/>
        </w:rPr>
        <w:t>مطالبی آمده برای مطالعه بیشتر به آن مراجعه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عاریه کودک در حقوق مدنی</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طرفین معامله باید دارای اهلیّت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بلوغ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هرگاه یکی از آن دو اهلیّت نداشته باشند، عقد عاریه باطل است، مثلاً هرگاه معیر اهلیّت نداشته باشد و</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مستعیر جاهل به آن بوده باشد، مال در دست عاریه گیرنده امانت قانونی است و باید به ولی یا قیّم محجور که اداره امور او را عهده‌دار است، مسترد دارد و هرگاه استیفای منافع نموده اجرت‌المثل آن را بپردازد و در صورتی که آن را رد نکند در حکم غاصب است و مسئول تلف و عیب و نقصی که در آن حاصل میشود خواهد بود و نسبت به مدّتی که آن را در تصرّف نموده باید اجرة‌المثل بپردازد، اگر چه استیفای منفعت نکرده باشد و در صورتی که مستعیر عالم به عدم اهلیّت معیر باشد و مال را به عنوان عاریه از او تحویل بگیرد، غاصب محسوب میگردد، زیرا محجور حق تصرّف در مال خود را ندارد</w:t>
      </w:r>
      <w:r>
        <w:rPr>
          <w:rFonts w:eastAsia="IRNazanin" w:cs="IRNazanin"/>
          <w:color w:val="111111"/>
          <w:sz w:val="28"/>
          <w:szCs w:val="28"/>
          <w:rtl w:val="true"/>
          <w:lang w:bidi="fa-IR"/>
        </w:rPr>
        <w:t>.</w:t>
      </w:r>
      <w:r>
        <w:rPr>
          <w:rStyle w:val="FootnoteAnchor"/>
          <w:rtl w:val="true"/>
        </w:rPr>
        <w:footnoteReference w:id="1157"/>
      </w:r>
      <w:bookmarkStart w:id="553" w:name="pg13713_164550"/>
    </w:p>
    <w:p>
      <w:pPr>
        <w:pStyle w:val="Heading3"/>
        <w:numPr>
          <w:ilvl w:val="2"/>
          <w:numId w:val="1"/>
        </w:numPr>
        <w:rPr/>
      </w:pPr>
      <w:bookmarkStart w:id="554" w:name="__RefHeading___Toc1259718_1468164448"/>
      <w:bookmarkStart w:id="555" w:name="_Toc204"/>
      <w:bookmarkEnd w:id="553"/>
      <w:bookmarkEnd w:id="554"/>
      <w:r>
        <w:rPr>
          <w:rtl w:val="true"/>
        </w:rPr>
        <w:t>گفتار پنجم</w:t>
      </w:r>
      <w:r>
        <w:rPr>
          <w:rtl w:val="true"/>
        </w:rPr>
        <w:t xml:space="preserve">: </w:t>
      </w:r>
      <w:r>
        <w:rPr>
          <w:rtl w:val="true"/>
        </w:rPr>
        <w:t>وکالت، وقف، هبه، صدقه، اجاره و اقرار</w:t>
      </w:r>
      <w:bookmarkEnd w:id="555"/>
    </w:p>
    <w:p>
      <w:pPr>
        <w:pStyle w:val="Heading4"/>
        <w:numPr>
          <w:ilvl w:val="3"/>
          <w:numId w:val="1"/>
        </w:numPr>
        <w:rPr/>
      </w:pPr>
      <w:bookmarkStart w:id="556" w:name="__RefHeading___Toc1259720_1468164448"/>
      <w:bookmarkStart w:id="557" w:name="_Toc205"/>
      <w:bookmarkEnd w:id="556"/>
      <w:r>
        <w:rPr>
          <w:rtl w:val="true"/>
        </w:rPr>
        <w:t>الف</w:t>
      </w:r>
      <w:r>
        <w:rPr>
          <w:rtl w:val="true"/>
        </w:rPr>
        <w:t xml:space="preserve">: </w:t>
      </w:r>
      <w:r>
        <w:rPr>
          <w:rtl w:val="true"/>
        </w:rPr>
        <w:t>وکالت</w:t>
      </w:r>
      <w:bookmarkEnd w:id="5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وکالت در لغت و اصطلاح</w:t>
      </w:r>
    </w:p>
    <w:p>
      <w:pPr>
        <w:pStyle w:val="BookText"/>
        <w:rPr/>
      </w:pP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باکسر و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نیز اسم از توکیل و مشتق از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تفویض کردن، واگذار نمودن میباشد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فقها امامیه با اختلاف در تعبیر آن را این‌گونه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عقدی است جایز که به موجب آن فردی دیگری را برای انجام امری در زمان حیات خود نایب قرار میدهد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هم‌چنین قانون مدنی در ماده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را نزدیک به همین مفهوم تعریف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وکالت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موکّل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وکالت، یعنی چیزی که برای انجام آن موکّل، وکیل را نایب خود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نمودن کودک</w:t>
      </w:r>
    </w:p>
    <w:p>
      <w:pPr>
        <w:pStyle w:val="BookText"/>
        <w:rPr/>
      </w:pPr>
      <w:r>
        <w:rPr>
          <w:rFonts w:ascii="IRNazanin" w:hAnsi="IRNazanin" w:eastAsia="IRNazanin"/>
          <w:color w:val="111111"/>
          <w:sz w:val="28"/>
          <w:sz w:val="28"/>
          <w:szCs w:val="28"/>
          <w:rtl w:val="true"/>
          <w:lang w:bidi="fa-IR"/>
        </w:rPr>
        <w:t>بیتردید کودک غیر ممیّز نمیتواند وکالت نماید، ولی در مورد کودک ممیّز چند نظر مطرح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بلوغ و عقل را از شرایط وکیل دانسته و به همین جهت وکالت کودک را صحیح نمیدانند، هر چند ممیّز و نزدیک به بلوغ باشد</w:t>
      </w:r>
      <w:r>
        <w:rPr>
          <w:rFonts w:eastAsia="IRNazanin" w:cs="IRNazanin"/>
          <w:color w:val="111111"/>
          <w:sz w:val="28"/>
          <w:szCs w:val="28"/>
          <w:rtl w:val="true"/>
          <w:lang w:bidi="fa-IR"/>
        </w:rPr>
        <w:t>.</w:t>
      </w:r>
      <w:r>
        <w:rPr>
          <w:rStyle w:val="FootnoteAnchor"/>
          <w:rtl w:val="true"/>
        </w:rPr>
        <w:footnoteReference w:id="1160"/>
      </w:r>
      <w:r>
        <w:rPr>
          <w:rFonts w:ascii="IRNazanin" w:hAnsi="IRNazanin" w:eastAsia="IRNazanin"/>
          <w:color w:val="111111"/>
          <w:sz w:val="28"/>
          <w:sz w:val="28"/>
          <w:szCs w:val="28"/>
          <w:rtl w:val="true"/>
          <w:lang w:bidi="fa-IR"/>
        </w:rPr>
        <w:t>ادلّه‌ای که برای اثبات</w:t>
      </w:r>
    </w:p>
    <w:p>
      <w:pPr>
        <w:pStyle w:val="BookText"/>
        <w:rPr/>
      </w:pPr>
      <w:r>
        <w:rPr>
          <w:rFonts w:ascii="IRNazanin" w:hAnsi="IRNazanin" w:eastAsia="IRNazanin"/>
          <w:color w:val="111111"/>
          <w:sz w:val="28"/>
          <w:sz w:val="28"/>
          <w:szCs w:val="28"/>
          <w:rtl w:val="true"/>
          <w:lang w:bidi="fa-IR"/>
        </w:rPr>
        <w:t>این نظر به آن استناد شده همان است که در مسأله عدم صحت بیع کودک به طور مطلق گذشت و به آن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دیگر وکالت کودک در صورتی که از طرف ولی، مأذون باشد را صحیح میدانند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یکی از اعلام فقها معاصر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 کودک از دیگری وکالت نماید، موکّل ولی باشد یا غیر او، هرچند مأذون از طرف ولی نباشد و انجام امر مورد وکالت را خود به تنهایی و به طور مستقل انجام دهد تا چه رسد به این‌که ولی به او اذن دهد و یا فقط وکیل باشد در اجرای صیغه</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دلیل این حکم عمومات و اطلاقات ادلّه وکالت است، زیرا هیچ دلیلی مبنی بر این‌که آن ادلّه مقید به بلوغ شده باشد یا لزوم شرط بلوغ آن‌ها را تخصیص زده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هیچ دلیلی وجود ندارد که وکالت اختصاص به مکلّفین داشته باشد، بنابراین‌به مقتضای اصل باید تصرّف کودک در مال دیگری به وکالت از طرف او جایز باشد</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البته چنان‌که پیش‌تر گذشت در این موارد احتیاط این است که باید کودک از طرف ولی، مأذون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 قائل به تفصیل شده و گفته‌اند که فقط وکالت کودک ده ساله در وجوه برّیه و انجام کارهای نیک صحیح است</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مستند این نظر بعضی از روایات است که در عنوان بعدی ذکر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 گرفتن کودک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 موکّل در موردی می‌تواند وکیل بگیرد که حق تصرّف داشته باشد، خواه به عنوان ملک خود و خواه به جهت حق مولّی علیه، مثل پدر و جدّ پدری که حق</w:t>
      </w:r>
    </w:p>
    <w:p>
      <w:pPr>
        <w:pStyle w:val="BookText"/>
        <w:rPr/>
      </w:pPr>
      <w:r>
        <w:rPr>
          <w:rFonts w:ascii="IRNazanin" w:hAnsi="IRNazanin" w:eastAsia="IRNazanin"/>
          <w:color w:val="111111"/>
          <w:sz w:val="28"/>
          <w:sz w:val="28"/>
          <w:szCs w:val="28"/>
          <w:rtl w:val="true"/>
          <w:lang w:bidi="fa-IR"/>
        </w:rPr>
        <w:t>دارند در اموال کودکان صغیر تصرّف داشته باشد، زیرا وکیل حق تصرّف در متعلق وکالت را از موکّل میگیرد و از ناحیه او مالک تصرّف میگردد، بنابراین کسی که قادر بر تصرّف نیست و حق آن را ندارد، نمیتواند به دیگری تملیک نماید، بر این اساس کودک غیر ممیّز نمیتواند دیگری را وکیل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کودک ممیّز چند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معتقدند صحیح نیست</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اینان بلوغ را در موکّل شرط میدانند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وکیل گرفتن کودک ممیّز را در صورتی که با اذن ولی انجام شود صحیح میدانند</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مستند این دیدگاه عموم و اطلاقات ادلّه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سوم معتقد است کودک ممیّز چنان‌چه به سن ده سالگی رسیده باشد، دراموری که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خیر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وکیل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از جمع‌بندی نظریات برخی از فقها در مسائل مربوط به صدقه، هبه و بخشش، وصیّت و وکالت به دست میآید</w:t>
      </w:r>
      <w:r>
        <w:rPr>
          <w:rFonts w:eastAsia="IRNazanin" w:cs="IRNazanin"/>
          <w:color w:val="111111"/>
          <w:sz w:val="28"/>
          <w:szCs w:val="28"/>
          <w:rtl w:val="true"/>
          <w:lang w:bidi="fa-IR"/>
        </w:rPr>
        <w:t>.</w:t>
      </w:r>
      <w:r>
        <w:rPr>
          <w:rStyle w:val="FootnoteAnchor"/>
          <w:rtl w:val="true"/>
        </w:rPr>
        <w:footnoteReference w:id="116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دیدگاه، بعضی از روایات است، مانند این که در حدیث موثّق،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ده ساله شد جایز است در اموال خود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صدقه دهد یا در امور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وصیّت نماید، این امور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إِذاأَتَی عَلَی الغُلامِ عَشرُ سِنِینَ فَاِنَّهُ یَجُوزُ لَهُ فِی‌مَالِهِ مَااعتَقَ أوْ تَصَدَّقَ أوْ أوصَی عَلی حَدِ مَعرُوفٍ و حَقٍّ فَهُوَ جَائِزٌ</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به این استدلال چنین ایراد شده که مفاد روایات جواز تصرّف کودک در مال خود در خصوص صدقه، وصیّت به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بین وکیل گرفتن کودک و جواز تصرّف در این امور ملازمه نیست، بنابراین باید حکم به عدم صحّت شود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وکالت کودک در حقوق مدنی</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وکالت یکی از عقود معیّن است و باید دارای شرایط اساسی مذکور در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باشد، بنابراین طرفین عقد باید دارای اهلیّت برای معامله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اهلیتی که قانون برای طرفین معامله لازم میداند از دو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تحقق قصد انشا که ماده اصلی و تشکیل دهنده عقد است، ازاین رو، طرفین عقد باید عاقل و بالغ، باشند، زیرا عقد بدون اراده حقیقی و انشایی، محقق نمیگردد و کسی که بالغ و عاقل نباشد نمیتواند اراده لازم را ابرازنماید، بدین جهت قانون، عبارت و قصد انشا صغیر غیر ممیّز و مجنون را مفید ندانسته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جواز تصرّف در امور مالی، از این نظر هیچ یک از مجنون و صغیر، اعم از ممیّز وغیر ممیّز و هم‌چنین سفیه نمیتواند در امور مالی خود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مال خود را به دیگری تملیک کند یا تعهّدی به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مورد آن مال باشد یا عمل، زیرا تصرّفات آنان مصون از تضییع و تفریط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وکیل نمیتواند شخصی مجنون و صغیر غیر ممیّز باشد، زیرا قصد انشا آنان در قبول عقد وکالت اعتبار قانونی ندارد، ولی صغیر ممیّز و سفیه میتوانند در کلیه امور مالی و غیر مالی از طرف دیگری وکیل باشند، زیرا آن‌چه برای آنها ممنوع است تصرّف در اموال خودشان است، نه تصرّف در اموال دیگران با اجازه مالکین آنها، مگر آن‌که غیر مستقیم برای آنان ایجاد تعهّد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ماده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محجوریت موکّل موجب بطلان وکالت میشود، مگر در اموری که حجر مانع از توکیل در آنها نمیباشد و هم‌چنین است محجوریت وکیل، مگر در مواردی که حجر مانع از اقدام در آنها نباشد</w:t>
      </w:r>
      <w:r>
        <w:rPr>
          <w:rFonts w:eastAsia="IRNazanin" w:cs="IRNazanin"/>
          <w:color w:val="111111"/>
          <w:sz w:val="28"/>
          <w:szCs w:val="28"/>
          <w:rtl w:val="true"/>
          <w:lang w:bidi="fa-IR"/>
        </w:rPr>
        <w:t>».</w:t>
      </w:r>
      <w:r>
        <w:rPr>
          <w:rStyle w:val="FootnoteAnchor"/>
          <w:rtl w:val="true"/>
        </w:rPr>
        <w:footnoteReference w:id="1172"/>
      </w:r>
      <w:bookmarkStart w:id="558" w:name="pg13713_164554"/>
    </w:p>
    <w:p>
      <w:pPr>
        <w:pStyle w:val="Heading4"/>
        <w:numPr>
          <w:ilvl w:val="3"/>
          <w:numId w:val="1"/>
        </w:numPr>
        <w:rPr/>
      </w:pPr>
      <w:bookmarkStart w:id="559" w:name="__RefHeading___Toc1259722_1468164448"/>
      <w:bookmarkStart w:id="560" w:name="_Toc206"/>
      <w:bookmarkEnd w:id="558"/>
      <w:bookmarkEnd w:id="559"/>
      <w:r>
        <w:rPr>
          <w:rtl w:val="true"/>
        </w:rPr>
        <w:t>ب</w:t>
      </w:r>
      <w:r>
        <w:rPr>
          <w:rtl w:val="true"/>
        </w:rPr>
        <w:t xml:space="preserve">: </w:t>
      </w:r>
      <w:r>
        <w:rPr>
          <w:rtl w:val="true"/>
        </w:rPr>
        <w:t>وقف</w:t>
      </w:r>
      <w:bookmarkEnd w:id="5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وقف در لغت و اصطلاح</w:t>
      </w:r>
    </w:p>
    <w:p>
      <w:pPr>
        <w:pStyle w:val="BookText"/>
        <w:rPr/>
      </w:pPr>
      <w:r>
        <w:rPr>
          <w:rFonts w:ascii="IRNazanin" w:hAnsi="IRNazanin" w:eastAsia="IRNazanin"/>
          <w:color w:val="111111"/>
          <w:sz w:val="28"/>
          <w:sz w:val="28"/>
          <w:szCs w:val="28"/>
          <w:rtl w:val="true"/>
          <w:lang w:bidi="fa-IR"/>
        </w:rPr>
        <w:t>وقف در لغت به معنی نگاه داشتن و حبس است</w:t>
      </w:r>
      <w:r>
        <w:rPr>
          <w:rFonts w:eastAsia="IRNazanin" w:cs="IRNazanin"/>
          <w:color w:val="111111"/>
          <w:sz w:val="28"/>
          <w:szCs w:val="28"/>
          <w:rtl w:val="true"/>
          <w:lang w:bidi="fa-IR"/>
        </w:rPr>
        <w:t>.</w:t>
      </w:r>
      <w:r>
        <w:rPr>
          <w:rStyle w:val="FootnoteAnchor"/>
          <w:rtl w:val="true"/>
        </w:rPr>
        <w:footnoteReference w:id="1173"/>
      </w:r>
      <w:r>
        <w:rPr>
          <w:rFonts w:ascii="IRNazanin" w:hAnsi="IRNazanin" w:eastAsia="IRNazanin"/>
          <w:color w:val="111111"/>
          <w:sz w:val="28"/>
          <w:sz w:val="28"/>
          <w:szCs w:val="28"/>
          <w:rtl w:val="true"/>
          <w:lang w:bidi="fa-IR"/>
        </w:rPr>
        <w:t>فقها با اندکی اختلاف در تعبیر آن را این‌گونه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عقدی است که به موجب آن عین مال حبس و منافع آن تسبیل میگردد</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مقصود از حبس نمودن عین مال، نگاه داشتن آن و منع از نقل و انتقال و هم‌چنین از تصرّفاتی است که موجب تلف عین گردد، زیرا منظور از وقف انتفاع همیشگی موقوف علیهم از مال موقوفه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تسبیل منافع، واگذاری منافع در راه خداوند و ائمه اطهار علیهم السلام و امور خیریه اجتماعی است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قانون مدنی نیز در ماده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این‌گونه تعریف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عبارت است ازاین که عین مال، حبس ومنافع آن، تسبیل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وقف در آیات و روایات ثواب بسیار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عمل انسان منقطع و هیچ چیز که بتواند از آن بهره‌مند باشد برای او باقی نمیماند مگر سه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و آن‌چه را که در زمان حیاتش وقف نموده بعد از مرگ باقی است و از آن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روش نیکی که از خود به یادگار گذاشته است، بعد از مرگ از ثواب آن منتفع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نیکوکار که برای او دعا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یَتبَعُ الرَّجُلَ بَعدَ مَوتِهِ مِنَ الْأجْرِ الاّ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اجرَاهَا فِی‌حَیاتِهِ فَهِیَ تَجْرِی بَعْدَ مَوتِهِ، و سُنَّةُ هُدی سَنَّها فَهِیَ یُعمَلُ بِهَا بَعد مَوتِهِ،</w:t>
      </w:r>
    </w:p>
    <w:p>
      <w:pPr>
        <w:pStyle w:val="BookText"/>
        <w:rPr/>
      </w:pPr>
      <w:r>
        <w:rPr>
          <w:rFonts w:ascii="Amiri" w:hAnsi="Amiri" w:eastAsia="Amiri" w:cs="Amiri"/>
          <w:color w:val="111111"/>
          <w:sz w:val="28"/>
          <w:sz w:val="28"/>
          <w:szCs w:val="28"/>
          <w:rtl w:val="true"/>
          <w:lang w:bidi="ar-SA"/>
        </w:rPr>
        <w:t>أوْوَلَدُصَالِحٌ یَدْعُو لَهُ</w:t>
      </w:r>
      <w:r>
        <w:rPr>
          <w:rFonts w:eastAsia="Amiri" w:cs="Amiri" w:ascii="Amiri" w:hAnsi="Amiri"/>
          <w:color w:val="111111"/>
          <w:sz w:val="28"/>
          <w:szCs w:val="28"/>
          <w:rtl w:val="true"/>
          <w:lang w:bidi="ar-SA"/>
        </w:rPr>
        <w:t>».</w:t>
      </w:r>
      <w:r>
        <w:rPr>
          <w:rStyle w:val="FootnoteAnchor"/>
          <w:rtl w:val="true"/>
        </w:rPr>
        <w:footnoteReference w:id="1176"/>
      </w:r>
      <w:r>
        <w:rPr>
          <w:rFonts w:ascii="IRNazanin" w:hAnsi="IRNazanin" w:eastAsia="IRNazanin"/>
          <w:color w:val="111111"/>
          <w:sz w:val="28"/>
          <w:sz w:val="28"/>
          <w:szCs w:val="28"/>
          <w:rtl w:val="true"/>
          <w:lang w:bidi="fa-IR"/>
        </w:rPr>
        <w:t>به‌همین مضمون روایات دیگری نیز نقل شده است</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مقصود از صدقه جاریه وقف است</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کودک</w:t>
      </w:r>
    </w:p>
    <w:p>
      <w:pPr>
        <w:pStyle w:val="BookText"/>
        <w:rPr/>
      </w:pPr>
      <w:r>
        <w:rPr>
          <w:rFonts w:ascii="IRNazanin" w:hAnsi="IRNazanin" w:eastAsia="IRNazanin"/>
          <w:color w:val="111111"/>
          <w:sz w:val="28"/>
          <w:sz w:val="28"/>
          <w:szCs w:val="28"/>
          <w:rtl w:val="true"/>
          <w:lang w:bidi="fa-IR"/>
        </w:rPr>
        <w:t>به اتفاق فقها وقف کودک غیر ممیّز صحیح نیست</w:t>
      </w:r>
      <w:r>
        <w:rPr>
          <w:rFonts w:eastAsia="IRNazanin" w:cs="IRNazanin"/>
          <w:color w:val="111111"/>
          <w:sz w:val="28"/>
          <w:szCs w:val="28"/>
          <w:rtl w:val="true"/>
          <w:lang w:bidi="fa-IR"/>
        </w:rPr>
        <w:t>.</w:t>
      </w:r>
      <w:r>
        <w:rPr>
          <w:rStyle w:val="FootnoteAnchor"/>
          <w:rtl w:val="true"/>
        </w:rPr>
        <w:footnoteReference w:id="1179"/>
      </w:r>
      <w:r>
        <w:rPr>
          <w:rFonts w:ascii="IRNazanin" w:hAnsi="IRNazanin" w:eastAsia="IRNazanin"/>
          <w:color w:val="111111"/>
          <w:sz w:val="28"/>
          <w:sz w:val="28"/>
          <w:szCs w:val="28"/>
          <w:rtl w:val="true"/>
          <w:lang w:bidi="fa-IR"/>
        </w:rPr>
        <w:t>لیکن نسبت به کودک ممیّز چند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وقف کودک به طور مطلق صحیح نیست</w:t>
      </w:r>
      <w:r>
        <w:rPr>
          <w:rFonts w:eastAsia="IRNazanin" w:cs="IRNazanin"/>
          <w:color w:val="111111"/>
          <w:sz w:val="28"/>
          <w:szCs w:val="28"/>
          <w:rtl w:val="true"/>
          <w:lang w:bidi="fa-IR"/>
        </w:rPr>
        <w:t>.</w:t>
      </w:r>
      <w:r>
        <w:rPr>
          <w:rStyle w:val="FootnoteAnchor"/>
          <w:rtl w:val="true"/>
        </w:rPr>
        <w:footnoteReference w:id="1180"/>
      </w:r>
      <w:r>
        <w:rPr>
          <w:rFonts w:ascii="IRNazanin" w:hAnsi="IRNazanin" w:eastAsia="IRNazanin"/>
          <w:color w:val="111111"/>
          <w:sz w:val="28"/>
          <w:sz w:val="28"/>
          <w:szCs w:val="28"/>
          <w:rtl w:val="true"/>
          <w:lang w:bidi="fa-IR"/>
        </w:rPr>
        <w:t>امام خمینی قدس سره دراین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واقف بلوغ، عقل، اختیار و عدم حجر شرط است، بنابراین اقوی عدم صحت وقف کودک است، هرچند ده ساله باشد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آیت الله فاضل لنکرانی قدس سره نیز همین نظر را پذیرفته است</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 xml:space="preserve">به اعتقاد این دسته از فقها کودک از تصرّف در اموال خود منع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دلیلی مبنی بر جواز وقف توسط وی صادر نشده است</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فقیهان که غالباً از متقدمین میباشند، اعتقاد دارند وقف کودک ده ساله چنان‌چه در جهت کار نیک و معروف و پسندیده باشد، صحیح است</w:t>
      </w:r>
      <w:r>
        <w:rPr>
          <w:rFonts w:eastAsia="IRNazanin" w:cs="IRNazanin"/>
          <w:color w:val="111111"/>
          <w:sz w:val="28"/>
          <w:szCs w:val="28"/>
          <w:rtl w:val="true"/>
          <w:lang w:bidi="fa-IR"/>
        </w:rPr>
        <w:t>.</w:t>
      </w:r>
      <w:r>
        <w:rPr>
          <w:rStyle w:val="FootnoteAnchor"/>
          <w:rtl w:val="true"/>
        </w:rPr>
        <w:footnoteReference w:id="1184"/>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دیدگاه بعضی از روایات است، مانند روایت زراره، او از امام باقر علیه السلام نقل‌میکند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که به سن ده سالگی رسیده باشد، جایز است از مال‌خود صدقه بدهد یا به اندازه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کارهای 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 و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اتَی عَلَی الغُلامِ عَشرُ سِنینَ فَأِنَّهُ یَجُوزُ لَهُ فِی مَالِهِ مَا اعتَقَ أوْ تَصَدَّقَ أوْ أوْصَی عَلَی حَدِّ مَعرُوفٍ وَ حَقٍّ فَهُوَ جَائِزٌ</w:t>
      </w:r>
      <w:r>
        <w:rPr>
          <w:rFonts w:eastAsia="IRNazanin" w:cs="IRNazanin"/>
          <w:color w:val="111111"/>
          <w:sz w:val="28"/>
          <w:szCs w:val="28"/>
          <w:rtl w:val="true"/>
          <w:lang w:bidi="fa-IR"/>
        </w:rPr>
        <w:t>».</w:t>
      </w:r>
      <w:r>
        <w:rPr>
          <w:rStyle w:val="FootnoteAnchor"/>
          <w:rtl w:val="true"/>
        </w:rPr>
        <w:footnoteReference w:id="1185"/>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با این تقریب که ادعا شود اطلاق و عموم صدقه در این روایات شامل وقف نیز میگردد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مؤید این برداشت روایات دیگری است که بر وقف اطلاق صدقه شده است، مانند این که مولا امیرالمؤمنین علیه السلام چاهی را که به دست مبارک خود حفر نموده بود و در آن آب زیادی فوران داشت، بر حجّاج بیت الله الحرام و کسانی که از آن طریق عبور مینمودند وقف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صَدَقهٌ بَتّاً بَتّلأ فِی حَجِیجِ بَیْتِ اللهِ و عَابِر سَبِیلِهِ</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که مشهور فقها آن را پذیرفته‌اند این است که کودک ده ساله صحیح است وصیّت به وقف نماید</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دلیل این دیدگاه روایاتی است که پیش‌تر ذکر شد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آیت الله فاضل لنکرانی قدس سره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ادلّه صحت وصیّت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روایات مزبور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وصیّت به وقف نیز میباشد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چهارم هم معتقد است اگر وقف کودک با اذن ولی و رعایت مصلحت همراه باشد، صحیح است</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ادلّه ای که بر جواز تصرّفات کودک با اذن ولی دلالت داشت این مسأله 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کودک در حقوق مدنی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شرایط صحت عقد وقف را به طور کامل بیان ننموده ولی معلوم است که باید عقد مزبور مانند عقود دیگر دارای شرایط اساسی صحّت معامله که در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w:t>
      </w:r>
      <w:bookmarkStart w:id="561" w:name="pg13713_164557"/>
    </w:p>
    <w:p>
      <w:pPr>
        <w:pStyle w:val="BookText"/>
        <w:rPr/>
      </w:pPr>
      <w:bookmarkEnd w:id="561"/>
      <w:r>
        <w:rPr>
          <w:rFonts w:ascii="IRNazanin" w:hAnsi="IRNazanin" w:eastAsia="IRNazanin"/>
          <w:color w:val="111111"/>
          <w:sz w:val="28"/>
          <w:sz w:val="28"/>
          <w:szCs w:val="28"/>
          <w:rtl w:val="true"/>
          <w:lang w:bidi="fa-IR"/>
        </w:rPr>
        <w:t>مزبور بیان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روشن است، زیرا قانون مدنی به پیروی از نظر مشهور فقهای امامیّه وقف را مطلقا، خواه وقف عام باشد یا وقف خاص، عقد دانسته و محتاج به قبول میداند، از این رو در ماده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 باید مالک مالی باشد که وقف میکند و به علاوه دارای اهلیتی باشد که در معاملات معتبر است</w:t>
      </w:r>
      <w:r>
        <w:rPr>
          <w:rFonts w:eastAsia="IRNazanin" w:cs="IRNazanin"/>
          <w:color w:val="111111"/>
          <w:sz w:val="28"/>
          <w:szCs w:val="28"/>
          <w:rtl w:val="true"/>
          <w:lang w:bidi="fa-IR"/>
        </w:rPr>
        <w:t>».</w:t>
      </w:r>
    </w:p>
    <w:p>
      <w:pPr>
        <w:pStyle w:val="Heading4"/>
        <w:numPr>
          <w:ilvl w:val="3"/>
          <w:numId w:val="1"/>
        </w:numPr>
        <w:rPr/>
      </w:pPr>
      <w:bookmarkStart w:id="562" w:name="__RefHeading___Toc1259724_1468164448"/>
      <w:bookmarkStart w:id="563" w:name="_Toc207"/>
      <w:bookmarkEnd w:id="562"/>
      <w:r>
        <w:rPr>
          <w:rtl w:val="true"/>
        </w:rPr>
        <w:t>ج</w:t>
      </w:r>
      <w:r>
        <w:rPr>
          <w:rtl w:val="true"/>
        </w:rPr>
        <w:t xml:space="preserve">: </w:t>
      </w:r>
      <w:r>
        <w:rPr>
          <w:rtl w:val="true"/>
        </w:rPr>
        <w:t>هبه</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هبه در لغت و اصطلاح</w:t>
      </w:r>
    </w:p>
    <w:p>
      <w:pPr>
        <w:pStyle w:val="BookText"/>
        <w:rPr/>
      </w:pPr>
      <w:r>
        <w:rPr>
          <w:rFonts w:ascii="Amiri" w:hAnsi="Amiri" w:eastAsia="Amiri" w:cs="Amiri"/>
          <w:color w:val="111111"/>
          <w:sz w:val="28"/>
          <w:sz w:val="28"/>
          <w:szCs w:val="28"/>
          <w:rtl w:val="true"/>
          <w:lang w:bidi="ar-SA"/>
        </w:rPr>
        <w:t xml:space="preserve">هبه در لغت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یهَبُ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معنی بخشش و تملیک بلاعوض است</w:t>
      </w:r>
      <w:r>
        <w:rPr>
          <w:rStyle w:val="FootnoteAnchor"/>
          <w:rtl w:val="true"/>
        </w:rPr>
        <w:footnoteReference w:id="1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فقهی آن را به بخشش و تملیک مجانی و بلاعوض تعریف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عقدی است که به مقتضای آن فردی عین مال خود را رایگان به طور منجّز و بدون این که قصد قربت داشته باشد به دیگری تملیک مینماید</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برخی از فقها نیز نزدیک به همین مضمون میباشد</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که هبه در اصطلاح فقهای امامیه در دو معنی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به معنای عام و مقصود از آن تملیک مال بدون عوض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در معنی مزبور مترادف با کلمه عطیه است و شامل هدیه، جایزه، نحله، صدقه و وقف میباشد</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به معنی خاص و آن عقدی است که به موجب آن یک نفر مالی را به دیگری به طور رایگانً تملیک میکند</w:t>
      </w:r>
      <w:r>
        <w:rPr>
          <w:rFonts w:eastAsia="IRNazanin" w:cs="IRNazanin"/>
          <w:color w:val="111111"/>
          <w:sz w:val="28"/>
          <w:szCs w:val="28"/>
          <w:rtl w:val="true"/>
          <w:lang w:bidi="fa-IR"/>
        </w:rPr>
        <w:t>.</w:t>
      </w:r>
      <w:r>
        <w:rPr>
          <w:rStyle w:val="FootnoteAnchor"/>
          <w:rtl w:val="true"/>
        </w:rPr>
        <w:footnoteReference w:id="1198"/>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هبه را همین‌گونه تعریف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تملیک کننده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دیگر که به او بخشش میشود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مالی را که مورد هبه قرار میگیرد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موهوبه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 کودک</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کودک ممیّز میتواند واهب باشد و مال خود را به دیگری ببخشد؟ دراین باره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1199"/>
      </w:r>
      <w:r>
        <w:rPr>
          <w:rFonts w:ascii="IRNazanin" w:hAnsi="IRNazanin" w:eastAsia="IRNazanin"/>
          <w:color w:val="111111"/>
          <w:sz w:val="28"/>
          <w:sz w:val="28"/>
          <w:szCs w:val="28"/>
          <w:rtl w:val="true"/>
          <w:lang w:bidi="fa-IR"/>
        </w:rPr>
        <w:t>و برخی دیگر از فقها آن 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آنان در این دیدگاه روایتی</w:t>
      </w:r>
      <w:r>
        <w:rPr>
          <w:rStyle w:val="FootnoteAnchor"/>
          <w:rtl w:val="true"/>
        </w:rPr>
        <w:footnoteReference w:id="1200"/>
      </w:r>
      <w:r>
        <w:rPr>
          <w:rFonts w:ascii="IRNazanin" w:hAnsi="IRNazanin" w:eastAsia="IRNazanin"/>
          <w:color w:val="111111"/>
          <w:sz w:val="28"/>
          <w:sz w:val="28"/>
          <w:szCs w:val="28"/>
          <w:rtl w:val="true"/>
          <w:lang w:bidi="fa-IR"/>
        </w:rPr>
        <w:t>است که پیش‌تر ذکر شد، بنابراین که واژه صدقه، هبه را نیز شامل میگردد، ولی ظاهراً چنین دلالتی ندارد، زیرا هبه اعم از صدقه میباشد و نمیتوان اعم را با اخص ثابت نمود</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که مشهور فقها</w:t>
      </w:r>
      <w:r>
        <w:rPr>
          <w:rStyle w:val="FootnoteAnchor"/>
          <w:rtl w:val="true"/>
        </w:rPr>
        <w:footnoteReference w:id="1202"/>
      </w:r>
      <w:r>
        <w:rPr>
          <w:rFonts w:ascii="IRNazanin" w:hAnsi="IRNazanin" w:eastAsia="IRNazanin"/>
          <w:color w:val="111111"/>
          <w:sz w:val="28"/>
          <w:sz w:val="28"/>
          <w:szCs w:val="28"/>
          <w:rtl w:val="true"/>
          <w:lang w:bidi="fa-IR"/>
        </w:rPr>
        <w:t>آن را پذیرفته‌اند، عدم صحّت است، زیرا در واهب‌بلوغ شرط است و باید اهلیّت در تصرّف نسبت به اموال خود را داشته باشد وکودک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که آیا کودک ممیّز میتواند موهوب له قرار گیرد و هبه را قبول نماید، دو نظر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1203"/>
      </w:r>
      <w:r>
        <w:rPr>
          <w:rFonts w:ascii="IRNazanin" w:hAnsi="IRNazanin" w:eastAsia="IRNazanin"/>
          <w:color w:val="111111"/>
          <w:sz w:val="28"/>
          <w:sz w:val="28"/>
          <w:szCs w:val="28"/>
          <w:rtl w:val="true"/>
          <w:lang w:bidi="fa-IR"/>
        </w:rPr>
        <w:t>و برخی دیگر آن را جایز میدانند و بعضی همانند هبه کودک آن را جایز ندانسته‌اند،</w:t>
      </w:r>
      <w:r>
        <w:rPr>
          <w:rStyle w:val="FootnoteAnchor"/>
          <w:rtl w:val="true"/>
        </w:rPr>
        <w:footnoteReference w:id="1204"/>
      </w:r>
      <w:r>
        <w:rPr>
          <w:rFonts w:ascii="IRNazanin" w:hAnsi="IRNazanin" w:eastAsia="IRNazanin"/>
          <w:color w:val="111111"/>
          <w:sz w:val="28"/>
          <w:sz w:val="28"/>
          <w:szCs w:val="28"/>
          <w:rtl w:val="true"/>
          <w:lang w:bidi="fa-IR"/>
        </w:rPr>
        <w:t>زیرا کلام کودک بیاثر است، بنابراین نمیتواند حتی برای خود قبول هبه نماید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اثبات بیتأثیر بودن کلام کودک ممیّز در موردی که به نفع خود اقدام مینماید و فعل او موجب ضرر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قبول هبه غیر 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ادلّه‌ای که دلالت بر محجوریت کودک و منع وی از تصرّف در اموال خود و دیگران دارد استفاده میشود، تشریع این حکم به این جهت است که تصرّفات کودک موجب ضرر بر 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موردی که در بر دارنده ضرر نیست، مثل قبول هبه غیر معوّض شامل آن ادلّه نمیگردد و دست کم تردید پیدا میشود که آیا قبول هبه توسط کودک مشمول ادلّه منع تصرفات وی قرار میگیرد یا خیر، و اصل عدم آن است، در نتیجه حکم به جواز قبول هبه غیر معوّض توسط کودک میشود</w:t>
      </w:r>
      <w:r>
        <w:rPr>
          <w:rFonts w:eastAsia="IRNazanin" w:cs="IRNazanin"/>
          <w:color w:val="111111"/>
          <w:sz w:val="28"/>
          <w:szCs w:val="28"/>
          <w:rtl w:val="true"/>
          <w:lang w:bidi="fa-IR"/>
        </w:rPr>
        <w:t>.</w:t>
      </w:r>
      <w:bookmarkStart w:id="564" w:name="pg13713_164559"/>
    </w:p>
    <w:p>
      <w:pPr>
        <w:pStyle w:val="BookText"/>
        <w:rPr/>
      </w:pPr>
      <w:bookmarkEnd w:id="564"/>
      <w:r>
        <w:rPr>
          <w:rFonts w:ascii="IRNazanin" w:hAnsi="IRNazanin" w:eastAsia="IRNazanin"/>
          <w:color w:val="111111"/>
          <w:sz w:val="28"/>
          <w:sz w:val="28"/>
          <w:szCs w:val="28"/>
          <w:rtl w:val="true"/>
          <w:lang w:bidi="fa-IR"/>
        </w:rPr>
        <w:t>آن‌چه گفته شد مربوط به موردی است که کودک به طور مستقل و بدون اذن ولی، هبه را قبول کند، اما اگر با اذن انجام شود بر طبق این نظر که تصرّفات کودک با اذن ولی‌صحیح است، قبول هبه وی نیز صحیح میباشد و ادلّه‌ای که برای صحت بیع کودک بااذن ولی اقامه شد، این مدعی را نیز اثبات مینماید، چنان‌که برخی از فقها به این مسأله‌تصریح نموده‌اند</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هبه کودک در حقوق مدنی</w:t>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واهب باید برای معامله و تصرّف در مال خود اهلیت داشته باشد، هم‌چنین متهب که هبه را قبول مینماید، باید عبارات و قصد او دارای اعتبار قانونی باشد، بنابراین صغیر غیر ممیّز و مجنون نمیتواند متهب قرار گیرد، لیکن صغیر ممیّز و سفیه میتوانند قصد انشا بنمایند و عبارات و الفاظ آان دارای اعتبار قانونی میباشد و از طرفی چون در هبه غیر معوّض هیچ گونه تصرفی متّهب در اموال خود نمینماید، طبق صریح ماده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صغیر ممیّز و سفیه میتوانند قبول هبه بلاعوض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در هبه شرط عوض شود و متهب در مقابل هبه تملیک مالی را بنماید و یا تعهد به دادن مالی داشته باشد، چون در قبول، تصرّف در اموال خود مینماید، از این رو باید بالغ و رشید باشد، بدین جهت صغیر ممیّز و سفیه نمیتوانند قبول هبه معوّض بنمایند</w:t>
      </w:r>
      <w:r>
        <w:rPr>
          <w:rFonts w:eastAsia="IRNazanin" w:cs="IRNazanin"/>
          <w:color w:val="111111"/>
          <w:sz w:val="28"/>
          <w:szCs w:val="28"/>
          <w:rtl w:val="true"/>
          <w:lang w:bidi="fa-IR"/>
        </w:rPr>
        <w:t>.</w:t>
      </w:r>
      <w:r>
        <w:rPr>
          <w:rStyle w:val="FootnoteAnchor"/>
          <w:rtl w:val="true"/>
        </w:rPr>
        <w:footnoteReference w:id="1206"/>
      </w:r>
    </w:p>
    <w:p>
      <w:pPr>
        <w:pStyle w:val="Heading4"/>
        <w:numPr>
          <w:ilvl w:val="3"/>
          <w:numId w:val="1"/>
        </w:numPr>
        <w:rPr/>
      </w:pPr>
      <w:bookmarkStart w:id="565" w:name="__RefHeading___Toc1259726_1468164448"/>
      <w:bookmarkStart w:id="566" w:name="_Toc208"/>
      <w:bookmarkEnd w:id="565"/>
      <w:r>
        <w:rPr>
          <w:rtl w:val="true"/>
        </w:rPr>
        <w:t>د</w:t>
      </w:r>
      <w:r>
        <w:rPr>
          <w:rtl w:val="true"/>
        </w:rPr>
        <w:t xml:space="preserve">: </w:t>
      </w:r>
      <w:r>
        <w:rPr>
          <w:rtl w:val="true"/>
        </w:rPr>
        <w:t>صدقه</w:t>
      </w:r>
      <w:bookmarkEnd w:id="5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صدقه و اهمیّت آموزش انجام آن به کودک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در لغت به معنی بخشیدن چیزی به کسی در راه خدا</w:t>
      </w:r>
      <w:r>
        <w:rPr>
          <w:rStyle w:val="FootnoteAnchor"/>
          <w:rtl w:val="true"/>
        </w:rPr>
        <w:footnoteReference w:id="120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آن چیزی است که در راه خدا به فقرا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اعْطَیْتَهُ فِی ذَاتِ الله لِلْفُقَراء</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فقها این کلمه را اغلب در صدقات مستحبی</w:t>
      </w:r>
    </w:p>
    <w:p>
      <w:pPr>
        <w:pStyle w:val="BookText"/>
        <w:rPr/>
      </w:pPr>
      <w:r>
        <w:rPr>
          <w:rFonts w:ascii="IRNazanin" w:hAnsi="IRNazanin" w:eastAsia="IRNazanin"/>
          <w:color w:val="111111"/>
          <w:sz w:val="28"/>
          <w:sz w:val="28"/>
          <w:szCs w:val="28"/>
          <w:rtl w:val="true"/>
          <w:lang w:bidi="fa-IR"/>
        </w:rPr>
        <w:t>به کار میبرند، هرچند در بعضی موارد برای هر کار خیر و نیک از این لفظ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معروف از پیغمبراکرم صلی الله علیه و 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 صدقه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مَعرُوفٍ صَدَقَهٌ</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صدقه دارای انواعی</w:t>
      </w:r>
    </w:p>
    <w:p>
      <w:pPr>
        <w:pStyle w:val="BookText"/>
        <w:rPr/>
      </w:pPr>
      <w:r>
        <w:rPr>
          <w:rStyle w:val="FootnoteAnchor"/>
          <w:rtl w:val="true"/>
        </w:rPr>
        <w:footnoteReference w:id="1210"/>
      </w:r>
      <w:r>
        <w:rPr>
          <w:rFonts w:ascii="IRNazanin" w:hAnsi="IRNazanin" w:eastAsia="IRNazanin"/>
          <w:color w:val="111111"/>
          <w:sz w:val="28"/>
          <w:sz w:val="28"/>
          <w:szCs w:val="28"/>
          <w:rtl w:val="true"/>
          <w:lang w:bidi="fa-IR"/>
        </w:rPr>
        <w:t>است، امّا در این قسمت، مقصود صدقه مستحبی است که در آیات و روایات نسبت به‌آن بسیار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شما را نماینده خود قرار داده انفاق کنید، زیرا کسانی که از شما ایمان بیاورند و انفاق کنند اجر بزرگی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بِاللّهِ وَ رَسُولِهِ وَ أَنْفِقُوا مِمّا جَعَلَکُمْ مُسْتَخْلَفِینَ فِیهِ فَالَّذِینَ آمَنُوا مِنْکُمْ وَ أَنْفَقُوا لَهُمْ أَجْرٌ کَبِیرٌ</w:t>
      </w:r>
      <w:r>
        <w:rPr>
          <w:rFonts w:eastAsia="IRNazanin" w:cs="IRNazanin"/>
          <w:color w:val="111111"/>
          <w:sz w:val="28"/>
          <w:szCs w:val="28"/>
          <w:rtl w:val="true"/>
          <w:lang w:bidi="fa-IR"/>
        </w:rPr>
        <w:t>) .</w:t>
      </w:r>
      <w:r>
        <w:rPr>
          <w:rStyle w:val="FootnoteAnchor"/>
          <w:rtl w:val="true"/>
        </w:rPr>
        <w:footnoteReference w:id="1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فرموده است، صدقه از مرگ نا به هنگام و بد جلوگیری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تَدْفَعُ مَیْتَهَ السَّوءِ</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مریض‌های خود را با دادن صدقه مداوا نمایید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از امام رضا علیه السلام نیز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دستور دهید تا صدقه را هر چند یک نصف نان یا کمتر از آن و یا چیزی هرچند اندک باشد، خودشان بپردازند، چون صدقه اندک اگر با نیّت خیر انجام شود،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آیه شریفه قرآن استدلال نموده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حدیث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پرداخت صدقه کمّیت اهمیّت ندارد و فرزندانتان را به صدقه دادن، هر چند در حدّ یک تکّه نان باشد، تشویق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داستانی را از قول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از بنیاسرائیل گفته شد، فرزندت</w:t>
      </w:r>
    </w:p>
    <w:p>
      <w:pPr>
        <w:pStyle w:val="BookText"/>
        <w:rPr/>
      </w:pPr>
      <w:r>
        <w:rPr>
          <w:rFonts w:ascii="IRNazanin" w:hAnsi="IRNazanin" w:eastAsia="IRNazanin"/>
          <w:color w:val="111111"/>
          <w:sz w:val="28"/>
          <w:sz w:val="28"/>
          <w:szCs w:val="28"/>
          <w:rtl w:val="true"/>
          <w:lang w:bidi="fa-IR"/>
        </w:rPr>
        <w:t>امشب از دنیا میرود، ولی برخلاف این خبر روز بعد فرزند خود را زنده دید، از فرزند خود علّت را جویا شد و این که آیا دیشب چه کار نیکی انجام دادی؟ فرزند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درِ خانه ما آمد و من او را غذا دادم،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عمل مرگ از تو دفع شد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صدقه کودک</w:t>
      </w:r>
    </w:p>
    <w:p>
      <w:pPr>
        <w:pStyle w:val="BookText"/>
        <w:rPr/>
      </w:pPr>
      <w:r>
        <w:rPr>
          <w:rFonts w:ascii="IRNazanin" w:hAnsi="IRNazanin" w:eastAsia="IRNazanin"/>
          <w:color w:val="111111"/>
          <w:sz w:val="28"/>
          <w:sz w:val="28"/>
          <w:szCs w:val="28"/>
          <w:rtl w:val="true"/>
          <w:lang w:bidi="fa-IR"/>
        </w:rPr>
        <w:t>آیا از نظر شرع صحیح است کودک ممیّز از اموال خود صدقه دهد؟ در این باره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قائل به عدم صحت آن میباشند</w:t>
      </w:r>
      <w:r>
        <w:rPr>
          <w:rFonts w:eastAsia="IRNazanin" w:cs="IRNazanin"/>
          <w:color w:val="111111"/>
          <w:sz w:val="28"/>
          <w:szCs w:val="28"/>
          <w:rtl w:val="true"/>
          <w:lang w:bidi="fa-IR"/>
        </w:rPr>
        <w:t>.</w:t>
      </w:r>
      <w:r>
        <w:rPr>
          <w:rStyle w:val="FootnoteAnchor"/>
          <w:rtl w:val="true"/>
        </w:rPr>
        <w:footnoteReference w:id="1215"/>
      </w:r>
      <w:r>
        <w:rPr>
          <w:rFonts w:ascii="IRNazanin" w:hAnsi="IRNazanin" w:eastAsia="IRNazanin"/>
          <w:color w:val="111111"/>
          <w:sz w:val="28"/>
          <w:sz w:val="28"/>
          <w:szCs w:val="28"/>
          <w:rtl w:val="true"/>
          <w:lang w:bidi="fa-IR"/>
        </w:rPr>
        <w:t>مرحوم آیت الله فاضل لنکرانی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کودکی که به سن ده سالگی رسیده است، صدقه او مطلقاً صحیح نیست، هرچند وصیّت او را در این موقعیّت سِنّی صحیح بدانیم، زیرا بین جواز وصیّت وی و صدقه دادن او ملازمه نیست و قیاس نمودن وصیّت به صدقه باطل است</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ادلّه‌ای که برای اثبات این دیدگاه اقامه شده، همان است که برای عدم صحت بیع‌کودک به طور مطلق، به آن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ایراد بر آن وارد است که باوجود روایات متعدّدی که در خصوص صحّت صدقه کودک وارد شده آن ادلّه تخصیص میخورد</w:t>
      </w:r>
      <w:r>
        <w:rPr>
          <w:rFonts w:eastAsia="IRNazanin" w:cs="IRNazanin"/>
          <w:color w:val="111111"/>
          <w:sz w:val="28"/>
          <w:szCs w:val="28"/>
          <w:rtl w:val="true"/>
          <w:lang w:bidi="fa-IR"/>
        </w:rPr>
        <w:t>.</w:t>
      </w:r>
      <w:r>
        <w:rPr>
          <w:rStyle w:val="FootnoteAnchor"/>
          <w:rtl w:val="true"/>
        </w:rPr>
        <w:footnoteReference w:id="121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که در میان فقها مشهور است و قوی نیز به نظر میرسد، این است که صدقه مستحبی از کودک ممیّز که به سن ده سالگی رسیده باشد، به شرط اینکه در کارهای خیر باشد و با توجه به ضوابط و شرایط اخلاقی و انسانی صورت پذیرد، صحیح است، چنان‌که بسیاری از بزرگان فقها متقدمین</w:t>
      </w:r>
      <w:r>
        <w:rPr>
          <w:rStyle w:val="FootnoteAnchor"/>
          <w:rtl w:val="true"/>
        </w:rPr>
        <w:footnoteReference w:id="1218"/>
      </w:r>
      <w:r>
        <w:rPr>
          <w:rFonts w:ascii="IRNazanin" w:hAnsi="IRNazanin" w:eastAsia="IRNazanin"/>
          <w:color w:val="111111"/>
          <w:sz w:val="28"/>
          <w:sz w:val="28"/>
          <w:szCs w:val="28"/>
          <w:rtl w:val="true"/>
          <w:lang w:bidi="fa-IR"/>
        </w:rPr>
        <w:t>و بعد از آنها</w:t>
      </w:r>
      <w:r>
        <w:rPr>
          <w:rStyle w:val="FootnoteAnchor"/>
          <w:rtl w:val="true"/>
        </w:rPr>
        <w:footnoteReference w:id="1219"/>
      </w:r>
      <w:r>
        <w:rPr>
          <w:rFonts w:ascii="IRNazanin" w:hAnsi="IRNazanin" w:eastAsia="IRNazanin"/>
          <w:color w:val="111111"/>
          <w:sz w:val="28"/>
          <w:sz w:val="28"/>
          <w:szCs w:val="28"/>
          <w:rtl w:val="true"/>
          <w:lang w:bidi="fa-IR"/>
        </w:rPr>
        <w:t>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دیدگاه روایاتی است در حدّاستفاضه که بعضی از آنها پیش‌تر ذکر شد</w:t>
      </w:r>
      <w:r>
        <w:rPr>
          <w:rFonts w:eastAsia="IRNazanin" w:cs="IRNazanin"/>
          <w:color w:val="111111"/>
          <w:sz w:val="28"/>
          <w:szCs w:val="28"/>
          <w:rtl w:val="true"/>
          <w:lang w:bidi="fa-IR"/>
        </w:rPr>
        <w:t>.</w:t>
      </w:r>
      <w:r>
        <w:rPr>
          <w:rStyle w:val="FootnoteAnchor"/>
          <w:rtl w:val="true"/>
        </w:rPr>
        <w:footnoteReference w:id="1220"/>
      </w:r>
      <w:r>
        <w:rPr>
          <w:rFonts w:ascii="IRNazanin" w:hAnsi="IRNazanin" w:eastAsia="IRNazanin"/>
          <w:color w:val="111111"/>
          <w:sz w:val="28"/>
          <w:sz w:val="28"/>
          <w:szCs w:val="28"/>
          <w:rtl w:val="true"/>
          <w:lang w:bidi="fa-IR"/>
        </w:rPr>
        <w:t>به‌عنوان نمونه به روایات زیر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موثق محمد بن مسلم از امام باقر یا امام صادق علیهما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دارای درک و عقل باشد، جایز است صدقه دهد و نیز وصیّت نماید هرچند به حدّ بلوغ نرسیده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قَد عَقَلَ وَ صَدَقَتُهُ وَ وَصِیَّتُهُ وَ انْ لَمْ یَحْتَلِمْ</w:t>
      </w:r>
      <w:r>
        <w:rPr>
          <w:rFonts w:eastAsia="IRNazanin" w:cs="IRNazanin"/>
          <w:color w:val="111111"/>
          <w:sz w:val="28"/>
          <w:szCs w:val="28"/>
          <w:rtl w:val="true"/>
          <w:lang w:bidi="fa-IR"/>
        </w:rPr>
        <w:t>».</w:t>
      </w:r>
      <w:r>
        <w:rPr>
          <w:rStyle w:val="FootnoteAnchor"/>
        </w:rPr>
        <w:footnoteReference w:id="1221"/>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کودکی که به حدّ بلوغ نرسیده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موردی که صدقه پرداخت میشود انجام پذیرد، آری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وَضَعَها فِی مَوضِع الصَّدَقَةِ</w:t>
      </w:r>
      <w:r>
        <w:rPr>
          <w:rFonts w:eastAsia="Amiri" w:cs="Amiri" w:ascii="Amiri" w:hAnsi="Amiri"/>
          <w:color w:val="111111"/>
          <w:sz w:val="28"/>
          <w:szCs w:val="28"/>
          <w:rtl w:val="true"/>
          <w:lang w:bidi="ar-SA"/>
        </w:rPr>
        <w:t>».</w:t>
      </w:r>
      <w:r>
        <w:rPr>
          <w:rStyle w:val="FootnoteAnchor"/>
        </w:rPr>
        <w:footnoteReference w:id="1222"/>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آن حضرت وقت پرداخت صدقه کودک را سن ده سالگی معین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صَدَقَةُ الغُلامِ و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کَانَ لَهُ عَشْرُ سِنینَ</w:t>
      </w:r>
      <w:r>
        <w:rPr>
          <w:rFonts w:eastAsia="Amiri" w:cs="Amiri" w:ascii="Amiri" w:hAnsi="Amiri"/>
          <w:color w:val="111111"/>
          <w:sz w:val="28"/>
          <w:szCs w:val="28"/>
          <w:rtl w:val="true"/>
          <w:lang w:bidi="ar-SA"/>
        </w:rPr>
        <w:t>».</w:t>
      </w:r>
      <w:r>
        <w:rPr>
          <w:rStyle w:val="FootnoteAnchor"/>
          <w:rtl w:val="true"/>
        </w:rPr>
        <w:footnoteReference w:id="1223"/>
      </w:r>
      <w:r>
        <w:rPr>
          <w:rFonts w:ascii="IRNazanin" w:hAnsi="IRNazanin" w:eastAsia="IRNazanin"/>
          <w:color w:val="111111"/>
          <w:sz w:val="28"/>
          <w:sz w:val="28"/>
          <w:szCs w:val="28"/>
          <w:rtl w:val="true"/>
          <w:lang w:bidi="fa-IR"/>
        </w:rPr>
        <w:t>این گونه روایات که از نظر سند صحیح و موثق میباشند، به صراحت بر صحت صدقه مستحبی توسط کودک ممیّز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که در باب صحّت گواهی کودک،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4"/>
      </w:r>
      <w:r>
        <w:rPr>
          <w:rFonts w:ascii="IRNazanin" w:hAnsi="IRNazanin" w:eastAsia="IRNazanin"/>
          <w:color w:val="111111"/>
          <w:sz w:val="28"/>
          <w:sz w:val="28"/>
          <w:szCs w:val="28"/>
          <w:rtl w:val="true"/>
          <w:lang w:bidi="fa-IR"/>
        </w:rPr>
        <w:t>صحت وصیت</w:t>
      </w:r>
      <w:r>
        <w:rPr>
          <w:rStyle w:val="FootnoteAnchor"/>
          <w:rtl w:val="true"/>
        </w:rPr>
        <w:footnoteReference w:id="1225"/>
      </w:r>
      <w:r>
        <w:rPr>
          <w:rFonts w:ascii="IRNazanin" w:hAnsi="IRNazanin" w:eastAsia="IRNazanin"/>
          <w:color w:val="111111"/>
          <w:sz w:val="28"/>
          <w:sz w:val="28"/>
          <w:szCs w:val="28"/>
          <w:rtl w:val="true"/>
          <w:lang w:bidi="fa-IR"/>
        </w:rPr>
        <w:t>او و نیز صحت انجام طلاق</w:t>
      </w:r>
      <w:r>
        <w:rPr>
          <w:rStyle w:val="FootnoteAnchor"/>
          <w:rtl w:val="true"/>
        </w:rPr>
        <w:footnoteReference w:id="1226"/>
      </w:r>
      <w:r>
        <w:rPr>
          <w:rFonts w:ascii="IRNazanin" w:hAnsi="IRNazanin" w:eastAsia="IRNazanin"/>
          <w:color w:val="111111"/>
          <w:sz w:val="28"/>
          <w:sz w:val="28"/>
          <w:szCs w:val="28"/>
          <w:rtl w:val="true"/>
          <w:lang w:bidi="fa-IR"/>
        </w:rPr>
        <w:t>توسط وی صادر شده، مؤید این برداشت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روایات، ادلّه‌ای را که دلالت دارد فعل و عبارات کودک بیتأثیر است و کودک ممنوع از تصرّف در اموال خود میباشد، تخصیص میزند، چنان‌که بعضی از فقها به آن تصریح نموده‌اند</w:t>
      </w:r>
      <w:r>
        <w:rPr>
          <w:rFonts w:eastAsia="IRNazanin" w:cs="IRNazanin"/>
          <w:color w:val="111111"/>
          <w:sz w:val="28"/>
          <w:szCs w:val="28"/>
          <w:rtl w:val="true"/>
          <w:lang w:bidi="fa-IR"/>
        </w:rPr>
        <w:t>.</w:t>
      </w:r>
      <w:r>
        <w:rPr>
          <w:rStyle w:val="FootnoteAnchor"/>
          <w:rtl w:val="true"/>
        </w:rPr>
        <w:footnoteReference w:id="1227"/>
      </w:r>
      <w:r>
        <w:rPr>
          <w:rFonts w:ascii="IRNazanin" w:hAnsi="IRNazanin" w:eastAsia="IRNazanin"/>
          <w:color w:val="111111"/>
          <w:sz w:val="28"/>
          <w:sz w:val="28"/>
          <w:szCs w:val="28"/>
          <w:rtl w:val="true"/>
          <w:lang w:bidi="fa-IR"/>
        </w:rPr>
        <w:t>به عبارت دیگر امور ذکر شده در این روایات از عموماتی که دلالت بر منع کودک از تصرّف در اموال خویش دارد خارج میشود</w:t>
      </w:r>
      <w:r>
        <w:rPr>
          <w:rFonts w:eastAsia="IRNazanin" w:cs="IRNazanin"/>
          <w:color w:val="111111"/>
          <w:sz w:val="28"/>
          <w:szCs w:val="28"/>
          <w:rtl w:val="true"/>
          <w:lang w:bidi="fa-IR"/>
        </w:rPr>
        <w:t>.</w:t>
      </w:r>
      <w:bookmarkStart w:id="567" w:name="pg13713_164563"/>
    </w:p>
    <w:p>
      <w:pPr>
        <w:pStyle w:val="BookText"/>
        <w:rPr/>
      </w:pPr>
      <w:bookmarkEnd w:id="567"/>
      <w:r>
        <w:rPr>
          <w:rFonts w:ascii="IRNazanin" w:hAnsi="IRNazanin" w:eastAsia="IRNazanin"/>
          <w:color w:val="111111"/>
          <w:sz w:val="28"/>
          <w:sz w:val="28"/>
          <w:szCs w:val="28"/>
          <w:rtl w:val="true"/>
          <w:lang w:bidi="fa-IR"/>
        </w:rPr>
        <w:t>مرحوم شهید اول قدس سره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فتوی برخلاف روایات رسیده از اهل بیت علیهم السلام که بسیاری از بزرگان فقها بر طبق آن فتوای داده‌اند، مشکل است</w:t>
      </w:r>
      <w:r>
        <w:rPr>
          <w:rFonts w:eastAsia="IRNazanin" w:cs="IRNazanin"/>
          <w:color w:val="111111"/>
          <w:sz w:val="28"/>
          <w:szCs w:val="28"/>
          <w:rtl w:val="true"/>
          <w:lang w:bidi="fa-IR"/>
        </w:rPr>
        <w:t>».</w:t>
      </w:r>
      <w:r>
        <w:rPr>
          <w:rStyle w:val="FootnoteAnchor"/>
          <w:rtl w:val="true"/>
        </w:rPr>
        <w:footnoteReference w:id="1228"/>
      </w:r>
      <w:r>
        <w:rPr>
          <w:rFonts w:ascii="IRNazanin" w:hAnsi="IRNazanin" w:eastAsia="IRNazanin"/>
          <w:color w:val="111111"/>
          <w:sz w:val="28"/>
          <w:sz w:val="28"/>
          <w:szCs w:val="28"/>
          <w:rtl w:val="true"/>
          <w:lang w:bidi="fa-IR"/>
        </w:rPr>
        <w:t>محقق بحرانی این برداشت را بسیار نیکو و با ارزش تلقی میکند</w:t>
      </w:r>
      <w:r>
        <w:rPr>
          <w:rFonts w:eastAsia="IRNazanin" w:cs="IRNazanin"/>
          <w:color w:val="111111"/>
          <w:sz w:val="28"/>
          <w:szCs w:val="28"/>
          <w:rtl w:val="true"/>
          <w:lang w:bidi="fa-IR"/>
        </w:rPr>
        <w:t>.</w:t>
      </w:r>
      <w:r>
        <w:rPr>
          <w:rStyle w:val="FootnoteAnchor"/>
          <w:rtl w:val="true"/>
        </w:rPr>
        <w:footnoteReference w:id="1229"/>
      </w:r>
    </w:p>
    <w:p>
      <w:pPr>
        <w:pStyle w:val="Heading4"/>
        <w:numPr>
          <w:ilvl w:val="3"/>
          <w:numId w:val="1"/>
        </w:numPr>
        <w:rPr/>
      </w:pPr>
      <w:bookmarkStart w:id="568" w:name="__RefHeading___Toc1259728_1468164448"/>
      <w:bookmarkStart w:id="569" w:name="_Toc209"/>
      <w:bookmarkEnd w:id="568"/>
      <w:r>
        <w:rPr>
          <w:rtl w:val="true"/>
        </w:rPr>
        <w:t xml:space="preserve">ه </w:t>
      </w:r>
      <w:r>
        <w:rPr>
          <w:rtl w:val="true"/>
        </w:rPr>
        <w:t xml:space="preserve">-: </w:t>
      </w:r>
      <w:r>
        <w:rPr>
          <w:rtl w:val="true"/>
        </w:rPr>
        <w:t>اجاره</w:t>
      </w:r>
      <w:bookmarkEnd w:id="5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اجاره در لغت و اصطلاح</w:t>
      </w:r>
    </w:p>
    <w:p>
      <w:pPr>
        <w:pStyle w:val="BookText"/>
        <w:rPr/>
      </w:pPr>
      <w:r>
        <w:rPr>
          <w:rFonts w:ascii="IRNazanin" w:hAnsi="IRNazanin" w:eastAsia="IRNazanin"/>
          <w:color w:val="111111"/>
          <w:sz w:val="28"/>
          <w:sz w:val="28"/>
          <w:szCs w:val="28"/>
          <w:rtl w:val="true"/>
          <w:lang w:bidi="fa-IR"/>
        </w:rPr>
        <w:t xml:space="preserve">اجاره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اجرت و مزد بر عمل است</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در مورد اصطلاح آن نیز بعضی از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عقدی است که موجب میشود منافع عین در مقابل عوض معلوم در مدت معیّن منتقل شود به شرط آن که اصل ملک باقی بماند</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نزدیک به این تعریف را محقق کرکی قدس سره هم آورده است</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برخی دیگر نیز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معامله‌ای است که نتیجه آن تملیک عمل یا منفعت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عقدی است که به موجب آن مستأجر، مالک منافع عین مستأجره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اجاره عقدی است لازم و معوّض و دارای دو طرف، و نیز دو مورد میباشد که عوضین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عقد آن در اجاره اشیاء و حیوان، اجاره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و در اجاره اشخاص کسی که منافع خود را اجاره میدهد اجیر، و کسی که او را اجاره میکند، مستأجر، نامیده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اجاره یکی از مهمترین عقود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رابطه بین مالک و مستأجر تنها یک رابطه خصوصی نیست تا استقرار عدالت معاوضی در آن هدف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موجر و مستأجر همچون دو طبقه اجتماعی ممتاز در برابر هم قرار گرفته‌اند و تنظیم روابط آنان</w:t>
      </w:r>
    </w:p>
    <w:p>
      <w:pPr>
        <w:pStyle w:val="BookText"/>
        <w:rPr/>
      </w:pPr>
      <w:r>
        <w:rPr>
          <w:rFonts w:ascii="IRNazanin" w:hAnsi="IRNazanin" w:eastAsia="IRNazanin"/>
          <w:color w:val="111111"/>
          <w:sz w:val="28"/>
          <w:sz w:val="28"/>
          <w:szCs w:val="28"/>
          <w:rtl w:val="true"/>
          <w:lang w:bidi="fa-IR"/>
        </w:rPr>
        <w:t>چندان اهمیت یافته است که دولت خود را ناگزیر از دخالت در آن میبیند و ناچار است که روز به روز بر میانجیگری خود بیفزاید و گاه نیز نقش رهبر و مدیر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کنونی عقد اجاره به ویژه در مورد محل کسب و پیشه از حیث امری شدن قواعد حاکم بر آن و بیاثر بودن حاکمیت اراده در بسیاری از موارد به صورت سازمان حقوقی مستقل درآمده است، سازمانی که به وسیله قوانین اداره میشود، قالب آماده‌ای که مالک و مستأجر میتوانند به تراضی خود را درون آن جای دهند بیآن‌که بر سرنوشت آینده روابط خود حاکم باشند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مورد اجاره که موضوع عقد قرار میگیرد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مانند این که کسی خانه خود را برای شش ماه به دیگری اجاره دهد که در اصطلاح به آن خانه عین مستأجره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مثل این‌که کسی ساختمان خانه‌ای را طبق نقشه به دیگری مقاطعه میدهد، در این مورد اجاره عقدی است عهدی و اجیر متعهد میشود عمل معیّنی را برای مستأجرانجام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کودک در هر دو مورد قابل تحقیق است که در ادامه به آن‌میپردازیم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اجاره توسط کودک</w:t>
      </w:r>
    </w:p>
    <w:p>
      <w:pPr>
        <w:pStyle w:val="BookText"/>
        <w:rPr/>
      </w:pPr>
      <w:r>
        <w:rPr>
          <w:rFonts w:ascii="IRNazanin" w:hAnsi="IRNazanin" w:eastAsia="IRNazanin"/>
          <w:color w:val="111111"/>
          <w:sz w:val="28"/>
          <w:sz w:val="28"/>
          <w:szCs w:val="28"/>
          <w:rtl w:val="true"/>
          <w:lang w:bidi="fa-IR"/>
        </w:rPr>
        <w:t>به اتفاق فقها کودک غیر ممیّز نمیتواند چیزی را اجاره دهد، هرچند ولی به او اذن دهد یا بعد از اجاره اجازه دهد</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لیکن در مورد کودک ممیّز دو نظر مطرح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مشهور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اجاره کودک را به طور مطلق باطل و بیاثر میدانند</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ادلّه‌ای که برای اثبات این نظر به آن استناد شده، اغلب همان ادلّه عدم صحت بیع کودک به طور مطلق است</w:t>
      </w:r>
      <w:r>
        <w:rPr>
          <w:rStyle w:val="FootnoteAnchor"/>
          <w:rtl w:val="true"/>
        </w:rPr>
        <w:footnoteReference w:id="1237"/>
      </w:r>
      <w:r>
        <w:rPr>
          <w:rFonts w:ascii="IRNazanin" w:hAnsi="IRNazanin" w:eastAsia="IRNazanin"/>
          <w:color w:val="111111"/>
          <w:sz w:val="28"/>
          <w:sz w:val="28"/>
          <w:szCs w:val="28"/>
          <w:rtl w:val="true"/>
          <w:lang w:bidi="fa-IR"/>
        </w:rPr>
        <w:t>که پیش‌تر ذکر گردید و به آنها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دیگری که برخی از اعلام فقها معاصر آن را پذیرفته‌اند، قائل به صحت اجاره کودک است در صورتی که به مصلحت باشد و ولی اذن دهد یا به نیابت از او انجام گیرد و آن را اجازه دهد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آیت الله سید ابوالقاسم خوئی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 متصدی اجرای صیغه اجاره در مال خودش قرار گیرد به این گونه که ولی به او اذن دهد یا در مال دیگری که به وکالت از او اقدام نماید، در هیچ آیه و روایتی وارد نشده که این نحو معامله بیتأثیر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به طور مستقل به معامله اقدام نماید، مانند این‌که به وکالت از دیگری بفروشد و یا بخرد و فقط متصدی اجرای صیغه نباشد، چنان‌که سیره جاری در بین مسلمانان چنین است، چرا که در مواردی بعضی از فروشندگان کودکان زیرک و فطنی که به مسائل خرید و فروش آگاهی دارند را در غیاب خود نیابت میدهند تا به جای آنها خرید و فروش نمایند، ظاهراً بر بطلان این نوع معامله نیز دلیل قابل اعتماد و روشنی وجود ندارد، هرچند ظاهر کلمات فقها آن را باطل و بیاثر میداند</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خلاصه این‌که اگر کودک در اجاره مال خود از طرف ولی مأذون باشد، دلیلی بر منع آن وجود ندارد و عمومات و اطلاقات ادلّه صحت آن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اجیر شدن کودک</w:t>
      </w:r>
    </w:p>
    <w:p>
      <w:pPr>
        <w:pStyle w:val="BookText"/>
        <w:rPr/>
      </w:pPr>
      <w:r>
        <w:rPr>
          <w:rFonts w:ascii="IRNazanin" w:hAnsi="IRNazanin" w:eastAsia="IRNazanin"/>
          <w:color w:val="111111"/>
          <w:sz w:val="28"/>
          <w:sz w:val="28"/>
          <w:szCs w:val="28"/>
          <w:rtl w:val="true"/>
          <w:lang w:bidi="fa-IR"/>
        </w:rPr>
        <w:t>اجیر قرار گرفتن کودک ممیّز ممکن است به دو صورت انجام پذیرد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 که ولی کودک، او را برای انجام کار به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دیگر، با عقد اجاره منافع کودک را برای مدت معیّنی در مقابل عوض معلوم به دیگری واگذار مینماید، اعم از این‌که ولی پدر باشد یا جدّ پدری یا وصّی آن دو یا حاکم شرع یا امین و یا قیّم که از طرف حاکم برای اداره امور کودک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ولی کودک جایز است با رعایت مصلحت و با</w:t>
      </w:r>
    </w:p>
    <w:p>
      <w:pPr>
        <w:pStyle w:val="BookText"/>
        <w:rPr/>
      </w:pPr>
      <w:r>
        <w:rPr>
          <w:rFonts w:ascii="IRNazanin" w:hAnsi="IRNazanin" w:eastAsia="IRNazanin"/>
          <w:color w:val="111111"/>
          <w:sz w:val="28"/>
          <w:sz w:val="28"/>
          <w:szCs w:val="28"/>
          <w:rtl w:val="true"/>
          <w:lang w:bidi="fa-IR"/>
        </w:rPr>
        <w:t>در نظر گرفتن شرایط لازم، کودک را اجیر قرار دهد، البته توضیح بیش‌تر در مورد این مسأله در گفتار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موردی که کودک خود را اجیر قرار دهد، که خود به دو صورت تقسیم‌میشود، زیرا کودک گاهی خود مستقلاً بدون اذن ولی، اجیر میشود و گاهی با اذن و اجازه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بدون اذن ولی برای انجام کاری اجیر شود که به اتفاق فقهاصحیح نیست، همان گونه که تصرّف و دخالت او در اموال خویش به طور مستقل صحیح نیست، چون منافع و عمل به منزله اموال است و تملیک منافع از نظر عرفی تصرّف در اموال محسوب میشود که کودک نسبت به آن محجور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به این حکم تصریح نموده‌اند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کودک با اذن و اجازه ولی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درعبارات فقها عنوان نشده است، لیکن از مطالبی که در مورد مشابه آن ذکر نموده‌اند ودر عناوین گذشته مانند خرید و فروش، رهن، مضاربه، مزارعه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حکم آن‌استفاده میگردد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ولی کودک گاهی به عنوان کلّی و متعلق به نوع تصرّفات کودک است به صورتی که کودک بعد از اذن به طور مستقل عمل نماید، به مقتضای ادلّه فقهی، تصرّفات کودک بدین صورت تجویز نشده و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بسا اذن ولی به صورت خاص در مورد اجاره یا عقود دیگر صادر میشود به گونه‌ای که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به ولی نسبت داده میشود و کودک واسطه بین طرفین عقد میباشد، در صورت دوم اجیر شدن کودک با اذن ولی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همین صورت نیز بعد از آن‌که کودک اجرت دریافت کرد، حق ندارد به صورت مستقل در آن تصرّف نماید، بلکه باید با اذن ولی و با نظر او مصرف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اجاره توسط کودک در حقوق مدنی</w:t>
      </w:r>
    </w:p>
    <w:p>
      <w:pPr>
        <w:pStyle w:val="BookText"/>
        <w:rPr/>
      </w:pPr>
      <w:r>
        <w:rPr>
          <w:rFonts w:ascii="IRNazanin" w:hAnsi="IRNazanin" w:eastAsia="IRNazanin"/>
          <w:color w:val="111111"/>
          <w:sz w:val="28"/>
          <w:sz w:val="28"/>
          <w:szCs w:val="28"/>
          <w:rtl w:val="true"/>
          <w:lang w:bidi="fa-IR"/>
        </w:rPr>
        <w:t xml:space="preserve">اجاره مانند بیع یکی از عقود معیّن است و باید دارای شرایط اساسی معامله که قانون مدنی در ماده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طرفین عقد باید دارای اهلیّت برای معامله یعنی بالغ، عاقل و رشید، باشند، زیرا اهلیّت شرط اساسی برای صحت هر معامله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معامله با اشخاصی که بالغ نیستند به واسطه عدم اهلیّت باطل است، و محجور نمیتواند در اموال خود تصرّف بنماید، هم‌چنان که نمیتواند تعهّد نماید، در حالی که عقد اجاره موجب انتقال منفعت یا تعهّد است</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استحقاق کودک نسبت به اجرت کار</w:t>
      </w:r>
    </w:p>
    <w:p>
      <w:pPr>
        <w:pStyle w:val="BookText"/>
        <w:rPr/>
      </w:pPr>
      <w:r>
        <w:rPr>
          <w:rFonts w:ascii="IRNazanin" w:hAnsi="IRNazanin" w:eastAsia="IRNazanin"/>
          <w:color w:val="111111"/>
          <w:sz w:val="28"/>
          <w:sz w:val="28"/>
          <w:szCs w:val="28"/>
          <w:rtl w:val="true"/>
          <w:lang w:bidi="fa-IR"/>
        </w:rPr>
        <w:t xml:space="preserve">با این فرض که اجیر شدن کودک جهت انجام کار برای دیگری باطل است، این پرسش مطرح است که اگر کودک بر طبق اجاره فاسد، کار انجام داد، آیا استحقاق گرفتن مزد دارد یا خیر؟ و در فرض استحقاق آیا مستحق اجرت المثل است یا اجرت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مبلغی که در اجاره تعیین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صحیح این است که در فرض مزبور استحقاق اجرة المثل را دارد، اعم از این‌که از اجرتی که در عقد اجاره تعیین گردیده است بیش‌تر باشد یا کمتر و نیز اعم از این‌که مستأجر آگاهی به بطلان‌اجاره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از عبارات فقها در بحث حکم اجاره فاسده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حلّی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مورد، اجاره باطل شود، واجب است مستأجر به اجیر اجرة المثل را پرداخت نماید خواه تمام منافع استیفا شده باشد یا بعضی از آن و خواه اجرة المثل از اجرة المسمی کمتر باشد و یا بیشتر</w:t>
      </w:r>
      <w:r>
        <w:rPr>
          <w:rFonts w:eastAsia="IRNazanin" w:cs="IRNazanin"/>
          <w:color w:val="111111"/>
          <w:sz w:val="28"/>
          <w:szCs w:val="28"/>
          <w:rtl w:val="true"/>
          <w:lang w:bidi="fa-IR"/>
        </w:rPr>
        <w:t>».</w:t>
      </w:r>
      <w:r>
        <w:rPr>
          <w:rStyle w:val="FootnoteAnchor"/>
          <w:rtl w:val="true"/>
        </w:rPr>
        <w:footnoteReference w:id="124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برخی از فقیهان نیز قریب به آن چه ذکر شد میباشد</w:t>
      </w:r>
      <w:r>
        <w:rPr>
          <w:rStyle w:val="FootnoteAnchor"/>
          <w:rtl w:val="true"/>
        </w:rPr>
        <w:footnoteReference w:id="1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مدّعی است در این باره اختلافی دیده نشده، بلکه این حکم از مسلّمات و قطعی است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استحقاق اجرت برای کودک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کار افراد دارای احترام است و نسبت به آن، مزد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 از امام باقر علیه السلام بر این قاعده دلالت دارد؛ آن حضرت از جدّش رسول الله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به مؤمن گناه است و کشتن او کفر و خوردن گوشتش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نمودن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همان گونه که جان او دارای احترام است مال او نیز این چنین میباشد و نمیتوان بدون اجازه در آن تصرّف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سِبَابُ المُؤمِنِ فُسُوقٌ و قِتالُهُ کُفْرٌ وَ اکْلُ لَحْمِهِ مَعْصِیَةٌ و حُرمَةُ مَالِهِ کَحُرْمَةِ دَمِهِ</w:t>
      </w:r>
      <w:r>
        <w:rPr>
          <w:rFonts w:eastAsia="IRNazanin" w:cs="IRNazanin"/>
          <w:color w:val="111111"/>
          <w:sz w:val="28"/>
          <w:szCs w:val="28"/>
          <w:rtl w:val="true"/>
          <w:lang w:bidi="fa-IR"/>
        </w:rPr>
        <w:t>».</w:t>
      </w:r>
      <w:r>
        <w:rPr>
          <w:rStyle w:val="FootnoteAnchor"/>
          <w:rtl w:val="true"/>
        </w:rPr>
        <w:footnoteReference w:id="1245"/>
      </w:r>
      <w:r>
        <w:rPr>
          <w:rFonts w:ascii="IRNazanin" w:hAnsi="IRNazanin" w:eastAsia="IRNazanin"/>
          <w:color w:val="111111"/>
          <w:sz w:val="28"/>
          <w:sz w:val="28"/>
          <w:szCs w:val="28"/>
          <w:rtl w:val="true"/>
          <w:lang w:bidi="fa-IR"/>
        </w:rPr>
        <w:t>به نظر میرسد به دو صورت میتوان به این روایت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حرمتی که به مال مؤمن تعلق گرفته حرمت تکلیفی باشد، به جهت این‌که در سیاق احکام تکلیفی دیگر قرار دارد، یعنی فسوق، کفر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آن استفاده ضمان میشود</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حرمت، حکم وضعی باشد یا اعم از وضعی و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استدلال به روایت منعی ندارد، مگر این‌که ادّعا شود فقط در مقام تشریع حکم است</w:t>
      </w:r>
      <w:r>
        <w:rPr>
          <w:rFonts w:eastAsia="IRNazanin" w:cs="IRNazanin"/>
          <w:color w:val="111111"/>
          <w:sz w:val="28"/>
          <w:szCs w:val="28"/>
          <w:rtl w:val="true"/>
          <w:lang w:bidi="fa-IR"/>
        </w:rPr>
        <w:t>.</w:t>
      </w:r>
      <w:r>
        <w:rPr>
          <w:rStyle w:val="FootnoteAnchor"/>
          <w:rtl w:val="true"/>
        </w:rPr>
        <w:footnoteReference w:id="1247"/>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اتلاف</w:t>
      </w:r>
      <w:r>
        <w:rPr>
          <w:rStyle w:val="FootnoteAnchor"/>
          <w:rtl w:val="true"/>
        </w:rPr>
        <w:footnoteReference w:id="1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که شامل اعمال و منافع باشد، زیرااتلاف منافعی که به طور تدریجی به دست میآید، استیفای تدریجی آنها است</w:t>
      </w:r>
      <w:r>
        <w:rPr>
          <w:rStyle w:val="FootnoteAnchor"/>
          <w:rtl w:val="true"/>
        </w:rPr>
        <w:footnoteReference w:id="1249"/>
      </w:r>
      <w:r>
        <w:rPr>
          <w:rFonts w:ascii="IRNazanin" w:hAnsi="IRNazanin" w:eastAsia="IRNazanin"/>
          <w:color w:val="111111"/>
          <w:sz w:val="28"/>
          <w:sz w:val="28"/>
          <w:szCs w:val="28"/>
          <w:rtl w:val="true"/>
          <w:lang w:bidi="fa-IR"/>
        </w:rPr>
        <w:t>وبه‌نظر عرف، منافع به منزله مال است و مفروض این است که مستأجر منافع کودک را استیفا نموده است، بنابراین طبق نظر عرف که در این گونه موارد به آن مراجعه میشود بایداجرة المثل را پرداخت کند</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 چیزی که شخص در اختیار گرفته، بر طبق حدیث معروفی 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چیزی را به ناروا گرفته است، ضامن است تا آن را تحویل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r>
        <w:rPr>
          <w:rStyle w:val="FootnoteAnchor"/>
        </w:rPr>
        <w:footnoteReference w:id="1251"/>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دیگری است از حضرت پیامبر اکرم صلی الله علیه و آله که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لاضَرَرَ وَلا ضِرَارَ</w:t>
      </w:r>
      <w:r>
        <w:rPr>
          <w:rFonts w:eastAsia="Amiri" w:cs="Amiri" w:ascii="Amiri" w:hAnsi="Amiri"/>
          <w:color w:val="111111"/>
          <w:sz w:val="28"/>
          <w:szCs w:val="28"/>
          <w:rtl w:val="true"/>
          <w:lang w:bidi="ar-SA"/>
        </w:rPr>
        <w:t>»</w:t>
      </w:r>
      <w:r>
        <w:rPr>
          <w:rStyle w:val="FootnoteAnchor"/>
          <w:rtl w:val="true"/>
        </w:rPr>
        <w:footnoteReference w:id="1252"/>
      </w:r>
      <w:r>
        <w:rPr>
          <w:rFonts w:ascii="IRNazanin" w:hAnsi="IRNazanin" w:eastAsia="IRNazanin"/>
          <w:color w:val="111111"/>
          <w:sz w:val="28"/>
          <w:sz w:val="28"/>
          <w:szCs w:val="28"/>
          <w:rtl w:val="true"/>
          <w:lang w:bidi="fa-IR"/>
        </w:rPr>
        <w:t>و بر طبق نقل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اضَرارَ فِی الْاِسلامِ</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بدیهی</w:t>
      </w:r>
    </w:p>
    <w:p>
      <w:pPr>
        <w:pStyle w:val="BookText"/>
        <w:rPr/>
      </w:pPr>
      <w:r>
        <w:rPr>
          <w:rFonts w:ascii="IRNazanin" w:hAnsi="IRNazanin" w:eastAsia="IRNazanin"/>
          <w:color w:val="111111"/>
          <w:sz w:val="28"/>
          <w:sz w:val="28"/>
          <w:szCs w:val="28"/>
          <w:rtl w:val="true"/>
          <w:lang w:bidi="fa-IR"/>
        </w:rPr>
        <w:t xml:space="preserve">است در اجاره فاسده هر یک از دو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پولی که در مقابل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صاحبان آن باقی میماند، بنابراین کسی که منافع را استیفا نموده باید جوابگو باشد و چون با بطلان اجاره اجرة المثل نیز باطل میباشد، لازم است اجرة المسمی پرداخت شود</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در غیر این صورت بر کسی که منافع او استیفا شده ضرر وارد شده و به حکم این حدیث شریف ضرر برداشته شده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استدلال به دو قاعده اخیر برای حکم به پرداخت اجرة المثل در مورد اجاره‌فاسده بعضی از بزرگان</w:t>
      </w:r>
      <w:r>
        <w:rPr>
          <w:rStyle w:val="FootnoteAnchor"/>
          <w:rtl w:val="true"/>
        </w:rPr>
        <w:footnoteReference w:id="1255"/>
      </w:r>
      <w:r>
        <w:rPr>
          <w:rFonts w:ascii="IRNazanin" w:hAnsi="IRNazanin" w:eastAsia="IRNazanin"/>
          <w:color w:val="111111"/>
          <w:sz w:val="28"/>
          <w:sz w:val="28"/>
          <w:szCs w:val="28"/>
          <w:rtl w:val="true"/>
          <w:lang w:bidi="fa-IR"/>
        </w:rPr>
        <w:t>از جمله آیت الله فاضل لنکرانی</w:t>
      </w:r>
      <w:r>
        <w:rPr>
          <w:rStyle w:val="FootnoteAnchor"/>
          <w:rtl w:val="true"/>
        </w:rPr>
        <w:footnoteReference w:id="1256"/>
      </w:r>
      <w:r>
        <w:rPr>
          <w:rFonts w:ascii="IRNazanin" w:hAnsi="IRNazanin" w:eastAsia="IRNazanin"/>
          <w:color w:val="111111"/>
          <w:sz w:val="28"/>
          <w:sz w:val="28"/>
          <w:szCs w:val="28"/>
          <w:rtl w:val="true"/>
          <w:lang w:bidi="fa-IR"/>
        </w:rPr>
        <w:t>ایراد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هم‌چنین‌برای اثبات این حکم به ادلّه دیگری استناد شده که توضیح در این باره مجال بیشتری را میطلبد</w:t>
      </w:r>
      <w:r>
        <w:rPr>
          <w:rFonts w:eastAsia="IRNazanin" w:cs="IRNazanin"/>
          <w:color w:val="111111"/>
          <w:sz w:val="28"/>
          <w:szCs w:val="28"/>
          <w:rtl w:val="true"/>
          <w:lang w:bidi="fa-IR"/>
        </w:rPr>
        <w:t>.</w:t>
      </w:r>
      <w:r>
        <w:rPr>
          <w:rStyle w:val="FootnoteAnchor"/>
          <w:rtl w:val="true"/>
        </w:rPr>
        <w:footnoteReference w:id="1257"/>
      </w:r>
      <w:bookmarkStart w:id="570" w:name="pg13713_164570"/>
    </w:p>
    <w:p>
      <w:pPr>
        <w:pStyle w:val="Heading3"/>
        <w:numPr>
          <w:ilvl w:val="2"/>
          <w:numId w:val="1"/>
        </w:numPr>
        <w:rPr/>
      </w:pPr>
      <w:bookmarkStart w:id="571" w:name="__RefHeading___Toc1259730_1468164448"/>
      <w:bookmarkStart w:id="572" w:name="_Toc210"/>
      <w:bookmarkEnd w:id="570"/>
      <w:bookmarkEnd w:id="571"/>
      <w:r>
        <w:rPr>
          <w:rtl w:val="true"/>
        </w:rPr>
        <w:t>گفتار ششم</w:t>
      </w:r>
      <w:r>
        <w:rPr>
          <w:rtl w:val="true"/>
        </w:rPr>
        <w:t xml:space="preserve">: </w:t>
      </w:r>
      <w:r>
        <w:rPr>
          <w:rtl w:val="true"/>
        </w:rPr>
        <w:t>احیای اراضی موات و حیازت اشیاء مباحه و سبقت نسبت به آن</w:t>
      </w:r>
      <w:bookmarkEnd w:id="572"/>
    </w:p>
    <w:p>
      <w:pPr>
        <w:pStyle w:val="Heading4"/>
        <w:numPr>
          <w:ilvl w:val="3"/>
          <w:numId w:val="1"/>
        </w:numPr>
        <w:rPr/>
      </w:pPr>
      <w:bookmarkStart w:id="573" w:name="__RefHeading___Toc1259732_1468164448"/>
      <w:bookmarkStart w:id="574" w:name="_Toc211"/>
      <w:bookmarkEnd w:id="573"/>
      <w:r>
        <w:rPr>
          <w:rtl w:val="true"/>
        </w:rPr>
        <w:t>الف</w:t>
      </w:r>
      <w:r>
        <w:rPr>
          <w:rtl w:val="true"/>
        </w:rPr>
        <w:t xml:space="preserve">: </w:t>
      </w:r>
      <w:r>
        <w:rPr>
          <w:rtl w:val="true"/>
        </w:rPr>
        <w:t>احیای موات</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احیای موات در لغت و اصطلاح</w:t>
      </w:r>
    </w:p>
    <w:p>
      <w:pPr>
        <w:pStyle w:val="BookText"/>
        <w:rPr/>
      </w:pPr>
      <w:r>
        <w:rPr>
          <w:rFonts w:ascii="IRNazanin" w:hAnsi="IRNazanin" w:eastAsia="IRNazanin"/>
          <w:color w:val="111111"/>
          <w:sz w:val="28"/>
          <w:sz w:val="28"/>
          <w:szCs w:val="28"/>
          <w:rtl w:val="true"/>
          <w:lang w:bidi="fa-IR"/>
        </w:rPr>
        <w:t>احیاء در لغت به معنی زنده کردن</w:t>
      </w:r>
      <w:r>
        <w:rPr>
          <w:rStyle w:val="FootnoteAnchor"/>
          <w:rtl w:val="true"/>
        </w:rPr>
        <w:footnoteReference w:id="1258"/>
      </w:r>
      <w:r>
        <w:rPr>
          <w:rFonts w:ascii="IRNazanin" w:hAnsi="IRNazanin" w:eastAsia="IRNazanin"/>
          <w:color w:val="111111"/>
          <w:sz w:val="28"/>
          <w:sz w:val="28"/>
          <w:szCs w:val="28"/>
          <w:rtl w:val="true"/>
          <w:lang w:bidi="fa-IR"/>
        </w:rPr>
        <w:t>از حی به معنی زنده میباشد و موات مصدر و به معنی مرده و بیروح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اراضی موات زمین‌هایی است که در آن آبادی و سکونت و عمران و سابقه مالکیت نباشد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مقصود از احیاء در اصطلاح، آباد کردن است و موات به زمین‌هایی گفته میشود که معطّل مانده و به دلیل نبودن آب یا آب گرفتگی در آن سرزمین و نیز پوشش درختان جنگلی و دیگر مراتع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استفاده نشده باشد</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به نظر میرسد همان گونه که بعضی از فقها فرموده‌اند</w:t>
      </w:r>
      <w:r>
        <w:rPr>
          <w:rFonts w:eastAsia="IRNazanin" w:cs="IRNazanin"/>
          <w:color w:val="111111"/>
          <w:sz w:val="28"/>
          <w:szCs w:val="28"/>
          <w:rtl w:val="true"/>
          <w:lang w:bidi="fa-IR"/>
        </w:rPr>
        <w:t xml:space="preserve">: </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احیا و موات در فقه همان معنای عرفی و لغوی است، یعنی آباد ساختن زمینی که پیش‌ترزراعت نشده و آباد نبوده و مالک نداشته است</w:t>
      </w:r>
      <w:r>
        <w:rPr>
          <w:rFonts w:eastAsia="IRNazanin" w:cs="IRNazanin"/>
          <w:color w:val="111111"/>
          <w:sz w:val="28"/>
          <w:szCs w:val="28"/>
          <w:rtl w:val="true"/>
          <w:lang w:bidi="fa-IR"/>
        </w:rPr>
        <w:t>.</w:t>
      </w:r>
      <w:r>
        <w:rPr>
          <w:rStyle w:val="FootnoteAnchor"/>
          <w:rtl w:val="true"/>
        </w:rPr>
        <w:footnoteReference w:id="126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احیاء زمین آن است که اراضی موات و مباحه را به وسیله عملیاتی که در عرف آباد کردن محسوب است از قبیل زراعت، درخت کاری، بنا ساختن و غیره قابل استفاده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امام معصوم علیه السلام بر زمین‌های موات</w:t>
      </w:r>
    </w:p>
    <w:p>
      <w:pPr>
        <w:pStyle w:val="BookText"/>
        <w:rPr/>
      </w:pPr>
      <w:r>
        <w:rPr>
          <w:rFonts w:ascii="IRNazanin" w:hAnsi="IRNazanin" w:eastAsia="IRNazanin"/>
          <w:color w:val="111111"/>
          <w:sz w:val="28"/>
          <w:sz w:val="28"/>
          <w:szCs w:val="28"/>
          <w:rtl w:val="true"/>
          <w:lang w:bidi="fa-IR"/>
        </w:rPr>
        <w:t>به اجماع فقهای امامیه مالک زمین‌های موات امام معصوم علیه السلام است و آن حضرت در زمان حضور به هر صورت که مصلحت بداند عمل خواهد نمود؛ میبخشد و میفروشد</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نیز در حدّ تواتر بر این معنی دلالت دارد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هم‌چنین به اتفاق فقها احیای زمین‌های موات جایز، بلکه مستحب است</w:t>
      </w:r>
      <w:r>
        <w:rPr>
          <w:rStyle w:val="FootnoteAnchor"/>
          <w:rtl w:val="true"/>
        </w:rPr>
        <w:footnoteReference w:id="1265"/>
      </w:r>
      <w:r>
        <w:rPr>
          <w:rFonts w:ascii="IRNazanin" w:hAnsi="IRNazanin" w:eastAsia="IRNazanin"/>
          <w:color w:val="111111"/>
          <w:sz w:val="28"/>
          <w:sz w:val="28"/>
          <w:szCs w:val="28"/>
          <w:rtl w:val="true"/>
          <w:lang w:bidi="fa-IR"/>
        </w:rPr>
        <w:t>که در زمان حضور مشروط به اذن امام معصوم علیه السلام است، لیکن در زمان غیبت هر کس آن را احیاء نماید مالک خواهد شد</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امّا در زمانی که امور مملکت باحکومت و نظارت ولی فقیه عادل اداره میشود و دولت اسلامی با استناد به ادلّه فقهی قدرت اجرایی را در دست گرفته است، به مفاد ادلّه ولایت مطلقه فقیه و نیز برای جلوگیری از هرج و مرج و تضییع حقوق افراد جامعه باید احیای موات بر طبق ضوابط و شرایطی باشد که دولت اسلامی تدوین و اجرا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کودک در احیا</w:t>
      </w:r>
    </w:p>
    <w:p>
      <w:pPr>
        <w:pStyle w:val="BookText"/>
        <w:rPr/>
      </w:pPr>
      <w:r>
        <w:rPr>
          <w:rFonts w:ascii="IRNazanin" w:hAnsi="IRNazanin" w:eastAsia="IRNazanin"/>
          <w:color w:val="111111"/>
          <w:sz w:val="28"/>
          <w:sz w:val="28"/>
          <w:szCs w:val="28"/>
          <w:rtl w:val="true"/>
          <w:lang w:bidi="fa-IR"/>
        </w:rPr>
        <w:t>عدّه‌ای از فقیهان با صراحت اعلام نموده‌اند که کودک همانند بالغ اگر زمین مواتی را احیا نماید،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احیای زمین، سبب ملکیّت نسبت به آن میگردد و در احیا کننده آن بلوغ شرط نیست، بنابر این هر کس آن را احیا نماید مالک میگردد خواه بالغ باشد یا کودک</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آن عبارت است از</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سبب مالکیت است، 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ازروایات استفاده میشود آباد نمودن زمین موات، علّت ملکیت نسبت به آن است و این که چه کسی آن را آباد نموده بیتأثیر است، وی سپس به روایت معروف پیغمبر اکرم صلی الله علیه و 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مَن‌اَحیی ارْضَاً مَواتَاً فَهِِیَ لَهُ</w:t>
      </w:r>
      <w:r>
        <w:rPr>
          <w:rFonts w:eastAsia="Amiri" w:cs="Amiri" w:ascii="Amiri" w:hAnsi="Amiri"/>
          <w:color w:val="111111"/>
          <w:sz w:val="28"/>
          <w:szCs w:val="28"/>
          <w:rtl w:val="true"/>
          <w:lang w:bidi="ar-SA"/>
        </w:rPr>
        <w:t>»</w:t>
      </w:r>
      <w:r>
        <w:rPr>
          <w:rStyle w:val="FootnoteAnchor"/>
          <w:rtl w:val="true"/>
        </w:rPr>
        <w:footnoteReference w:id="1268"/>
      </w:r>
      <w:r>
        <w:rPr>
          <w:rFonts w:ascii="IRNazanin" w:hAnsi="IRNazanin" w:eastAsia="IRNazanin"/>
          <w:color w:val="111111"/>
          <w:sz w:val="28"/>
          <w:sz w:val="28"/>
          <w:szCs w:val="28"/>
          <w:rtl w:val="true"/>
          <w:lang w:bidi="fa-IR"/>
        </w:rPr>
        <w:t>اشاره نموده و میگوید ظاهر این روایت دلیل است بر این که آباد نمودن زمین سبب ملکیّت است و به کسی که آباد نموده است، اختصاص مییابد، هر کس که باشد؛ کودک یا مکلّف، برای او هیچ خصوصیتی شرط نیست</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مانند روایتی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قوم و گروهی زمین را آباد نماید یا آن را تعمیر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شیعیان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به آن زمین سزاوارتر است و به او اختصاص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قَومِ احْیُوا شَیئاً مِنَ الْاَرضِ أو عَمَرُوهَا فَهُمٌ احَقُّبِهَا</w:t>
      </w:r>
      <w:r>
        <w:rPr>
          <w:rFonts w:eastAsia="IRNazanin" w:cs="IRNazanin"/>
          <w:color w:val="111111"/>
          <w:sz w:val="28"/>
          <w:szCs w:val="28"/>
          <w:rtl w:val="true"/>
          <w:lang w:bidi="fa-IR"/>
        </w:rPr>
        <w:t>»</w:t>
      </w:r>
      <w:r>
        <w:rPr>
          <w:rStyle w:val="FootnoteAnchor"/>
          <w:rtl w:val="true"/>
        </w:rPr>
        <w:footnoteReference w:id="1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آنان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لَهُم</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و برخی روایات دیگر</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اطلاق این روایات که از نظر سند صحیح میباشند، کودک را نیز شامل میشود و ادّعای این‌که منصرف به افراد بالغ باشند، پذیرفته نیست؛ زیرا الفاظ بکار گرفته شده در آن‌ها از حیث لغت و عرف دارای عموم و اطلاق است</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عقلا بر این است که اگر کودک چیز مباحی را حیازت نمود یا زمین مواتی را احیا کرد مالک میشود، این سیره از طرف شارع رد نشده است، بنابراین میتواند دلیل این حکم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از احکام وضعی است و بلوغ در آن شرط نمیباشد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حیازت و مباح در لغت و اصطلاح</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حیازت مصدر باب حاز و به معنی بدست آوردن است</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مباح اسم مفعول از اباحه به معنی آزاد گذاردن در فعل و ترک است</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اراضی موات را مباحه میگویند به اعتبار آن که اشخاص آزادانه میتوانند آن را تملّک کنند و به طور کلی هر شیء مادی که قابل تملّک یا حیازت و انتفاع بوده و مالک خاصی نداشته باشد، مباح نامیده میشود، مثل ماهی دریا، جنگل‌ها، میوه‌های جنگلی، آب باران، آب‌های دریاها و نهرهای بزرگ و کوچکی که مالک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دراصطلاح فقها حیازت عبارت است از تصرّف و سیطره عرفی بر شیء مباح مانند گرفتن ماهی دریا</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مال مباحی را با رعایت قوانین مربوطه به آن حیازت کند، مالک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حیازت امر عقلایی و عرفی است که شارع آن را امضا نموده است و نسبت به طبیعت اشیا مختلف میباشد، چنان که در مروارید به دست‌آوردن صدف آن و در علف و شاخه بریدن و چیدن آن و در آب رودخانه‌وارد ساختن آن در نهر یا حوض و یا چاهی که ملک کسی است حیازت‌شناخته میشود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شدن کودک با حیازت</w:t>
      </w:r>
    </w:p>
    <w:p>
      <w:pPr>
        <w:pStyle w:val="BookText"/>
        <w:rPr/>
      </w:pPr>
      <w:r>
        <w:rPr>
          <w:rFonts w:ascii="IRNazanin" w:hAnsi="IRNazanin" w:eastAsia="IRNazanin"/>
          <w:color w:val="111111"/>
          <w:sz w:val="28"/>
          <w:sz w:val="28"/>
          <w:szCs w:val="28"/>
          <w:rtl w:val="true"/>
          <w:lang w:bidi="fa-IR"/>
        </w:rPr>
        <w:t>هر کس مباحات اصلی را حیازت نماید، مالک میشود و در این حکم فرقی بین کودک و مکلّف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حیازت مباحات بلوغ شرط نیست، بنابراین کودک نیز همانند بالغ است</w:t>
      </w:r>
      <w:r>
        <w:rPr>
          <w:rFonts w:eastAsia="IRNazanin" w:cs="IRNazanin"/>
          <w:color w:val="111111"/>
          <w:sz w:val="28"/>
          <w:szCs w:val="28"/>
          <w:rtl w:val="true"/>
          <w:lang w:bidi="fa-IR"/>
        </w:rPr>
        <w:t>.</w:t>
      </w:r>
      <w:r>
        <w:rPr>
          <w:rStyle w:val="FootnoteAnchor"/>
          <w:rtl w:val="true"/>
        </w:rPr>
        <w:footnoteReference w:id="1279"/>
      </w:r>
      <w:r>
        <w:rPr>
          <w:rFonts w:ascii="IRNazanin" w:hAnsi="IRNazanin" w:eastAsia="IRNazanin"/>
          <w:color w:val="111111"/>
          <w:sz w:val="28"/>
          <w:sz w:val="28"/>
          <w:szCs w:val="28"/>
          <w:rtl w:val="true"/>
          <w:lang w:bidi="fa-IR"/>
        </w:rPr>
        <w:t>دلیل این حکم عبارت است از</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آن‌چه در روی زمین است را به خاطر شما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 .</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ازاین آیه شریفه یک اصل کلی استفاده میشود و آن این که همه چیز برای انسان مباح است مگر دلیل مخصوصی آن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آن استفاده میشود مباحات اصلی برای این که در تملّک انسان قرار گیرد، خلقت شده‌اند و شیوه تملّک آن استیلا بر آن است، بنابراین هر کس بر آن تسلّط یابد مالک خواهد شد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معتبره امیرالمؤمنین علیه السلام در مورد شخصی که پرنده‌ای را دید و او را تعقیب نمود تا بر درختی نشست، سپس شخص دیگری او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آن‌چه راکه دیده و برای دست آن‌چه را که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لِلْعَینِ مَا رَأتْ وَ لِلْیَدِ مَا اخَذَتْ</w:t>
      </w:r>
      <w:r>
        <w:rPr>
          <w:rFonts w:eastAsia="IRNazanin" w:cs="IRNazanin"/>
          <w:color w:val="111111"/>
          <w:sz w:val="28"/>
          <w:szCs w:val="28"/>
          <w:rtl w:val="true"/>
          <w:lang w:bidi="fa-IR"/>
        </w:rPr>
        <w:t>»</w:t>
      </w:r>
      <w:r>
        <w:rPr>
          <w:rStyle w:val="FootnoteAnchor"/>
          <w:rtl w:val="true"/>
        </w:rPr>
        <w:footnoteReference w:id="1282"/>
      </w:r>
      <w:r>
        <w:rPr>
          <w:rFonts w:ascii="IRNazanin" w:hAnsi="IRNazanin" w:eastAsia="IRNazanin"/>
          <w:color w:val="111111"/>
          <w:sz w:val="28"/>
          <w:sz w:val="28"/>
          <w:szCs w:val="28"/>
          <w:rtl w:val="true"/>
          <w:lang w:bidi="fa-IR"/>
        </w:rPr>
        <w:t>کنایه‌از این که با گرفتن پرنده آن را مالک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امام صادق علیه السلام در مورد کسی که شتر رها شده در بیابان که صاحبش آن را نخواسته و به حال خود گذارده بود را گرفت و به آن آب و علف داد تا از مرگ رهانید،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مال اوست و نمیتوان از او گرفت، زیرا به منزله شیء مباح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لَهُ وَلا سَبِیلَ لَهُ عَلَیهَا وَ انَّمَا هِیَ مِثْلُ الشَّیءِ الْمُبَاحِ</w:t>
      </w:r>
      <w:r>
        <w:rPr>
          <w:rFonts w:eastAsia="IRNazanin" w:cs="IRNazanin"/>
          <w:color w:val="111111"/>
          <w:sz w:val="28"/>
          <w:szCs w:val="28"/>
          <w:rtl w:val="true"/>
          <w:lang w:bidi="fa-IR"/>
        </w:rPr>
        <w:t>»</w:t>
      </w:r>
      <w:r>
        <w:rPr>
          <w:rStyle w:val="FootnoteAnchor"/>
          <w:rtl w:val="true"/>
        </w:rPr>
        <w:footnoteReference w:id="1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امام علیه السلام دلیل است بر این که این حکم اختصاصی به حیوان رها شده در بیابان ندارد، بلکه شامل هر شیء مباح که انسان آن را حیازت نماید میباشد</w:t>
      </w:r>
      <w:r>
        <w:rPr>
          <w:rFonts w:eastAsia="IRNazanin" w:cs="IRNazanin"/>
          <w:color w:val="111111"/>
          <w:sz w:val="28"/>
          <w:szCs w:val="28"/>
          <w:rtl w:val="true"/>
          <w:lang w:bidi="fa-IR"/>
        </w:rPr>
        <w:t>.</w:t>
      </w:r>
      <w:r>
        <w:rPr>
          <w:rStyle w:val="FootnoteAnchor"/>
          <w:rtl w:val="true"/>
        </w:rPr>
        <w:footnoteReference w:id="128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چنین روایاتی که در بحث احیای موات بدان اشاره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وَأیُّمَاقَومٍاَحْیُوا شَیْئَاً مِنَ الْاَرْضِ اوْ عَمِلُوهُ فَهُمْ احَقُّ بِهَا وَ هِیَ لَهُمْ</w:t>
      </w:r>
      <w:r>
        <w:rPr>
          <w:rFonts w:eastAsia="IRNazanin" w:cs="IRNazanin"/>
          <w:color w:val="111111"/>
          <w:sz w:val="28"/>
          <w:szCs w:val="28"/>
          <w:rtl w:val="true"/>
          <w:lang w:bidi="fa-IR"/>
        </w:rPr>
        <w:t>»</w:t>
      </w:r>
      <w:r>
        <w:rPr>
          <w:rStyle w:val="FootnoteAnchor"/>
          <w:rtl w:val="true"/>
        </w:rPr>
        <w:footnoteReference w:id="1285"/>
      </w:r>
      <w:r>
        <w:rPr>
          <w:rFonts w:ascii="IRNazanin" w:hAnsi="IRNazanin" w:eastAsia="IRNazanin"/>
          <w:color w:val="111111"/>
          <w:sz w:val="28"/>
          <w:sz w:val="28"/>
          <w:szCs w:val="28"/>
          <w:rtl w:val="true"/>
          <w:lang w:bidi="fa-IR"/>
        </w:rPr>
        <w:t>میتواند در این حکم نیز مستند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عموم و اطلاق این روایات کودک را نیز شامل میشود و اختصاصی به مکلفین ندارد</w:t>
      </w:r>
      <w:r>
        <w:rPr>
          <w:rFonts w:eastAsia="IRNazanin" w:cs="IRNazanin"/>
          <w:color w:val="111111"/>
          <w:sz w:val="28"/>
          <w:szCs w:val="28"/>
          <w:rtl w:val="true"/>
          <w:lang w:bidi="fa-IR"/>
        </w:rPr>
        <w:t>.</w:t>
      </w:r>
      <w:r>
        <w:rPr>
          <w:rStyle w:val="FootnoteAnchor"/>
          <w:rtl w:val="true"/>
        </w:rPr>
        <w:footnoteReference w:id="12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موات و حیازت کودک در قانون مدنی</w:t>
      </w:r>
    </w:p>
    <w:p>
      <w:pPr>
        <w:pStyle w:val="BookText"/>
        <w:rPr/>
      </w:pPr>
      <w:r>
        <w:rPr>
          <w:rFonts w:ascii="IRNazanin" w:hAnsi="IRNazanin" w:eastAsia="IRNazanin"/>
          <w:color w:val="111111"/>
          <w:sz w:val="28"/>
          <w:sz w:val="28"/>
          <w:szCs w:val="28"/>
          <w:rtl w:val="true"/>
          <w:lang w:bidi="fa-IR"/>
        </w:rPr>
        <w:t xml:space="preserve">از اطلاق دو ماده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معلوم میشود قانونگذار به تبعیت از نظرمشهور فقها در احیای موات و حیازت، بلوغ را شرط نمیداند، بنابراین کودک نیز میتواند با احیای زمین‌های موات و حیازت اشیاء مباحه آنها را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گفته شود که در احیاء موات و حیازت قصد تملّک شرط است و چون کودک فاقد قصد میباشد، یا به عبارت دیگر چون قصد او بیتأثیر است نمیتواند مالک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مسأله مورد بحث و گفتگو است و برخی از فقها قصد و نیّت را لازم نمیدانند</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و ثانیاً مقصود از قصد تملّک همان قصد حیازت است، به این معنی که کودک قصد میکند پرنده یا ماهی مثلاً، تحت سیطره و سلطه او قرار گیرد و با همین قصد او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کودک ممیّز توانایی قصد به این معنی را دارد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حق برای کودک نسبت به مشترکات</w:t>
      </w:r>
    </w:p>
    <w:p>
      <w:pPr>
        <w:pStyle w:val="BookText"/>
        <w:rPr/>
      </w:pPr>
      <w:r>
        <w:rPr>
          <w:rFonts w:ascii="IRNazanin" w:hAnsi="IRNazanin" w:eastAsia="IRNazanin"/>
          <w:color w:val="111111"/>
          <w:sz w:val="28"/>
          <w:sz w:val="28"/>
          <w:szCs w:val="28"/>
          <w:rtl w:val="true"/>
          <w:lang w:bidi="fa-IR"/>
        </w:rPr>
        <w:t>اماکنی که برای استفاده عموم مردم در نظر گرفته شده است، مشترکات نامیده میشوند، مانند کنار خیابان‌ها، حاشیه بازار، مساجد، مدارس و دیگر اماکن عمومی، اگر کسی نسبت به این مکان‌ها سبقت جوید و قبل از دیگران آن‌ها را به تصرّف خود درآورد، در صورتی که تصرّف او برخلاف اصول و قوانین مربوط به استفاده از آن اماکن نباشد و نیز برخلاف نظر واقف، در صورت وقف بودن آن نباشد، برای او ایجاد حق مینماید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حکم اختصاص به مکلّفین ندارد و کودک نیز همانند افراد بالغ در صورتی که به مباحات اصلی و مشترکات سبقت جوید، برای او ایجاد حق مینماید و جایز نیست از استیفای این حق منع شود، دلیل این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استمرار سیره متشرعه بلکه عقلا بر آن، روایاتی است در حد استفاضه به عنوان نمونه به دو روایت زیر توجه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طبق حدیث معروفی 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ازمشترکات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مسلمان دیگری به تصرّف خود درآورد، تصرّف نماید، برای او ایجاد حق مینماید و استفاده از آن را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سَبَقَ الَی مَالَمْ یَسْبِقُهُ الَیْهِ مُسلِمٌ فَهُوَ احَقُّ بِهِ</w:t>
      </w:r>
      <w:r>
        <w:rPr>
          <w:rFonts w:eastAsia="IRNazanin" w:cs="IRNazanin"/>
          <w:color w:val="111111"/>
          <w:sz w:val="28"/>
          <w:szCs w:val="28"/>
          <w:rtl w:val="true"/>
          <w:lang w:bidi="fa-IR"/>
        </w:rPr>
        <w:t>»</w:t>
      </w:r>
      <w:r>
        <w:rPr>
          <w:rStyle w:val="FootnoteAnchor"/>
          <w:rtl w:val="true"/>
        </w:rPr>
        <w:footnoteReference w:id="1289"/>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امیرالمومنین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مسلمین مانند مساجد آنها است و هر کس به‌این اماکن قبل از دیگران سبقت جوید برای استفاده از آن تا شب سزاوارتر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قال‌سُوقُ الْمُسلِمِینَ کَمَسْجِدِهِم فَمَنَ سَبَقَ الَی مَکَانٍ فَهُوَ احَقُّ بِهِ الَی الْلَّیلِ</w:t>
      </w:r>
      <w:r>
        <w:rPr>
          <w:rFonts w:eastAsia="Amiri" w:cs="Amiri" w:ascii="Amiri" w:hAnsi="Amiri"/>
          <w:color w:val="111111"/>
          <w:sz w:val="28"/>
          <w:szCs w:val="28"/>
          <w:rtl w:val="true"/>
          <w:lang w:bidi="ar-SA"/>
        </w:rPr>
        <w:t>»</w:t>
      </w:r>
      <w:r>
        <w:rPr>
          <w:rStyle w:val="FootnoteAnchor"/>
          <w:rtl w:val="true"/>
        </w:rPr>
        <w:footnoteReference w:id="1290"/>
      </w:r>
      <w:r>
        <w:rPr>
          <w:rFonts w:ascii="IRNazanin" w:hAnsi="IRNazanin" w:eastAsia="IRNazanin"/>
          <w:color w:val="111111"/>
          <w:sz w:val="28"/>
          <w:sz w:val="28"/>
          <w:szCs w:val="28"/>
          <w:rtl w:val="true"/>
          <w:lang w:bidi="fa-IR"/>
        </w:rPr>
        <w:t>وروایات‌دیگر</w:t>
      </w:r>
      <w:r>
        <w:rPr>
          <w:rFonts w:eastAsia="IRNazanin" w:cs="IRNazanin"/>
          <w:color w:val="111111"/>
          <w:sz w:val="28"/>
          <w:szCs w:val="28"/>
          <w:rtl w:val="true"/>
          <w:lang w:bidi="fa-IR"/>
        </w:rPr>
        <w:t>.</w:t>
      </w:r>
      <w:r>
        <w:rPr>
          <w:rStyle w:val="FootnoteAnchor"/>
          <w:rtl w:val="true"/>
        </w:rPr>
        <w:footnoteReference w:id="1291"/>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عام است و غیر بالغ را شامل میگردد، هم چنین در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1292"/>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w:t>
      </w:r>
      <w:r>
        <w:rPr>
          <w:rStyle w:val="FootnoteAnchor"/>
          <w:rtl w:val="true"/>
        </w:rPr>
        <w:footnoteReference w:id="1293"/>
      </w:r>
      <w:r>
        <w:rPr>
          <w:rFonts w:ascii="IRNazanin" w:hAnsi="IRNazanin" w:eastAsia="IRNazanin"/>
          <w:color w:val="111111"/>
          <w:sz w:val="28"/>
          <w:sz w:val="28"/>
          <w:szCs w:val="28"/>
          <w:rtl w:val="true"/>
          <w:lang w:bidi="fa-IR"/>
        </w:rPr>
        <w:t>به کار رفته که شامل کودک نیز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اشیای پیدا شده توسط کودک</w:t>
      </w:r>
    </w:p>
    <w:p>
      <w:pPr>
        <w:pStyle w:val="BookText"/>
        <w:rPr/>
      </w:pPr>
      <w:r>
        <w:rPr>
          <w:rFonts w:ascii="IRNazanin" w:hAnsi="IRNazanin" w:eastAsia="IRNazanin"/>
          <w:color w:val="111111"/>
          <w:sz w:val="28"/>
          <w:sz w:val="28"/>
          <w:szCs w:val="28"/>
          <w:rtl w:val="true"/>
          <w:lang w:bidi="fa-IR"/>
        </w:rPr>
        <w:t xml:space="preserve">در فقه و حقوق مدنی برای اشیایی که پیدا میشود و در اصطلاح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لقطه</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مینامند احکامی است،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پیدا شده اگر قیمت آن کمتر از یک درهم باشد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آن را تملّک نماید و نیازی به اعلان و جستجوی از صاحب آن نیست</w:t>
      </w:r>
      <w:r>
        <w:rPr>
          <w:rFonts w:eastAsia="IRNazanin" w:cs="IRNazanin"/>
          <w:color w:val="111111"/>
          <w:sz w:val="28"/>
          <w:szCs w:val="28"/>
          <w:rtl w:val="true"/>
          <w:lang w:bidi="fa-IR"/>
        </w:rPr>
        <w:t>.</w:t>
      </w:r>
      <w:r>
        <w:rPr>
          <w:rStyle w:val="FootnoteAnchor"/>
          <w:rtl w:val="true"/>
        </w:rPr>
        <w:footnoteReference w:id="129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پیدا شده قیمت آن بیش از یک درهم باشد، شخص یابنده موظّف است آن را تا یک سال اعلان کند و در پی صاحب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پیدا شد، مال را به او مسترد میکند، در غیر این صورت شخص پیدا کننده مخیّر بین سه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تملّک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صاحبش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دراین‌دو فرض اگر صاحب مال پیدا شود باید عین مال یا قیمت آ ن را در صورت تلف‌به او بپردازد و اگر شخص به صدقه راضی شد ثواب آن از صاحب مال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امانت حفظ کند تا شاید صاحبش پیدا شود در این حالت اگر بدون تعدّی و تفریط آن مال تلف شود، شخصی که آن را پیدا کرده ضامن نیست و الاّ ضامن خواهد بود</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و دیگر احکامی که برای لقطه بیان شده</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در اینجا سؤالی که مطرح است اینکه آیا اگر کودک چیزی را پیدا کند حکم لقطه افراد مکلّف را دارد؟</w:t>
      </w:r>
    </w:p>
    <w:p>
      <w:pPr>
        <w:pStyle w:val="BookText"/>
        <w:rPr/>
      </w:pPr>
      <w:r>
        <w:rPr>
          <w:rFonts w:ascii="IRNazanin" w:hAnsi="IRNazanin" w:eastAsia="IRNazanin"/>
          <w:color w:val="111111"/>
          <w:sz w:val="28"/>
          <w:sz w:val="28"/>
          <w:szCs w:val="28"/>
          <w:rtl w:val="true"/>
          <w:lang w:bidi="fa-IR"/>
        </w:rPr>
        <w:t>دیدگاه مشهور در بین فقیهان این است که حکم لقطه افراد بالغ را دارد، بلکه دراین‌باره مخالفی دیده نشده علامه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اهلیّت کسب و کار داشته باشد، احکام لقطه بر چیزی که او پیدا میکند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اگرکودک و یا مجنون اشیایی را پیدا کنند صحیح است و ولی آن دو مسئولیّت اعلان آن‌را به عهده دارند</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عبارات برخی از فقها گذشته</w:t>
      </w:r>
      <w:r>
        <w:rPr>
          <w:rStyle w:val="FootnoteAnchor"/>
          <w:rtl w:val="true"/>
        </w:rPr>
        <w:footnoteReference w:id="1299"/>
      </w:r>
      <w:r>
        <w:rPr>
          <w:rFonts w:ascii="IRNazanin" w:hAnsi="IRNazanin" w:eastAsia="IRNazanin"/>
          <w:color w:val="111111"/>
          <w:sz w:val="28"/>
          <w:sz w:val="28"/>
          <w:szCs w:val="28"/>
          <w:rtl w:val="true"/>
          <w:lang w:bidi="fa-IR"/>
        </w:rPr>
        <w:t>و معاصرین</w:t>
      </w:r>
      <w:r>
        <w:rPr>
          <w:rStyle w:val="FootnoteAnchor"/>
          <w:rtl w:val="true"/>
        </w:rPr>
        <w:footnoteReference w:id="1300"/>
      </w:r>
      <w:r>
        <w:rPr>
          <w:rFonts w:ascii="IRNazanin" w:hAnsi="IRNazanin" w:eastAsia="IRNazanin"/>
          <w:color w:val="111111"/>
          <w:sz w:val="28"/>
          <w:sz w:val="28"/>
          <w:szCs w:val="28"/>
          <w:rtl w:val="true"/>
          <w:lang w:bidi="fa-IR"/>
        </w:rPr>
        <w:t>همین گونه میباشد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این دیدگاه، این است که اولاً پیدا کردن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ملک است و کودک میتواند با این سبب مالک شود، مانند حیازت</w:t>
      </w:r>
      <w:r>
        <w:rPr>
          <w:rStyle w:val="FootnoteAnchor"/>
          <w:rtl w:val="true"/>
        </w:rPr>
        <w:footnoteReference w:id="1301"/>
      </w:r>
      <w:r>
        <w:rPr>
          <w:rFonts w:ascii="IRNazanin" w:hAnsi="IRNazanin" w:eastAsia="IRNazanin"/>
          <w:color w:val="111111"/>
          <w:sz w:val="28"/>
          <w:sz w:val="28"/>
          <w:szCs w:val="28"/>
          <w:rtl w:val="true"/>
          <w:lang w:bidi="fa-IR"/>
        </w:rPr>
        <w:t>، ثانیاً پیدا کردن اشیا خود نوعی کار محسوب میشود و کودک از آن منع نشده است</w:t>
      </w:r>
      <w:r>
        <w:rPr>
          <w:rStyle w:val="FootnoteAnchor"/>
          <w:rtl w:val="true"/>
        </w:rPr>
        <w:footnoteReference w:id="1302"/>
      </w:r>
      <w:r>
        <w:rPr>
          <w:rFonts w:ascii="IRNazanin" w:hAnsi="IRNazanin" w:eastAsia="IRNazanin"/>
          <w:color w:val="111111"/>
          <w:sz w:val="28"/>
          <w:sz w:val="28"/>
          <w:szCs w:val="28"/>
          <w:rtl w:val="true"/>
          <w:lang w:bidi="fa-IR"/>
        </w:rPr>
        <w:t>ثالثاً دلیل اصلی اطلاق و عموم اخبار است، مانند این که در روایت صحیح امام صادق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اگرکسی مالی را پیدا کند یا شتری را در بیابان در حالی که صاحبش او را رها نموده بیابد و آن را آب و علف دهد تا از مرگ نجات یابد برای کسی است که آن را پیدا کرده و کسی نمیتواند از او بگیرد، زیرا همانند دیگر اشیاء مباح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اصابَ مَالاً اوْ بَعیرَاً فِی 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لَهُ وَلا سَبیلَ لَهُ عَلَیهَا وَ انَّمَا هِیَ مِثْلُ الشَّیءِ الْمُبَاحِ</w:t>
      </w:r>
      <w:r>
        <w:rPr>
          <w:rFonts w:eastAsia="IRNazanin" w:cs="IRNazanin"/>
          <w:color w:val="111111"/>
          <w:sz w:val="28"/>
          <w:szCs w:val="28"/>
          <w:rtl w:val="true"/>
          <w:lang w:bidi="fa-IR"/>
        </w:rPr>
        <w:t>».</w:t>
      </w:r>
      <w:r>
        <w:rPr>
          <w:rStyle w:val="FootnoteAnchor"/>
          <w:rtl w:val="true"/>
        </w:rPr>
        <w:footnoteReference w:id="1303"/>
      </w:r>
      <w:r>
        <w:rPr>
          <w:rFonts w:ascii="IRNazanin" w:hAnsi="IRNazanin" w:eastAsia="IRNazanin"/>
          <w:color w:val="111111"/>
          <w:sz w:val="28"/>
          <w:sz w:val="28"/>
          <w:szCs w:val="28"/>
          <w:rtl w:val="true"/>
          <w:lang w:bidi="fa-IR"/>
        </w:rPr>
        <w:t>کلمه‌امام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هِیَ مِثلُ الشَّیءِ المُبَاحِ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 که این حکم اختصاص به حیوانات ندارد، بلکه شامل هر چیزی که انسان آن را پیدا کند،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اطلاق کلام امام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اصابَ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غیر بالغ میباشد، روایات دیگری که در آنها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w:t>
      </w:r>
      <w:r>
        <w:rPr>
          <w:rStyle w:val="FootnoteAnchor"/>
          <w:rtl w:val="true"/>
        </w:rPr>
        <w:footnoteReference w:id="1305"/>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وجد</w:t>
      </w:r>
      <w:r>
        <w:rPr>
          <w:rFonts w:eastAsia="IRNazanin" w:cs="IRNazanin"/>
          <w:color w:val="111111"/>
          <w:sz w:val="28"/>
          <w:szCs w:val="28"/>
          <w:rtl w:val="true"/>
          <w:lang w:bidi="fa-IR"/>
        </w:rPr>
        <w:t>»</w:t>
      </w:r>
      <w:r>
        <w:rPr>
          <w:rStyle w:val="FootnoteAnchor"/>
          <w:rtl w:val="true"/>
        </w:rPr>
        <w:footnoteReference w:id="1306"/>
      </w:r>
      <w:r>
        <w:rPr>
          <w:rFonts w:ascii="IRNazanin" w:hAnsi="IRNazanin" w:eastAsia="IRNazanin"/>
          <w:color w:val="111111"/>
          <w:sz w:val="28"/>
          <w:sz w:val="28"/>
          <w:szCs w:val="28"/>
          <w:rtl w:val="true"/>
          <w:lang w:bidi="fa-IR"/>
        </w:rPr>
        <w:t>بیان حکم شده نیز این گونه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اخبار که در بین آنها روایات صحیح و معتبر هم دیده میشود، مطلق است و حکم در آنها کودک را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لقطه نسبت به کودک</w:t>
      </w:r>
    </w:p>
    <w:p>
      <w:pPr>
        <w:pStyle w:val="BookText"/>
        <w:rPr/>
      </w:pPr>
      <w:r>
        <w:rPr>
          <w:rFonts w:ascii="IRNazanin" w:hAnsi="IRNazanin" w:eastAsia="IRNazanin"/>
          <w:color w:val="111111"/>
          <w:sz w:val="28"/>
          <w:sz w:val="28"/>
          <w:szCs w:val="28"/>
          <w:rtl w:val="true"/>
          <w:lang w:bidi="fa-IR"/>
        </w:rPr>
        <w:t>اشیایی که کودک آنها را پیدا میکند، دارای احکامی است که به طور خلاصه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حفظ اشیای پیدا شده و اعلان آن در صورت نیاز با ولی کودک است و در آخر آن‌چه به مصلحت کودک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اشیای پیدا شده یا باقی گذاردن آنها برای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انجام دهد</w:t>
      </w:r>
      <w:r>
        <w:rPr>
          <w:rFonts w:eastAsia="IRNazanin" w:cs="IRNazanin"/>
          <w:color w:val="111111"/>
          <w:sz w:val="28"/>
          <w:szCs w:val="28"/>
          <w:rtl w:val="true"/>
          <w:lang w:bidi="fa-IR"/>
        </w:rPr>
        <w:t>.</w:t>
      </w:r>
      <w:r>
        <w:rPr>
          <w:rStyle w:val="FootnoteAnchor"/>
          <w:rtl w:val="true"/>
        </w:rPr>
        <w:footnoteReference w:id="130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ولی کودک واجب است آن‌چه را که کودک پیدا کرده است، همانند دیگر اموال وی از او بگیرد و از تلف شدن آن جلوگیری به عمل آورد</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مالی را که پیدا کرده است، اتلاف نماید در حالی که ولی وی‌بیاطلاع باشد، ضامن است و باید از مال او پرداخت شود، زیرا اتلاف موجب ضمان‌است و بعضی از فقها فرموده‌اند، حتی اگر بدون تفریط در دست کودک تلف شود، نیز ضامن است</w:t>
      </w:r>
      <w:r>
        <w:rPr>
          <w:rFonts w:eastAsia="IRNazanin" w:cs="IRNazanin"/>
          <w:color w:val="111111"/>
          <w:sz w:val="28"/>
          <w:szCs w:val="28"/>
          <w:rtl w:val="true"/>
          <w:lang w:bidi="fa-IR"/>
        </w:rPr>
        <w:t>.</w:t>
      </w:r>
      <w:r>
        <w:rPr>
          <w:rStyle w:val="FootnoteAnchor"/>
          <w:rtl w:val="true"/>
        </w:rPr>
        <w:footnoteReference w:id="1309"/>
      </w:r>
      <w:r>
        <w:rPr>
          <w:rFonts w:ascii="IRNazanin" w:hAnsi="IRNazanin" w:eastAsia="IRNazanin"/>
          <w:color w:val="111111"/>
          <w:sz w:val="28"/>
          <w:sz w:val="28"/>
          <w:szCs w:val="28"/>
          <w:rtl w:val="true"/>
          <w:lang w:bidi="fa-IR"/>
        </w:rPr>
        <w:t>برخی دیگر در صورت دوم حکم به عدم ضمان نموده است</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و مالی که مالکش آن را رها نموده</w:t>
      </w:r>
    </w:p>
    <w:p>
      <w:pPr>
        <w:pStyle w:val="BookText"/>
        <w:rPr/>
      </w:pPr>
      <w:r>
        <w:rPr>
          <w:rFonts w:ascii="IRNazanin" w:hAnsi="IRNazanin" w:eastAsia="IRNazanin"/>
          <w:color w:val="111111"/>
          <w:sz w:val="28"/>
          <w:sz w:val="28"/>
          <w:szCs w:val="28"/>
          <w:rtl w:val="true"/>
          <w:lang w:bidi="fa-IR"/>
        </w:rPr>
        <w:t>در مورد اموالی که به هر دلیل مالک از آنها اعراض نموده‌اند،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صرف اعراض، موجب زوال ملکیت مالک از آن اموال نمیشود، لیکن جایز است در آن 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فقهی طبق این دیدگاه اعراض موجب اباحه تصرّف است و موجب زوال ملکیت نیست، مگر در چیزهای کوچک و کم ارزش و چیزهایی که سریعاً تلف میشود</w:t>
      </w:r>
      <w:r>
        <w:rPr>
          <w:rFonts w:eastAsia="IRNazanin" w:cs="IRNazanin"/>
          <w:color w:val="111111"/>
          <w:sz w:val="28"/>
          <w:szCs w:val="28"/>
          <w:rtl w:val="true"/>
          <w:lang w:bidi="fa-IR"/>
        </w:rPr>
        <w:t>.</w:t>
      </w:r>
      <w:r>
        <w:rPr>
          <w:rStyle w:val="FootnoteAnchor"/>
          <w:rtl w:val="true"/>
        </w:rPr>
        <w:footnoteReference w:id="131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دوم که میان فقها مشهور است این است که اعراض مالک از مال خود و رها نمودن آن، مال را به منزله مباحات اصلیه قرار میدهد و هر کس میتواند آن را تملّک نماید، مانند دیگر مباحات</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طبق هر یک از دو دیدگاه مزبور صحیح است که کودک همانند افراد مکلّف در اموالی که صاحبش از آن اعراض نموده تصرّف نماید و احکام مربوط به آن مترتّب میگردد، مستند این حکم عموم و اطلاق روایات</w:t>
      </w:r>
      <w:r>
        <w:rPr>
          <w:rStyle w:val="FootnoteAnchor"/>
          <w:rtl w:val="true"/>
        </w:rPr>
        <w:footnoteReference w:id="1313"/>
      </w:r>
      <w:r>
        <w:rPr>
          <w:rFonts w:ascii="IRNazanin" w:hAnsi="IRNazanin" w:eastAsia="IRNazanin"/>
          <w:color w:val="111111"/>
          <w:sz w:val="28"/>
          <w:sz w:val="28"/>
          <w:szCs w:val="28"/>
          <w:rtl w:val="true"/>
          <w:lang w:bidi="fa-IR"/>
        </w:rPr>
        <w:t>است، چرا که از آنها استفاده در این خصوص فرقی بین کودک و مکلّف نیست، مانند حیازت</w:t>
      </w:r>
      <w:r>
        <w:rPr>
          <w:rFonts w:eastAsia="IRNazanin" w:cs="IRNazanin"/>
          <w:color w:val="111111"/>
          <w:sz w:val="28"/>
          <w:szCs w:val="28"/>
          <w:rtl w:val="true"/>
          <w:lang w:bidi="fa-IR"/>
        </w:rPr>
        <w:t>.</w:t>
      </w:r>
      <w:bookmarkStart w:id="575" w:name="pg13713_164580"/>
    </w:p>
    <w:p>
      <w:pPr>
        <w:pStyle w:val="Heading3"/>
        <w:numPr>
          <w:ilvl w:val="2"/>
          <w:numId w:val="1"/>
        </w:numPr>
        <w:rPr/>
      </w:pPr>
      <w:bookmarkStart w:id="576" w:name="__RefHeading___Toc1259734_1468164448"/>
      <w:bookmarkStart w:id="577" w:name="_Toc212"/>
      <w:bookmarkEnd w:id="575"/>
      <w:bookmarkEnd w:id="576"/>
      <w:r>
        <w:rPr>
          <w:rtl w:val="true"/>
        </w:rPr>
        <w:t>گفتار هفتم</w:t>
      </w:r>
      <w:r>
        <w:rPr>
          <w:rtl w:val="true"/>
        </w:rPr>
        <w:t xml:space="preserve">: </w:t>
      </w:r>
      <w:r>
        <w:rPr>
          <w:rtl w:val="true"/>
        </w:rPr>
        <w:t>جعاله، غصب، وصیّت</w:t>
      </w:r>
      <w:bookmarkEnd w:id="577"/>
    </w:p>
    <w:p>
      <w:pPr>
        <w:pStyle w:val="Heading4"/>
        <w:numPr>
          <w:ilvl w:val="3"/>
          <w:numId w:val="1"/>
        </w:numPr>
        <w:rPr/>
      </w:pPr>
      <w:bookmarkStart w:id="578" w:name="__RefHeading___Toc1259736_1468164448"/>
      <w:bookmarkStart w:id="579" w:name="_Toc213"/>
      <w:bookmarkEnd w:id="578"/>
      <w:r>
        <w:rPr>
          <w:rtl w:val="true"/>
        </w:rPr>
        <w:t>الف</w:t>
      </w:r>
      <w:r>
        <w:rPr>
          <w:rtl w:val="true"/>
        </w:rPr>
        <w:t xml:space="preserve">: </w:t>
      </w:r>
      <w:r>
        <w:rPr>
          <w:rtl w:val="true"/>
        </w:rPr>
        <w:t>جعاله</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جعاله در لغت و اصطلاح</w:t>
      </w:r>
    </w:p>
    <w:p>
      <w:pPr>
        <w:pStyle w:val="BookText"/>
        <w:rPr/>
      </w:pP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 کسر و ضم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قرار دادن مزد برای انجام کار</w:t>
      </w:r>
      <w:r>
        <w:rPr>
          <w:rStyle w:val="FootnoteAnchor"/>
          <w:rtl w:val="true"/>
        </w:rPr>
        <w:footnoteReference w:id="13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فقها با اختلاف در عبارات آن را این 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جعاله‌عقدی است که بر طبق آن شخص در مقابل کاری که برای او انجام میشود ملتزم به پرداخت اجرت معلوم میگردد، اعم از اینکه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باشد یا نباشد</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 xml:space="preserve">تعریف جعاله در ماده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شبیه همین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جعاله، ارکان و اقسام آن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جعاله از عقود یا از ایقاعات است، بین فقها بحث و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از ایقاعات دانسته‌اند؛</w:t>
      </w:r>
      <w:r>
        <w:rPr>
          <w:rStyle w:val="FootnoteAnchor"/>
          <w:rtl w:val="true"/>
        </w:rPr>
        <w:footnoteReference w:id="1316"/>
      </w:r>
      <w:r>
        <w:rPr>
          <w:rFonts w:ascii="IRNazanin" w:hAnsi="IRNazanin" w:eastAsia="IRNazanin"/>
          <w:color w:val="111111"/>
          <w:sz w:val="28"/>
          <w:sz w:val="28"/>
          <w:szCs w:val="28"/>
          <w:rtl w:val="true"/>
          <w:lang w:bidi="fa-IR"/>
        </w:rPr>
        <w:t>زیرا شرط نیست عامل و کارگر معیّن باشد، از این رو در جعاله نیاز به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از عقود دانسته</w:t>
      </w:r>
      <w:r>
        <w:rPr>
          <w:rStyle w:val="FootnoteAnchor"/>
          <w:rtl w:val="true"/>
        </w:rPr>
        <w:footnoteReference w:id="1317"/>
      </w:r>
      <w:r>
        <w:rPr>
          <w:rFonts w:ascii="IRNazanin" w:hAnsi="IRNazanin" w:eastAsia="IRNazanin"/>
          <w:color w:val="111111"/>
          <w:sz w:val="28"/>
          <w:sz w:val="28"/>
          <w:szCs w:val="28"/>
          <w:rtl w:val="true"/>
          <w:lang w:bidi="fa-IR"/>
        </w:rPr>
        <w:t>و معتقداند قبول فعلی کافی است و نیاز به قبول لفظی نمیباشد</w:t>
      </w:r>
      <w:r>
        <w:rPr>
          <w:rFonts w:eastAsia="IRNazanin" w:cs="IRNazanin"/>
          <w:color w:val="111111"/>
          <w:sz w:val="28"/>
          <w:szCs w:val="28"/>
          <w:rtl w:val="true"/>
          <w:lang w:bidi="fa-IR"/>
        </w:rPr>
        <w:t>.</w:t>
      </w:r>
      <w:r>
        <w:rPr>
          <w:rStyle w:val="FootnoteAnchor"/>
          <w:rtl w:val="true"/>
        </w:rPr>
        <w:footnoteReference w:id="1318"/>
      </w:r>
      <w:r>
        <w:rPr>
          <w:rFonts w:ascii="IRNazanin" w:hAnsi="IRNazanin" w:eastAsia="IRNazanin"/>
          <w:color w:val="111111"/>
          <w:sz w:val="28"/>
          <w:sz w:val="28"/>
          <w:szCs w:val="28"/>
          <w:rtl w:val="true"/>
          <w:lang w:bidi="fa-IR"/>
        </w:rPr>
        <w:t>ارکان جعاله هم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و لفظی که دلالت بر درخواست عمل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یا کسی که درخواست انجام کاری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مورد درخواست جاعل که عامل عهده دار انجام آن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 یا اجرتی که در عقد جعاله مقابل عمل قرار میگیرد</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جعاله به اعتبار عامل و طرف خطابِ جاعل، به دو قسم عام و خاص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عام هدف اصلی جاعل رسیدن به نتیجه مطلوب است و برای او فرق نمیکند که عامل آن کار چه کسی باشد، از این رو خطاب و ایجاب او به طرف عموم است، مثل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گمشده مرا پیدا کند فلان مبلغ به او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جعاله خاص، جاعل شخص معیّنی را مخاطب قرار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گمشده مرا پیدا کنی فلان مبلغ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عمل به وسیله شخص دیگری انجام گیرد، آن شخص مستحق گرفتن اجرت نیست</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به هر صورت جعاله تعهدی است جایز و هر یک از طرفین میتواند آن را فسخ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جاعل پس از شروع کار آن را فسخ کند باید به نسبت کار انجام شده اجرة المسمی یا اجرة المثل را به عامل بپردازد</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جعاله نسبت به کودک</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جعاله شرط است جاعل، اهل تصرّف باشد، خواه جعاله را عقد بدانیم یا ایقاع، ازاین رو صحیح نیست کودک و مجنون جاعل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در این باره ادّعای عدم خلاف نموده‌اند</w:t>
      </w:r>
      <w:r>
        <w:rPr>
          <w:rStyle w:val="FootnoteAnchor"/>
          <w:rtl w:val="true"/>
        </w:rPr>
        <w:footnoteReference w:id="1322"/>
      </w:r>
      <w:r>
        <w:rPr>
          <w:rFonts w:ascii="IRNazanin" w:hAnsi="IRNazanin" w:eastAsia="IRNazanin"/>
          <w:color w:val="111111"/>
          <w:sz w:val="28"/>
          <w:sz w:val="28"/>
          <w:szCs w:val="28"/>
          <w:rtl w:val="true"/>
          <w:lang w:bidi="fa-IR"/>
        </w:rPr>
        <w:t>زیرا التزام به پرداخت مال در مقابل عمل عامل بدون داشتن اهلیّت، صحیح و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جاعل قرار گرفتن کودک ممیّز با اذن ولی شرعی به گونه‌ای که جعاله به ولی نسبت داده شود و کودک واسطه قرار گیرد، صحیح است و دلیل آن همان است که در بحث بیع کودک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آن دسته از فقها که جعاله را عقد میدانند و چه آنان که جعاله را ایقاع میدانند، در طرف عامل بلوغ و عقل و رشد را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شرطی که وجود دارد امکان تحصیل عمل است، یعنی بتواند کار مورد نظر جاعل را انجام دهد، بنا بر این کودک میتواند در جعاله عامل قرار گیرد</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امام خمینی قدس سره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جعاله برای عامل فقط امکان تحصیل عمل شرط است، به طوری که مانع عقلی</w:t>
      </w:r>
      <w:r>
        <w:rPr>
          <w:rStyle w:val="FootnoteAnchor"/>
          <w:rtl w:val="true"/>
        </w:rPr>
        <w:footnoteReference w:id="1324"/>
      </w:r>
      <w:r>
        <w:rPr>
          <w:rFonts w:ascii="IRNazanin" w:hAnsi="IRNazanin" w:eastAsia="IRNazanin"/>
          <w:color w:val="111111"/>
          <w:sz w:val="28"/>
          <w:sz w:val="28"/>
          <w:szCs w:val="28"/>
          <w:rtl w:val="true"/>
          <w:lang w:bidi="fa-IR"/>
        </w:rPr>
        <w:t>یا شرعی از انجام آن نداشته باشد، به عنوان مثال جایز نیست شخص جنب را برای کار در مسجد در جعاله عامل قرار داد، زیرا مانع شرعی دارد و چنین شخصی اگر در مسجد کارکرد، استحقاق گرفتن اجرت ندارد، لیکن نفوذ تصرّف در عامل شرط نیست، بر این اساس کودک ممیّز میتواند عامل قرار گیرد، هرچند بدون اذن ولی باشد، بلکه حتی کودک غیر ممیّز و مجنون نیز میتوانند عامل باشند و با انجام عملی که در جعاله مقرر شده باید به آنها اجرت پرداخت شود</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قرار گرفتن کودک در حقوق مدنی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صاحب نظران حقوق مدنی، جعاله را در زمره ایقاعات بر شمرده‌اند</w:t>
      </w:r>
      <w:r>
        <w:rPr>
          <w:rStyle w:val="FootnoteAnchor"/>
          <w:rtl w:val="true"/>
        </w:rPr>
        <w:footnoteReference w:id="1326"/>
      </w:r>
      <w:r>
        <w:rPr>
          <w:rFonts w:ascii="IRNazanin" w:hAnsi="IRNazanin" w:eastAsia="IRNazanin"/>
          <w:color w:val="111111"/>
          <w:sz w:val="28"/>
          <w:sz w:val="28"/>
          <w:szCs w:val="28"/>
          <w:rtl w:val="true"/>
          <w:lang w:bidi="fa-IR"/>
        </w:rPr>
        <w:t>و برخی دیگر آن را عقد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دوم طرفین عقد جعاله باید دارای اهلیت برای معامله باشند، زیرا جعاله یکی از عقود معیّن است و اهلیّت شرط اساسی برای صحت کلیه تعهدات است</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لیکن طرفداران هر دو نظریه اهلیّت را در عامل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محققین که جعاله را عقد دانسته‌اند، در این باره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که سفیه و صغیر</w:t>
      </w:r>
      <w:bookmarkStart w:id="580" w:name="pg13713_164583"/>
    </w:p>
    <w:p>
      <w:pPr>
        <w:pStyle w:val="BookText"/>
        <w:rPr/>
      </w:pPr>
      <w:bookmarkEnd w:id="580"/>
      <w:r>
        <w:rPr>
          <w:rFonts w:ascii="IRNazanin" w:hAnsi="IRNazanin" w:eastAsia="IRNazanin"/>
          <w:color w:val="111111"/>
          <w:sz w:val="28"/>
          <w:sz w:val="28"/>
          <w:szCs w:val="28"/>
          <w:rtl w:val="true"/>
          <w:lang w:bidi="fa-IR"/>
        </w:rPr>
        <w:t>ممیّز بتواند در عقد جعاله عامل قرار گیرند، زیرا با معتبر بودن عباراتشان آنان میتوانند طرف عقد قرار گیرند و تعهد به انجام عمل نمایند</w:t>
      </w:r>
      <w:r>
        <w:rPr>
          <w:rFonts w:eastAsia="IRNazanin" w:cs="IRNazanin"/>
          <w:color w:val="111111"/>
          <w:sz w:val="28"/>
          <w:szCs w:val="28"/>
          <w:rtl w:val="true"/>
          <w:lang w:bidi="fa-IR"/>
        </w:rPr>
        <w:t>».</w:t>
      </w:r>
      <w:r>
        <w:rPr>
          <w:rStyle w:val="FootnoteAnchor"/>
          <w:rtl w:val="true"/>
        </w:rPr>
        <w:footnoteReference w:id="1328"/>
      </w:r>
    </w:p>
    <w:p>
      <w:pPr>
        <w:pStyle w:val="Heading4"/>
        <w:numPr>
          <w:ilvl w:val="3"/>
          <w:numId w:val="1"/>
        </w:numPr>
        <w:rPr/>
      </w:pPr>
      <w:bookmarkStart w:id="581" w:name="__RefHeading___Toc1259738_1468164448"/>
      <w:bookmarkStart w:id="582" w:name="_Toc214"/>
      <w:bookmarkEnd w:id="581"/>
      <w:r>
        <w:rPr>
          <w:rtl w:val="true"/>
        </w:rPr>
        <w:t>ب</w:t>
      </w:r>
      <w:r>
        <w:rPr>
          <w:rtl w:val="true"/>
        </w:rPr>
        <w:t xml:space="preserve">: </w:t>
      </w:r>
      <w:r>
        <w:rPr>
          <w:rtl w:val="true"/>
        </w:rPr>
        <w:t>غصب</w:t>
      </w:r>
      <w:bookmarkEnd w:id="5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غصب در لغت و اصطلاح</w:t>
      </w:r>
    </w:p>
    <w:p>
      <w:pPr>
        <w:pStyle w:val="BookText"/>
        <w:rPr/>
      </w:pPr>
      <w:r>
        <w:rPr>
          <w:rFonts w:ascii="IRNazanin" w:hAnsi="IRNazanin" w:eastAsia="IRNazanin"/>
          <w:color w:val="111111"/>
          <w:sz w:val="28"/>
          <w:sz w:val="28"/>
          <w:szCs w:val="28"/>
          <w:rtl w:val="true"/>
          <w:lang w:bidi="fa-IR"/>
        </w:rPr>
        <w:t>غصب در لغت به معنای گرفتن چیزی با ستم است</w:t>
      </w:r>
      <w:r>
        <w:rPr>
          <w:rStyle w:val="FootnoteAnchor"/>
          <w:rtl w:val="true"/>
        </w:rPr>
        <w:footnoteReference w:id="1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کلمه عدوان را بدان اضافه نموده‌اند</w:t>
      </w:r>
      <w:r>
        <w:rPr>
          <w:rStyle w:val="FootnoteAnchor"/>
          <w:rtl w:val="true"/>
        </w:rPr>
        <w:footnoteReference w:id="1330"/>
      </w:r>
      <w:r>
        <w:rPr>
          <w:rFonts w:ascii="IRNazanin" w:hAnsi="IRNazanin" w:eastAsia="IRNazanin"/>
          <w:color w:val="111111"/>
          <w:sz w:val="28"/>
          <w:sz w:val="28"/>
          <w:szCs w:val="28"/>
          <w:rtl w:val="true"/>
          <w:lang w:bidi="fa-IR"/>
        </w:rPr>
        <w:t>امّا در اصطلاح، فقها تعاریفی در مورد آن ارائه نموده‌اند که با معنای لغوی آن متناسب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محقق حلّی و شهید اول و برخی دیگر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 هو الاستقلال باثبات الید علی مال الغیر عدواناً</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 xml:space="preserve">یعنی‌غصب آن است که شخص مستقلاً و به تنهایی بر مال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عین یا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ظلم و ستم دست گذارده و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اگر کسی به حق دیگری تجاوز کند، مثل حق تحجیر و حق نشستن در مسجد و در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خانه‌ای که صاحب خانه نیز در آن سکونت دارد به نحو اشاعه سلطه پیدا کند، مصداق غصب نخواهد بود، با اینکه در هر دو مورد به طور یقین غصب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برخی از فقیهان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غصب را این گونه تعریف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الغصب هو الاستیلاء علی حقّ الغیر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غصب عبارت است از استیلاء بر حق غیر به طور عدوان</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ظاهراً تعریف مزبور نظر مشهور فقها است و شامل غصب حقوق نیز میباشد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نیز به پیروی از این دیدگاه در ماده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غصب استیلا بر حق غیر است به نحو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استیلا، مسلط گردیدن بر حق غیر و تصرّف در آن است و معیار حصول این امر نیز داوری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علاوه بر این که ممکن است مال مورد تصرّف غاصبانه قرار گیرد، چیزهای دیگری نیز ممکن است مورد غصب واقع شود که عرفاً مال نیست، بلکه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که غصب شده نیز ممکن است حق مالکیّت بر عین باشد، اعم از منقول و غیر منقول، ممکن است حق بر منفعت باشد و ممکن است حقوق دیگری مانند حق تحجیر و حق مرتهن نسبت به مال مرهون و یا حق انتفاع از مشترکات عمومی مثل حق سکونت در مدرسه و حق جلوس و نماز خواندن در مسجد و یا حق عبور از جاده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این حقوق اگر اختصاص به غیر نداشته باشد، مثل حق انتفاع از مشترکات، غاصب تنها معصیت کار میباشد و مستحق عقوبت اخروی است، اما حکم وضعی ضمان بر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بودن کودک در غصب</w:t>
      </w:r>
    </w:p>
    <w:p>
      <w:pPr>
        <w:pStyle w:val="BookText"/>
        <w:rPr/>
      </w:pPr>
      <w:r>
        <w:rPr>
          <w:rFonts w:ascii="IRNazanin" w:hAnsi="IRNazanin" w:eastAsia="IRNazanin"/>
          <w:color w:val="111111"/>
          <w:sz w:val="28"/>
          <w:sz w:val="28"/>
          <w:szCs w:val="28"/>
          <w:rtl w:val="true"/>
          <w:lang w:bidi="fa-IR"/>
        </w:rPr>
        <w:t>بی گمان با تحقق یافتن غصب دو حکم بر آن مترتب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حرمت غصب و ارتکاب جرم و عقوبت اخروی آن و وجوب ردّ مال مغصوب به صاحبش و یا ولی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صاحب مال صغیر و یا مجنون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حکم اختصاص به افرادی دارد که از جهت بلوغ و عقل کامل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به اتفاق مسلمانان شرط تکلیف به واجب و حرام بلوغ است</w:t>
      </w:r>
      <w:r>
        <w:rPr>
          <w:rStyle w:val="FootnoteAnchor"/>
          <w:rtl w:val="true"/>
        </w:rPr>
        <w:footnoteReference w:id="1333"/>
      </w:r>
      <w:r>
        <w:rPr>
          <w:rFonts w:ascii="IRNazanin" w:hAnsi="IRNazanin" w:eastAsia="IRNazanin"/>
          <w:color w:val="111111"/>
          <w:sz w:val="28"/>
          <w:sz w:val="28"/>
          <w:szCs w:val="28"/>
          <w:rtl w:val="true"/>
          <w:lang w:bidi="fa-IR"/>
        </w:rPr>
        <w:t>، از این رو حکم تکلیفی غصب شامل کودک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ضمان، به این معنا که مال غصب شده بر عهده غاصب است و باید خسارت آن از مال وی پرداخت شود و اگر عین مال تلف گردیده بدل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و یا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 و آن را ضمان ید</w:t>
      </w:r>
      <w:r>
        <w:rPr>
          <w:rStyle w:val="FootnoteAnchor"/>
          <w:rtl w:val="true"/>
        </w:rPr>
        <w:footnoteReference w:id="1334"/>
      </w:r>
      <w:r>
        <w:rPr>
          <w:rFonts w:ascii="IRNazanin" w:hAnsi="IRNazanin" w:eastAsia="IRNazanin"/>
          <w:color w:val="111111"/>
          <w:sz w:val="28"/>
          <w:sz w:val="28"/>
          <w:szCs w:val="28"/>
          <w:rtl w:val="true"/>
          <w:lang w:bidi="fa-IR"/>
        </w:rPr>
        <w:t>مینامند، این حکم به کودک تعلق میگیرد، زیرا بیتردید در ضمان بلوغ و رشد شرط نیست</w:t>
      </w:r>
      <w:r>
        <w:rPr>
          <w:rFonts w:eastAsia="IRNazanin" w:cs="IRNazanin"/>
          <w:color w:val="111111"/>
          <w:sz w:val="28"/>
          <w:szCs w:val="28"/>
          <w:rtl w:val="true"/>
          <w:lang w:bidi="fa-IR"/>
        </w:rPr>
        <w:t>.</w:t>
      </w:r>
      <w:r>
        <w:rPr>
          <w:rStyle w:val="FootnoteAnchor"/>
          <w:rtl w:val="true"/>
        </w:rPr>
        <w:footnoteReference w:id="133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غصب همانند اتلاف شامل کودک و بالغ هر دو میباشد و دلیل آن اجماع است که از تتبع در کلمات فقها به دست</w:t>
      </w:r>
      <w:bookmarkStart w:id="583" w:name="pg13713_164585"/>
    </w:p>
    <w:p>
      <w:pPr>
        <w:pStyle w:val="BookText"/>
        <w:rPr/>
      </w:pPr>
      <w:bookmarkEnd w:id="583"/>
      <w:r>
        <w:rPr>
          <w:rFonts w:ascii="IRNazanin" w:hAnsi="IRNazanin" w:eastAsia="IRNazanin"/>
          <w:color w:val="111111"/>
          <w:sz w:val="28"/>
          <w:sz w:val="28"/>
          <w:szCs w:val="28"/>
          <w:rtl w:val="true"/>
          <w:lang w:bidi="fa-IR"/>
        </w:rPr>
        <w:t>میآید، زیرا در بین آنها اختلافی دیده نشده که حکم ضمان بر کودک غاصب ثابت است، همان گونه که اگر مال دیگری را اتلاف نماید، ضامن میباشد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به هر حال چون حکم تکلیفی بر کودک نیست، بر ولی او واجب است عین مال مغصوب را از وی بگیرد و به صاحبش برگرداند و اگر عین تلف شده قیمت یا مثل آن را از مال کودک بپردازد</w:t>
      </w:r>
      <w:r>
        <w:rPr>
          <w:rFonts w:eastAsia="IRNazanin" w:cs="IRNazanin"/>
          <w:color w:val="111111"/>
          <w:sz w:val="28"/>
          <w:szCs w:val="28"/>
          <w:rtl w:val="true"/>
          <w:lang w:bidi="fa-IR"/>
        </w:rPr>
        <w:t>.</w:t>
      </w:r>
      <w:r>
        <w:rPr>
          <w:rStyle w:val="FootnoteAnchor"/>
          <w:rtl w:val="true"/>
        </w:rPr>
        <w:footnoteReference w:id="1337"/>
      </w:r>
    </w:p>
    <w:p>
      <w:pPr>
        <w:pStyle w:val="BookText"/>
        <w:rPr/>
      </w:pPr>
      <w:r>
        <w:rPr>
          <w:rFonts w:ascii="IRNazanin" w:hAnsi="IRNazanin" w:eastAsia="IRNazanin"/>
          <w:color w:val="111111"/>
          <w:sz w:val="28"/>
          <w:sz w:val="28"/>
          <w:szCs w:val="28"/>
          <w:rtl w:val="true"/>
          <w:lang w:bidi="fa-IR"/>
        </w:rPr>
        <w:t>آن‌چه ذکر شد در صورتی است که کودک صاحب اموال باشد، اما در صورتی که دارای اموال نباشد در عبارات فقها حکم این مسأله با صراحت بیان نشده و ظاهر این است که به دلیل اجرای اصل برائت ولی کودک ضامن نیست، هم‌چنان که بعضی از فقها در موارد مشابه آن به آن تصریح نموده‌اند</w:t>
      </w:r>
      <w:r>
        <w:rPr>
          <w:rFonts w:eastAsia="IRNazanin" w:cs="IRNazanin"/>
          <w:color w:val="111111"/>
          <w:sz w:val="28"/>
          <w:szCs w:val="28"/>
          <w:rtl w:val="true"/>
          <w:lang w:bidi="fa-IR"/>
        </w:rPr>
        <w:t>.</w:t>
      </w:r>
      <w:r>
        <w:rPr>
          <w:rStyle w:val="FootnoteAnchor"/>
          <w:rtl w:val="true"/>
        </w:rPr>
        <w:footnoteReference w:id="1338"/>
      </w:r>
      <w:r>
        <w:rPr>
          <w:rFonts w:ascii="IRNazanin" w:hAnsi="IRNazanin" w:eastAsia="IRNazanin"/>
          <w:color w:val="111111"/>
          <w:sz w:val="28"/>
          <w:sz w:val="28"/>
          <w:szCs w:val="28"/>
          <w:rtl w:val="true"/>
          <w:lang w:bidi="fa-IR"/>
        </w:rPr>
        <w:t>در این صورت کسی که مال از او غصب شده باید صبر کند تا کودک بالغ شود و حق او را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فقها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لازم باشد دین کودک نسبت به کسی که مال او غصب نموده از بیت المال پرداخت شود، زیرا حکم به این‌که صاحب مال غصب شده باید مدّتی طولانی صبر کند تا کودک بالغ شود ضرر بر اوست،</w:t>
      </w:r>
      <w:r>
        <w:rPr>
          <w:rStyle w:val="FootnoteAnchor"/>
          <w:rtl w:val="true"/>
        </w:rPr>
        <w:footnoteReference w:id="1339"/>
      </w:r>
      <w:r>
        <w:rPr>
          <w:rFonts w:ascii="IRNazanin" w:hAnsi="IRNazanin" w:eastAsia="IRNazanin"/>
          <w:color w:val="111111"/>
          <w:sz w:val="28"/>
          <w:sz w:val="28"/>
          <w:szCs w:val="28"/>
          <w:rtl w:val="true"/>
          <w:lang w:bidi="fa-IR"/>
        </w:rPr>
        <w:t>البته در فرض مزبور اگر ولی کودک در مراقبت از وی کوتاهی کرده باشد ظاهرا باید خسارت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در حقوق مدنی بحث از غصب توسط کودک، به میان نیامده و قانونگذار این مسائل را مسکوت گذارده است</w:t>
      </w:r>
      <w:r>
        <w:rPr>
          <w:rFonts w:eastAsia="IRNazanin" w:cs="IRNazanin"/>
          <w:color w:val="111111"/>
          <w:sz w:val="28"/>
          <w:szCs w:val="28"/>
          <w:rtl w:val="true"/>
          <w:lang w:bidi="fa-IR"/>
        </w:rPr>
        <w:t>.</w:t>
      </w:r>
    </w:p>
    <w:p>
      <w:pPr>
        <w:pStyle w:val="Heading4"/>
        <w:numPr>
          <w:ilvl w:val="3"/>
          <w:numId w:val="1"/>
        </w:numPr>
        <w:rPr/>
      </w:pPr>
      <w:bookmarkStart w:id="584" w:name="__RefHeading___Toc1259740_1468164448"/>
      <w:bookmarkStart w:id="585" w:name="_Toc215"/>
      <w:bookmarkEnd w:id="584"/>
      <w:r>
        <w:rPr>
          <w:rtl w:val="true"/>
        </w:rPr>
        <w:t>ج</w:t>
      </w:r>
      <w:r>
        <w:rPr>
          <w:rtl w:val="true"/>
        </w:rPr>
        <w:t xml:space="preserve">: </w:t>
      </w:r>
      <w:r>
        <w:rPr>
          <w:rtl w:val="true"/>
        </w:rPr>
        <w:t>وصیت</w:t>
      </w:r>
      <w:bookmarkEnd w:id="5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کودک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از کلیات، مفهوم وصیّت بیان شد و آن‌چه در این بخش مورد توجه است، این است که آیا وصیّت کودک صحیح است یا خیر؟ 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اجماع فقها، وصیّت کودک غیر ممیّز صحیح نیست</w:t>
      </w:r>
      <w:r>
        <w:rPr>
          <w:rFonts w:eastAsia="IRNazanin" w:cs="IRNazanin"/>
          <w:color w:val="111111"/>
          <w:sz w:val="28"/>
          <w:szCs w:val="28"/>
          <w:rtl w:val="true"/>
          <w:lang w:bidi="fa-IR"/>
        </w:rPr>
        <w:t>.</w:t>
      </w:r>
      <w:r>
        <w:rPr>
          <w:rStyle w:val="FootnoteAnchor"/>
          <w:rtl w:val="true"/>
        </w:rPr>
        <w:footnoteReference w:id="1340"/>
      </w:r>
      <w:r>
        <w:rPr>
          <w:rFonts w:ascii="IRNazanin" w:hAnsi="IRNazanin" w:eastAsia="IRNazanin"/>
          <w:color w:val="111111"/>
          <w:sz w:val="28"/>
          <w:sz w:val="28"/>
          <w:szCs w:val="28"/>
          <w:rtl w:val="true"/>
          <w:lang w:bidi="fa-IR"/>
        </w:rPr>
        <w:t>ولی در مورد کودک ممیّز بحث و گفتگو است و در این باره دیدگاه‌های متعدّدی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کودک مطلقاً صحیح نیست</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کودک برای مصرف اموالش در راه نیک و پسندیده در صورتی که به سن ده سالگی رسیده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مورد پذیرش مشهور فقها است</w:t>
      </w:r>
      <w:r>
        <w:rPr>
          <w:rStyle w:val="FootnoteAnchor"/>
          <w:rtl w:val="true"/>
        </w:rPr>
        <w:footnoteReference w:id="1342"/>
      </w:r>
      <w:r>
        <w:rPr>
          <w:rFonts w:ascii="IRNazanin" w:hAnsi="IRNazanin" w:eastAsia="IRNazanin"/>
          <w:color w:val="111111"/>
          <w:sz w:val="28"/>
          <w:sz w:val="28"/>
          <w:szCs w:val="28"/>
          <w:rtl w:val="true"/>
          <w:lang w:bidi="fa-IR"/>
        </w:rPr>
        <w:t>و بعضی بر آن ادّعای اجماع نموده‌اند</w:t>
      </w:r>
      <w:r>
        <w:rPr>
          <w:rFonts w:eastAsia="IRNazanin" w:cs="IRNazanin"/>
          <w:color w:val="111111"/>
          <w:sz w:val="28"/>
          <w:szCs w:val="28"/>
          <w:rtl w:val="true"/>
          <w:lang w:bidi="fa-IR"/>
        </w:rPr>
        <w:t>.</w:t>
      </w:r>
      <w:r>
        <w:rPr>
          <w:rStyle w:val="FootnoteAnchor"/>
          <w:rtl w:val="true"/>
        </w:rPr>
        <w:footnoteReference w:id="1343"/>
      </w:r>
      <w:r>
        <w:rPr>
          <w:rFonts w:ascii="IRNazanin" w:hAnsi="IRNazanin" w:eastAsia="IRNazanin"/>
          <w:color w:val="111111"/>
          <w:sz w:val="28"/>
          <w:sz w:val="28"/>
          <w:szCs w:val="28"/>
          <w:rtl w:val="true"/>
          <w:lang w:bidi="fa-IR"/>
        </w:rPr>
        <w:t>مستند این دیدگاه، روایات است، مانند این که ابوبصیر در روایت صحیح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کودک ده ساله باشد و به مقدار ثلث مال خود را در راه حق و ثواب وصیّت نماید، صحیح‌است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الْغُلامُ عَشْرَ سِنِینَ وَ أوْصَی بِثُلُثِ مَالِهِ فِی حَقٍّ جَازَتْ وَصِیَّتُهُ</w:t>
      </w:r>
      <w:r>
        <w:rPr>
          <w:rFonts w:eastAsia="IRNazanin" w:cs="IRNazanin"/>
          <w:color w:val="111111"/>
          <w:sz w:val="28"/>
          <w:szCs w:val="28"/>
          <w:rtl w:val="true"/>
          <w:lang w:bidi="fa-IR"/>
        </w:rPr>
        <w:t>».</w:t>
      </w:r>
      <w:r>
        <w:rPr>
          <w:rStyle w:val="FootnoteAnchor"/>
          <w:rtl w:val="true"/>
        </w:rPr>
        <w:footnoteReference w:id="1344"/>
      </w:r>
      <w:r>
        <w:rPr>
          <w:rFonts w:ascii="IRNazanin" w:hAnsi="IRNazanin" w:eastAsia="IRNazanin"/>
          <w:color w:val="111111"/>
          <w:sz w:val="28"/>
          <w:sz w:val="28"/>
          <w:szCs w:val="28"/>
          <w:rtl w:val="true"/>
          <w:lang w:bidi="fa-IR"/>
        </w:rPr>
        <w:t>روایات دیگری نیز به همین مضمون وارد شده است</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آیت الله فاضل لنکرانی در توضیح این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مقصود از حق در روایت، اموری است که به عهده کودک قرار گرفته به طوری که واجب است بر او بعد از بلوغ انجام دهد یا باید ولی او از اموال صغیر ادا نماید، مانند این که مال دیگری را اتلاف نموده و به حکم قاعده اتلاف ضامن است خسارت وارده را جبران نماید</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کودک ده ساله مطلقاً صحیح است</w:t>
      </w:r>
      <w:r>
        <w:rPr>
          <w:rFonts w:eastAsia="IRNazanin" w:cs="IRNazanin"/>
          <w:color w:val="111111"/>
          <w:sz w:val="28"/>
          <w:szCs w:val="28"/>
          <w:rtl w:val="true"/>
          <w:lang w:bidi="fa-IR"/>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کودک مراهق و کسی که بلوغ او نزدیک میباشد، صحیح است</w:t>
      </w:r>
      <w:r>
        <w:rPr>
          <w:rFonts w:eastAsia="IRNazanin" w:cs="IRNazanin"/>
          <w:color w:val="111111"/>
          <w:sz w:val="28"/>
          <w:szCs w:val="28"/>
          <w:rtl w:val="true"/>
          <w:lang w:bidi="fa-IR"/>
        </w:rPr>
        <w:t>.</w:t>
      </w:r>
      <w:r>
        <w:rPr>
          <w:rStyle w:val="FootnoteAnchor"/>
          <w:rtl w:val="true"/>
        </w:rPr>
        <w:footnoteReference w:id="1348"/>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دیدگاه‌های دیگری نیز که در این باره مطرح شده است</w:t>
      </w:r>
      <w:r>
        <w:rPr>
          <w:rStyle w:val="FootnoteAnchor"/>
          <w:rtl w:val="true"/>
        </w:rPr>
        <w:footnoteReference w:id="13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موصی در حقوق مدنی</w:t>
      </w:r>
    </w:p>
    <w:p>
      <w:pPr>
        <w:pStyle w:val="BookText"/>
        <w:rPr/>
      </w:pPr>
      <w:r>
        <w:rPr>
          <w:rFonts w:ascii="IRNazanin" w:hAnsi="IRNazanin" w:eastAsia="IRNazanin"/>
          <w:color w:val="111111"/>
          <w:sz w:val="28"/>
          <w:sz w:val="28"/>
          <w:szCs w:val="28"/>
          <w:rtl w:val="true"/>
          <w:lang w:bidi="fa-IR"/>
        </w:rPr>
        <w:t xml:space="preserve">به استناد ماده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باید اذعان نمود که لازم است موصی در حین وصیّت برای معامله اهلیّت داشته باشد، زیرا مطابق ماده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باید متعاملین، اهل‌محسوب شوند، یعنی بالغ، عاقل، و رشید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چنان که از ماده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که وصیت تملیکی را تعریف مینماید، معلوم میگردد، موصی با انجام وصیت، مال خود را به دیگری واگذار مینماید و واگذاری از اقسام معاملات، به معنی اعم است و بدون داشتن اهلیّت باطل میباشد، بنابراین لازم است موصی، محجور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مجنون یا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وصیّت اینان باطل است، زیرا آنها نمیتوانند در اموال خود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صاحب نظران حقوق مدنی با صراحت اعلام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باید در زمان وصیّت کردن، بالغ و عاقل و رشید باشد</w:t>
      </w:r>
      <w:r>
        <w:rPr>
          <w:rFonts w:eastAsia="IRNazanin" w:cs="IRNazanin"/>
          <w:color w:val="111111"/>
          <w:sz w:val="28"/>
          <w:szCs w:val="28"/>
          <w:rtl w:val="true"/>
          <w:lang w:bidi="fa-IR"/>
        </w:rPr>
        <w:t>»</w:t>
      </w:r>
      <w:r>
        <w:rPr>
          <w:rStyle w:val="FootnoteAnchor"/>
          <w:rtl w:val="true"/>
        </w:rPr>
        <w:footnoteReference w:id="1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ولی و قیّم آنها نیز نمیتوانند به عنوان نمایندگی از آنها وصیت کنند، زیرا ولی و قیّم برای اداره دارایی محجور میباشند، و وصیت، واگذاری مجانی دارایی محجور به غیر میباشد، و ولی و قیّم، در این باره مسئولیتی ندارند</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در مورد زمان لزوم اهلیت در موصی، بعضی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موصی باید در زمان انشای وصیت، اهلیت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لحظه است که نسبت به تملیک مال خود، تصمیم میگیرد و ضرورتی ندارد که اهلیت موصی تا زمان فوت باقی بماند و عارضه جنون و سفه بعد از انشای وصیّت در نفوذ حقوقی آن بیاثر باشد</w:t>
      </w:r>
      <w:r>
        <w:rPr>
          <w:rFonts w:eastAsia="IRNazanin" w:cs="IRNazanin"/>
          <w:color w:val="111111"/>
          <w:sz w:val="28"/>
          <w:szCs w:val="28"/>
          <w:rtl w:val="true"/>
          <w:lang w:bidi="fa-IR"/>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مناسب است به این نکته اشاره شود که فقها در مباحث فقه استدلالی علاوه بر عناوینی که در این بخش ذکر شد و حکم فقهی دخالت و تصرّف کودک در اموال خود و دیگران نسبت به آنها بیان گردید، مسائل متعدد دیگری که مرتبط با مسأله مورد بحث است طرح کرده و در مورد آنها به تفصیل اظهار نظر نموده‌اند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وصیت کودک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مربوط به اجرای عقد نکاح و طلاق توسط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یمین کودک و نذر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صید کودک و ذبیحه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حق الشفعه برای کودک</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موسوعه احکام الاطفال مباحث مزبور ذکر و پیرامون آن بحث شده است، ولی به دلیل این که بحث از مباحث مذکور فایده عملی ندارد و نظر فقهی در مورد آنها غالباً شبیه آن‌چه در دیگر عناوین ذکر شد، میباشد و نیز برای جلوگیری از طولانی شدن این مبحث از ذکر این مباحث خودداری میگردد</w:t>
      </w:r>
      <w:r>
        <w:rPr>
          <w:rFonts w:eastAsia="IRNazanin" w:cs="IRNazanin"/>
          <w:color w:val="111111"/>
          <w:sz w:val="28"/>
          <w:szCs w:val="28"/>
          <w:rtl w:val="true"/>
          <w:lang w:bidi="fa-IR"/>
        </w:rPr>
        <w:t>.</w:t>
      </w:r>
      <w:r>
        <w:rPr>
          <w:rStyle w:val="FootnoteAnchor"/>
          <w:rtl w:val="true"/>
        </w:rPr>
        <w:footnoteReference w:id="1353"/>
      </w:r>
      <w:bookmarkStart w:id="586" w:name="pg13713_164589"/>
    </w:p>
    <w:p>
      <w:pPr>
        <w:pStyle w:val="Heading3"/>
        <w:numPr>
          <w:ilvl w:val="2"/>
          <w:numId w:val="1"/>
        </w:numPr>
        <w:rPr/>
      </w:pPr>
      <w:bookmarkStart w:id="587" w:name="__RefHeading___Toc1259742_1468164448"/>
      <w:bookmarkStart w:id="588" w:name="_Toc216"/>
      <w:bookmarkEnd w:id="586"/>
      <w:bookmarkEnd w:id="587"/>
      <w:r>
        <w:rPr>
          <w:rtl w:val="true"/>
        </w:rPr>
        <w:t>گفتار هشتم</w:t>
      </w:r>
      <w:r>
        <w:rPr>
          <w:rtl w:val="true"/>
        </w:rPr>
        <w:t xml:space="preserve">: </w:t>
      </w:r>
      <w:r>
        <w:rPr>
          <w:rtl w:val="true"/>
        </w:rPr>
        <w:t>حمایت از کودک در برابر بهره کشی اقتصادی و ممنوعیت به کارگیری او در کارهای سخت و زیان آور</w:t>
      </w:r>
      <w:bookmarkEnd w:id="588"/>
    </w:p>
    <w:p>
      <w:pPr>
        <w:pStyle w:val="Heading4"/>
        <w:numPr>
          <w:ilvl w:val="3"/>
          <w:numId w:val="1"/>
        </w:numPr>
        <w:rPr/>
      </w:pPr>
      <w:bookmarkStart w:id="589" w:name="__RefHeading___Toc1259744_1468164448"/>
      <w:bookmarkStart w:id="590" w:name="_Toc217"/>
      <w:bookmarkEnd w:id="589"/>
      <w:r>
        <w:rPr/>
        <w:t>1</w:t>
      </w:r>
      <w:r>
        <w:rPr>
          <w:rtl w:val="true"/>
        </w:rPr>
        <w:t xml:space="preserve">- </w:t>
      </w:r>
      <w:r>
        <w:rPr>
          <w:rtl w:val="true"/>
        </w:rPr>
        <w:t>طرح مسأله</w:t>
      </w:r>
      <w:bookmarkEnd w:id="590"/>
    </w:p>
    <w:p>
      <w:pPr>
        <w:pStyle w:val="BookText"/>
        <w:rPr/>
      </w:pPr>
      <w:r>
        <w:rPr>
          <w:rFonts w:ascii="IRNazanin" w:hAnsi="IRNazanin" w:eastAsia="IRNazanin"/>
          <w:color w:val="111111"/>
          <w:sz w:val="28"/>
          <w:sz w:val="28"/>
          <w:szCs w:val="28"/>
          <w:rtl w:val="true"/>
          <w:lang w:bidi="fa-IR"/>
        </w:rPr>
        <w:t>از دیدگاه اسلام کار و تلاش برای اداره زندگی، از اهمیت بسیار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امر موجب نمیشود که کودکان صعیف و ناتوان دستاویز کار و بهره کشی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یکی از روشن‌ترین و بیرحمانه‌ترین سوء استفاده از کودکان، بهره کشی اقتصادی است که در شکل‌های مختلف از قبیل سوء استفاده برای تکدّی گری، جیب‌بری، توزیع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باید کرد؟ چگونه میتوان بین این دو مسأله یعنی اهمیت کار و جلوگیری از سوء استفاده از کار کودک و استثمار وی جمع نمود؟ آیا باید از کار کودک ممانعت به عمل آورد و یا راه حل دیگری وجود دارد؟</w:t>
      </w:r>
    </w:p>
    <w:p>
      <w:pPr>
        <w:pStyle w:val="BookText"/>
        <w:rPr/>
      </w:pPr>
      <w:r>
        <w:rPr>
          <w:rFonts w:ascii="IRNazanin" w:hAnsi="IRNazanin" w:eastAsia="IRNazanin"/>
          <w:color w:val="111111"/>
          <w:sz w:val="28"/>
          <w:sz w:val="28"/>
          <w:szCs w:val="28"/>
          <w:rtl w:val="true"/>
          <w:lang w:bidi="fa-IR"/>
        </w:rPr>
        <w:t>در این بخش، بحث از کار کودک تحت عناوین فقهی و حقوقی مطرح شد و به دلیل اهمیت و حساسیت موضوع، مناسب است بحث بهره کشی اقتصادی کودک را در یک گفتار مستقل و فراتر از دیدگاه فقهی و حقوقی ذکر نماییم</w:t>
      </w:r>
      <w:r>
        <w:rPr>
          <w:rFonts w:eastAsia="IRNazanin" w:cs="IRNazanin"/>
          <w:color w:val="111111"/>
          <w:sz w:val="28"/>
          <w:szCs w:val="28"/>
          <w:rtl w:val="true"/>
          <w:lang w:bidi="fa-IR"/>
        </w:rPr>
        <w:t>.</w:t>
      </w:r>
    </w:p>
    <w:p>
      <w:pPr>
        <w:pStyle w:val="Heading4"/>
        <w:numPr>
          <w:ilvl w:val="3"/>
          <w:numId w:val="1"/>
        </w:numPr>
        <w:rPr/>
      </w:pPr>
      <w:bookmarkStart w:id="591" w:name="__RefHeading___Toc1259746_1468164448"/>
      <w:bookmarkStart w:id="592" w:name="_Toc218"/>
      <w:bookmarkEnd w:id="591"/>
      <w:r>
        <w:rPr/>
        <w:t>2</w:t>
      </w:r>
      <w:r>
        <w:rPr>
          <w:rtl w:val="true"/>
        </w:rPr>
        <w:t xml:space="preserve">- </w:t>
      </w:r>
      <w:r>
        <w:rPr>
          <w:rtl w:val="true"/>
        </w:rPr>
        <w:t>اهمیت کار در اسلام</w:t>
      </w:r>
      <w:bookmarkEnd w:id="59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بسیاری بر اهمیت کار و فعالیت برای اداره زندگی و توسعه آن تأکید شده است، به عنوان نمونه میتوان به آیات و روایات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عامل اصلی سعادت انسان را سعی و تلاش برای زندگی میداند و انسان را در گرو اعمالش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دیگری بهره او را تنها در گرو سعیش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بسیاری ازآیات بعد از ذکر ایمان، بر عمل صالح و نیک تکیه میکند و غیر نیکوکاران را اهل خسران و بدبختی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 إِلاَّ الَّذِینَ آمَنُوا وَ عَمِلُوا الصّالِحاتِ</w:t>
      </w:r>
      <w:r>
        <w:rPr>
          <w:rFonts w:eastAsia="Amiri" w:cs="Amiri" w:ascii="Amiri" w:hAnsi="Amiri"/>
          <w:color w:val="111111"/>
          <w:sz w:val="28"/>
          <w:szCs w:val="28"/>
          <w:rtl w:val="true"/>
          <w:lang w:bidi="ar-SA"/>
        </w:rPr>
        <w:t>) .</w:t>
      </w:r>
      <w:r>
        <w:rPr>
          <w:rStyle w:val="FootnoteAnchor"/>
          <w:rtl w:val="true"/>
        </w:rPr>
        <w:footnoteReference w:id="13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بدست آمده از کسب و کار پاکیزه و زیبا است و ارزش انفاق در راه خدا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 مِنْ طَیِّباتِ ما کَسَبْتُمْ</w:t>
      </w:r>
      <w:r>
        <w:rPr>
          <w:rFonts w:eastAsia="IRNazanin" w:cs="IRNazanin"/>
          <w:color w:val="111111"/>
          <w:sz w:val="28"/>
          <w:szCs w:val="28"/>
          <w:rtl w:val="true"/>
          <w:lang w:bidi="fa-IR"/>
        </w:rPr>
        <w:t>) .</w:t>
      </w:r>
      <w:r>
        <w:rPr>
          <w:rStyle w:val="FootnoteAnchor"/>
          <w:rtl w:val="true"/>
        </w:rPr>
        <w:footnoteReference w:id="13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برای زندگی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برای بدست آوردن فضل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میروند و گروهی دیگر در راه خدا جهاد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آخَرُونَ یَضْرِبُونَ فِی الْأَرْضِ یَبْتَغُونَ مِنْ فَضْلِ اللّهِ وَ آخَرُونَ یُقاتِلُونَ فِی سَبِیلِ اللّهِ</w:t>
      </w:r>
      <w:r>
        <w:rPr>
          <w:rFonts w:eastAsia="IRNazanin" w:cs="IRNazanin"/>
          <w:color w:val="111111"/>
          <w:sz w:val="28"/>
          <w:szCs w:val="28"/>
          <w:rtl w:val="true"/>
          <w:lang w:bidi="fa-IR"/>
        </w:rPr>
        <w:t>)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آری این یک واقعیت انکارناپذیر است که کار برای بهبود زندگی به منزله جهاد فی سبیل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نباشد در حالی که یک ملّت فقیر و محتاج به بیگانه، هرگز استقلال و عظمت و سربلندی نخواهد یافت،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کار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دارای هفتاد جزء است، بالاترین آن کار و کسب حلال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سَبْعُونَ جُزْءَأً افْضَلُهَا طَلَبُ الْحَلالِ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صحیح 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تأمین مخارج زندگی اهل و عیال همانند جهاد در راه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اَلْکَادُّ عَلَی عَیالِهِ کَالْمُجاهِدِ فِی سَبیلِ اللهِ</w:t>
      </w:r>
      <w:r>
        <w:rPr>
          <w:rFonts w:eastAsia="Amiri" w:cs="Amiri" w:ascii="Amiri" w:hAnsi="Amiri"/>
          <w:color w:val="111111"/>
          <w:sz w:val="28"/>
          <w:szCs w:val="28"/>
          <w:rtl w:val="true"/>
          <w:lang w:bidi="ar-SA"/>
        </w:rPr>
        <w:t>».</w:t>
      </w:r>
      <w:r>
        <w:rPr>
          <w:rStyle w:val="FootnoteAnchor"/>
        </w:rPr>
        <w:footnoteReference w:id="135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مرد در این است که برای تأمین مخارج زندگی اهل و عیال خویش کوشش و استقامت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 انْ یَکُونَ الْقَیِّمَ عَلَی عِیَالِهِ</w:t>
      </w:r>
      <w:r>
        <w:rPr>
          <w:rFonts w:eastAsia="Amiri" w:cs="Amiri" w:ascii="Amiri" w:hAnsi="Amiri"/>
          <w:color w:val="111111"/>
          <w:sz w:val="28"/>
          <w:szCs w:val="28"/>
          <w:rtl w:val="true"/>
          <w:lang w:bidi="ar-SA"/>
        </w:rPr>
        <w:t>».</w:t>
      </w:r>
      <w:r>
        <w:rPr>
          <w:rStyle w:val="FootnoteAnchor"/>
        </w:rPr>
        <w:footnoteReference w:id="135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امام صادق علیه السلام را دیدم وسائل کار در باغ را به دوش کشیده در هوای گرم عازم بستان خویش برای انجام کار کشاورزی است، در حالی که عرق از صورت مبارکش ریزان بود به ایشان عرض کردم فدایت شوم وسیله کار را بدهید من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مرد در گرمای سوزان حرارت خورشید برای تأمین مخارج زندگی خسته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احِبُّ أنْ یَتَأذَّی الرَّجُلُ بِحَرِّ الشَّمْسِ فِی طَلَبِ الْمَعِیشَةِ</w:t>
      </w:r>
      <w:r>
        <w:rPr>
          <w:rFonts w:eastAsia="Amiri" w:cs="Amiri" w:ascii="Amiri" w:hAnsi="Amiri"/>
          <w:color w:val="111111"/>
          <w:sz w:val="28"/>
          <w:szCs w:val="28"/>
          <w:rtl w:val="true"/>
          <w:lang w:bidi="ar-SA"/>
        </w:rPr>
        <w:t>».</w:t>
      </w:r>
      <w:r>
        <w:rPr>
          <w:rStyle w:val="FootnoteAnchor"/>
        </w:rPr>
        <w:footnoteReference w:id="1359"/>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از پدرش نقل نموده است که امام کاظم علیه السلام را دیدم در زمین کشاورزی خود کار میکرد در حالی که غرق عرق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چرا دستور نمیدهید کارگران کار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بهتر از من و پدر من بود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مقصود شما از آن کس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 امیرالمؤمنین علیها السلام پدران و اجداد من همگی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دأب و عادت همه انبیا و فرستادگان خدا و اوصیای آنها و مردان پرهیزگار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آبائی کُلُّهُمْ کَانُوا قَدْ عَمِلُوا بِأیْدِیهِم وَ هُوَ مِنْ عَمَلِ النَّبِییِّنَ وَ الْمُرسَلِینَ وَ الْأوصِیَاءِ و الصَّالِحِینَ</w:t>
      </w:r>
      <w:r>
        <w:rPr>
          <w:rFonts w:eastAsia="Amiri" w:cs="Amiri" w:ascii="Amiri" w:hAnsi="Amiri"/>
          <w:color w:val="111111"/>
          <w:sz w:val="28"/>
          <w:szCs w:val="28"/>
          <w:rtl w:val="true"/>
          <w:lang w:bidi="ar-SA"/>
        </w:rPr>
        <w:t>».</w:t>
      </w:r>
      <w:r>
        <w:rPr>
          <w:rStyle w:val="FootnoteAnchor"/>
          <w:rtl w:val="true"/>
        </w:rPr>
        <w:footnoteReference w:id="136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بیکاری و تنبلی در روایات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امیرالمؤمنین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موجودات در آغاز با هم ازدواج کردند، تنبلی و ناتوانی با هم پیمان زوجیّت بستند و فرزندی از آنها به نام فقر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الأشیاءَ لَمَّا ازْدَوَجَتْ ازْدَوَجَ الْکَسَلُ وَ الْعَجْزُ فَنُتِجَا بَیْنَهُما الْفَقْرَ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3713_164592"/>
    </w:p>
    <w:p>
      <w:pPr>
        <w:pStyle w:val="BookText"/>
        <w:rPr/>
      </w:pPr>
      <w:bookmarkEnd w:id="5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روزی و نیازهای زندگی تنبلی نکنید، چراکه پدران و نیاکان ما به دنبال آن میدویدند و آن را طلب میکردند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لاتَکْسَلُوافِی طَلَبِ مَعایِشِکُمْ فَإنَّ آبائَنَا کَانُوا یَرْکُضُونَ فِیهَا وَ یَطْلُبُونَهَا</w:t>
      </w:r>
      <w:r>
        <w:rPr>
          <w:rFonts w:eastAsia="Amiri" w:cs="Amiri" w:ascii="Amiri" w:hAnsi="Amiri"/>
          <w:color w:val="111111"/>
          <w:sz w:val="28"/>
          <w:szCs w:val="28"/>
          <w:rtl w:val="true"/>
          <w:lang w:bidi="ar-SA"/>
        </w:rPr>
        <w:t>»</w:t>
      </w:r>
      <w:r>
        <w:rPr>
          <w:rStyle w:val="FootnoteAnchor"/>
          <w:rtl w:val="true"/>
        </w:rPr>
        <w:footnoteReference w:id="1361"/>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که در کار دنیایش تنبل باشد مبغوض میدارم، زیرا کسی که در کار دنیایش تنبل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ثمره‌اش به زودی نصیب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آخرتش تنبل‌تر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اِنِّی لَأُبْغِضُ الرَّجُلَ أوْ ابْغِضُ لِلرَّجُلِ انْ یَکُونَ کَسْلانَا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 دُنْیاهُ وَ مَنْ کَسِلَ عَنْ امْرِ دُنْیاهُ فَهُوَ عَنْ امْرِ آخِرَتِهِ اکْسَلُ</w:t>
      </w:r>
      <w:r>
        <w:rPr>
          <w:rFonts w:eastAsia="Amiri" w:cs="Amiri" w:ascii="Amiri" w:hAnsi="Amiri"/>
          <w:color w:val="111111"/>
          <w:sz w:val="28"/>
          <w:szCs w:val="28"/>
          <w:rtl w:val="true"/>
          <w:lang w:bidi="ar-SA"/>
        </w:rPr>
        <w:t>»</w:t>
      </w:r>
      <w:r>
        <w:rPr>
          <w:rStyle w:val="FootnoteAnchor"/>
          <w:rtl w:val="true"/>
        </w:rPr>
        <w:footnoteReference w:id="136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 پر خواب را مبغوض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بیکار را دشمن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تَعالی لَیُبْغِضُ الْعَبْدُ النَّوَّامَ، انَّ اللهَ لَیُبْغِضُ الْعَبْدَ الفَارِغَ</w:t>
      </w:r>
      <w:r>
        <w:rPr>
          <w:rFonts w:eastAsia="Amiri" w:cs="Amiri" w:ascii="Amiri" w:hAnsi="Amiri"/>
          <w:color w:val="111111"/>
          <w:sz w:val="28"/>
          <w:szCs w:val="28"/>
          <w:rtl w:val="true"/>
          <w:lang w:bidi="ar-SA"/>
        </w:rPr>
        <w:t>»</w:t>
      </w:r>
      <w:r>
        <w:rPr>
          <w:rStyle w:val="FootnoteAnchor"/>
          <w:rtl w:val="true"/>
        </w:rPr>
        <w:footnoteReference w:id="1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اطلاق و عموم آیات و روایاتی که ذکر شد و بسیاری دیگر که بیانگر دیدگاه اسلام در اهمیّت کار و تلاش برای معیشت و اداره زندگی است، کودک ممیّز که توانایی انجام کار را دارد، به ویژه نوجوانانی که نزدیک به بلوغ‌اند،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پذیرفته نیست ادّعا شود تنبلی و بیکاری از فرد مکلّف نکوهیده است و در حق نوجوان این چنین نیست</w:t>
      </w:r>
      <w:r>
        <w:rPr>
          <w:rFonts w:eastAsia="IRNazanin" w:cs="IRNazanin"/>
          <w:color w:val="111111"/>
          <w:sz w:val="28"/>
          <w:szCs w:val="28"/>
          <w:rtl w:val="true"/>
          <w:lang w:bidi="fa-IR"/>
        </w:rPr>
        <w:t>.</w:t>
      </w:r>
    </w:p>
    <w:p>
      <w:pPr>
        <w:pStyle w:val="Heading4"/>
        <w:numPr>
          <w:ilvl w:val="3"/>
          <w:numId w:val="1"/>
        </w:numPr>
        <w:rPr/>
      </w:pPr>
      <w:bookmarkStart w:id="594" w:name="__RefHeading___Toc1259748_1468164448"/>
      <w:bookmarkStart w:id="595" w:name="_Toc219"/>
      <w:bookmarkEnd w:id="594"/>
      <w:r>
        <w:rPr/>
        <w:t>3</w:t>
      </w:r>
      <w:r>
        <w:rPr>
          <w:rtl w:val="true"/>
        </w:rPr>
        <w:t xml:space="preserve">- </w:t>
      </w:r>
      <w:r>
        <w:rPr>
          <w:rtl w:val="true"/>
        </w:rPr>
        <w:t>بهره‌گیری از کار کودک</w:t>
      </w:r>
      <w:bookmarkEnd w:id="595"/>
    </w:p>
    <w:p>
      <w:pPr>
        <w:pStyle w:val="BookText"/>
        <w:rPr/>
      </w:pPr>
      <w:r>
        <w:rPr>
          <w:rFonts w:ascii="IRNazanin" w:hAnsi="IRNazanin" w:eastAsia="IRNazanin"/>
          <w:color w:val="111111"/>
          <w:sz w:val="28"/>
          <w:sz w:val="28"/>
          <w:szCs w:val="28"/>
          <w:rtl w:val="true"/>
          <w:lang w:bidi="fa-IR"/>
        </w:rPr>
        <w:t xml:space="preserve">بر اساس تازه‌ترین آمار منتشر شده توسط سازمان‌های بین المللی هم اکنون در جهان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دختر و پسر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مشغول به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تنها در کشور هند بر اساس آمار رسمی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کارگر خردسال وجود دارد که برای کارهای سنگین و طاقت فرسا ساعتی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دستمزد دریافت میکنند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بهره‌کشی از کودکان در اشکال مختلف کار اجباری، بردگی، انواع کارهای سخت و زیان آور، کار خانگی بدون مزد، مشاغل سیاه و کاذب، قاچاق کودکان، هم چنان</w:t>
      </w:r>
    </w:p>
    <w:p>
      <w:pPr>
        <w:pStyle w:val="BookText"/>
        <w:rPr/>
      </w:pPr>
      <w:r>
        <w:rPr>
          <w:rFonts w:ascii="IRNazanin" w:hAnsi="IRNazanin" w:eastAsia="IRNazanin"/>
          <w:color w:val="111111"/>
          <w:sz w:val="28"/>
          <w:sz w:val="28"/>
          <w:szCs w:val="28"/>
          <w:rtl w:val="true"/>
          <w:lang w:bidi="fa-IR"/>
        </w:rPr>
        <w:t>رؤیاهای بشر را در ساختن جهان آینده عاری از تبعیض، فقر و خشونت در آغاز هزاره سوم بر میآشوبد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مقیاس جهانی نابرابری سطح توسعه اقتصادی و اجتماعی کشورها، بیثباتی سیاسی، جنگ، مهاجرت‌های اجباری و آوارگی، بیسوادی، فقر مزمن، موجبات استمرار بهره‌کشی از کودکان را فراهم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در شرایط کنونی در برخی از مناطق جهان که در آنها فقر، بلایای طبیعی، بیثباتی سیاسی و مناقشات مسلحانه درهم تنیده‌اند، بیش از همه کودکان بیپناه را در معرض بهره‌کشی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حال توسعه،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جهان وجود دارد و در این کشورها قریب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واقع در سنین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مشغول به کار میباشند</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 xml:space="preserve">در این میان در ایران نظر به ممنوعیت کار اطفال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با عنایت به جرم بودن استفاده از نیروی کار اطفال کم سن و سال، آمار رسمی و دقیقی وجود ندارد تا بتوان قاطعانه گفت که چه تعداد از افراد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کار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سرشماری نفوس و مسکن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در این سال در حدود یک میلیون و هشتصد هزار کودک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بخش‌های صنعت، خرده فروشی، تعمیرات، حمل و نقل و صیادی، جهت کمک به اقتصاد خانواده به کار اشتغال داشته‌اند</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 xml:space="preserve">افزون بر این، اندکی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مشاغل در کشور را گروه 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آمار ناقص میباشد، زیرا از یک سو اشاره‌ای به شاغلان زیر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ندارد و از سوی دیگر، شامل کودکان روستایی که در کشتزارها و مزارع و کارگاه‌های قالیبافی به کار مشغولند، نمیباشد</w:t>
      </w:r>
      <w:r>
        <w:rPr>
          <w:rFonts w:eastAsia="IRNazanin" w:cs="IRNazanin"/>
          <w:color w:val="111111"/>
          <w:sz w:val="28"/>
          <w:szCs w:val="28"/>
          <w:rtl w:val="true"/>
          <w:lang w:bidi="fa-IR"/>
        </w:rPr>
        <w:t>).</w:t>
      </w:r>
      <w:r>
        <w:rPr>
          <w:rStyle w:val="FootnoteAnchor"/>
          <w:rtl w:val="true"/>
        </w:rPr>
        <w:footnoteReference w:id="136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بنابه گزارش دفتر نمایندگی یونیسف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کودکان ملل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کودکان بین سنین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کار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برای</w:t>
      </w:r>
      <w:bookmarkStart w:id="596" w:name="pg13713_164594"/>
    </w:p>
    <w:p>
      <w:pPr>
        <w:pStyle w:val="BookText"/>
        <w:rPr/>
      </w:pPr>
      <w:bookmarkEnd w:id="596"/>
      <w:r>
        <w:rPr>
          <w:rFonts w:ascii="IRNazanin" w:hAnsi="IRNazanin" w:eastAsia="IRNazanin"/>
          <w:color w:val="111111"/>
          <w:sz w:val="28"/>
          <w:sz w:val="28"/>
          <w:szCs w:val="28"/>
          <w:rtl w:val="true"/>
          <w:lang w:bidi="fa-IR"/>
        </w:rPr>
        <w:t xml:space="preserve">مناطق شهری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برای مناطق روستایی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روستایی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دختران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پسران بیش از هفت ساعت در روز کار میکنند و در گروه‌های سنی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تعداد دخترانی که در خانه‌ها برای کسب درآمد مشغول به کار هستند دو برابر پسران است</w:t>
      </w:r>
      <w:r>
        <w:rPr>
          <w:rFonts w:eastAsia="IRNazanin" w:cs="IRNazanin"/>
          <w:color w:val="111111"/>
          <w:sz w:val="28"/>
          <w:szCs w:val="28"/>
          <w:rtl w:val="true"/>
          <w:lang w:bidi="fa-IR"/>
        </w:rPr>
        <w:t>.</w:t>
      </w:r>
      <w:r>
        <w:rPr>
          <w:rStyle w:val="FootnoteAnchor"/>
          <w:rtl w:val="true"/>
        </w:rPr>
        <w:footnoteReference w:id="1367"/>
      </w:r>
    </w:p>
    <w:p>
      <w:pPr>
        <w:pStyle w:val="Heading4"/>
        <w:numPr>
          <w:ilvl w:val="3"/>
          <w:numId w:val="1"/>
        </w:numPr>
        <w:rPr/>
      </w:pPr>
      <w:bookmarkStart w:id="597" w:name="__RefHeading___Toc1259750_1468164448"/>
      <w:bookmarkStart w:id="598" w:name="_Toc220"/>
      <w:bookmarkEnd w:id="597"/>
      <w:r>
        <w:rPr/>
        <w:t>4</w:t>
      </w:r>
      <w:r>
        <w:rPr>
          <w:rtl w:val="true"/>
        </w:rPr>
        <w:t xml:space="preserve">- </w:t>
      </w:r>
      <w:r>
        <w:rPr>
          <w:rtl w:val="true"/>
        </w:rPr>
        <w:t>پیامدهای کار کودکان</w:t>
      </w:r>
      <w:bookmarkEnd w:id="598"/>
    </w:p>
    <w:p>
      <w:pPr>
        <w:pStyle w:val="BookText"/>
        <w:rPr/>
      </w:pPr>
      <w:r>
        <w:rPr>
          <w:rFonts w:ascii="IRNazanin" w:hAnsi="IRNazanin" w:eastAsia="IRNazanin"/>
          <w:color w:val="111111"/>
          <w:sz w:val="28"/>
          <w:sz w:val="28"/>
          <w:szCs w:val="28"/>
          <w:rtl w:val="true"/>
          <w:lang w:bidi="fa-IR"/>
        </w:rPr>
        <w:t>کار کودک میتواند در بردارنده آثار و پیامدهای سازنده و مثبتی باشد، لیکن در برابر آثار منفی و پیامدهای ناگواری هم دارد، از این رو باید این گونه آثار و پیامدها مورد ملاحظه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مثبت</w:t>
      </w:r>
    </w:p>
    <w:p>
      <w:pPr>
        <w:pStyle w:val="BookText"/>
        <w:rPr/>
      </w:pPr>
      <w:r>
        <w:rPr>
          <w:rFonts w:ascii="IRNazanin" w:hAnsi="IRNazanin" w:eastAsia="IRNazanin"/>
          <w:color w:val="111111"/>
          <w:sz w:val="28"/>
          <w:sz w:val="28"/>
          <w:szCs w:val="28"/>
          <w:rtl w:val="true"/>
          <w:lang w:bidi="fa-IR"/>
        </w:rPr>
        <w:t>کارهایی که کودکان انجام میدهند همگی زیان آور نیستند، از این رو اگر کودکان در محیطی آرام به همراه والدین خود یا در زیر چتر حمایت یک سرپرست دلسوز به کار گمارده شوند و بتوانند از تحصیلات و آموزش متوسط برخوردار باشند، نمیتوان گفت کار کردن برای اطفال پیامدهای منفی به بار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زندگی افراد نامی و برجسته بسیاری را مشاهده میکنیم که دوران کودکی را در سختی، فقر، کار و تلاش، 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کار کودکان علاوه بر تقویت بنیه مالی خانوادها و بهبود وضعیت اقتصادی جامعه که میتواند آثار مثبت محسوب گردد، از نقطه نظر روانی نیز آثار مثبت چندی در بردارد که مهم‌ترین آنها عبارتند از</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شاغل وتلاش گر، در بزرگسالی اغلب از اعتماد به نفس بیشتری برخوردار میشوند، زیرا روابط اجتماعی را به شکل حرفه‌ای خیلی زود شروع‌کرده‌اند و چه بسا زودتر ازدواج میکنند و به استقلال مالی میرسند و خیلی بهتر ازکسانی که تازه بعد از تمام شدن مدرسه و دانشگاه شروع به کار میکنند از پس مشکلات زندگی بر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درک و تیزبینی و استقامت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از کودکی کار کرده‌اند و از دست رنج خود، نان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سختیهای زندگی استقامت مینمایند و مشکلات، آنها را از پای در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به دلیل داشتن تجربیات بیشتر، که به پرورش هوش کمک میکند، از تیزبینی و درک بیشتری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 منفی</w:t>
      </w:r>
    </w:p>
    <w:p>
      <w:pPr>
        <w:pStyle w:val="BookText"/>
        <w:rPr/>
      </w:pPr>
      <w:r>
        <w:rPr>
          <w:rFonts w:ascii="IRNazanin" w:hAnsi="IRNazanin" w:eastAsia="IRNazanin"/>
          <w:color w:val="111111"/>
          <w:sz w:val="28"/>
          <w:sz w:val="28"/>
          <w:szCs w:val="28"/>
          <w:rtl w:val="true"/>
          <w:lang w:bidi="fa-IR"/>
        </w:rPr>
        <w:t>کار کودکان صرف نظر از پیامدهای مثبت، چه بسا ممکن است پیامدهای منفی و زیانباری نیز داشته باشد زیان‌هایی که بیش از همه، ساعات طولانی و سختی کار و آسیب‌های روانی و ذهنی عامل ایجاد آن میباشند و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ساعات طولانی، از حیث تندرستی اطفال را با مشکلات عدیده‌ای مواجه میسازد تا جایی که به استخوان‌بندی آنها فشار آورده و موجب تغییر شکل بدن آنها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 به ویژه در خصوص مشاغل سخت، مانند جابجایی بار سنگین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خطر مبتلا شدن به بیماریهای واگیردار را از طریق تماس با بزرگسالان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پیامد در مورد اطفالی که برای نظافت کامیون‌ها، یا کار در رستوران‌ها، یا کنار جاده‌ها و یا ایستگاه اتوبوس و راه آهن، به کار گمارده میشوند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از محققین تحمل بار سنگین یا نشستن در وضعیت‌های غیر طبیعی برای مدت طولانی میتواند به طور مداوم جسم در حال رشد اطفال را ناتوان سازد</w:t>
      </w:r>
      <w:r>
        <w:rPr>
          <w:rFonts w:eastAsia="IRNazanin" w:cs="IRNazanin"/>
          <w:color w:val="111111"/>
          <w:sz w:val="28"/>
          <w:szCs w:val="28"/>
          <w:rtl w:val="true"/>
          <w:lang w:bidi="fa-IR"/>
        </w:rPr>
        <w:t>.</w:t>
      </w:r>
      <w:r>
        <w:rPr>
          <w:rStyle w:val="FootnoteAnchor"/>
          <w:rtl w:val="true"/>
        </w:rPr>
        <w:footnoteReference w:id="136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کار، بسیاری از کودکان را از کسب دانش بازمیدارد، زیرا وقتی کودکان به جای درس و تحصیل کار کنند، طبیعی است که دربزرگسالی هر قدر هم انرژی خود را صرف نمایند توفیق چندانی نمییابند و رشدنمیکنند</w:t>
      </w:r>
      <w:r>
        <w:rPr>
          <w:rFonts w:eastAsia="IRNazanin" w:cs="IRNazanin"/>
          <w:color w:val="111111"/>
          <w:sz w:val="28"/>
          <w:szCs w:val="28"/>
          <w:rtl w:val="true"/>
          <w:lang w:bidi="fa-IR"/>
        </w:rPr>
        <w:t>.</w:t>
      </w:r>
      <w:r>
        <w:rPr>
          <w:rStyle w:val="FootnoteAnchor"/>
          <w:rtl w:val="true"/>
        </w:rPr>
        <w:footnoteReference w:id="1369"/>
      </w:r>
      <w:bookmarkStart w:id="599" w:name="pg13713_164596"/>
    </w:p>
    <w:p>
      <w:pPr>
        <w:pStyle w:val="BookText"/>
        <w:rPr/>
      </w:pPr>
      <w:bookmarkEnd w:id="59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عاطفی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اطفال از نظر روانی فوق العاده آسیب‌پذیر میباشند، از این رو محیطهای کاری سخت و تحقیرکننده، باعث میشود که آنها از جهت روانی به شدّت رنج ببرند تا جایی که ممکن است به اختلال‌های روانی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عاطفی نیز اطفال کارگر همگی احساس کمبود میکنند</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پیامدهای اجتماعی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لحاظ ورود زودرس و نابهنگام به محیطهای شغلی و کاری نامناسب، ممکن است از نظر اخلاقی در معرض بهره‌کشیهای غیرمتعارف از سوی کارفرمایان، یا کارگران بزرگسال و یا استفاده‌های جنسی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نظر اجتماعی نیز به لحاظ آشنایی کودکان با افراد بزهکار در محیطهای نامناسب شغلی، توان تمیز بین درست و نادرست آنها به تدریج کاهش مییابد و ممکن است در معرض شکار بزهکاران حرفه‌ای و باندهای قاچاق قرار گیرند و نیازهای مالی آنها زمینه سوء استفاده از آنها را فراهم آورده و در مسیر اهداف شوم تبهکاران قرار دهد</w:t>
      </w:r>
      <w:r>
        <w:rPr>
          <w:rFonts w:eastAsia="IRNazanin" w:cs="IRNazanin"/>
          <w:color w:val="111111"/>
          <w:sz w:val="28"/>
          <w:szCs w:val="28"/>
          <w:rtl w:val="true"/>
          <w:lang w:bidi="fa-IR"/>
        </w:rPr>
        <w:t>.</w:t>
      </w:r>
    </w:p>
    <w:p>
      <w:pPr>
        <w:pStyle w:val="Heading4"/>
        <w:numPr>
          <w:ilvl w:val="3"/>
          <w:numId w:val="1"/>
        </w:numPr>
        <w:rPr/>
      </w:pPr>
      <w:bookmarkStart w:id="600" w:name="__RefHeading___Toc1259752_1468164448"/>
      <w:bookmarkStart w:id="601" w:name="_Toc221"/>
      <w:bookmarkEnd w:id="600"/>
      <w:r>
        <w:rPr/>
        <w:t>5</w:t>
      </w:r>
      <w:r>
        <w:rPr>
          <w:rtl w:val="true"/>
        </w:rPr>
        <w:t xml:space="preserve">- </w:t>
      </w:r>
      <w:r>
        <w:rPr>
          <w:rtl w:val="true"/>
        </w:rPr>
        <w:t>دیدگاه اسلام نسبت به کار کودک</w:t>
      </w:r>
      <w:bookmarkEnd w:id="601"/>
    </w:p>
    <w:p>
      <w:pPr>
        <w:pStyle w:val="BookText"/>
        <w:rPr/>
      </w:pPr>
      <w:r>
        <w:rPr>
          <w:rFonts w:ascii="IRNazanin" w:hAnsi="IRNazanin" w:eastAsia="IRNazanin"/>
          <w:color w:val="111111"/>
          <w:sz w:val="28"/>
          <w:sz w:val="28"/>
          <w:szCs w:val="28"/>
          <w:rtl w:val="true"/>
          <w:lang w:bidi="fa-IR"/>
        </w:rPr>
        <w:t>برای بررسی دیدگاه اسلام در مورد کار کودک، مناسب است چند صورت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خودش برای انجام کار اجیر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مباحث گذشته روشن گردید که به اتفاق فقها بلکه به ضرورت فقه، کودک اهلیّت تصرّف در مال خود و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منزله مال است و تعهّد مالی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بنابراین نمیتواند برای انجام کار اجیر شود، هم‌چنین جایز نیست کارفرما تحت هیچ عنوانی او را برای کار اجیر نماید، اعم از این که کاری که کودک برای انجام آن اجیر میشود حلال باشد یا حرام، آثار و تبعات مثبت داشته باشد یا منفی، سخت و مشکل باشد یا آسان و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مزبور کارفرمایی که کودک را اجیر نماید و یا با هر عنوان دیگری او را وادار به انجام کار نماید، از جهت حکم تکلیفی مرتکب حرام شده و استحقاق تعزیر دارد، زیرا اجیرنمودن کودک بدون اجازه ولی شرعی او، حرام است و فقها درمباحث فقهی اثبات نموده‌اند مرتکب حرام مستحق تعزیرمی باشد، به عنوان نمونه علامه حلی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جرم و گناهی که شارع مقدس برای مجازات آن حدی تعیین ننموده، تعزیر واجب است</w:t>
      </w:r>
      <w:r>
        <w:rPr>
          <w:rFonts w:eastAsia="IRNazanin" w:cs="IRNazanin"/>
          <w:color w:val="111111"/>
          <w:sz w:val="28"/>
          <w:szCs w:val="28"/>
          <w:rtl w:val="true"/>
          <w:lang w:bidi="fa-IR"/>
        </w:rPr>
        <w:t>».</w:t>
      </w:r>
      <w:r>
        <w:rPr>
          <w:rStyle w:val="FootnoteAnchor"/>
          <w:rtl w:val="true"/>
        </w:rPr>
        <w:footnoteReference w:id="1371"/>
      </w:r>
      <w:r>
        <w:rPr>
          <w:rFonts w:ascii="IRNazanin" w:hAnsi="IRNazanin" w:eastAsia="IRNazanin"/>
          <w:color w:val="111111"/>
          <w:sz w:val="28"/>
          <w:sz w:val="28"/>
          <w:szCs w:val="28"/>
          <w:rtl w:val="true"/>
          <w:lang w:bidi="fa-IR"/>
        </w:rPr>
        <w:t>شبیه این مضمون در کلمات فقیهان دیگر نیز دیده میشود</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امّا از جهت حکم وضعی، به نسبت کاری که انجام شده باید حق الزحمه، به ولی کودک پرداخت شود، تا برای وی نگهداری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ولی شرعی، کودک را اجیر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ولی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 جدّ پدری، وصی آن دو، قیّم 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اجاره و یا عناوین دیگری کودک ممیّز را برای کاری که قادر به انجام آن است، اجیر قرار دهد یا به او اذن دهد تا خود اجیر شود، این صورت خود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را برای انجام کارهایی که شرعاً حرام است یا برای کودک ضرر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ضرر جسمی ادراکی، اخلاقی و اجتماعی، عاطفی و روانی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ولی چنین حقّی را ندارد و عمل او در فرض مزبور از جهت حکم تکلیفی حرام و از جهت حکم وضعی باطل است و برای مستأجر حقی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عبارت است از</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ولی در امور مالی</w:t>
      </w:r>
      <w:r>
        <w:rPr>
          <w:rStyle w:val="FootnoteAnchor"/>
          <w:rtl w:val="true"/>
        </w:rPr>
        <w:footnoteReference w:id="1373"/>
      </w:r>
      <w:r>
        <w:rPr>
          <w:rFonts w:ascii="IRNazanin" w:hAnsi="IRNazanin" w:eastAsia="IRNazanin"/>
          <w:color w:val="111111"/>
          <w:sz w:val="28"/>
          <w:sz w:val="28"/>
          <w:szCs w:val="28"/>
          <w:rtl w:val="true"/>
          <w:lang w:bidi="fa-IR"/>
        </w:rPr>
        <w:t>و غیر مالی</w:t>
      </w:r>
      <w:r>
        <w:rPr>
          <w:rStyle w:val="FootnoteAnchor"/>
          <w:rtl w:val="true"/>
        </w:rPr>
        <w:footnoteReference w:id="1374"/>
      </w:r>
      <w:r>
        <w:rPr>
          <w:rFonts w:ascii="IRNazanin" w:hAnsi="IRNazanin" w:eastAsia="IRNazanin"/>
          <w:color w:val="111111"/>
          <w:sz w:val="28"/>
          <w:sz w:val="28"/>
          <w:szCs w:val="28"/>
          <w:rtl w:val="true"/>
          <w:lang w:bidi="fa-IR"/>
        </w:rPr>
        <w:t>به اتفاق فقها مشروط به رعایت مصلحت کودک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 که کار برای کودک ضرر داشته باشد، اجیر نمودن وی برای انجام آن به مصلحت او نیست، حتی در صورتی که وجود ضرر و عدم آن مورد تردید باشد، جایز نیست ولی در این باره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 گونه که بعضی از فقها فرموده‌اند درجواز تصرفات ولی، در اموال کودک احراز مصلحت شرط است و مصلحت واقعی که در ظاهر مورد تردید باشد کفایت نمیکند</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هم‌چنین پدر حق ضرر زدن به کودک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شریفه هرچند در مورد حکم رضاع و شیر دادن به نوزاد وارد شده، ولی اطلاق آن مسأله مورد بحث را نیز شامل میشود و از آن استفاده میشود ضرر زدن به کودک در هر مورد از جمله اجیر قرار دادن وی برای کاری که به مصلحت او نمیباشد،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لاضرر، با این توضیح که ولایت ولی بر کودک حتی در موردی که برای او ایجاد ضرر نماید، شرعاً جعل نشده است، بنابراین ولی حق ندارد در موردی که کار برای کودک ضرر دارد او را وادار به انجام آن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حرمت ظلم مسأله مورد بحث را شامل میشود، زیرا بیتردید وادار ساختن کودک برای کاری که ضرر بر اوست و پیامد منفی دارد، ظلم به وی میباشد و ظلم از نظر شرع، عقل و عرف حرام و مرتکب آن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نیز اگر ولی طفل با علم و اگاهی اقدام نماید مستحق تعزیر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کودک را برای کاری که برای او ضرر ندارد و قادر به انجام آن میباشد، اجیر قرار دهد یا به او اذن دهد تا اجیر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این قسم از کار کودک را مکروه میداند</w:t>
      </w:r>
      <w:r>
        <w:rPr>
          <w:rFonts w:eastAsia="IRNazanin" w:cs="IRNazanin"/>
          <w:color w:val="111111"/>
          <w:sz w:val="28"/>
          <w:szCs w:val="28"/>
          <w:rtl w:val="true"/>
          <w:lang w:bidi="fa-IR"/>
        </w:rPr>
        <w:t>.</w:t>
      </w:r>
      <w:r>
        <w:rPr>
          <w:rStyle w:val="FootnoteAnchor"/>
          <w:rtl w:val="true"/>
        </w:rPr>
        <w:footnoteReference w:id="1376"/>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این دیدگاه روایت موثقی است که امام صادق علیه السلام از جدّ بزرگوارش نقل نموده با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کسب کنیزان و خدمتگزاران نهی فرموده‌اند، همچنین از کسب کودکی که به نیکی نمیتواند کار را با دست انجام دهد، زیرا چنین</w:t>
      </w:r>
    </w:p>
    <w:p>
      <w:pPr>
        <w:pStyle w:val="BookText"/>
        <w:rPr/>
      </w:pPr>
      <w:r>
        <w:rPr>
          <w:rFonts w:ascii="Amiri" w:hAnsi="Amiri" w:eastAsia="Amiri" w:cs="Amiri"/>
          <w:color w:val="111111"/>
          <w:sz w:val="28"/>
          <w:sz w:val="28"/>
          <w:szCs w:val="28"/>
          <w:rtl w:val="true"/>
          <w:lang w:bidi="ar-SA"/>
        </w:rPr>
        <w:t>کودکی به دلیل این که توانایی انجام کار ندارد، دست به سرقت میزند یا از کار میدزدد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کَسْبِ الغُلامِ الصَّغِیرِ الَّذِی لایُحْسِنُ صِنَاعَةً بِیَدِهِ فَإنَّهُ انْ لَمْیَجِدْسَرَقَ</w:t>
      </w:r>
      <w:r>
        <w:rPr>
          <w:rFonts w:eastAsia="Amiri" w:cs="Amiri" w:ascii="Amiri" w:hAnsi="Amiri"/>
          <w:color w:val="111111"/>
          <w:sz w:val="28"/>
          <w:szCs w:val="28"/>
          <w:rtl w:val="true"/>
          <w:lang w:bidi="ar-SA"/>
        </w:rPr>
        <w:t>».</w:t>
      </w:r>
      <w:r>
        <w:rPr>
          <w:rStyle w:val="FootnoteAnchor"/>
          <w:rtl w:val="true"/>
        </w:rPr>
        <w:footnoteReference w:id="1377"/>
      </w:r>
      <w:r>
        <w:rPr>
          <w:rFonts w:ascii="IRNazanin" w:hAnsi="IRNazanin" w:eastAsia="IRNazanin"/>
          <w:color w:val="111111"/>
          <w:sz w:val="28"/>
          <w:sz w:val="28"/>
          <w:szCs w:val="28"/>
          <w:rtl w:val="true"/>
          <w:lang w:bidi="fa-IR"/>
        </w:rPr>
        <w:t>بعضی از فقها تصریح نموده‌اند نهی در این روایت تنزیهی است و دلالت برکراهت دارد</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شهید ثانی قدس سره در توجیه کراهت داشتن کسب کودک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شبهه وجود دارد که کودک به دلیل عدم آگاهی یا به این جهت که میداند مرفوع القلم است و ارتکاب حرام در حق او حرام نیست، مرتکب اموری شود که شرعاً حلال نیست، به این جهت کار او مکروه است</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برخی دیگر از فقیهان این دیدگاه را به صورت دیگری توجیه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فقها این است که تصرّف ولی در اموالی که کودک کسب کرده مکروه است، زیرا این شبهه وجود دارد که در حین کسب از محرّمات، به دلیل عدم آگاهی از مسائل یا به دلیل این که مورد مؤاخذه قرار نمیگیرد، اجتناب نکند، بنابراین مکروه است چنین اموالی را خرید و یا فروخت</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با این توجیه نفس کار کودک مکروه نیست، بلکه دخالت در درآمد آن مکروه‌است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صرف نظر از این که مقصود فقها از مکروه دانستن کار کودک در فرض مزبور چیست، وادار نمودن کودک به کار و اجیر قرار دادن وی برای انجام آن فقط در صورتی صحیح است که ولی او را برای کار حلال که قادر به انجام آن میباشد و هیچ نوع ضرری برای وی ندارد، اجیر نماید یا اذن دهد که خودش اجیر شود، البته در این فرض نیز چنان‌چه گذشت بسیاری از فقها آن را مکروه دانسته‌اند</w:t>
      </w:r>
      <w:r>
        <w:rPr>
          <w:rFonts w:eastAsia="IRNazanin" w:cs="IRNazanin"/>
          <w:color w:val="111111"/>
          <w:sz w:val="28"/>
          <w:szCs w:val="28"/>
          <w:rtl w:val="true"/>
          <w:lang w:bidi="fa-IR"/>
        </w:rPr>
        <w:t>.</w:t>
      </w:r>
      <w:bookmarkStart w:id="602" w:name="pg13713_164600"/>
    </w:p>
    <w:p>
      <w:pPr>
        <w:pStyle w:val="Heading4"/>
        <w:numPr>
          <w:ilvl w:val="3"/>
          <w:numId w:val="1"/>
        </w:numPr>
        <w:rPr/>
      </w:pPr>
      <w:bookmarkStart w:id="603" w:name="__RefHeading___Toc1259754_1468164448"/>
      <w:bookmarkStart w:id="604" w:name="_Toc222"/>
      <w:bookmarkEnd w:id="602"/>
      <w:bookmarkEnd w:id="603"/>
      <w:r>
        <w:rPr/>
        <w:t>6</w:t>
      </w:r>
      <w:r>
        <w:rPr>
          <w:rtl w:val="true"/>
        </w:rPr>
        <w:t xml:space="preserve">- </w:t>
      </w:r>
      <w:r>
        <w:rPr>
          <w:rtl w:val="true"/>
        </w:rPr>
        <w:t>مقرّرات خاص برای حمایت از کودک در قوانین کار جمهوری اسلامی ایران</w:t>
      </w:r>
      <w:bookmarkEnd w:id="6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سن کار</w:t>
      </w:r>
    </w:p>
    <w:p>
      <w:pPr>
        <w:pStyle w:val="BookText"/>
        <w:rPr/>
      </w:pPr>
      <w:r>
        <w:rPr>
          <w:rFonts w:ascii="IRNazanin" w:hAnsi="IRNazanin" w:eastAsia="IRNazanin"/>
          <w:color w:val="111111"/>
          <w:sz w:val="28"/>
          <w:sz w:val="28"/>
          <w:szCs w:val="28"/>
          <w:rtl w:val="true"/>
          <w:lang w:bidi="fa-IR"/>
        </w:rPr>
        <w:t xml:space="preserve">در قانون کار جمهوری اسلامی ایران مصوب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سن شروع به کار را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تعیین کرده است، امّا پس از پیروزی انقلاب مجلس شورای اسلامی به پیروی از نظر فقها در تاریخ </w:t>
      </w:r>
      <w:r>
        <w:rPr>
          <w:rFonts w:eastAsia="IRNazanin" w:cs="IRNazanin"/>
          <w:color w:val="111111"/>
          <w:sz w:val="28"/>
          <w:szCs w:val="28"/>
          <w:lang w:bidi="fa-IR"/>
        </w:rPr>
        <w:t>1368/7/2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موادی از آن حداقل سن شروع به کار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کار گماردن افراد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نداشته باشد کارگر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قانون کار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نبرده، بلکه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ماده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کارگری که سنش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باشد کارگر نوجوان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ممنوعیت اشتغال کودکان نباید بهانه‌ای برای تضییع حقوق آنان باشد و اگر کارفرمایی چنین فردی را به کار گمارد نوجوان مقصّر نیست و نباید حقش به این بهانه تضییع شود، بلکه ضمن ممانعت از ادامه کار او باید حقوق گذشته‌اش پرداخت شود و کارفرما به مجازات‌های مقرّر در قانون کار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معاینات پزشکی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نوجوان در بدو استخدام باید توسط سازمان تأمین اجتماعی مورد آزمایش‌های پزشکی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آزمایش‌های پزشکی کار نوجوان حداقل باید سالی یک بار تجدید شود و مدارک مربوط در پرونده استخدامی وی ضبط گردد، پزشک درباره تناسب نوع کار با توانایی کارگر نوجوان اظهار نظر میکند و چنان‌چه کار مربوط را نامناسب بداند کارفرما موظف است در حدود امکانات خود شغل کارگر را تغییر دهد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انجام آزمایش‌های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اولاً احراز شود که نوجوان از لحاظ جسمی و روانی آمادگی کار را پیدا کرده است و ثانیاً کار پیشنهاد شده به</w:t>
      </w:r>
    </w:p>
    <w:p>
      <w:pPr>
        <w:pStyle w:val="BookText"/>
        <w:rPr/>
      </w:pPr>
      <w:r>
        <w:rPr>
          <w:rFonts w:ascii="IRNazanin" w:hAnsi="IRNazanin" w:eastAsia="IRNazanin"/>
          <w:color w:val="111111"/>
          <w:sz w:val="28"/>
          <w:sz w:val="28"/>
          <w:szCs w:val="28"/>
          <w:rtl w:val="true"/>
          <w:lang w:bidi="fa-IR"/>
        </w:rPr>
        <w:t>سلامتی او لطمه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آزمایش‌ها در هر سال این خوبی را دارد که اگر درطول مدت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نوجوان آمادگی جسمی خود را از دست داد یا اثرات منفی کار روی وی مشاهده شد، کار او عوض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کار</w:t>
      </w:r>
    </w:p>
    <w:p>
      <w:pPr>
        <w:pStyle w:val="BookText"/>
        <w:rPr/>
      </w:pPr>
      <w:r>
        <w:rPr>
          <w:rFonts w:ascii="IRNazanin" w:hAnsi="IRNazanin" w:eastAsia="IRNazanin"/>
          <w:color w:val="111111"/>
          <w:sz w:val="28"/>
          <w:sz w:val="28"/>
          <w:szCs w:val="28"/>
          <w:rtl w:val="true"/>
          <w:lang w:bidi="fa-IR"/>
        </w:rPr>
        <w:t xml:space="preserve">قانون کار در ماده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ساعات کار روزانه کارگر نوجوان نیم ساعت کمتر از ساعت کار معمولی کارگران است ترتیب استفاده از این امتیاز با توافق کارگر و کارفرما تعیین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استفاده از تخفیف روزانه در کارگاه اختلال ایجاد نکند، قانونگذار استفاده از نیم ساعت را به توافق کارگر و کارفرما موکول کرده است، ولی در هر حال این نیم ساعت جنبه حداقل دارد و نمیتوان به کمتر از آن توافق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از این دستور روشن میشود که کارگران نوجوان در هفته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ساعت تخفیف برخوردارند و ساعات کار هفتگی آنان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کار اضافی، کار شبانه و سخت</w:t>
      </w:r>
    </w:p>
    <w:p>
      <w:p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ارجاع هر نوع کار اضافی و انجام کار در شب و نیز ارجاع کارهای سخت و زیان‌آور و خطرناک و حمل بار با دست و بیش از حد مجاز و بدون استفاده از وسایل مکانیکی برای کار نوجوان ممنوع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آثار بدی که کار شبانه بر نوجوان دارد و برای جلوگیری از سوء استفاده از وجود آنها، انجام کار شبانه به وسیله نوجوان ممنوع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است و معلوم نیست آیا کارهای خطرناک همان کارهای سخت و زیان‌آور است یا علاوه بر کارهای سخت و زیان‌آور ارجاع کارهای خطرناک نیز به کارگر نوجوان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اگر قانونگذار منظور اخیر را مدّنظر داشته باشد باید مصداق و تعریف کارهای خطرناک را روشن نماید</w:t>
      </w:r>
      <w:r>
        <w:rPr>
          <w:rFonts w:eastAsia="IRNazanin" w:cs="IRNazanin"/>
          <w:color w:val="111111"/>
          <w:sz w:val="28"/>
          <w:szCs w:val="28"/>
          <w:rtl w:val="true"/>
          <w:lang w:bidi="fa-IR"/>
        </w:rPr>
        <w:t>.</w:t>
      </w:r>
      <w:bookmarkStart w:id="605" w:name="pg13713_164602"/>
    </w:p>
    <w:p>
      <w:pPr>
        <w:pStyle w:val="BookText"/>
        <w:rPr/>
      </w:pPr>
      <w:bookmarkEnd w:id="605"/>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کارهای مضر به سلامت و اخلاق نوجوان</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کار مقرر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مشاغل و کارهایی که به علّت ماهیت آن یا شرایطی که کار در آن انجام میشود برای سلامتی یا اخلاق کارآموزان و نوجوانان زیان‌آور است، حداقل سن کار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خواهد بود، تشخیص این امر با وزارت کار و امور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ماده کارهایی که به سلامتی اخلاقی نوجوان آسیب میرسانند دو دسته‌اند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کارهایی که ماهیتاً زیان‌آورند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برخی از کارهای بهداشتی و درمانی را که جنبه‌های جنسی دارد در این دسته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کارهایی که به علّت شرایطی که در آن انجام میشود به اخلاق نوجوان زیان وارد میکند، مثل پذیرایی در قهوه خانه‌ها و انجام کار در حمام‌ها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شاید این مثال‌ها دقیق نباشد، بنابراین تفکیک بین کارهایی که به اخلاق کارگران بالای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آسیب نمیرساند، اما کارگران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مصون نیستند به آسانی مقدور نیست، از این رو است که تشخیص این امر به عهده وزارت کار گذاشته شده است</w:t>
      </w:r>
      <w:r>
        <w:rPr>
          <w:rFonts w:eastAsia="IRNazanin" w:cs="IRNazanin"/>
          <w:color w:val="111111"/>
          <w:sz w:val="28"/>
          <w:szCs w:val="28"/>
          <w:rtl w:val="true"/>
          <w:lang w:bidi="fa-IR"/>
        </w:rPr>
        <w:t>.</w:t>
      </w:r>
      <w:r>
        <w:rPr>
          <w:rStyle w:val="FootnoteAnchor"/>
          <w:rtl w:val="true"/>
        </w:rPr>
        <w:footnoteReference w:id="1381"/>
      </w:r>
    </w:p>
    <w:p>
      <w:pPr>
        <w:pStyle w:val="Heading4"/>
        <w:numPr>
          <w:ilvl w:val="3"/>
          <w:numId w:val="1"/>
        </w:numPr>
        <w:rPr/>
      </w:pPr>
      <w:bookmarkStart w:id="606" w:name="__RefHeading___Toc1259756_1468164448"/>
      <w:bookmarkStart w:id="607" w:name="_Toc223"/>
      <w:bookmarkEnd w:id="606"/>
      <w:r>
        <w:rPr/>
        <w:t>7</w:t>
      </w:r>
      <w:r>
        <w:rPr>
          <w:rtl w:val="true"/>
        </w:rPr>
        <w:t xml:space="preserve">- </w:t>
      </w:r>
      <w:r>
        <w:rPr>
          <w:rtl w:val="true"/>
        </w:rPr>
        <w:t xml:space="preserve">حمایت از حقوق کاری کودک و نوجوان در اسناد فراملّی </w:t>
      </w:r>
      <w:r>
        <w:rPr>
          <w:rtl w:val="true"/>
        </w:rPr>
        <w:t>(</w:t>
      </w:r>
      <w:r>
        <w:rPr>
          <w:rtl w:val="true"/>
        </w:rPr>
        <w:t>بین‌المللی</w:t>
      </w:r>
      <w:r>
        <w:rPr>
          <w:rtl w:val="true"/>
        </w:rPr>
        <w:t>)</w:t>
      </w:r>
      <w:bookmarkEnd w:id="6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کودک</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حمایت از حقوق کار اطفال اعلامیه جهانی حقوق کودک در اصل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باید در برابر هرگونه غفلت، ظلم و استثمار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نباید به هر شکلی وسیله مبادله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نباید قبل از رسیدن به حداقل مناسب به استخدام درآید و نباید به هیچ وجه امکان یا اجازه استخدام کودک در کارها داده شود که به سلامت یا آموزش وی لطمه زده و یا باعث اختلال رشد بدنی، فکری، و یا اخلاقی،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منظور از وسیله مبادله قرار گرفتن مذکور در این اصل، خرید و فروش، معاوضه و به طور کلی سوداگری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اصل مذکور به جهت عدم تعریف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مشخص ننمودن حداقل سن مناسب و مرجع تشخیص اختلال در رشد بدنی، فکری، و اخلاقی اطفال ناقص میباشد</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حقوق کودک</w:t>
      </w:r>
    </w:p>
    <w:p>
      <w:pPr>
        <w:pStyle w:val="BookText"/>
        <w:rPr/>
      </w:pPr>
      <w:r>
        <w:rPr>
          <w:rFonts w:ascii="IRNazanin" w:hAnsi="IRNazanin" w:eastAsia="IRNazanin"/>
          <w:color w:val="111111"/>
          <w:sz w:val="28"/>
          <w:sz w:val="28"/>
          <w:szCs w:val="28"/>
          <w:rtl w:val="true"/>
          <w:lang w:bidi="fa-IR"/>
        </w:rPr>
        <w:t xml:space="preserve">دیدگاه حمایتی این کنوانسیون در خصوص حقوق کار اطفال بسیار صریح و روشن است، مطابق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استثمار اقتصادی کودکان یا استفاده از آنها برای هرگونه کاری که برای آنها زیان بار بوده و یا توقّفی در آموزش و پرورش آنان فراهم آورد ممنوع است و کشورهای عضو این کنوانسیون ملزم به اتّخاذ تدابیر قانونی، اداری، اجتماعی، و آموزشی جهت حفظ آثار در برابر کارهای زیان‌آور یا مختل کننده فعالیت‌های آموزشی، و جسمی و روانی و اخلاقی آنان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در همین راستا و با توجّه به موارد مربوط در سایر اسناد بین‌المللی، کشورهای طرف این پیمان به ویژه موارد زیر را مورد توجه قرار خواهند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حداقّل سن یا حداقّل سنین برای انجام کار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مقرّرات مناسب از نظر ساعت و شرایط کار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مجازات‌ها یا اعمال سایر ضمانت‌های اجرایی مناسب جهت تضمین اجرایی مؤثر مرتبط با مسأله کاری کودکان</w:t>
      </w:r>
      <w:r>
        <w:rPr>
          <w:rFonts w:eastAsia="IRNazanin" w:cs="IRNazanin"/>
          <w:color w:val="111111"/>
          <w:sz w:val="28"/>
          <w:szCs w:val="28"/>
          <w:rtl w:val="true"/>
          <w:lang w:bidi="fa-IR"/>
        </w:rPr>
        <w:t>.</w:t>
      </w:r>
      <w:r>
        <w:rPr>
          <w:rStyle w:val="FootnoteAnchor"/>
          <w:rtl w:val="true"/>
        </w:rPr>
        <w:footnoteReference w:id="1383"/>
      </w:r>
      <w:bookmarkStart w:id="608" w:name="pg13713_164605"/>
    </w:p>
    <w:p>
      <w:pPr>
        <w:pStyle w:val="Heading2"/>
        <w:numPr>
          <w:ilvl w:val="1"/>
          <w:numId w:val="1"/>
        </w:numPr>
        <w:rPr/>
      </w:pPr>
      <w:bookmarkStart w:id="609" w:name="__RefHeading___Toc1259758_1468164448"/>
      <w:bookmarkStart w:id="610" w:name="_Toc224"/>
      <w:bookmarkEnd w:id="608"/>
      <w:bookmarkEnd w:id="609"/>
      <w:r>
        <w:rPr>
          <w:rtl w:val="true"/>
        </w:rPr>
        <w:t>فصل چهاردهم</w:t>
      </w:r>
      <w:r>
        <w:rPr>
          <w:rtl w:val="true"/>
        </w:rPr>
        <w:t xml:space="preserve">: </w:t>
      </w:r>
      <w:r>
        <w:rPr>
          <w:rtl w:val="true"/>
        </w:rPr>
        <w:t>اقرار، قضا، شهادت، دعاوی، اجتهاد، تقلید و روایت کودک</w:t>
      </w:r>
      <w:bookmarkEnd w:id="61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1" w:name="__RefHeading___Toc1259760_1468164448"/>
      <w:bookmarkStart w:id="612" w:name="_Toc225"/>
      <w:bookmarkEnd w:id="611"/>
      <w:r>
        <w:rPr>
          <w:rtl w:val="true"/>
        </w:rPr>
        <w:t>اشاره</w:t>
      </w:r>
      <w:bookmarkStart w:id="613" w:name="pg13713_164607"/>
      <w:bookmarkEnd w:id="612"/>
    </w:p>
    <w:p>
      <w:pPr>
        <w:pStyle w:val="Heading3"/>
        <w:numPr>
          <w:ilvl w:val="2"/>
          <w:numId w:val="1"/>
        </w:numPr>
        <w:rPr/>
      </w:pPr>
      <w:bookmarkStart w:id="614" w:name="__RefHeading___Toc1259762_1468164448"/>
      <w:bookmarkStart w:id="615" w:name="_Toc226"/>
      <w:bookmarkEnd w:id="613"/>
      <w:bookmarkEnd w:id="614"/>
      <w:r>
        <w:rPr>
          <w:rtl w:val="true"/>
        </w:rPr>
        <w:t>گفتار اول</w:t>
      </w:r>
      <w:r>
        <w:rPr>
          <w:rtl w:val="true"/>
        </w:rPr>
        <w:t xml:space="preserve">: </w:t>
      </w:r>
      <w:r>
        <w:rPr>
          <w:rtl w:val="true"/>
        </w:rPr>
        <w:t>اقرار</w:t>
      </w:r>
      <w:bookmarkEnd w:id="615"/>
    </w:p>
    <w:p>
      <w:pPr>
        <w:pStyle w:val="Heading4"/>
        <w:numPr>
          <w:ilvl w:val="3"/>
          <w:numId w:val="1"/>
        </w:numPr>
        <w:rPr/>
      </w:pPr>
      <w:bookmarkStart w:id="616" w:name="__RefHeading___Toc1259764_1468164448"/>
      <w:bookmarkStart w:id="617" w:name="_Toc227"/>
      <w:bookmarkEnd w:id="616"/>
      <w:r>
        <w:rPr/>
        <w:t>1</w:t>
      </w:r>
      <w:r>
        <w:rPr>
          <w:rtl w:val="true"/>
        </w:rPr>
        <w:t xml:space="preserve">- </w:t>
      </w:r>
      <w:r>
        <w:rPr>
          <w:rtl w:val="true"/>
        </w:rPr>
        <w:t>مفهوم اقرار در لغت و اصطلاح</w:t>
      </w:r>
      <w:bookmarkEnd w:id="617"/>
    </w:p>
    <w:p>
      <w:pPr>
        <w:pStyle w:val="BookText"/>
        <w:rPr/>
      </w:pPr>
      <w:r>
        <w:rPr>
          <w:rFonts w:ascii="IRNazanin" w:hAnsi="IRNazanin" w:eastAsia="IRNazanin"/>
          <w:color w:val="111111"/>
          <w:sz w:val="28"/>
          <w:sz w:val="28"/>
          <w:szCs w:val="28"/>
          <w:rtl w:val="true"/>
          <w:lang w:bidi="fa-IR"/>
        </w:rPr>
        <w:t>اقرار در لغت به معنی اعتراف است و در معنی اذعان نیز به کار میرود</w:t>
      </w:r>
      <w:r>
        <w:rPr>
          <w:rFonts w:eastAsia="IRNazanin" w:cs="IRNazanin"/>
          <w:color w:val="111111"/>
          <w:sz w:val="28"/>
          <w:szCs w:val="28"/>
          <w:rtl w:val="true"/>
          <w:lang w:bidi="fa-IR"/>
        </w:rPr>
        <w:t>.</w:t>
      </w:r>
      <w:r>
        <w:rPr>
          <w:rStyle w:val="FootnoteAnchor"/>
          <w:rtl w:val="true"/>
        </w:rPr>
        <w:footnoteReference w:id="1384"/>
      </w:r>
      <w:r>
        <w:rPr>
          <w:rFonts w:ascii="IRNazanin" w:hAnsi="IRNazanin" w:eastAsia="IRNazanin"/>
          <w:color w:val="111111"/>
          <w:sz w:val="28"/>
          <w:sz w:val="28"/>
          <w:szCs w:val="28"/>
          <w:rtl w:val="true"/>
          <w:lang w:bidi="fa-IR"/>
        </w:rPr>
        <w:t>و تقریر به معنی وادار نمودن، اجبار ساختن مخاطب به اقرار نسبت به آن‌چه مربوط به اوست و از آن آگاهی دارد، میباشد</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اقرار در معنی اصطلاحی از معنی لغوی دور نیفتاده است و فقها با اختلاف عبارت، آن را این گونه تعریف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مخبر به حقّی که برای غیر بر ضرر خود مینماید</w:t>
      </w:r>
      <w:r>
        <w:rPr>
          <w:rFonts w:eastAsia="IRNazanin" w:cs="IRNazanin"/>
          <w:color w:val="111111"/>
          <w:sz w:val="28"/>
          <w:szCs w:val="28"/>
          <w:rtl w:val="true"/>
          <w:lang w:bidi="fa-IR"/>
        </w:rPr>
        <w:t>».</w:t>
      </w:r>
      <w:r>
        <w:rPr>
          <w:rStyle w:val="FootnoteAnchor"/>
          <w:rtl w:val="true"/>
        </w:rPr>
        <w:footnoteReference w:id="1386"/>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نیز اقرار همین‌گونه تعریف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درباره ماهیت اقرار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آن را در زمره ایقاعات میآورند، بدین اعتبار که تنها با اراده اقرار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هم چون</w:t>
      </w:r>
      <w:bookmarkStart w:id="618" w:name="pg13713_164608"/>
    </w:p>
    <w:p>
      <w:pPr>
        <w:pStyle w:val="BookText"/>
        <w:rPr/>
      </w:pPr>
      <w:bookmarkEnd w:id="618"/>
      <w:r>
        <w:rPr>
          <w:rFonts w:ascii="IRNazanin" w:hAnsi="IRNazanin" w:eastAsia="IRNazanin"/>
          <w:color w:val="111111"/>
          <w:sz w:val="28"/>
          <w:sz w:val="28"/>
          <w:szCs w:val="28"/>
          <w:rtl w:val="true"/>
          <w:lang w:bidi="fa-IR"/>
        </w:rPr>
        <w:t>صاحب جواهر قدس سره معتقداند اقرار از عقود و ایقاعات نیست، زیرا چهره انشایی ندارد و چون شبیه به ایقاع است، فقها آن را در باب ایقاعات ذکر نموده‌اند</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به هر صورت عناصر اقرار از نظر تحلیلی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عنصر احدی تردید نکرده است، بنابراین بر سکوت اخبار صدق نمیکند، مگر به ضمیمه قرائن، ضمن اینکه در اقرار اخباری باید قصد اقرار کننده وجود داشته باشد وگرنه اقرار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باید به زیان اقرار کننده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خارجی به خود گرفته باشد، هر چند مستمرتا زمان اقرار باشد، مانند اقرار به اجاره که در گذشته صورت گرفته است و اقرار به‌اجاره دادن خانه که تا زمان اقرار بر اجاره باقی است، پس اخبار از آینده خارج از اقرار مورد بحث است</w:t>
      </w:r>
      <w:r>
        <w:rPr>
          <w:rFonts w:eastAsia="IRNazanin" w:cs="IRNazanin"/>
          <w:color w:val="111111"/>
          <w:sz w:val="28"/>
          <w:szCs w:val="28"/>
          <w:rtl w:val="true"/>
          <w:lang w:bidi="fa-IR"/>
        </w:rPr>
        <w:t>.</w:t>
      </w:r>
      <w:r>
        <w:rPr>
          <w:rStyle w:val="FootnoteAnchor"/>
          <w:rtl w:val="true"/>
        </w:rPr>
        <w:footnoteReference w:id="1388"/>
      </w:r>
    </w:p>
    <w:p>
      <w:pPr>
        <w:pStyle w:val="Heading4"/>
        <w:numPr>
          <w:ilvl w:val="3"/>
          <w:numId w:val="1"/>
        </w:numPr>
        <w:rPr/>
      </w:pPr>
      <w:bookmarkStart w:id="619" w:name="__RefHeading___Toc1259766_1468164448"/>
      <w:bookmarkStart w:id="620" w:name="_Toc228"/>
      <w:bookmarkEnd w:id="619"/>
      <w:r>
        <w:rPr/>
        <w:t>2</w:t>
      </w:r>
      <w:r>
        <w:rPr>
          <w:rtl w:val="true"/>
        </w:rPr>
        <w:t xml:space="preserve">- </w:t>
      </w:r>
      <w:r>
        <w:rPr>
          <w:rtl w:val="true"/>
        </w:rPr>
        <w:t>حکم اقرار نسبت به کودک</w:t>
      </w:r>
      <w:bookmarkEnd w:id="620"/>
    </w:p>
    <w:p>
      <w:pPr>
        <w:pStyle w:val="BookText"/>
        <w:rPr/>
      </w:pPr>
      <w:r>
        <w:rPr>
          <w:rFonts w:ascii="IRNazanin" w:hAnsi="IRNazanin" w:eastAsia="IRNazanin"/>
          <w:color w:val="111111"/>
          <w:sz w:val="28"/>
          <w:sz w:val="28"/>
          <w:szCs w:val="28"/>
          <w:rtl w:val="true"/>
          <w:lang w:bidi="fa-IR"/>
        </w:rPr>
        <w:t>آیا اگر کودک علیه خود اقرار نماید، مثل این که بگوید به دیگری بدهکارم یا مالی را از دیگری برداشته‌ام، صحیح است و آثار شرعی، همانند اقرار مکلفین بر آن مترتّب میگردد یا خیر؟</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فقهی اقرار کودک به دو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غیر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معروف</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فقیهان اقرار کودک در اموری که حق دخالت و تصرّف ندارد، مثل امورمالی پذیرفته نیست و هیچ اثری بر آن مترتب نمیگردد، هرچند ولی شرعی به او اذن‌داده باشد</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آیت الله فاضل لنکرانی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کننده باید بالغ و عاقل باشد و با قصد و اختیار اقرار نماید، بنابراین اقرار کودک و مجنون و انسان مست بیتأثیر است</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 xml:space="preserve">زیرا ادلّه نفوذ اقرار، اقرار کودک را شامل نمیگردد و دست کم منصرف از آن میباشد، چرا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کلمات فقها اقرار افراد بالغ میباشد نه کودک</w:t>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حکم به ادلّه دیگری مانند اجماع،</w:t>
      </w:r>
      <w:r>
        <w:rPr>
          <w:rStyle w:val="FootnoteAnchor"/>
          <w:rtl w:val="true"/>
        </w:rPr>
        <w:footnoteReference w:id="1392"/>
      </w:r>
      <w:r>
        <w:rPr>
          <w:rFonts w:ascii="IRNazanin" w:hAnsi="IRNazanin" w:eastAsia="IRNazanin"/>
          <w:color w:val="111111"/>
          <w:sz w:val="28"/>
          <w:sz w:val="28"/>
          <w:szCs w:val="28"/>
          <w:rtl w:val="true"/>
          <w:lang w:bidi="fa-IR"/>
        </w:rPr>
        <w:t>اصل،</w:t>
      </w:r>
      <w:r>
        <w:rPr>
          <w:rStyle w:val="FootnoteAnchor"/>
          <w:rtl w:val="true"/>
        </w:rPr>
        <w:footnoteReference w:id="1393"/>
      </w:r>
      <w:r>
        <w:rPr>
          <w:rFonts w:ascii="IRNazanin" w:hAnsi="IRNazanin" w:eastAsia="IRNazanin"/>
          <w:color w:val="111111"/>
          <w:sz w:val="28"/>
          <w:sz w:val="28"/>
          <w:szCs w:val="28"/>
          <w:rtl w:val="true"/>
          <w:lang w:bidi="fa-IR"/>
        </w:rPr>
        <w:t>حدیث رفع قلم</w:t>
      </w:r>
      <w:r>
        <w:rPr>
          <w:rStyle w:val="FootnoteAnchor"/>
          <w:rtl w:val="true"/>
        </w:rPr>
        <w:footnoteReference w:id="1394"/>
      </w:r>
      <w:r>
        <w:rPr>
          <w:rFonts w:ascii="IRNazanin" w:hAnsi="IRNazanin" w:eastAsia="IRNazanin"/>
          <w:color w:val="111111"/>
          <w:sz w:val="28"/>
          <w:sz w:val="28"/>
          <w:szCs w:val="28"/>
          <w:rtl w:val="true"/>
          <w:lang w:bidi="fa-IR"/>
        </w:rPr>
        <w:t>واین‌که کودک مسلوب العبارة میباشد و بر اقرار او اثری مترتّب نیست و نیز بعضی از روایات به طور خاص</w:t>
      </w:r>
      <w:r>
        <w:rPr>
          <w:rStyle w:val="FootnoteAnchor"/>
          <w:rtl w:val="true"/>
        </w:rPr>
        <w:footnoteReference w:id="1395"/>
      </w:r>
      <w:r>
        <w:rPr>
          <w:rFonts w:ascii="IRNazanin" w:hAnsi="IRNazanin" w:eastAsia="IRNazanin"/>
          <w:color w:val="111111"/>
          <w:sz w:val="28"/>
          <w:sz w:val="28"/>
          <w:szCs w:val="28"/>
          <w:rtl w:val="true"/>
          <w:lang w:bidi="fa-IR"/>
        </w:rPr>
        <w:t>استناد شده که خالی از ایراد نیست</w:t>
      </w:r>
      <w:r>
        <w:rPr>
          <w:rFonts w:eastAsia="IRNazanin" w:cs="IRNazanin"/>
          <w:color w:val="111111"/>
          <w:sz w:val="28"/>
          <w:szCs w:val="28"/>
          <w:rtl w:val="true"/>
          <w:lang w:bidi="fa-IR"/>
        </w:rPr>
        <w:t>.</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دیدگاه مشهور فقها، اگر کودک ممیّز در اموری که شرعاً حق دخالت و تصرّف دارد، اقرار نماید، مانند اقرار به وقف، وصیّت، صدقه و غیر از این‌ها از کارهای نیک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و آثار شرعی بر آن مترتّب میگردد</w:t>
      </w:r>
      <w:r>
        <w:rPr>
          <w:rFonts w:eastAsia="IRNazanin" w:cs="IRNazanin"/>
          <w:color w:val="111111"/>
          <w:sz w:val="28"/>
          <w:szCs w:val="28"/>
          <w:rtl w:val="true"/>
          <w:lang w:bidi="fa-IR"/>
        </w:rPr>
        <w:t>.</w:t>
      </w:r>
      <w:r>
        <w:rPr>
          <w:rStyle w:val="FootnoteAnchor"/>
          <w:rtl w:val="true"/>
        </w:rPr>
        <w:footnoteReference w:id="1397"/>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 کودک ممیّزی که به سن ده سالگی رسیده در اموری که شرعاً حق دخالت دارد مانند وصیّت به امور خیر صحیح است</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قریب به این مضمون در تفصیل الشریعه نیز آمده است</w:t>
      </w:r>
      <w:r>
        <w:rPr>
          <w:rFonts w:eastAsia="IRNazanin" w:cs="IRNazanin"/>
          <w:color w:val="111111"/>
          <w:sz w:val="28"/>
          <w:szCs w:val="28"/>
          <w:rtl w:val="true"/>
          <w:lang w:bidi="fa-IR"/>
        </w:rPr>
        <w:t>».</w:t>
      </w:r>
      <w:r>
        <w:rPr>
          <w:rStyle w:val="FootnoteAnchor"/>
          <w:rtl w:val="true"/>
        </w:rPr>
        <w:footnoteReference w:id="1399"/>
      </w:r>
      <w:r>
        <w:rPr>
          <w:rFonts w:ascii="IRNazanin" w:hAnsi="IRNazanin" w:eastAsia="IRNazanin"/>
          <w:color w:val="111111"/>
          <w:sz w:val="28"/>
          <w:sz w:val="28"/>
          <w:szCs w:val="28"/>
          <w:rtl w:val="true"/>
          <w:lang w:bidi="fa-IR"/>
        </w:rPr>
        <w:t xml:space="preserve">برای اثبات این حکم به قاعده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چیزی را مالک باشد وحق دخالت در آن را داشته باشد، میتواند</w:t>
      </w:r>
      <w:bookmarkStart w:id="621" w:name="pg13713_164610"/>
    </w:p>
    <w:p>
      <w:pPr>
        <w:pStyle w:val="BookText"/>
        <w:rPr/>
      </w:pPr>
      <w:bookmarkEnd w:id="621"/>
      <w:r>
        <w:rPr>
          <w:rFonts w:ascii="IRNazanin" w:hAnsi="IRNazanin" w:eastAsia="IRNazanin"/>
          <w:color w:val="111111"/>
          <w:sz w:val="28"/>
          <w:sz w:val="28"/>
          <w:szCs w:val="28"/>
          <w:rtl w:val="true"/>
          <w:lang w:bidi="fa-IR"/>
        </w:rPr>
        <w:t>نسبت به آن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بین فقها معروف و مشهور میباشد و در ابواب مختلف به آن استناد نموده‌اند</w:t>
      </w:r>
      <w:r>
        <w:rPr>
          <w:rStyle w:val="FootnoteAnchor"/>
          <w:rtl w:val="true"/>
        </w:rPr>
        <w:footnoteReference w:id="1400"/>
      </w:r>
      <w:r>
        <w:rPr>
          <w:rFonts w:ascii="IRNazanin" w:hAnsi="IRNazanin" w:eastAsia="IRNazanin"/>
          <w:color w:val="111111"/>
          <w:sz w:val="28"/>
          <w:sz w:val="28"/>
          <w:szCs w:val="28"/>
          <w:rtl w:val="true"/>
          <w:lang w:bidi="fa-IR"/>
        </w:rPr>
        <w:t>و در مورد آن توافق و تسالم وجود دارد</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آیت الله فاضل لنکرانی قدس سره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بر طبق این قاعده سیره عقلاییه وجود دارد و شارع مقدس این بنای عقلایی را رد ننموده است، اصول و قواعدی که در مقابل آن قرار میگیرد، نمیتواند آن را رد نماید، بلکه برای ردّ آن نیاز به دلیل قوی میباشد و مفروض این است که چنین دلیلی وجود ندارد</w:t>
      </w:r>
      <w:r>
        <w:rPr>
          <w:rFonts w:eastAsia="IRNazanin" w:cs="IRNazanin"/>
          <w:color w:val="111111"/>
          <w:sz w:val="28"/>
          <w:szCs w:val="28"/>
          <w:rtl w:val="true"/>
          <w:lang w:bidi="fa-IR"/>
        </w:rPr>
        <w:t>.</w:t>
      </w:r>
      <w:r>
        <w:rPr>
          <w:rStyle w:val="FootnoteAnchor"/>
          <w:rtl w:val="true"/>
        </w:rPr>
        <w:footnoteReference w:id="1402"/>
      </w:r>
    </w:p>
    <w:p>
      <w:pPr>
        <w:pStyle w:val="Heading4"/>
        <w:numPr>
          <w:ilvl w:val="3"/>
          <w:numId w:val="1"/>
        </w:numPr>
        <w:rPr/>
      </w:pPr>
      <w:bookmarkStart w:id="622" w:name="__RefHeading___Toc1259768_1468164448"/>
      <w:bookmarkStart w:id="623" w:name="_Toc229"/>
      <w:bookmarkEnd w:id="622"/>
      <w:r>
        <w:rPr/>
        <w:t>3</w:t>
      </w:r>
      <w:r>
        <w:rPr>
          <w:rtl w:val="true"/>
        </w:rPr>
        <w:t xml:space="preserve">- </w:t>
      </w:r>
      <w:r>
        <w:rPr>
          <w:rtl w:val="true"/>
        </w:rPr>
        <w:t>اقرار کودک در قانون مدنی</w:t>
      </w:r>
      <w:bookmarkEnd w:id="623"/>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اقرارکننده باید بالغ و عاقل و قاصد و مختار باشد، بنابراین اقرار صغیر و مجنون در حال دیوانگی و غیر قاصد و مکره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ماده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اقرار صغیر ممیّز در اموری که به طور مستقل میتواند آن را انجام دهد، مانند قبول صلح یا هبه بلاعوض،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طبق ماده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امور حسبی اقرار صغیر ممیّز مربوط به کار یا پیشه که ولی و یا قیّم اجازه آن را داده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صغیر ممیّز موارد بالا اعتراف به وجود امری است که مقر میتواند انجام دهد و با قدرت به انجام آن موجبی ندارد که اقرار او پذیرفته نشود</w:t>
      </w:r>
      <w:r>
        <w:rPr>
          <w:rFonts w:eastAsia="IRNazanin" w:cs="IRNazanin"/>
          <w:color w:val="111111"/>
          <w:sz w:val="28"/>
          <w:szCs w:val="28"/>
          <w:rtl w:val="true"/>
          <w:lang w:bidi="fa-IR"/>
        </w:rPr>
        <w:t>.</w:t>
      </w:r>
      <w:r>
        <w:rPr>
          <w:rStyle w:val="FootnoteAnchor"/>
          <w:rtl w:val="true"/>
        </w:rPr>
        <w:footnoteReference w:id="1403"/>
      </w:r>
      <w:bookmarkStart w:id="624" w:name="pg13713_164611"/>
    </w:p>
    <w:p>
      <w:pPr>
        <w:pStyle w:val="Heading3"/>
        <w:numPr>
          <w:ilvl w:val="2"/>
          <w:numId w:val="1"/>
        </w:numPr>
        <w:rPr/>
      </w:pPr>
      <w:bookmarkStart w:id="625" w:name="__RefHeading___Toc1259770_1468164448"/>
      <w:bookmarkStart w:id="626" w:name="_Toc230"/>
      <w:bookmarkEnd w:id="624"/>
      <w:bookmarkEnd w:id="625"/>
      <w:r>
        <w:rPr>
          <w:rtl w:val="true"/>
        </w:rPr>
        <w:t>گفتار دوم</w:t>
      </w:r>
      <w:r>
        <w:rPr>
          <w:rtl w:val="true"/>
        </w:rPr>
        <w:t xml:space="preserve">: </w:t>
      </w:r>
      <w:r>
        <w:rPr>
          <w:rtl w:val="true"/>
        </w:rPr>
        <w:t>قضاوت کودک</w:t>
      </w:r>
      <w:bookmarkEnd w:id="626"/>
    </w:p>
    <w:p>
      <w:pPr>
        <w:pStyle w:val="Heading4"/>
        <w:numPr>
          <w:ilvl w:val="3"/>
          <w:numId w:val="1"/>
        </w:numPr>
        <w:rPr/>
      </w:pPr>
      <w:bookmarkStart w:id="627" w:name="__RefHeading___Toc1259772_1468164448"/>
      <w:bookmarkStart w:id="628" w:name="_Toc231"/>
      <w:bookmarkEnd w:id="627"/>
      <w:r>
        <w:rPr/>
        <w:t>1</w:t>
      </w:r>
      <w:r>
        <w:rPr>
          <w:rtl w:val="true"/>
        </w:rPr>
        <w:t xml:space="preserve">- </w:t>
      </w:r>
      <w:r>
        <w:rPr>
          <w:rtl w:val="true"/>
        </w:rPr>
        <w:t>تحلیل مفهوم قضا</w:t>
      </w:r>
      <w:bookmarkEnd w:id="628"/>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حکم کردن و فصل خصومت است</w:t>
      </w:r>
      <w:r>
        <w:rPr>
          <w:rStyle w:val="FootnoteAnchor"/>
          <w:rtl w:val="true"/>
        </w:rPr>
        <w:footnoteReference w:id="1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فَاقْضِ ما أَنْتَ قاضٍ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 حکم کننده هستی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قاضی را قاضی مینامند بدین دلیل است حکم میکند و آن را اجرا مینماید</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معنای خاص شرعی یا متشرعی نیست، ولی در اصطلاح فقها و یا خواص متشرعه همان گونه که شیخ انصاری و برخی دیگر از بزرگان فقها فرموده‌اند،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ولایت شرعی بر حکم برای کسی که صلاحیت فتوی را دارد در جزییات قوانین شرعی، نسبت به اشخاص خاص از مردم، و مضمون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میباشد</w:t>
      </w:r>
      <w:r>
        <w:rPr>
          <w:rFonts w:eastAsia="IRNazanin" w:cs="IRNazanin"/>
          <w:color w:val="111111"/>
          <w:sz w:val="28"/>
          <w:szCs w:val="28"/>
          <w:rtl w:val="true"/>
          <w:lang w:bidi="fa-IR"/>
        </w:rPr>
        <w:t>.</w:t>
      </w:r>
      <w:r>
        <w:rPr>
          <w:rStyle w:val="FootnoteAnchor"/>
          <w:rtl w:val="true"/>
        </w:rPr>
        <w:footnoteReference w:id="1406"/>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قضایی تفسیر شده که جزء احکام وضعی میباشد، ولی از مباحث مطرح شده در کتاب القضاء استفاده میشود که این واژه تنها در موارد</w:t>
      </w:r>
      <w:bookmarkStart w:id="629" w:name="pg13713_164612"/>
    </w:p>
    <w:p>
      <w:pPr>
        <w:pStyle w:val="BookText"/>
        <w:rPr/>
      </w:pPr>
      <w:bookmarkEnd w:id="629"/>
      <w:r>
        <w:rPr>
          <w:rFonts w:ascii="IRNazanin" w:hAnsi="IRNazanin" w:eastAsia="IRNazanin"/>
          <w:color w:val="111111"/>
          <w:sz w:val="28"/>
          <w:sz w:val="28"/>
          <w:szCs w:val="28"/>
          <w:rtl w:val="true"/>
          <w:lang w:bidi="fa-IR"/>
        </w:rPr>
        <w:t>اختلاف و فصل مخاصمه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بزرگان فقهای معاصر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فصل‌خصومت بین دو طرف تخاصم و حکم به ثبوت ادعای مدّعی یا عدم حق برای او نسبت به مدّعا علیه</w:t>
      </w:r>
      <w:r>
        <w:rPr>
          <w:rFonts w:eastAsia="IRNazanin" w:cs="IRNazanin"/>
          <w:color w:val="111111"/>
          <w:sz w:val="28"/>
          <w:szCs w:val="28"/>
          <w:rtl w:val="true"/>
          <w:lang w:bidi="fa-IR"/>
        </w:rPr>
        <w:t>»</w:t>
      </w:r>
      <w:r>
        <w:rPr>
          <w:rStyle w:val="FootnoteAnchor"/>
          <w:rtl w:val="true"/>
        </w:rPr>
        <w:footnoteReference w:id="140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بین مردم برای رفع تنازع از بین آنها</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صاحب نظران در حقوق مدنی در تبیین واژه قضا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قضا دادرسی داوری صدور رأی در امور جزیی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 برای فصل خصومات باشد یا در مصالح عامه مانند امور حسبی</w:t>
      </w:r>
      <w:r>
        <w:rPr>
          <w:rFonts w:eastAsia="IRNazanin" w:cs="IRNazanin"/>
          <w:color w:val="111111"/>
          <w:sz w:val="28"/>
          <w:szCs w:val="28"/>
          <w:rtl w:val="true"/>
          <w:lang w:bidi="fa-IR"/>
        </w:rPr>
        <w:t>».</w:t>
      </w:r>
      <w:r>
        <w:rPr>
          <w:rStyle w:val="FootnoteAnchor"/>
          <w:rtl w:val="true"/>
        </w:rPr>
        <w:footnoteReference w:id="1409"/>
      </w:r>
    </w:p>
    <w:p>
      <w:pPr>
        <w:pStyle w:val="Heading4"/>
        <w:numPr>
          <w:ilvl w:val="3"/>
          <w:numId w:val="1"/>
        </w:numPr>
        <w:rPr/>
      </w:pPr>
      <w:bookmarkStart w:id="630" w:name="__RefHeading___Toc1259774_1468164448"/>
      <w:bookmarkStart w:id="631" w:name="_Toc232"/>
      <w:bookmarkEnd w:id="630"/>
      <w:r>
        <w:rPr/>
        <w:t>2</w:t>
      </w:r>
      <w:r>
        <w:rPr>
          <w:rtl w:val="true"/>
        </w:rPr>
        <w:t xml:space="preserve">- </w:t>
      </w:r>
      <w:r>
        <w:rPr>
          <w:rtl w:val="true"/>
        </w:rPr>
        <w:t>اقسام قضاوت</w:t>
      </w:r>
      <w:bookmarkEnd w:id="631"/>
    </w:p>
    <w:p>
      <w:pPr>
        <w:pStyle w:val="BookText"/>
        <w:rPr/>
      </w:pPr>
      <w:r>
        <w:rPr>
          <w:rFonts w:ascii="IRNazanin" w:hAnsi="IRNazanin" w:eastAsia="IRNazanin"/>
          <w:color w:val="111111"/>
          <w:sz w:val="28"/>
          <w:sz w:val="28"/>
          <w:szCs w:val="28"/>
          <w:rtl w:val="true"/>
          <w:lang w:bidi="fa-IR"/>
        </w:rPr>
        <w:t>در یک نگاه کلی میتوان قضاوت را به دو قسم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دادرسی مدنی که قضاوت مصطلح در فقه به آن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دادرسی کیفری که از شؤون ولایی محسوب میشود، ولی قضاوت با رویکرد حکومتی شامل آن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دادرسی مدنی یا قضاوت مصطلح در فقه نیز به دو قسم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مدنی توسط قاضی منصوب، یعنی قضاوتی که قاضی آن از سوی شارع یا فقیه یا حاکم اسلامی دارای منصب قضا میباشد و حکم قضایی وی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دادرسی مدنی توسط قاضی تحکیم، یعنی قضاوت توسط شخصی که دو طرف دعوا او را به عنوان حاکم برای خویش برگزیده‌اند و الزام به حکم وی را پذیرفته‌اند</w:t>
      </w:r>
      <w:r>
        <w:rPr>
          <w:rFonts w:eastAsia="IRNazanin" w:cs="IRNazanin"/>
          <w:color w:val="111111"/>
          <w:sz w:val="28"/>
          <w:szCs w:val="28"/>
          <w:rtl w:val="true"/>
          <w:lang w:bidi="fa-IR"/>
        </w:rPr>
        <w:t>.</w:t>
      </w:r>
      <w:r>
        <w:rPr>
          <w:rStyle w:val="FootnoteAnchor"/>
          <w:rtl w:val="true"/>
        </w:rPr>
        <w:footnoteReference w:id="1410"/>
      </w:r>
    </w:p>
    <w:p>
      <w:pPr>
        <w:pStyle w:val="Heading4"/>
        <w:numPr>
          <w:ilvl w:val="3"/>
          <w:numId w:val="1"/>
        </w:numPr>
        <w:rPr/>
      </w:pPr>
      <w:bookmarkStart w:id="632" w:name="__RefHeading___Toc1259776_1468164448"/>
      <w:bookmarkStart w:id="633" w:name="_Toc233"/>
      <w:bookmarkEnd w:id="632"/>
      <w:r>
        <w:rPr/>
        <w:t>3</w:t>
      </w:r>
      <w:r>
        <w:rPr>
          <w:rtl w:val="true"/>
        </w:rPr>
        <w:t xml:space="preserve">- </w:t>
      </w:r>
      <w:r>
        <w:rPr>
          <w:rtl w:val="true"/>
        </w:rPr>
        <w:t>عدم اهلیت کودک برای قضاوت</w:t>
      </w:r>
      <w:bookmarkEnd w:id="63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تصدّی قضاوت شرایطی بیان شده است، از جمله این که لازم است قاضی، مسلمان، عاقل، بالغ 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 برای قضاوت اهلیّت ندارد و صحیح</w:t>
      </w:r>
    </w:p>
    <w:p>
      <w:pPr>
        <w:pStyle w:val="BookText"/>
        <w:rPr/>
      </w:pPr>
      <w:r>
        <w:rPr>
          <w:rFonts w:ascii="IRNazanin" w:hAnsi="IRNazanin" w:eastAsia="IRNazanin"/>
          <w:color w:val="111111"/>
          <w:sz w:val="28"/>
          <w:sz w:val="28"/>
          <w:szCs w:val="28"/>
          <w:rtl w:val="true"/>
          <w:lang w:bidi="fa-IR"/>
        </w:rPr>
        <w:t xml:space="preserve">نیست متصدی آن قرار گیرد، هرچند نزدیک به بلوغ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بر رعایت شرطبلوغ برای تصدّی قضاوت اتفاق نظر دارند</w:t>
      </w:r>
      <w:r>
        <w:rPr>
          <w:rFonts w:eastAsia="IRNazanin" w:cs="IRNazanin"/>
          <w:color w:val="111111"/>
          <w:sz w:val="28"/>
          <w:szCs w:val="28"/>
          <w:rtl w:val="true"/>
          <w:lang w:bidi="fa-IR"/>
        </w:rPr>
        <w:t>.</w:t>
      </w:r>
      <w:r>
        <w:rPr>
          <w:rStyle w:val="FootnoteAnchor"/>
          <w:rtl w:val="true"/>
        </w:rPr>
        <w:footnoteReference w:id="1411"/>
      </w:r>
      <w:r>
        <w:rPr>
          <w:rFonts w:ascii="IRNazanin" w:hAnsi="IRNazanin" w:eastAsia="IRNazanin"/>
          <w:color w:val="111111"/>
          <w:sz w:val="28"/>
          <w:sz w:val="28"/>
          <w:szCs w:val="28"/>
          <w:rtl w:val="true"/>
          <w:lang w:bidi="fa-IR"/>
        </w:rPr>
        <w:t>صاحب جواهر در این باره ادّعای عدم‌خلاف مینماید</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ادلّه عدم اهلیّت کودک برای قضاوت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 این معنی که اصل عدم نفوذ حکم هر فردی بر دیگری است، مگر به دلیل شرعی منصب قضا برای کسی اثبات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آیت الله سید رضا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اصل‌تشریعی عقلی و عقلایی و شرعی حاکم است به عدم نفوذ حکم فردی بر فرد دیگر و نیز حاکم است به عدم صلاحیّت احدی برای قضاوت، مگر این که بدانیم فرد یا افرادی از این اصل کلی خارج شده و منصب قضاوت برای آنها اثبات گردیده است</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مفروض این است کودک مشمول ادله قضا نمیباشد و منصب قضاوت برای وی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قدر متیقن این است فرد بالغ عاقل که جامع شرایط قضاوت است، از این اصل خارج شده و دلیلی بر خروج غیر بالغ از این اصل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به این معنی که چون غیر بالغ محجور است و نمیتواند در اموال و نفوس خویش تصرّف نماید و در امور مربوط به خود تصمیم بگیرد، به حکم اولویّت نباید در مورد دیگران حکم نماید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به توضیحی دیگر مسلوب العباره بودن غیر بالغ، به اولویّت عرفی بر عدم قضاوت وی و عدم ثبوت منصب قضا برای او دلالت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مانند حکومت ولایت است و کودک صلاحیت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محمد کاظم یزدی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قضاوت منصبی است بلند مرتبه و عظیم، زیرا قضاوت</w:t>
      </w:r>
    </w:p>
    <w:p>
      <w:pPr>
        <w:pStyle w:val="BookText"/>
        <w:rPr/>
      </w:pPr>
      <w:r>
        <w:rPr>
          <w:rFonts w:ascii="IRNazanin" w:hAnsi="IRNazanin" w:eastAsia="IRNazanin"/>
          <w:color w:val="111111"/>
          <w:sz w:val="28"/>
          <w:sz w:val="28"/>
          <w:szCs w:val="28"/>
          <w:rtl w:val="true"/>
          <w:lang w:bidi="fa-IR"/>
        </w:rPr>
        <w:t>ریاست و امارت شرعی است و شاخه‌ای از ریاست عامی است که برای پیامبر خدا صلی الله علیه و آله وائمه علیهم السلام ثابت است و قضاوت جانشینی از طرف آنها است</w:t>
      </w:r>
      <w:r>
        <w:rPr>
          <w:rFonts w:eastAsia="IRNazanin" w:cs="IRNazanin"/>
          <w:color w:val="111111"/>
          <w:sz w:val="28"/>
          <w:szCs w:val="28"/>
          <w:rtl w:val="true"/>
          <w:lang w:bidi="fa-IR"/>
        </w:rPr>
        <w:t>».</w:t>
      </w:r>
      <w:r>
        <w:rPr>
          <w:rStyle w:val="FootnoteAnchor"/>
          <w:rtl w:val="true"/>
        </w:rPr>
        <w:footnoteReference w:id="1415"/>
      </w:r>
      <w:r>
        <w:rPr>
          <w:rFonts w:ascii="IRNazanin" w:hAnsi="IRNazanin" w:eastAsia="IRNazanin"/>
          <w:color w:val="111111"/>
          <w:sz w:val="28"/>
          <w:sz w:val="28"/>
          <w:szCs w:val="28"/>
          <w:rtl w:val="true"/>
          <w:lang w:bidi="fa-IR"/>
        </w:rPr>
        <w:t>چون غیر بالغ از یک سو نیازمند قیّم و سرپرست است و خود نمیتواند در امور خود به استقلال تصرّف نماید و از سویی دیگر رفتار و گفتار او فاقد ارزش حقوقی است و اثری بر آن مترتّب نمیشود، بنابراین صلاحیّت منصب خطیر قضاوت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از زمان ائمه معصومین علیهم السلام تاکنون سیره بر این قرار گرفته که کودک نمیتواند قضاوت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که برخی از فقها آن را ادعا فرموده‌اند</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در این مسأله اخباری است در حد استفاضه،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که به مشهوره یا معتبره ابی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برخی از شما برخی دیگر را به محکمه اهل جور بکشانید، بلکه به مردی از خودتان که چیزی از مطالب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رامیداند نظر کنید و او را بین خود قرار دهید، زیرا من او را قاضی قرار داده‌ام پس به او 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انْظُرُوا إلَی رَجُلٍ مِنْکُمْ یَعْلَمُ شَیئاً مِنْ قَضَائِنَا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شَیْئَاً مِنْ قَضَائنا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فَاجْعَلُوهُ بَیْنَکُمْ فَاِنّی قَدْ جَعَلْتُهُ قَاضِیَاً فَتَحَاکَمُوا إلَیْهِ</w:t>
      </w:r>
      <w:r>
        <w:rPr>
          <w:rFonts w:eastAsia="IRNazanin" w:cs="IRNazanin"/>
          <w:color w:val="111111"/>
          <w:sz w:val="28"/>
          <w:szCs w:val="28"/>
          <w:rtl w:val="true"/>
          <w:lang w:bidi="fa-IR"/>
        </w:rPr>
        <w:t>».</w:t>
      </w:r>
      <w:r>
        <w:rPr>
          <w:rStyle w:val="FootnoteAnchor"/>
          <w:rtl w:val="true"/>
        </w:rPr>
        <w:footnoteReference w:id="1417"/>
      </w:r>
      <w:r>
        <w:rPr>
          <w:rFonts w:ascii="IRNazanin" w:hAnsi="IRNazanin" w:eastAsia="IRNazanin"/>
          <w:color w:val="111111"/>
          <w:sz w:val="28"/>
          <w:sz w:val="28"/>
          <w:szCs w:val="28"/>
          <w:rtl w:val="true"/>
          <w:lang w:bidi="fa-IR"/>
        </w:rPr>
        <w:t>از همین راوی روایت دیگری قریب به این مضامین نقل شده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8"/>
      </w:r>
      <w:r>
        <w:rPr>
          <w:rFonts w:ascii="IRNazanin" w:hAnsi="IRNazanin" w:eastAsia="IRNazanin"/>
          <w:color w:val="111111"/>
          <w:sz w:val="28"/>
          <w:sz w:val="28"/>
          <w:szCs w:val="28"/>
          <w:rtl w:val="true"/>
          <w:lang w:bidi="fa-IR"/>
        </w:rPr>
        <w:t>هر دو روایت از جهت سند دارای اعتبار میباشد و نحوه استدلال به آنها با این تقریر است که گفته شود امام علیه السلام در مقام بیان شرایط شخصی است که میتواند متصدی قضاوت باشد و مردم را از مراجعه به قضاتی که از طرف سلطان ظالم معین شده‌اند بر حذر و نهی مینماید، بنابراین قیود و شرایطی که در دو روایت ذکر شده به اصطلاح فقهی احترازی است، به این معنی</w:t>
      </w:r>
    </w:p>
    <w:p>
      <w:pPr>
        <w:pStyle w:val="BookText"/>
        <w:rPr/>
      </w:pPr>
      <w:r>
        <w:rPr>
          <w:rFonts w:ascii="IRNazanin" w:hAnsi="IRNazanin" w:eastAsia="IRNazanin"/>
          <w:color w:val="111111"/>
          <w:sz w:val="28"/>
          <w:sz w:val="28"/>
          <w:szCs w:val="28"/>
          <w:rtl w:val="true"/>
          <w:lang w:bidi="fa-IR"/>
        </w:rPr>
        <w:t xml:space="preserve">که دلالت دارد فقط افرادی که واجد این شرایط میباشند، میتوانند متصدّی امر قضاوت باشند و آنها که این شرایط را دارا نمیباشند اهلیّت قضاوت ندارند و چون در روایت عنوان رجل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الی رَجُلٍ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برای تصدی قضاوت باید دو شرط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و رجولیت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از این دو روایت استفاده میشود که امام علیه السلام به دو شرط مزبور عنایت خاص داشته و به عنوان مثال آنها را ذکر ننموده است و چون قضاوت منصب رسمی شرعی است و نیاز به اذن عام یا خاص امام علیه السلام میباشد با شک در ثبوت آن و با استناد به اصل عملی که در این گونه موارد به آن استناد میشود عدم اذن ثابت میگردد</w:t>
      </w:r>
      <w:r>
        <w:rPr>
          <w:rFonts w:eastAsia="IRNazanin" w:cs="IRNazanin"/>
          <w:color w:val="111111"/>
          <w:sz w:val="28"/>
          <w:szCs w:val="28"/>
          <w:rtl w:val="true"/>
          <w:lang w:bidi="fa-IR"/>
        </w:rPr>
        <w:t>.</w:t>
      </w:r>
      <w:r>
        <w:rPr>
          <w:rStyle w:val="FootnoteAnchor"/>
          <w:rtl w:val="true"/>
        </w:rPr>
        <w:footnoteReference w:id="1419"/>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دیگری که راوی آن شخصی است به نام عمر بن حنظله و به مقبوله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پرسش‌های متعددی از امام صادق علیه 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دو نفر شیعه که بین آنها نزاعی در دَین یا میراث است و به سلطان یا قضات غیر شیعه مراجعه میکنند،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حق یا باطل به آنها رجوع کند به طاغوت و ظالم مراجعه کرده است و از آنان درخواست قضاوت نموده است، و آن‌چه برای او حکم کنند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راوی سؤال میکند اگر آن دو نفر که بین آنها نزاع و اختلاف است هر کدام مردی را انتخاب کنند که از اصحاب ما است، لیکن در حکم خود که با استناد به احادیث شما صادر میشود، اختلاف نظر دارند در این صورت چه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حکم هر کدام از آنها که عادل‌تر است و آگاهی بیشتری به مسائل فقهی دارد و در نقل حدیث راستگوتر و تقوای بیشتری دارد پذیرفت و به حکم دیگری توجه ننمود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اعْدَلُهُما وَ افْقَهُهُما وَ اصْدَقُهُمَا فِی الحَدِیثِ وَ أوْرَعُهُما وَ لا یَلْتَفِت الی مَا یَحْکُمُ</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در ذیل این روایت نیز عنوان رجل به کار رفته و نحوه استدلال به آن به گونه‌ای است که در روایت قبل توضیح داده شد و نیز روایات دیگر</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ascii="IRNazanin" w:hAnsi="IRNazanin" w:eastAsia="IRNazanin"/>
          <w:color w:val="111111"/>
          <w:sz w:val="28"/>
          <w:sz w:val="28"/>
          <w:szCs w:val="28"/>
          <w:rtl w:val="true"/>
          <w:lang w:bidi="fa-IR"/>
        </w:rPr>
        <w:t>نتیجه آن که در بسیاری از روایات عنوان رجل از شرایط قضاوت شمرده شده است و روشن است این عنوان بر غیر بالغ صدق نمیکند، بدان جهت این دسته از روایات، روایاتی را که عموم یا اطلاق در آنها غیر بالغ شامل میشود، تخصیص میزند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بر قضاوت و حکومت برای‌عنوان رجل جعل شده که در آن دو ویژگی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رجولیت و مؤنث نبودن؛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بلوغ و کودک نبودن و نمیتوان با الغای خصوصیت از این عنوان صرف نظر نمود، زیرا این عنوان از امام علیه السلام صادر شده که به مسائل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منصب قضاوت دارای اهمیّت بسزایی است و حکم احدی نسبت به دیگری بدون دلیل شرعی نافذ نیست</w:t>
      </w:r>
      <w:r>
        <w:rPr>
          <w:rFonts w:eastAsia="IRNazanin" w:cs="IRNazanin"/>
          <w:color w:val="111111"/>
          <w:sz w:val="28"/>
          <w:szCs w:val="28"/>
          <w:rtl w:val="true"/>
          <w:lang w:bidi="fa-IR"/>
        </w:rPr>
        <w:t>.</w:t>
      </w:r>
      <w:r>
        <w:rPr>
          <w:rStyle w:val="FootnoteAnchor"/>
          <w:rtl w:val="true"/>
        </w:rPr>
        <w:footnoteReference w:id="1422"/>
      </w:r>
      <w:bookmarkStart w:id="634" w:name="pg13713_164617"/>
    </w:p>
    <w:p>
      <w:pPr>
        <w:pStyle w:val="Heading3"/>
        <w:numPr>
          <w:ilvl w:val="2"/>
          <w:numId w:val="1"/>
        </w:numPr>
        <w:rPr/>
      </w:pPr>
      <w:bookmarkStart w:id="635" w:name="__RefHeading___Toc1259778_1468164448"/>
      <w:bookmarkStart w:id="636" w:name="_Toc234"/>
      <w:bookmarkEnd w:id="634"/>
      <w:bookmarkEnd w:id="635"/>
      <w:r>
        <w:rPr>
          <w:rtl w:val="true"/>
        </w:rPr>
        <w:t>گفتارسوم</w:t>
      </w:r>
      <w:r>
        <w:rPr>
          <w:rtl w:val="true"/>
        </w:rPr>
        <w:t xml:space="preserve">: </w:t>
      </w:r>
      <w:r>
        <w:rPr>
          <w:rtl w:val="true"/>
        </w:rPr>
        <w:t xml:space="preserve">شهادت </w:t>
      </w:r>
      <w:r>
        <w:rPr>
          <w:rtl w:val="true"/>
        </w:rPr>
        <w:t>(</w:t>
      </w:r>
      <w:r>
        <w:rPr>
          <w:rtl w:val="true"/>
        </w:rPr>
        <w:t>گواهی</w:t>
      </w:r>
      <w:r>
        <w:rPr>
          <w:rtl w:val="true"/>
        </w:rPr>
        <w:t xml:space="preserve">) </w:t>
      </w:r>
      <w:r>
        <w:rPr>
          <w:rtl w:val="true"/>
        </w:rPr>
        <w:t>کودک</w:t>
      </w:r>
      <w:bookmarkEnd w:id="636"/>
    </w:p>
    <w:p>
      <w:pPr>
        <w:pStyle w:val="Heading4"/>
        <w:numPr>
          <w:ilvl w:val="3"/>
          <w:numId w:val="1"/>
        </w:numPr>
        <w:rPr/>
      </w:pPr>
      <w:bookmarkStart w:id="637" w:name="__RefHeading___Toc1259780_1468164448"/>
      <w:bookmarkStart w:id="638" w:name="_Toc235"/>
      <w:bookmarkEnd w:id="637"/>
      <w:r>
        <w:rPr/>
        <w:t>1</w:t>
      </w:r>
      <w:r>
        <w:rPr>
          <w:rtl w:val="true"/>
        </w:rPr>
        <w:t xml:space="preserve">- </w:t>
      </w:r>
      <w:r>
        <w:rPr>
          <w:rtl w:val="true"/>
        </w:rPr>
        <w:t>تحلیل مفهوم شهادت</w:t>
      </w:r>
      <w:bookmarkEnd w:id="638"/>
    </w:p>
    <w:p>
      <w:pPr>
        <w:pStyle w:val="BookText"/>
        <w:rPr/>
      </w:pPr>
      <w:r>
        <w:rPr>
          <w:rFonts w:ascii="IRNazanin" w:hAnsi="IRNazanin" w:eastAsia="IRNazanin"/>
          <w:color w:val="111111"/>
          <w:sz w:val="28"/>
          <w:sz w:val="28"/>
          <w:szCs w:val="28"/>
          <w:rtl w:val="true"/>
          <w:lang w:bidi="fa-IR"/>
        </w:rPr>
        <w:t>شهادت در لغت در چند مورد از جمله شهادت در راه خدا، حضور، قسم، اقرار، کلمه توحید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w:t>
      </w:r>
      <w:r>
        <w:rPr>
          <w:rStyle w:val="FootnoteAnchor"/>
          <w:rtl w:val="true"/>
        </w:rPr>
        <w:footnoteReference w:id="1423"/>
      </w:r>
      <w:r>
        <w:rPr>
          <w:rFonts w:ascii="IRNazanin" w:hAnsi="IRNazanin" w:eastAsia="IRNazanin"/>
          <w:color w:val="111111"/>
          <w:sz w:val="28"/>
          <w:sz w:val="28"/>
          <w:szCs w:val="28"/>
          <w:rtl w:val="true"/>
          <w:lang w:bidi="fa-IR"/>
        </w:rPr>
        <w:t>و مقصود از آن در مسأله مورد بحث خبر قاطع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آمده است شهادت نمیدهیم مگر به آن‌چه علم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شَهِدْنا إِلاّ بِما عَلِمْنا</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فقها نیز این واژه را در مباحث مختلف به کار برده‌اند از جمله در اخبار به حقِّ غیر بر ضرر اقرار کننده که بحث از آن در کتاب اقرار میآید و نیز در قتل در راه خدا که در کتاب جهاد و شهادت بیان میگردد، و در اخبار به حقِّ غیر در مجلس قضاوت که مسأله مورد بحث ما در این گفتار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آنها در تعریف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عبارت است از اخبار جازم و قاطع از حقّی که برای غیر لازم است استیفاء شود و به آن حکم نشده است</w:t>
      </w:r>
      <w:r>
        <w:rPr>
          <w:rFonts w:eastAsia="IRNazanin" w:cs="IRNazanin"/>
          <w:color w:val="111111"/>
          <w:sz w:val="28"/>
          <w:szCs w:val="28"/>
          <w:rtl w:val="true"/>
          <w:lang w:bidi="fa-IR"/>
        </w:rPr>
        <w:t>».</w:t>
      </w:r>
      <w:r>
        <w:rPr>
          <w:rStyle w:val="FootnoteAnchor"/>
          <w:rtl w:val="true"/>
        </w:rPr>
        <w:footnoteReference w:id="142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این تعریف را کامل ندانسته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گفته شود شهادت در اصطلاح فقهی نیز به همان معنای لغوی و عرفی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با</w:t>
      </w:r>
      <w:bookmarkStart w:id="639" w:name="pg13713_164618"/>
    </w:p>
    <w:p>
      <w:pPr>
        <w:pStyle w:val="BookText"/>
        <w:rPr/>
      </w:pPr>
      <w:bookmarkEnd w:id="639"/>
      <w:r>
        <w:rPr>
          <w:rFonts w:ascii="IRNazanin" w:hAnsi="IRNazanin" w:eastAsia="IRNazanin"/>
          <w:color w:val="111111"/>
          <w:sz w:val="28"/>
          <w:sz w:val="28"/>
          <w:szCs w:val="28"/>
          <w:rtl w:val="true"/>
          <w:lang w:bidi="fa-IR"/>
        </w:rPr>
        <w:t>ذکر این واژه، نظر به شهادتی است که به نفع مدّعی در مرافعات بیان میشود و زمانی دیگر، مقصود صرف حضور در مجلس است، مثل شهادت در مجلس طلاق</w:t>
      </w:r>
      <w:r>
        <w:rPr>
          <w:rFonts w:eastAsia="IRNazanin" w:cs="IRNazanin"/>
          <w:color w:val="111111"/>
          <w:sz w:val="28"/>
          <w:szCs w:val="28"/>
          <w:rtl w:val="true"/>
          <w:lang w:bidi="fa-IR"/>
        </w:rPr>
        <w:t>».</w:t>
      </w:r>
      <w:r>
        <w:rPr>
          <w:rStyle w:val="FootnoteAnchor"/>
          <w:rtl w:val="true"/>
        </w:rPr>
        <w:footnoteReference w:id="1425"/>
      </w:r>
    </w:p>
    <w:p>
      <w:pPr>
        <w:pStyle w:val="BookText"/>
        <w:rPr/>
      </w:pPr>
      <w:r>
        <w:rPr>
          <w:rFonts w:ascii="IRNazanin" w:hAnsi="IRNazanin" w:eastAsia="IRNazanin"/>
          <w:color w:val="111111"/>
          <w:sz w:val="28"/>
          <w:sz w:val="28"/>
          <w:szCs w:val="28"/>
          <w:rtl w:val="true"/>
          <w:lang w:bidi="fa-IR"/>
        </w:rPr>
        <w:t>یکی ازحقوق دانان، در تعریف شهادت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شخص از امری به نفع یکی از طرفین دعوی و به زیان دیگری</w:t>
      </w:r>
      <w:r>
        <w:rPr>
          <w:rFonts w:eastAsia="IRNazanin" w:cs="IRNazanin"/>
          <w:color w:val="111111"/>
          <w:sz w:val="28"/>
          <w:szCs w:val="28"/>
          <w:rtl w:val="true"/>
          <w:lang w:bidi="fa-IR"/>
        </w:rPr>
        <w:t>».</w:t>
      </w:r>
      <w:r>
        <w:rPr>
          <w:rStyle w:val="FootnoteAnchor"/>
          <w:rtl w:val="true"/>
        </w:rPr>
        <w:footnoteReference w:id="1426"/>
      </w:r>
    </w:p>
    <w:p>
      <w:pPr>
        <w:pStyle w:val="Heading4"/>
        <w:numPr>
          <w:ilvl w:val="3"/>
          <w:numId w:val="1"/>
        </w:numPr>
        <w:rPr/>
      </w:pPr>
      <w:bookmarkStart w:id="640" w:name="__RefHeading___Toc1259782_1468164448"/>
      <w:bookmarkStart w:id="641" w:name="_Toc236"/>
      <w:bookmarkEnd w:id="640"/>
      <w:r>
        <w:rPr/>
        <w:t>2</w:t>
      </w:r>
      <w:r>
        <w:rPr>
          <w:rtl w:val="true"/>
        </w:rPr>
        <w:t xml:space="preserve">- </w:t>
      </w:r>
      <w:r>
        <w:rPr>
          <w:rtl w:val="true"/>
        </w:rPr>
        <w:t>امکان پذیرش شهادت کودک</w:t>
      </w:r>
      <w:bookmarkEnd w:id="641"/>
    </w:p>
    <w:p>
      <w:pPr>
        <w:pStyle w:val="BookText"/>
        <w:rPr/>
      </w:pPr>
      <w:r>
        <w:rPr>
          <w:rFonts w:ascii="IRNazanin" w:hAnsi="IRNazanin" w:eastAsia="IRNazanin"/>
          <w:color w:val="111111"/>
          <w:sz w:val="28"/>
          <w:sz w:val="28"/>
          <w:szCs w:val="28"/>
          <w:rtl w:val="true"/>
          <w:lang w:bidi="fa-IR"/>
        </w:rPr>
        <w:t>در مورد پذیرش و یا عدم پذیرش شهادت کودک بین فقها بحث و گفتگو است، در ادامه به دیدگاه‌های مطرح شده در این باره که با توجّه به سنین مختلف کودک ابراز شده طی چند مسأله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غیر ممیّز</w:t>
      </w:r>
    </w:p>
    <w:p>
      <w:pPr>
        <w:pStyle w:val="BookText"/>
        <w:rPr/>
      </w:pPr>
      <w:r>
        <w:rPr>
          <w:rFonts w:ascii="IRNazanin" w:hAnsi="IRNazanin" w:eastAsia="IRNazanin"/>
          <w:color w:val="111111"/>
          <w:sz w:val="28"/>
          <w:sz w:val="28"/>
          <w:szCs w:val="28"/>
          <w:rtl w:val="true"/>
          <w:lang w:bidi="fa-IR"/>
        </w:rPr>
        <w:t>به اجماع فقها، بلکه به ضرورت از دین، شهادت کودک غیر ممیّز پذیرفته نیست</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زیر ده سال</w:t>
      </w:r>
    </w:p>
    <w:p>
      <w:pPr>
        <w:pStyle w:val="BookText"/>
        <w:rPr/>
      </w:pPr>
      <w:r>
        <w:rPr>
          <w:rFonts w:ascii="IRNazanin" w:hAnsi="IRNazanin" w:eastAsia="IRNazanin"/>
          <w:color w:val="111111"/>
          <w:sz w:val="28"/>
          <w:sz w:val="28"/>
          <w:szCs w:val="28"/>
          <w:rtl w:val="true"/>
          <w:lang w:bidi="fa-IR"/>
        </w:rPr>
        <w:t>طبق نظریه مشهور فقها، شهادت کودک ممیّزی که به سن ده سالگی نرسیده در غیر از قتل پذیرفته نیست</w:t>
      </w:r>
      <w:r>
        <w:rPr>
          <w:rFonts w:eastAsia="IRNazanin" w:cs="IRNazanin"/>
          <w:color w:val="111111"/>
          <w:sz w:val="28"/>
          <w:szCs w:val="28"/>
          <w:rtl w:val="true"/>
          <w:lang w:bidi="fa-IR"/>
        </w:rPr>
        <w:t>.</w:t>
      </w:r>
      <w:r>
        <w:rPr>
          <w:rStyle w:val="FootnoteAnchor"/>
          <w:rtl w:val="true"/>
        </w:rPr>
        <w:footnoteReference w:id="142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حکم، علاوه بر اجماع</w:t>
      </w:r>
      <w:r>
        <w:rPr>
          <w:rStyle w:val="FootnoteAnchor"/>
          <w:rtl w:val="true"/>
        </w:rPr>
        <w:footnoteReference w:id="1429"/>
      </w:r>
      <w:r>
        <w:rPr>
          <w:rFonts w:ascii="IRNazanin" w:hAnsi="IRNazanin" w:eastAsia="IRNazanin"/>
          <w:color w:val="111111"/>
          <w:sz w:val="28"/>
          <w:sz w:val="28"/>
          <w:szCs w:val="28"/>
          <w:rtl w:val="true"/>
          <w:lang w:bidi="fa-IR"/>
        </w:rPr>
        <w:t>و اصل</w:t>
      </w:r>
      <w:r>
        <w:rPr>
          <w:rStyle w:val="FootnoteAnchor"/>
          <w:rtl w:val="true"/>
        </w:rPr>
        <w:footnoteReference w:id="1430"/>
      </w:r>
      <w:r>
        <w:rPr>
          <w:rFonts w:ascii="IRNazanin" w:hAnsi="IRNazanin" w:eastAsia="IRNazanin"/>
          <w:color w:val="111111"/>
          <w:sz w:val="28"/>
          <w:sz w:val="28"/>
          <w:szCs w:val="28"/>
          <w:rtl w:val="true"/>
          <w:lang w:bidi="fa-IR"/>
        </w:rPr>
        <w:t>، بعضی از روایات است از جمله در حدیث صحیح،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آیا شهادت کودک پذیرفته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شهادت بر قتل پذیرفته میشود و باید به گفتار اوّل او، ترتیب اثر داده شود و گفتار بعدی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فِی الْقَتْلِ یُؤَخَذُ بِاَوَّلِ کَلَامِهِ وَلا یُؤْخَذُ بِالثَانِی مِنْهُ</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جواب امام</w:t>
      </w:r>
    </w:p>
    <w:p>
      <w:pPr>
        <w:pStyle w:val="BookText"/>
        <w:rPr/>
      </w:pPr>
      <w:r>
        <w:rPr>
          <w:rFonts w:ascii="IRNazanin" w:hAnsi="IRNazanin" w:eastAsia="IRNazanin"/>
          <w:color w:val="111111"/>
          <w:sz w:val="28"/>
          <w:sz w:val="28"/>
          <w:szCs w:val="28"/>
          <w:rtl w:val="true"/>
          <w:lang w:bidi="fa-IR"/>
        </w:rPr>
        <w:t>علیه السلام مبنی بر پذیرش شهادت کودک در قتل و این که باید به گفتار اول او، ترتیب اثر داده شود، مطلق است و به منزله تفصیل در مسأله میباشد و از آن استفاده میشود، شهادت کودک در غیر قتل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نیز به همین مضمون از آن حضرت نقل شده است</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ده ساله تا زمان بلوغ</w:t>
      </w:r>
    </w:p>
    <w:p>
      <w:pPr>
        <w:pStyle w:val="BookText"/>
        <w:rPr/>
      </w:pPr>
      <w:r>
        <w:rPr>
          <w:rFonts w:ascii="IRNazanin" w:hAnsi="IRNazanin" w:eastAsia="IRNazanin"/>
          <w:color w:val="111111"/>
          <w:sz w:val="28"/>
          <w:sz w:val="28"/>
          <w:szCs w:val="28"/>
          <w:rtl w:val="true"/>
          <w:lang w:bidi="fa-IR"/>
        </w:rPr>
        <w:t>نسبت به پذیرش یا عدم پذیرش شهادت کودک ممیّزی که به سن ده سالگی رسیده تا زمان بلوغ چند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معتقدند مطلقاً پذیرفته نیست</w:t>
      </w:r>
      <w:r>
        <w:rPr>
          <w:rFonts w:eastAsia="IRNazanin" w:cs="IRNazanin"/>
          <w:color w:val="111111"/>
          <w:sz w:val="28"/>
          <w:szCs w:val="28"/>
          <w:rtl w:val="true"/>
          <w:lang w:bidi="fa-IR"/>
        </w:rPr>
        <w:t>.</w:t>
      </w:r>
      <w:r>
        <w:rPr>
          <w:rStyle w:val="FootnoteAnchor"/>
          <w:rtl w:val="true"/>
        </w:rPr>
        <w:footnoteReference w:id="1433"/>
      </w:r>
      <w:r>
        <w:rPr>
          <w:rFonts w:ascii="IRNazanin" w:hAnsi="IRNazanin" w:eastAsia="IRNazanin"/>
          <w:color w:val="111111"/>
          <w:sz w:val="28"/>
          <w:sz w:val="28"/>
          <w:szCs w:val="28"/>
          <w:rtl w:val="true"/>
          <w:lang w:bidi="fa-IR"/>
        </w:rPr>
        <w:t>برای اثبات این دیدگاه به ادلّه‌ای استناد شده که ضعیف است و میتواند مورد خدشه قرار گیرد</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بعضی دیگر قائل به عدم پذیرش آن در غیرقتل میباشند</w:t>
      </w:r>
      <w:r>
        <w:rPr>
          <w:rFonts w:eastAsia="IRNazanin" w:cs="IRNazanin"/>
          <w:color w:val="111111"/>
          <w:sz w:val="28"/>
          <w:szCs w:val="28"/>
          <w:rtl w:val="true"/>
          <w:lang w:bidi="fa-IR"/>
        </w:rPr>
        <w:t>.</w:t>
      </w:r>
      <w:r>
        <w:rPr>
          <w:rStyle w:val="FootnoteAnchor"/>
          <w:rtl w:val="true"/>
        </w:rPr>
        <w:footnoteReference w:id="1435"/>
      </w:r>
      <w:r>
        <w:rPr>
          <w:rFonts w:ascii="IRNazanin" w:hAnsi="IRNazanin" w:eastAsia="IRNazanin"/>
          <w:color w:val="111111"/>
          <w:sz w:val="28"/>
          <w:sz w:val="28"/>
          <w:szCs w:val="28"/>
          <w:rtl w:val="true"/>
          <w:lang w:bidi="fa-IR"/>
        </w:rPr>
        <w:t>دلیل این دیدگاه علاوه براصل</w:t>
      </w:r>
      <w:r>
        <w:rPr>
          <w:rStyle w:val="FootnoteAnchor"/>
          <w:rtl w:val="true"/>
        </w:rPr>
        <w:footnoteReference w:id="1436"/>
      </w:r>
      <w:r>
        <w:rPr>
          <w:rFonts w:ascii="IRNazanin" w:hAnsi="IRNazanin" w:eastAsia="IRNazanin"/>
          <w:color w:val="111111"/>
          <w:sz w:val="28"/>
          <w:sz w:val="28"/>
          <w:szCs w:val="28"/>
          <w:rtl w:val="true"/>
          <w:lang w:bidi="fa-IR"/>
        </w:rPr>
        <w:t>و اجماع</w:t>
      </w:r>
      <w:r>
        <w:rPr>
          <w:rStyle w:val="FootnoteAnchor"/>
          <w:rtl w:val="true"/>
        </w:rPr>
        <w:footnoteReference w:id="1437"/>
      </w:r>
      <w:r>
        <w:rPr>
          <w:rFonts w:ascii="IRNazanin" w:hAnsi="IRNazanin" w:eastAsia="IRNazanin"/>
          <w:color w:val="111111"/>
          <w:sz w:val="28"/>
          <w:sz w:val="28"/>
          <w:szCs w:val="28"/>
          <w:rtl w:val="true"/>
          <w:lang w:bidi="fa-IR"/>
        </w:rPr>
        <w:t>، بعضی از اخبار است مانند این که امام صادق علیه السلام از امیرالمؤمنین علیه السلام نقل‌میکند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کودکان نسبت به وقایعی که در زمان کودکی آنها اتفاق افتاده بعد از آن که به سن بلوغ رسیدند اگر فراموش ننموده باشند،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الصِّبیَان اذا اشْهَدُوْهُم وَ هُمْ صِغَارٌ جَازَتْ إذا کَبِرُوا مَالَمْ یَنْسَوْهَا</w:t>
      </w:r>
      <w:r>
        <w:rPr>
          <w:rFonts w:eastAsia="IRNazanin" w:cs="IRNazanin"/>
          <w:color w:val="111111"/>
          <w:sz w:val="28"/>
          <w:szCs w:val="28"/>
          <w:rtl w:val="true"/>
          <w:lang w:bidi="fa-IR"/>
        </w:rPr>
        <w:t>»</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این‌روایت‌به‌مفهوم شرط دلالت دارد بر این که شهادت کودک تا زمانی که کبیر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 بلوغ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روایت صحیح دیگری که پیش‌تر ذکر شد امام صادق علیه السلام درپاسخ‌به‌این سؤال که آیا شهادت کودک پذیرفته است؟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قتل</w:t>
      </w:r>
    </w:p>
    <w:p>
      <w:pPr>
        <w:pStyle w:val="BookText"/>
        <w:rPr/>
      </w:pPr>
      <w:r>
        <w:rPr>
          <w:rFonts w:ascii="IRNazanin" w:hAnsi="IRNazanin" w:eastAsia="IRNazanin"/>
          <w:color w:val="111111"/>
          <w:sz w:val="28"/>
          <w:sz w:val="28"/>
          <w:szCs w:val="28"/>
          <w:rtl w:val="true"/>
          <w:lang w:bidi="fa-IR"/>
        </w:rPr>
        <w:t>پذیرفته است و گفتار اوّل او مورد توجّه قرار میگیرد و به کلمات بعدی توجه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الْقَتلِ یُؤْخَذُ بِاوَّلِ کَلامِهِ وَلا یُؤْخَذُ بِالثَّانِی مِنْهُ</w:t>
      </w:r>
      <w:r>
        <w:rPr>
          <w:rFonts w:eastAsia="IRNazanin" w:cs="IRNazanin"/>
          <w:color w:val="111111"/>
          <w:sz w:val="28"/>
          <w:szCs w:val="28"/>
          <w:rtl w:val="true"/>
          <w:lang w:bidi="fa-IR"/>
        </w:rPr>
        <w:t>»</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راوی مطلق است، لیکن امام علیه السلام بین قتل و غیر قتل تفصیل</w:t>
      </w:r>
      <w:r>
        <w:rPr>
          <w:rStyle w:val="FootnoteAnchor"/>
          <w:rtl w:val="true"/>
        </w:rPr>
        <w:footnoteReference w:id="1440"/>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روایت دلیل است بر اینکه شهادت کودک در غیرقتل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نیز وارد شده که مضمون آنها شبیه آن‌چه ذکر شد، میباشد</w:t>
      </w:r>
      <w:r>
        <w:rPr>
          <w:rFonts w:eastAsia="IRNazanin" w:cs="IRNazanin"/>
          <w:color w:val="111111"/>
          <w:sz w:val="28"/>
          <w:szCs w:val="28"/>
          <w:rtl w:val="true"/>
          <w:lang w:bidi="fa-IR"/>
        </w:rPr>
        <w:t>.</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از مطالب گذشته معلوم گردید که شهادت کودک در مفروض کلام فقط درمورد قتل پذیرفته میشود و بسیاری از فقها به آن تصریح نموده‌اند</w:t>
      </w:r>
      <w:r>
        <w:rPr>
          <w:rFonts w:eastAsia="IRNazanin" w:cs="IRNazanin"/>
          <w:color w:val="111111"/>
          <w:sz w:val="28"/>
          <w:szCs w:val="28"/>
          <w:rtl w:val="true"/>
          <w:lang w:bidi="fa-IR"/>
        </w:rPr>
        <w:t>.</w:t>
      </w:r>
      <w:r>
        <w:rPr>
          <w:rStyle w:val="FootnoteAnchor"/>
          <w:rtl w:val="true"/>
        </w:rPr>
        <w:footnoteReference w:id="1442"/>
      </w:r>
      <w:r>
        <w:rPr>
          <w:rFonts w:ascii="IRNazanin" w:hAnsi="IRNazanin" w:eastAsia="IRNazanin"/>
          <w:color w:val="111111"/>
          <w:sz w:val="28"/>
          <w:sz w:val="28"/>
          <w:szCs w:val="28"/>
          <w:rtl w:val="true"/>
          <w:lang w:bidi="fa-IR"/>
        </w:rPr>
        <w:t>دلیل آن علاوه بر اجماع</w:t>
      </w:r>
      <w:r>
        <w:rPr>
          <w:rStyle w:val="FootnoteAnchor"/>
          <w:rtl w:val="true"/>
        </w:rPr>
        <w:footnoteReference w:id="1443"/>
      </w:r>
      <w:r>
        <w:rPr>
          <w:rFonts w:ascii="IRNazanin" w:hAnsi="IRNazanin" w:eastAsia="IRNazanin"/>
          <w:color w:val="111111"/>
          <w:sz w:val="28"/>
          <w:sz w:val="28"/>
          <w:szCs w:val="28"/>
          <w:rtl w:val="true"/>
          <w:lang w:bidi="fa-IR"/>
        </w:rPr>
        <w:t>روایاتی است که به برخی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این حکم اختصاص به قتل دارد، زیرا روایات در خصوص آن وارد شده یا این که علاوه بر قتل در مورد جرح نیز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مختلفی ابرازگردیده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عبارات برخی از فقیهان</w:t>
      </w:r>
      <w:r>
        <w:rPr>
          <w:rStyle w:val="FootnoteAnchor"/>
          <w:rtl w:val="true"/>
        </w:rPr>
        <w:footnoteReference w:id="1444"/>
      </w:r>
      <w:r>
        <w:rPr>
          <w:rFonts w:ascii="IRNazanin" w:hAnsi="IRNazanin" w:eastAsia="IRNazanin"/>
          <w:color w:val="111111"/>
          <w:sz w:val="28"/>
          <w:sz w:val="28"/>
          <w:szCs w:val="28"/>
          <w:rtl w:val="true"/>
          <w:lang w:bidi="fa-IR"/>
        </w:rPr>
        <w:t>تعمیم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در قتل، جرح و شکستگی اعضا، شهادت کودک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آن را منحصر به مورد قتل و قصاص میدانند</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گروه سوم در این مسأله مردد شده و نظر صریحی ابراز ننموده‌اند،</w:t>
      </w:r>
      <w:r>
        <w:rPr>
          <w:rStyle w:val="FootnoteAnchor"/>
          <w:rtl w:val="true"/>
        </w:rPr>
        <w:footnoteReference w:id="1446"/>
      </w:r>
      <w:r>
        <w:rPr>
          <w:rFonts w:ascii="IRNazanin" w:hAnsi="IRNazanin" w:eastAsia="IRNazanin"/>
          <w:color w:val="111111"/>
          <w:sz w:val="28"/>
          <w:sz w:val="28"/>
          <w:szCs w:val="28"/>
          <w:rtl w:val="true"/>
          <w:lang w:bidi="fa-IR"/>
        </w:rPr>
        <w:t>و بالاخره برخی اختلاف در دیدگاه‌های مطرح شده را توجیه و بین آنها به گونه‌ای جمع نموده‌اند</w:t>
      </w:r>
      <w:r>
        <w:rPr>
          <w:rFonts w:eastAsia="IRNazanin" w:cs="IRNazanin"/>
          <w:color w:val="111111"/>
          <w:sz w:val="28"/>
          <w:szCs w:val="28"/>
          <w:rtl w:val="true"/>
          <w:lang w:bidi="fa-IR"/>
        </w:rPr>
        <w:t>.</w:t>
      </w:r>
      <w:r>
        <w:rPr>
          <w:rStyle w:val="FootnoteAnchor"/>
          <w:rtl w:val="true"/>
        </w:rPr>
        <w:footnoteReference w:id="1447"/>
      </w:r>
      <w:r>
        <w:rPr>
          <w:rFonts w:ascii="IRNazanin" w:hAnsi="IRNazanin" w:eastAsia="IRNazanin"/>
          <w:color w:val="111111"/>
          <w:sz w:val="28"/>
          <w:sz w:val="28"/>
          <w:szCs w:val="28"/>
          <w:rtl w:val="true"/>
          <w:lang w:bidi="fa-IR"/>
        </w:rPr>
        <w:t>امّا توضیح آن در مجال این نوشتار نیست</w:t>
      </w:r>
      <w:r>
        <w:rPr>
          <w:rFonts w:eastAsia="IRNazanin" w:cs="IRNazanin"/>
          <w:color w:val="111111"/>
          <w:sz w:val="28"/>
          <w:szCs w:val="28"/>
          <w:rtl w:val="true"/>
          <w:lang w:bidi="fa-IR"/>
        </w:rPr>
        <w:t>.</w:t>
      </w:r>
      <w:r>
        <w:rPr>
          <w:rStyle w:val="FootnoteAnchor"/>
          <w:rtl w:val="true"/>
        </w:rPr>
        <w:footnoteReference w:id="1448"/>
      </w:r>
      <w:bookmarkStart w:id="642" w:name="pg13713_164621"/>
    </w:p>
    <w:p>
      <w:pPr>
        <w:pStyle w:val="Heading4"/>
        <w:numPr>
          <w:ilvl w:val="3"/>
          <w:numId w:val="1"/>
        </w:numPr>
        <w:rPr/>
      </w:pPr>
      <w:bookmarkStart w:id="643" w:name="__RefHeading___Toc1259784_1468164448"/>
      <w:bookmarkStart w:id="644" w:name="_Toc237"/>
      <w:bookmarkEnd w:id="642"/>
      <w:bookmarkEnd w:id="643"/>
      <w:r>
        <w:rPr/>
        <w:t>3</w:t>
      </w:r>
      <w:r>
        <w:rPr>
          <w:rtl w:val="true"/>
        </w:rPr>
        <w:t xml:space="preserve">- </w:t>
      </w:r>
      <w:r>
        <w:rPr>
          <w:rtl w:val="true"/>
        </w:rPr>
        <w:t>شرایط شهادت کودک</w:t>
      </w:r>
      <w:bookmarkEnd w:id="644"/>
    </w:p>
    <w:p>
      <w:pPr>
        <w:pStyle w:val="BookText"/>
        <w:rPr/>
      </w:pPr>
      <w:r>
        <w:rPr>
          <w:rFonts w:ascii="IRNazanin" w:hAnsi="IRNazanin" w:eastAsia="IRNazanin"/>
          <w:color w:val="111111"/>
          <w:sz w:val="28"/>
          <w:sz w:val="28"/>
          <w:szCs w:val="28"/>
          <w:rtl w:val="true"/>
          <w:lang w:bidi="fa-IR"/>
        </w:rPr>
        <w:t>در مواردی که گواهی کودک پذیرفته میشود، لازم است شرایطی رعایت گردد که به اجمال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ممیّز بودن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 نشدن از مکانی که جرم در آن واقع شده و عدم مراجعه کودک به نزدخانواده‌اش یا کس دیگری که به احتمال قوی او را بر شهادت دادن به غیر واقع، تلقین‌نماید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فقها سن ده سالگی را شرط دانسته‌اند</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عبارات کودک در ادای شهادت اختلاف داشته باشد، فقط گفتار اول وی پذیرفته میشود</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آن‌چه تا کنون ذکر شد مبنی بر پذیرش شهادت کودک در قتل، اختصاص به پسران دارد، امّا شهادت دختر مطلقاً پذیرفته نیست، این حکم مورد توافق فقها است و اختلافی در آن دیده نشده است</w:t>
      </w:r>
      <w:r>
        <w:rPr>
          <w:rFonts w:eastAsia="IRNazanin" w:cs="IRNazanin"/>
          <w:color w:val="111111"/>
          <w:sz w:val="28"/>
          <w:szCs w:val="28"/>
          <w:rtl w:val="true"/>
          <w:lang w:bidi="fa-IR"/>
        </w:rPr>
        <w:t>.</w:t>
      </w:r>
      <w:r>
        <w:rPr>
          <w:rStyle w:val="FootnoteAnchor"/>
          <w:rtl w:val="true"/>
        </w:rPr>
        <w:footnoteReference w:id="1451"/>
      </w:r>
    </w:p>
    <w:p>
      <w:pPr>
        <w:pStyle w:val="Heading4"/>
        <w:numPr>
          <w:ilvl w:val="3"/>
          <w:numId w:val="1"/>
        </w:numPr>
        <w:rPr/>
      </w:pPr>
      <w:bookmarkStart w:id="645" w:name="__RefHeading___Toc1259786_1468164448"/>
      <w:bookmarkStart w:id="646" w:name="_Toc238"/>
      <w:bookmarkEnd w:id="645"/>
      <w:r>
        <w:rPr/>
        <w:t>4</w:t>
      </w:r>
      <w:r>
        <w:rPr>
          <w:rtl w:val="true"/>
        </w:rPr>
        <w:t xml:space="preserve">- </w:t>
      </w:r>
      <w:r>
        <w:rPr>
          <w:rtl w:val="true"/>
        </w:rPr>
        <w:t>شهادت کودک در حقوق مدنی</w:t>
      </w:r>
      <w:bookmarkEnd w:id="64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مفهوم ماده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استفاده میشود که اهلیّت برای ادای شهادت پانزده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در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ماده مزبور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اطفالی را که به سن پانزده سال تمام نرسیده‌اند، فقط ممکن است برای مزید اطلاع استماع نمود، مگر در مواردی که قانون، شهادت این قبیل اطفال را معتبر شناخته باشد</w:t>
      </w:r>
      <w:r>
        <w:rPr>
          <w:rFonts w:eastAsia="IRNazanin" w:cs="IRNazanin"/>
          <w:color w:val="111111"/>
          <w:sz w:val="28"/>
          <w:szCs w:val="28"/>
          <w:rtl w:val="true"/>
          <w:lang w:bidi="fa-IR"/>
        </w:rPr>
        <w:t>».</w:t>
      </w:r>
      <w:bookmarkStart w:id="647" w:name="pg13713_164622"/>
    </w:p>
    <w:p>
      <w:pPr>
        <w:pStyle w:val="Heading4"/>
        <w:numPr>
          <w:ilvl w:val="3"/>
          <w:numId w:val="1"/>
        </w:numPr>
        <w:rPr/>
      </w:pPr>
      <w:bookmarkStart w:id="648" w:name="__RefHeading___Toc1259788_1468164448"/>
      <w:bookmarkStart w:id="649" w:name="_Toc239"/>
      <w:bookmarkEnd w:id="647"/>
      <w:bookmarkEnd w:id="648"/>
      <w:r>
        <w:rPr/>
        <w:t>5</w:t>
      </w:r>
      <w:r>
        <w:rPr>
          <w:rtl w:val="true"/>
        </w:rPr>
        <w:t xml:space="preserve">- </w:t>
      </w:r>
      <w:r>
        <w:rPr>
          <w:rtl w:val="true"/>
        </w:rPr>
        <w:t>شهادت فرد بالغ نسبت به دوران کودکی</w:t>
      </w:r>
      <w:bookmarkEnd w:id="649"/>
    </w:p>
    <w:p>
      <w:pPr>
        <w:pStyle w:val="BookText"/>
        <w:rPr/>
      </w:pPr>
      <w:r>
        <w:rPr>
          <w:rFonts w:ascii="IRNazanin" w:hAnsi="IRNazanin" w:eastAsia="IRNazanin"/>
          <w:color w:val="111111"/>
          <w:sz w:val="28"/>
          <w:sz w:val="28"/>
          <w:szCs w:val="28"/>
          <w:rtl w:val="true"/>
          <w:lang w:bidi="fa-IR"/>
        </w:rPr>
        <w:t>اگر کودک چیزی را در زمان کودکی نظاره گر باشد و آن را فراموش نکند، بعد از آن که به سن بلوغ رسید در صورتی که واجد شرایط شهادت باشد، میتواند نسبت به آن شهادت دهد، این حکم مورد توافق فقها</w:t>
      </w:r>
      <w:r>
        <w:rPr>
          <w:rStyle w:val="FootnoteAnchor"/>
          <w:rtl w:val="true"/>
        </w:rPr>
        <w:footnoteReference w:id="145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اطلاق و عمومات ادلّه، شاهد باید هنگام ادای شهادت واجد شرایط باشد و نیاز نیست در وقت تحمّل مورد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صحنه‌ای که به آن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را دارا باشد</w:t>
      </w:r>
      <w:r>
        <w:rPr>
          <w:rFonts w:eastAsia="IRNazanin" w:cs="IRNazanin"/>
          <w:color w:val="111111"/>
          <w:sz w:val="28"/>
          <w:szCs w:val="28"/>
          <w:rtl w:val="true"/>
          <w:lang w:bidi="fa-IR"/>
        </w:rPr>
        <w:t>.</w:t>
      </w:r>
      <w:r>
        <w:rPr>
          <w:rStyle w:val="FootnoteAnchor"/>
          <w:rtl w:val="true"/>
        </w:rPr>
        <w:footnoteReference w:id="14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 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معتبر امام صادق علیه السلام از امیرالمؤمنین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افراد بالغ نسبت به چیزهایی که در زمان کودکی شاهد بوده‌اند و آن را از یاد نبرده‌اند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شَهادَةَ الصِّبیَانِ إذَا اَشْهَدُوهُمْ وَ هُمْ صِغارٌ جَازَتْ إذَا کَبِرُوا مَالَمْ یَنْسَوْهَا</w:t>
      </w:r>
      <w:r>
        <w:rPr>
          <w:rFonts w:eastAsia="IRNazanin" w:cs="IRNazanin"/>
          <w:color w:val="111111"/>
          <w:sz w:val="28"/>
          <w:szCs w:val="28"/>
          <w:rtl w:val="true"/>
          <w:lang w:bidi="fa-IR"/>
        </w:rPr>
        <w:t>»</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به همین مضمون از امام باقر علیه السلام نقل شده است</w:t>
      </w:r>
      <w:r>
        <w:rPr>
          <w:rFonts w:eastAsia="IRNazanin" w:cs="IRNazanin"/>
          <w:color w:val="111111"/>
          <w:sz w:val="28"/>
          <w:szCs w:val="28"/>
          <w:rtl w:val="true"/>
          <w:lang w:bidi="fa-IR"/>
        </w:rPr>
        <w:t>.</w:t>
      </w:r>
      <w:r>
        <w:rPr>
          <w:rStyle w:val="FootnoteAnchor"/>
          <w:rtl w:val="true"/>
        </w:rPr>
        <w:footnoteReference w:id="145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موثقه، زراره میگوید از امام صادق علیه السلام در خصوص گواهی کسی که در زمان کودکی چیزی را میبیند و بعد از آن که به سن بلوغ رسید به آن شهادت میدهد، سؤال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شهادت به این گونه پذیرفته شود و چه بسا، بهتر از شهادت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شَهَادَتُهُ نحواً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شَهادَةِ هَوُلاءِ</w:t>
      </w:r>
      <w:r>
        <w:rPr>
          <w:rFonts w:eastAsia="IRNazanin" w:cs="IRNazanin"/>
          <w:color w:val="111111"/>
          <w:sz w:val="28"/>
          <w:szCs w:val="28"/>
          <w:rtl w:val="true"/>
          <w:lang w:bidi="fa-IR"/>
        </w:rPr>
        <w:t>»</w:t>
      </w:r>
      <w:r>
        <w:rPr>
          <w:rStyle w:val="FootnoteAnchor"/>
          <w:rtl w:val="true"/>
        </w:rPr>
        <w:footnoteReference w:id="1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در مورد کسی است که شرایط شهادت در او جمع است</w:t>
      </w:r>
      <w:r>
        <w:rPr>
          <w:rFonts w:eastAsia="IRNazanin" w:cs="IRNazanin"/>
          <w:color w:val="111111"/>
          <w:sz w:val="28"/>
          <w:szCs w:val="28"/>
          <w:rtl w:val="true"/>
          <w:lang w:bidi="fa-IR"/>
        </w:rPr>
        <w:t>.</w:t>
      </w:r>
      <w:bookmarkStart w:id="650" w:name="pg13713_164623"/>
    </w:p>
    <w:p>
      <w:pPr>
        <w:pStyle w:val="Heading3"/>
        <w:numPr>
          <w:ilvl w:val="2"/>
          <w:numId w:val="1"/>
        </w:numPr>
        <w:rPr/>
      </w:pPr>
      <w:bookmarkStart w:id="651" w:name="__RefHeading___Toc1259790_1468164448"/>
      <w:bookmarkStart w:id="652" w:name="_Toc240"/>
      <w:bookmarkEnd w:id="650"/>
      <w:bookmarkEnd w:id="651"/>
      <w:r>
        <w:rPr>
          <w:rtl w:val="true"/>
        </w:rPr>
        <w:t>گفتارچهارم</w:t>
      </w:r>
      <w:r>
        <w:rPr>
          <w:rtl w:val="true"/>
        </w:rPr>
        <w:t xml:space="preserve">: </w:t>
      </w:r>
      <w:r>
        <w:rPr>
          <w:rtl w:val="true"/>
        </w:rPr>
        <w:t>دعاوی کودک</w:t>
      </w:r>
      <w:bookmarkEnd w:id="652"/>
    </w:p>
    <w:p>
      <w:pPr>
        <w:pStyle w:val="Heading4"/>
        <w:numPr>
          <w:ilvl w:val="3"/>
          <w:numId w:val="1"/>
        </w:numPr>
        <w:rPr/>
      </w:pPr>
      <w:bookmarkStart w:id="653" w:name="__RefHeading___Toc1259792_1468164448"/>
      <w:bookmarkStart w:id="654" w:name="_Toc241"/>
      <w:bookmarkEnd w:id="653"/>
      <w:r>
        <w:rPr/>
        <w:t>1</w:t>
      </w:r>
      <w:r>
        <w:rPr>
          <w:rtl w:val="true"/>
        </w:rPr>
        <w:t xml:space="preserve">- </w:t>
      </w:r>
      <w:r>
        <w:rPr>
          <w:rtl w:val="true"/>
        </w:rPr>
        <w:t>مفهوم دعوی در لغت و اصطلاح</w:t>
      </w:r>
      <w:bookmarkEnd w:id="65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دعوی اسم است برای چیزی که شخص آن را ادعّا مینماید و جمع آن دعاوی است و در چند معنی به کار میرود از جمله، طلب، درخواست و دادخواهی</w:t>
      </w:r>
      <w:r>
        <w:rPr>
          <w:rStyle w:val="FootnoteAnchor"/>
          <w:rtl w:val="true"/>
        </w:rPr>
        <w:footnoteReference w:id="1458"/>
      </w:r>
      <w:r>
        <w:rPr>
          <w:rFonts w:ascii="IRNazanin" w:hAnsi="IRNazanin" w:eastAsia="IRNazanin"/>
          <w:color w:val="111111"/>
          <w:sz w:val="28"/>
          <w:sz w:val="28"/>
          <w:szCs w:val="28"/>
          <w:rtl w:val="true"/>
          <w:lang w:bidi="fa-IR"/>
        </w:rPr>
        <w:t>که مورد بحث ما در این گفتار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فقها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درخواستی که شخصی به نفع خود یا به نیابت از غیر، مانند پدر به نیابت از کودک، بر ضرر دیگری اظهار مینماید، خواه شیء مورد درخواست ملک باشد یا حق در دست طرف مقابل باشد یا بر ذمّه او، بنابراین دعوا از امور نسبی است که نیاز به دو نسبت دارد که یکی از آنها خواهان</w:t>
      </w:r>
      <w:r>
        <w:rPr>
          <w:rStyle w:val="FootnoteAnchor"/>
          <w:rtl w:val="true"/>
        </w:rPr>
        <w:footnoteReference w:id="1459"/>
      </w:r>
      <w:r>
        <w:rPr>
          <w:rFonts w:ascii="IRNazanin" w:hAnsi="IRNazanin" w:eastAsia="IRNazanin"/>
          <w:color w:val="111111"/>
          <w:sz w:val="28"/>
          <w:sz w:val="28"/>
          <w:szCs w:val="28"/>
          <w:rtl w:val="true"/>
          <w:lang w:bidi="fa-IR"/>
        </w:rPr>
        <w:t xml:space="preserve">و دیگری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460"/>
      </w:r>
      <w:bookmarkStart w:id="655" w:name="pg13713_164624"/>
    </w:p>
    <w:p>
      <w:pPr>
        <w:pStyle w:val="BookText"/>
        <w:rPr/>
      </w:pPr>
      <w:bookmarkEnd w:id="655"/>
      <w:r>
        <w:rPr>
          <w:rFonts w:ascii="IRNazanin" w:hAnsi="IRNazanin" w:eastAsia="IRNazanin"/>
          <w:color w:val="111111"/>
          <w:sz w:val="28"/>
          <w:sz w:val="28"/>
          <w:szCs w:val="28"/>
          <w:rtl w:val="true"/>
          <w:lang w:bidi="fa-IR"/>
        </w:rPr>
        <w:t xml:space="preserve">شناخت خواهان و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اهمیّت دارد که به استثنای موارد لوث</w:t>
      </w:r>
      <w:r>
        <w:rPr>
          <w:rStyle w:val="FootnoteAnchor"/>
          <w:rtl w:val="true"/>
        </w:rPr>
        <w:footnoteReference w:id="1461"/>
      </w:r>
      <w:r>
        <w:rPr>
          <w:rFonts w:ascii="IRNazanin" w:hAnsi="IRNazanin" w:eastAsia="IRNazanin"/>
          <w:color w:val="111111"/>
          <w:sz w:val="28"/>
          <w:sz w:val="28"/>
          <w:szCs w:val="28"/>
          <w:rtl w:val="true"/>
          <w:lang w:bidi="fa-IR"/>
        </w:rPr>
        <w:t>بیّنه با خواهان و قسم با خوانده است که یکی از اصول مسلّم قضای اسلام است و مبتنی بر روایات متعدّد و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حقوق ایران تعاریف مختلفی از دعوا ارائه شده است از جمله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عبارت از عملی است که برای تثبیت حقی صورت میگیرد، یعنی حقّی که مورد انکار یا تجاوز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حقی است که به موجب آن اشخاص میتوانند به دادگاه مراجعه کنند و از مقام رسمی بخواهند که به وسیله اجرای قانون از حقوقشان در برابر دیگری حمایت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دادگاه و اجرای این حق همیشه به وسیله عمل حقوقی خاصی انجام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r>
        <w:rPr>
          <w:rStyle w:val="FootnoteAnchor"/>
          <w:rtl w:val="true"/>
        </w:rPr>
        <w:footnoteReference w:id="1462"/>
      </w:r>
    </w:p>
    <w:p>
      <w:pPr>
        <w:pStyle w:val="Heading4"/>
        <w:numPr>
          <w:ilvl w:val="3"/>
          <w:numId w:val="1"/>
        </w:numPr>
        <w:rPr/>
      </w:pPr>
      <w:bookmarkStart w:id="656" w:name="__RefHeading___Toc1259794_1468164448"/>
      <w:bookmarkStart w:id="657" w:name="_Toc242"/>
      <w:bookmarkEnd w:id="656"/>
      <w:r>
        <w:rPr/>
        <w:t>2</w:t>
      </w:r>
      <w:r>
        <w:rPr>
          <w:rtl w:val="true"/>
        </w:rPr>
        <w:t xml:space="preserve">- </w:t>
      </w:r>
      <w:r>
        <w:rPr>
          <w:rtl w:val="true"/>
        </w:rPr>
        <w:t>عدم اهلیّت کودک برای اقامه دعوا</w:t>
      </w:r>
      <w:bookmarkEnd w:id="657"/>
    </w:p>
    <w:p>
      <w:pPr>
        <w:pStyle w:val="BookText"/>
        <w:rPr/>
      </w:pPr>
      <w:r>
        <w:rPr>
          <w:rFonts w:ascii="IRNazanin" w:hAnsi="IRNazanin" w:eastAsia="IRNazanin"/>
          <w:color w:val="111111"/>
          <w:sz w:val="28"/>
          <w:sz w:val="28"/>
          <w:szCs w:val="28"/>
          <w:rtl w:val="true"/>
          <w:lang w:bidi="fa-IR"/>
        </w:rPr>
        <w:t xml:space="preserve">طبق نظر مشهور در بین فقها، دعاوی کودک پذیرفته نیست و اثری بر آن مترتب نمیگردد، اعم از این که متعلق دعوا از اموری باشد که کودک نسبت به آن، محجور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غیر آن و نیز اعم از این که برای اثبات مدّعا اقامه بیّنه نماید یا بیّنه نداشته باشد، زیرا شرط است مدّعی بالغ و عاقل باشد</w:t>
      </w:r>
      <w:r>
        <w:rPr>
          <w:rFonts w:eastAsia="IRNazanin" w:cs="IRNazanin"/>
          <w:color w:val="111111"/>
          <w:sz w:val="28"/>
          <w:szCs w:val="28"/>
          <w:rtl w:val="true"/>
          <w:lang w:bidi="fa-IR"/>
        </w:rPr>
        <w:t>.</w:t>
      </w:r>
      <w:r>
        <w:rPr>
          <w:rStyle w:val="FootnoteAnchor"/>
          <w:rtl w:val="true"/>
        </w:rPr>
        <w:footnoteReference w:id="1463"/>
      </w:r>
    </w:p>
    <w:p>
      <w:pPr>
        <w:pStyle w:val="Heading4"/>
        <w:numPr>
          <w:ilvl w:val="3"/>
          <w:numId w:val="1"/>
        </w:numPr>
        <w:rPr/>
      </w:pPr>
      <w:bookmarkStart w:id="658" w:name="__RefHeading___Toc1259796_1468164448"/>
      <w:bookmarkStart w:id="659" w:name="_Toc243"/>
      <w:bookmarkEnd w:id="658"/>
      <w:r>
        <w:rPr/>
        <w:t>3</w:t>
      </w:r>
      <w:r>
        <w:rPr>
          <w:rtl w:val="true"/>
        </w:rPr>
        <w:t xml:space="preserve">- </w:t>
      </w:r>
      <w:r>
        <w:rPr>
          <w:rtl w:val="true"/>
        </w:rPr>
        <w:t>ادّله عدم اهلیّت کودک برای اقامه دعوا</w:t>
      </w:r>
      <w:bookmarkEnd w:id="65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عدم اهلیّت کودک در اقامه دعوا به ادلّه‌ای استناد شده که مهم‌ترین آنها به قرار زیر است</w:t>
      </w:r>
      <w:r>
        <w:rPr>
          <w:rFonts w:eastAsia="IRNazanin" w:cs="IRNazanin"/>
          <w:color w:val="111111"/>
          <w:sz w:val="28"/>
          <w:szCs w:val="28"/>
          <w:rtl w:val="true"/>
          <w:lang w:bidi="fa-IR"/>
        </w:rPr>
        <w:t>:</w:t>
      </w:r>
      <w:bookmarkStart w:id="660" w:name="pg13713_164625"/>
    </w:p>
    <w:p>
      <w:pPr>
        <w:pStyle w:val="BookText"/>
        <w:rPr/>
      </w:pPr>
      <w:bookmarkEnd w:id="660"/>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باره ادّعای اجماع نموده‌اند</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با این توضیح که به مقتضای اصل، آثار دعوا، مثل وجوب استماع آن، قبول بیّنه از خواهان و سقوط دعوا با قسم خوانده بر دعوای کودک مترتّب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دلالت بر وجوب استماع دعوا و ترتیب آثار بر آن دارد، به حکم تبادر اختصاص به موردی دارد که شرایط اقامه دعوا از جمله بالغ بودن خواهان در آن جمع باشد</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 کودک و مجنون پذیرفته نیست، زیرا آنان مسلوب العباره‌اند و کلامشان دارای اعتبار نمیباشد</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صلاحیت مطالبه حق خود را ندارد، بنابراین نمیتواند در موردی که از شرایط آن، حق دخالت و سلطنت داشتن است، مداخله نماید</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ascii="IRNazanin" w:hAnsi="IRNazanin" w:eastAsia="IRNazanin"/>
          <w:color w:val="111111"/>
          <w:sz w:val="28"/>
          <w:sz w:val="28"/>
          <w:szCs w:val="28"/>
          <w:rtl w:val="true"/>
          <w:lang w:bidi="fa-IR"/>
        </w:rPr>
        <w:t>نتیجه این که به دلیل نص، فتوا و اجماع فعل و عبارت کودک بیاثر است، بنابراین دعوای وی که گفتار اوست لغو و بیاثر میباشد و استماع دعوای وی بیفایده خواهد بود</w:t>
      </w:r>
      <w:r>
        <w:rPr>
          <w:rFonts w:eastAsia="IRNazanin" w:cs="IRNazanin"/>
          <w:color w:val="111111"/>
          <w:sz w:val="28"/>
          <w:szCs w:val="28"/>
          <w:rtl w:val="true"/>
          <w:lang w:bidi="fa-IR"/>
        </w:rPr>
        <w:t>.</w:t>
      </w:r>
    </w:p>
    <w:p>
      <w:pPr>
        <w:pStyle w:val="Heading4"/>
        <w:numPr>
          <w:ilvl w:val="3"/>
          <w:numId w:val="1"/>
        </w:numPr>
        <w:rPr/>
      </w:pPr>
      <w:bookmarkStart w:id="661" w:name="__RefHeading___Toc1259798_1468164448"/>
      <w:bookmarkStart w:id="662" w:name="_Toc244"/>
      <w:bookmarkEnd w:id="661"/>
      <w:r>
        <w:rPr/>
        <w:t>4</w:t>
      </w:r>
      <w:r>
        <w:rPr>
          <w:rtl w:val="true"/>
        </w:rPr>
        <w:t xml:space="preserve">- </w:t>
      </w:r>
      <w:r>
        <w:rPr>
          <w:rtl w:val="true"/>
        </w:rPr>
        <w:t>تفصیل در مسأله</w:t>
      </w:r>
      <w:bookmarkEnd w:id="66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بعضی از ادلّه‌ای که ذکر شد، توسط برخی از بزرگان فقها از جمله محقق نراقی،</w:t>
      </w:r>
      <w:r>
        <w:rPr>
          <w:rStyle w:val="FootnoteAnchor"/>
          <w:rtl w:val="true"/>
        </w:rPr>
        <w:footnoteReference w:id="1468"/>
      </w:r>
      <w:r>
        <w:rPr>
          <w:rFonts w:ascii="IRNazanin" w:hAnsi="IRNazanin" w:eastAsia="IRNazanin"/>
          <w:color w:val="111111"/>
          <w:sz w:val="28"/>
          <w:sz w:val="28"/>
          <w:szCs w:val="28"/>
          <w:rtl w:val="true"/>
          <w:lang w:bidi="fa-IR"/>
        </w:rPr>
        <w:t>آیت الله گلپایگانی</w:t>
      </w:r>
      <w:r>
        <w:rPr>
          <w:rStyle w:val="FootnoteAnchor"/>
          <w:rtl w:val="true"/>
        </w:rPr>
        <w:footnoteReference w:id="1469"/>
      </w:r>
      <w:r>
        <w:rPr>
          <w:rFonts w:ascii="IRNazanin" w:hAnsi="IRNazanin" w:eastAsia="IRNazanin"/>
          <w:color w:val="111111"/>
          <w:sz w:val="28"/>
          <w:sz w:val="28"/>
          <w:szCs w:val="28"/>
          <w:rtl w:val="true"/>
          <w:lang w:bidi="fa-IR"/>
        </w:rPr>
        <w:t>و آیت الله فاضل لنکرانی</w:t>
      </w:r>
      <w:r>
        <w:rPr>
          <w:rStyle w:val="FootnoteAnchor"/>
          <w:rtl w:val="true"/>
        </w:rPr>
        <w:footnoteReference w:id="1470"/>
      </w:r>
      <w:r>
        <w:rPr>
          <w:rFonts w:ascii="IRNazanin" w:hAnsi="IRNazanin" w:eastAsia="IRNazanin"/>
          <w:color w:val="111111"/>
          <w:sz w:val="28"/>
          <w:sz w:val="28"/>
          <w:szCs w:val="28"/>
          <w:rtl w:val="true"/>
          <w:lang w:bidi="fa-IR"/>
        </w:rPr>
        <w:t>مورد ایراد قرار گرفته است،</w:t>
      </w:r>
      <w:r>
        <w:rPr>
          <w:rStyle w:val="FootnoteAnchor"/>
          <w:rtl w:val="true"/>
        </w:rPr>
        <w:footnoteReference w:id="1471"/>
      </w:r>
      <w:r>
        <w:rPr>
          <w:rFonts w:ascii="IRNazanin" w:hAnsi="IRNazanin" w:eastAsia="IRNazanin"/>
          <w:color w:val="111111"/>
          <w:sz w:val="28"/>
          <w:sz w:val="28"/>
          <w:szCs w:val="28"/>
          <w:rtl w:val="true"/>
          <w:lang w:bidi="fa-IR"/>
        </w:rPr>
        <w:t>ولی حکم مسأله فیالجمله مورد توافق است، به ویژه آن که برخی در این باره ادّعای اجماع نموده‌اند و چون اجماع، دلیل لبّی است، باید به قدر متیقن مورد آن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 در مسأله،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آیت الله خوئی معتقد است در موردی که ولی کودک متمکن از اقامه بیّنه و احقاق حق وی نمیباشد، باید دعوای وی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قضا برای رفع خصومت بین مترافعین باشد، به دلیل بیاثر بودن اعترافات صغیر، و قسم دادن وی، دعوی پذیرفته نمیشود و در امور غیر ترافعی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نیزاگر صغیر ولی داشته باشد تا از طرف وی اقامه دعوی و بیّنه نموده، منکر را قسم بدهد و یا خود قسم بخورد، دعوای صغیر، استماع نمیشود و بر قاضی قضاوت در این مورد واجب نیست، چون دلیل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ولی کودک قادر بر اقامه بیّنه نباشد، مثل جایی که کسی بر جسم صغیر ضربه‌ای وارد ساخته و ولی از جانی اطّلاع ندارد، بعید نیست اقامه دعوا توسط کودک به دلیل حفظ نظم صحیح باشد و بر قاضی نیز تصّدی قضا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کودک بیّنه داشته باشد، اقامه مینماید و قاضی باید حکم دهد، در غیر این صورت دعوی ساقط میشود، زیرا کودک نمیتواند منکر را قسم دهد، ولی نیز چون اطلاع ندارد، نمیتواند قسم بخورد، بنابراین دعوی به تأخیر میافتد تا مجنی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شود</w:t>
      </w:r>
      <w:r>
        <w:rPr>
          <w:rFonts w:eastAsia="IRNazanin" w:cs="IRNazanin"/>
          <w:color w:val="111111"/>
          <w:sz w:val="28"/>
          <w:szCs w:val="28"/>
          <w:rtl w:val="true"/>
          <w:lang w:bidi="fa-IR"/>
        </w:rPr>
        <w:t>.</w:t>
      </w:r>
      <w:r>
        <w:rPr>
          <w:rStyle w:val="FootnoteAnchor"/>
          <w:rtl w:val="true"/>
        </w:rPr>
        <w:footnoteReference w:id="1472"/>
      </w:r>
      <w:r>
        <w:rPr>
          <w:rFonts w:ascii="IRNazanin" w:hAnsi="IRNazanin" w:eastAsia="IRNazanin"/>
          <w:color w:val="111111"/>
          <w:sz w:val="28"/>
          <w:sz w:val="28"/>
          <w:szCs w:val="28"/>
          <w:rtl w:val="true"/>
          <w:lang w:bidi="fa-IR"/>
        </w:rPr>
        <w:t>قریب همین مضمون را برخی دیگر از بزرگان فقهای معاصر فرموده است</w:t>
      </w:r>
      <w:r>
        <w:rPr>
          <w:rFonts w:eastAsia="IRNazanin" w:cs="IRNazanin"/>
          <w:color w:val="111111"/>
          <w:sz w:val="28"/>
          <w:szCs w:val="28"/>
          <w:rtl w:val="true"/>
          <w:lang w:bidi="fa-IR"/>
        </w:rPr>
        <w:t>.</w:t>
      </w:r>
      <w:r>
        <w:rPr>
          <w:rStyle w:val="FootnoteAnchor"/>
          <w:rtl w:val="true"/>
        </w:rPr>
        <w:footnoteReference w:id="147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امام خمینی قدس سره راه حل کامل‌تری ارائه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دعوای کودک استماع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نزد قاضی تظلّم آورد قاضی ولی او را احضار مینماید تا از طرف کودک طرح دعوی نماید یا خوانده را احضار مینماید و برای مدّعی قیّم یا وکیل تعیین میکند و یا خود قاضی منکر را قسم میدهد</w:t>
      </w:r>
      <w:r>
        <w:rPr>
          <w:rFonts w:eastAsia="IRNazanin" w:cs="IRNazanin"/>
          <w:color w:val="111111"/>
          <w:sz w:val="28"/>
          <w:szCs w:val="28"/>
          <w:rtl w:val="true"/>
          <w:lang w:bidi="fa-IR"/>
        </w:rPr>
        <w:t>».</w:t>
      </w:r>
      <w:r>
        <w:rPr>
          <w:rStyle w:val="FootnoteAnchor"/>
          <w:rtl w:val="true"/>
        </w:rPr>
        <w:footnoteReference w:id="1474"/>
      </w:r>
      <w:r>
        <w:rPr>
          <w:rFonts w:ascii="IRNazanin" w:hAnsi="IRNazanin" w:eastAsia="IRNazanin"/>
          <w:color w:val="111111"/>
          <w:sz w:val="28"/>
          <w:sz w:val="28"/>
          <w:szCs w:val="28"/>
          <w:rtl w:val="true"/>
          <w:lang w:bidi="fa-IR"/>
        </w:rPr>
        <w:t>آیت الله فاضل لنکرانی نیز همین نظریه را پذیرفته است</w:t>
      </w:r>
      <w:r>
        <w:rPr>
          <w:rFonts w:eastAsia="IRNazanin" w:cs="IRNazanin"/>
          <w:color w:val="111111"/>
          <w:sz w:val="28"/>
          <w:szCs w:val="28"/>
          <w:rtl w:val="true"/>
          <w:lang w:bidi="fa-IR"/>
        </w:rPr>
        <w:t>.</w:t>
      </w:r>
      <w:r>
        <w:rPr>
          <w:rStyle w:val="FootnoteAnchor"/>
          <w:rtl w:val="true"/>
        </w:rPr>
        <w:footnoteReference w:id="1475"/>
      </w:r>
      <w:r>
        <w:rPr>
          <w:rFonts w:ascii="IRNazanin" w:hAnsi="IRNazanin" w:eastAsia="IRNazanin"/>
          <w:color w:val="111111"/>
          <w:sz w:val="28"/>
          <w:sz w:val="28"/>
          <w:szCs w:val="28"/>
          <w:rtl w:val="true"/>
          <w:lang w:bidi="fa-IR"/>
        </w:rPr>
        <w:t>مطابق این نظریه باید بین مرافعات مالی صرف و تطلّمات ناشی از تعدّی و جنایت و موردی که راهی برای احقاق کودک وجود ندارد، فرق گذاشت و در صورت دوّم فیالجمله دعوای کودک استماع میشود</w:t>
      </w:r>
      <w:r>
        <w:rPr>
          <w:rFonts w:eastAsia="IRNazanin" w:cs="IRNazanin"/>
          <w:color w:val="111111"/>
          <w:sz w:val="28"/>
          <w:szCs w:val="28"/>
          <w:rtl w:val="true"/>
          <w:lang w:bidi="fa-IR"/>
        </w:rPr>
        <w:t>.</w:t>
      </w:r>
      <w:bookmarkStart w:id="663" w:name="pg13713_164627"/>
    </w:p>
    <w:p>
      <w:pPr>
        <w:pStyle w:val="Heading4"/>
        <w:numPr>
          <w:ilvl w:val="3"/>
          <w:numId w:val="1"/>
        </w:numPr>
        <w:rPr/>
      </w:pPr>
      <w:bookmarkStart w:id="664" w:name="__RefHeading___Toc1259800_1468164448"/>
      <w:bookmarkStart w:id="665" w:name="_Toc245"/>
      <w:bookmarkEnd w:id="663"/>
      <w:bookmarkEnd w:id="664"/>
      <w:r>
        <w:rPr/>
        <w:t>5</w:t>
      </w:r>
      <w:r>
        <w:rPr>
          <w:rtl w:val="true"/>
        </w:rPr>
        <w:t xml:space="preserve">- </w:t>
      </w:r>
      <w:r>
        <w:rPr>
          <w:rtl w:val="true"/>
        </w:rPr>
        <w:t>عدم شرط بلوغ در خوانده</w:t>
      </w:r>
      <w:bookmarkEnd w:id="665"/>
    </w:p>
    <w:p>
      <w:pPr>
        <w:pStyle w:val="BookText"/>
        <w:rPr/>
      </w:pPr>
      <w:r>
        <w:rPr>
          <w:rFonts w:ascii="IRNazanin" w:hAnsi="IRNazanin" w:eastAsia="IRNazanin"/>
          <w:color w:val="111111"/>
          <w:sz w:val="28"/>
          <w:sz w:val="28"/>
          <w:szCs w:val="28"/>
          <w:rtl w:val="true"/>
          <w:lang w:bidi="fa-IR"/>
        </w:rPr>
        <w:t>آن‌چه تاکنون ذکر شد مربوط به خواهان دعوا است، امّا در خوانده بلوغ، عقل، و رشد،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علیه کودک یا مجنون، طرح دعوی شود صحیح و مسموع است و ولی وی باید متصدّی پاسخ به دعوای مطرح شده قرار گیرد و بر چنین دعوایی آثار مربوطه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مورد توافق فقها است و اختلافی در آن دیده نشد</w:t>
      </w:r>
      <w:r>
        <w:rPr>
          <w:rFonts w:eastAsia="IRNazanin" w:cs="IRNazanin"/>
          <w:color w:val="111111"/>
          <w:sz w:val="28"/>
          <w:szCs w:val="28"/>
          <w:rtl w:val="true"/>
          <w:lang w:bidi="fa-IR"/>
        </w:rPr>
        <w:t>.</w:t>
      </w:r>
      <w:r>
        <w:rPr>
          <w:rStyle w:val="FootnoteAnchor"/>
          <w:rtl w:val="true"/>
        </w:rPr>
        <w:footnoteReference w:id="1476"/>
      </w:r>
    </w:p>
    <w:p>
      <w:pPr>
        <w:pStyle w:val="Heading4"/>
        <w:numPr>
          <w:ilvl w:val="3"/>
          <w:numId w:val="1"/>
        </w:numPr>
        <w:rPr/>
      </w:pPr>
      <w:bookmarkStart w:id="666" w:name="__RefHeading___Toc1259802_1468164448"/>
      <w:bookmarkStart w:id="667" w:name="_Toc246"/>
      <w:bookmarkEnd w:id="666"/>
      <w:r>
        <w:rPr/>
        <w:t>6</w:t>
      </w:r>
      <w:r>
        <w:rPr>
          <w:rtl w:val="true"/>
        </w:rPr>
        <w:t xml:space="preserve">- </w:t>
      </w:r>
      <w:r>
        <w:rPr>
          <w:rtl w:val="true"/>
        </w:rPr>
        <w:t>اهلیّت اقامه دعوی در حقوق مدنی</w:t>
      </w:r>
      <w:bookmarkEnd w:id="667"/>
    </w:p>
    <w:p>
      <w:pPr>
        <w:pStyle w:val="BookText"/>
        <w:rPr/>
      </w:pPr>
      <w:r>
        <w:rPr>
          <w:rFonts w:ascii="IRNazanin" w:hAnsi="IRNazanin" w:eastAsia="IRNazanin"/>
          <w:color w:val="111111"/>
          <w:sz w:val="28"/>
          <w:sz w:val="28"/>
          <w:szCs w:val="28"/>
          <w:rtl w:val="true"/>
          <w:lang w:bidi="fa-IR"/>
        </w:rPr>
        <w:t xml:space="preserve">مطابق ماده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هر انسان متمتع از حقوق مدنی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هیچ کس نمیتواند حقوق خود را اجرا کند، مگر این که برای این امر اهلیّت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شرایط اقامه دعوی اهلیّت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اقامه دعوامینماید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بالغ، عاقل و رشید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 بلوغ به موجب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پسر پانزده سال تمام قمری و در دختر نُه سال تمام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صریح مادّه مزبور و ماده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تجارت و رأی وحدت رویّه شماره </w:t>
      </w:r>
      <w:r>
        <w:rPr>
          <w:rFonts w:eastAsia="IRNazanin" w:cs="IRNazanin"/>
          <w:color w:val="111111"/>
          <w:sz w:val="28"/>
          <w:szCs w:val="28"/>
          <w:lang w:bidi="fa-IR"/>
        </w:rPr>
        <w:t>1364/10/30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عالی کشور و رویّة قضایی در خصوص این شرط در مورد اقامه دعوا نتایج زیر حاصل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شخصی که به سن هیجده سال تمام شمسی رسیده، اعم از زن و مرد دارای‌اهلیت قانونی محسوب و هرگونه دعوایی را، خواه در امور غیر مالی یا مالی میتواند خود اقامه نماید یا طرف هر دعوایی قرار گیرد، مگر این که عدم رشد یا جنون او به موجب حکم دادگاه ثابت شده باشد، که در صورت اخیر شرط اقامه دعوا را فاقد میگرددو حسب مورد ولی خاص و یا قیّم و یا وصی ولی او، باید به نمایندگی از او اقامه دعوی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دارای پانزده سال تمام قمری و دختر دارای نُه سال تمام قمری قبل از این که به هیجده سالگی برسد نیز میتواند با توجه به اینکه به سن بلوغ رسیده است در امور غیر مالی اقامه دعوی نموده و یا طرف دعوی قرار گیرد، مگر اینکه عدم رشد یا جنون او به موجب حکم دادگاه ثابت شده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پسر یا دختری که به سن هیجده سال تمام شمسی نرسیده باشد، در صورتی میتواند در امور مالی اقامه دعوی نمود یا به دعوای مربوط به حقوق مالی که علیه او اقامه شده، پاسخ دهد که رشد او به موجب حکم دادگاه اثبات شده باشد</w:t>
      </w:r>
      <w:r>
        <w:rPr>
          <w:rFonts w:eastAsia="IRNazanin" w:cs="IRNazanin"/>
          <w:color w:val="111111"/>
          <w:sz w:val="28"/>
          <w:szCs w:val="28"/>
          <w:rtl w:val="true"/>
          <w:lang w:bidi="fa-IR"/>
        </w:rPr>
        <w:t>.</w:t>
      </w:r>
      <w:r>
        <w:rPr>
          <w:rStyle w:val="FootnoteAnchor"/>
          <w:rtl w:val="true"/>
        </w:rPr>
        <w:footnoteReference w:id="1477"/>
      </w:r>
      <w:bookmarkStart w:id="668" w:name="pg13713_164629"/>
    </w:p>
    <w:p>
      <w:pPr>
        <w:pStyle w:val="Heading3"/>
        <w:numPr>
          <w:ilvl w:val="2"/>
          <w:numId w:val="1"/>
        </w:numPr>
        <w:rPr/>
      </w:pPr>
      <w:bookmarkStart w:id="669" w:name="__RefHeading___Toc1259804_1468164448"/>
      <w:bookmarkStart w:id="670" w:name="_Toc247"/>
      <w:bookmarkEnd w:id="668"/>
      <w:bookmarkEnd w:id="669"/>
      <w:r>
        <w:rPr>
          <w:rtl w:val="true"/>
        </w:rPr>
        <w:t>گفتار پنجم</w:t>
      </w:r>
      <w:r>
        <w:rPr>
          <w:rtl w:val="true"/>
        </w:rPr>
        <w:t xml:space="preserve">: </w:t>
      </w:r>
      <w:r>
        <w:rPr>
          <w:rtl w:val="true"/>
        </w:rPr>
        <w:t>اجتهاد، تقلید و نقل روایت توسط کودک</w:t>
      </w:r>
      <w:bookmarkEnd w:id="670"/>
    </w:p>
    <w:p>
      <w:pPr>
        <w:pStyle w:val="Heading4"/>
        <w:numPr>
          <w:ilvl w:val="3"/>
          <w:numId w:val="1"/>
        </w:numPr>
        <w:rPr/>
      </w:pPr>
      <w:bookmarkStart w:id="671" w:name="__RefHeading___Toc1259806_1468164448"/>
      <w:bookmarkStart w:id="672" w:name="_Toc248"/>
      <w:bookmarkEnd w:id="671"/>
      <w:r>
        <w:rPr/>
        <w:t>1</w:t>
      </w:r>
      <w:r>
        <w:rPr>
          <w:rtl w:val="true"/>
        </w:rPr>
        <w:t xml:space="preserve">- </w:t>
      </w:r>
      <w:r>
        <w:rPr>
          <w:rtl w:val="true"/>
        </w:rPr>
        <w:t>مفهوم اجتهاد</w:t>
      </w:r>
      <w:bookmarkEnd w:id="672"/>
    </w:p>
    <w:p>
      <w:pPr>
        <w:pStyle w:val="BookText"/>
        <w:rPr/>
      </w:pPr>
      <w:r>
        <w:rPr>
          <w:rFonts w:ascii="IRNazanin" w:hAnsi="IRNazanin" w:eastAsia="IRNazanin"/>
          <w:color w:val="111111"/>
          <w:sz w:val="28"/>
          <w:sz w:val="28"/>
          <w:szCs w:val="28"/>
          <w:rtl w:val="true"/>
          <w:lang w:bidi="fa-IR"/>
        </w:rPr>
        <w:t xml:space="preserve">اجتهاد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نهایت تلاش و کوشش در انجام کاری است</w:t>
      </w:r>
      <w:r>
        <w:rPr>
          <w:rFonts w:eastAsia="IRNazanin" w:cs="IRNazanin"/>
          <w:color w:val="111111"/>
          <w:sz w:val="28"/>
          <w:szCs w:val="28"/>
          <w:rtl w:val="true"/>
          <w:lang w:bidi="fa-IR"/>
        </w:rPr>
        <w:t>.</w:t>
      </w:r>
      <w:r>
        <w:rPr>
          <w:rStyle w:val="FootnoteAnchor"/>
          <w:rtl w:val="true"/>
        </w:rPr>
        <w:footnoteReference w:id="1478"/>
      </w:r>
      <w:r>
        <w:rPr>
          <w:rFonts w:ascii="IRNazanin" w:hAnsi="IRNazanin" w:eastAsia="IRNazanin"/>
          <w:color w:val="111111"/>
          <w:sz w:val="28"/>
          <w:sz w:val="28"/>
          <w:szCs w:val="28"/>
          <w:rtl w:val="true"/>
          <w:lang w:bidi="fa-IR"/>
        </w:rPr>
        <w:t>و مجتهد اسم فاعل از آن است</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امّا در اصطلاح، فقها و اصولیین با اختلاف در عبارت آن را این 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کار بردن منتهای کوشش و صرف نیرو و توان برای تحصیل اطمینان به حکم شرعی است</w:t>
      </w:r>
      <w:r>
        <w:rPr>
          <w:rFonts w:eastAsia="IRNazanin" w:cs="IRNazanin"/>
          <w:color w:val="111111"/>
          <w:sz w:val="28"/>
          <w:szCs w:val="28"/>
          <w:rtl w:val="true"/>
          <w:lang w:bidi="fa-IR"/>
        </w:rPr>
        <w:t>.</w:t>
      </w:r>
      <w:r>
        <w:rPr>
          <w:rStyle w:val="FootnoteAnchor"/>
          <w:rtl w:val="true"/>
        </w:rPr>
        <w:footnoteReference w:id="1480"/>
      </w:r>
      <w:r>
        <w:rPr>
          <w:rFonts w:ascii="IRNazanin" w:hAnsi="IRNazanin" w:eastAsia="IRNazanin"/>
          <w:color w:val="111111"/>
          <w:sz w:val="28"/>
          <w:sz w:val="28"/>
          <w:szCs w:val="28"/>
          <w:rtl w:val="true"/>
          <w:lang w:bidi="fa-IR"/>
        </w:rPr>
        <w:t>یا تحصیل حجت شرعی</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برخی دیگر آن را از لحاظ این که صفت مجتهد است تعریف کرده و کلمه ملکه را به آن افزوده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اجتهاد ملکه ای</w:t>
      </w:r>
      <w:r>
        <w:rPr>
          <w:rStyle w:val="FootnoteAnchor"/>
          <w:rtl w:val="true"/>
        </w:rPr>
        <w:footnoteReference w:id="1482"/>
      </w:r>
      <w:r>
        <w:rPr>
          <w:rFonts w:ascii="IRNazanin" w:hAnsi="IRNazanin" w:eastAsia="IRNazanin"/>
          <w:color w:val="111111"/>
          <w:sz w:val="28"/>
          <w:sz w:val="28"/>
          <w:szCs w:val="28"/>
          <w:rtl w:val="true"/>
          <w:lang w:bidi="fa-IR"/>
        </w:rPr>
        <w:t>است که به وسیله آن شخص توانایی استخراج احکام شرعی عملی با استناد به ادلّه تفصیلی آن را پیدا کند</w:t>
      </w:r>
      <w:r>
        <w:rPr>
          <w:rFonts w:eastAsia="IRNazanin" w:cs="IRNazanin"/>
          <w:color w:val="111111"/>
          <w:sz w:val="28"/>
          <w:szCs w:val="28"/>
          <w:rtl w:val="true"/>
          <w:lang w:bidi="fa-IR"/>
        </w:rPr>
        <w:t>».</w:t>
      </w:r>
      <w:r>
        <w:rPr>
          <w:rStyle w:val="FootnoteAnchor"/>
          <w:rtl w:val="true"/>
        </w:rPr>
        <w:footnoteReference w:id="1483"/>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یک از تعاریف ایرادهایی وارد شده که بررسی آنها از هدف این تحقیق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واژه مجتهد در معنی اصطلاحی آن، وصف کسی است که بتواند احکام شرعی را از ادلّه آن استنباط نماید و خود و دیگران به آن عمل نمایند</w:t>
      </w:r>
      <w:r>
        <w:rPr>
          <w:rFonts w:eastAsia="IRNazanin" w:cs="IRNazanin"/>
          <w:color w:val="111111"/>
          <w:sz w:val="28"/>
          <w:szCs w:val="28"/>
          <w:rtl w:val="true"/>
          <w:lang w:bidi="fa-IR"/>
        </w:rPr>
        <w:t>.</w:t>
      </w:r>
      <w:bookmarkStart w:id="673" w:name="pg13713_164630"/>
    </w:p>
    <w:p>
      <w:pPr>
        <w:pStyle w:val="Heading4"/>
        <w:numPr>
          <w:ilvl w:val="3"/>
          <w:numId w:val="1"/>
        </w:numPr>
        <w:rPr/>
      </w:pPr>
      <w:bookmarkStart w:id="674" w:name="__RefHeading___Toc1259808_1468164448"/>
      <w:bookmarkStart w:id="675" w:name="_Toc249"/>
      <w:bookmarkEnd w:id="673"/>
      <w:bookmarkEnd w:id="674"/>
      <w:r>
        <w:rPr/>
        <w:t>2</w:t>
      </w:r>
      <w:r>
        <w:rPr>
          <w:rtl w:val="true"/>
        </w:rPr>
        <w:t xml:space="preserve">- </w:t>
      </w:r>
      <w:r>
        <w:rPr>
          <w:rtl w:val="true"/>
        </w:rPr>
        <w:t>تحلیل مفهوم تقلید</w:t>
      </w:r>
      <w:bookmarkEnd w:id="675"/>
    </w:p>
    <w:p>
      <w:pPr>
        <w:pStyle w:val="BookText"/>
        <w:rPr/>
      </w:pPr>
      <w:r>
        <w:rPr>
          <w:rFonts w:ascii="IRNazanin" w:hAnsi="IRNazanin" w:eastAsia="IRNazanin"/>
          <w:color w:val="111111"/>
          <w:sz w:val="28"/>
          <w:sz w:val="28"/>
          <w:szCs w:val="28"/>
          <w:rtl w:val="true"/>
          <w:lang w:bidi="fa-IR"/>
        </w:rPr>
        <w:t xml:space="preserve">تقلید در لغت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گردن بند به گردن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السیف، یعنی حمایل شمشیر را بر گردن انداخت و کلمه تقلید از باب تفعیل، ضد ابتکار است، یعنی کورکورانه از پی کسی رفتن و الگو از عمل او برداشتن</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اما از نظر اصطلاحی، تقلید در چند معنی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این گفتار مورد نظر میباشد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نمودن کسی که خود اهل خبره نیست از نظر خبرگان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خبره را در این خصوص، مرجع تقلید و جمع آن را مراجع تقلید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و علمای علم اصول فقه نیز آن را این گونه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عبارت است از عمل نمودن به قول دیگری بدون این که از او دلیل خواسته شود</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توضیح اینکه چون انسان‌های عادی نمیتوانند به طور مستقیم از کتاب و سنّت استفاده کنند و توان دست یابی به احکام شرعی را ندارند و در هر زمان فقط عده‌ای معدود قدرت استنباط احکام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خواه ناخواه چاره‌ای جز تبعیت از نظرات و عمل به گفتار آنها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مردم عادی به خبرگان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حکم شرعی فقهی و عمل به آن را تقلید مینامند، به همین جهت است که تقلید در مقابل اجتهاد قرار میگیرد و بین این دو واژه رابطه تنگاتنگ و جدّی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روشن گردید که تقلید مربوط به مسائل فقهی عملی است و امّا در مسائل مربوط به عقاید و اصول دین مانند، شناخت خداوند متعال، توحیدو صفات او، ادلّه نبوت و امامت، و هم‌چنین مسائل بدیهی دین، تقلید راه ندارد و جایز نیست</w:t>
      </w:r>
      <w:r>
        <w:rPr>
          <w:rFonts w:eastAsia="IRNazanin" w:cs="IRNazanin"/>
          <w:color w:val="111111"/>
          <w:sz w:val="28"/>
          <w:szCs w:val="28"/>
          <w:rtl w:val="true"/>
          <w:lang w:bidi="fa-IR"/>
        </w:rPr>
        <w:t>.</w:t>
      </w:r>
    </w:p>
    <w:p>
      <w:pPr>
        <w:pStyle w:val="Heading4"/>
        <w:numPr>
          <w:ilvl w:val="3"/>
          <w:numId w:val="1"/>
        </w:numPr>
        <w:rPr/>
      </w:pPr>
      <w:bookmarkStart w:id="676" w:name="__RefHeading___Toc1259810_1468164448"/>
      <w:bookmarkStart w:id="677" w:name="_Toc250"/>
      <w:bookmarkEnd w:id="676"/>
      <w:r>
        <w:rPr/>
        <w:t>3</w:t>
      </w:r>
      <w:r>
        <w:rPr>
          <w:rtl w:val="true"/>
        </w:rPr>
        <w:t xml:space="preserve">- </w:t>
      </w:r>
      <w:r>
        <w:rPr>
          <w:rtl w:val="true"/>
        </w:rPr>
        <w:t>امکان رسیدن کودک به مرتبه اجتهاد</w:t>
      </w:r>
      <w:bookmarkEnd w:id="677"/>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ابتدا این سؤال به ذهن آید که رسیدن به مرحله اجتهاد و گذراندن مقدمات آن، مانند معرفت و آگاهی به زبان و ادبیّات عرب و نیز علوم مربوط به حدیث و اصول</w:t>
      </w:r>
    </w:p>
    <w:p>
      <w:pPr>
        <w:pStyle w:val="BookText"/>
        <w:rPr/>
      </w:pPr>
      <w:r>
        <w:rPr>
          <w:rFonts w:ascii="IRNazanin" w:hAnsi="IRNazanin" w:eastAsia="IRNazanin"/>
          <w:color w:val="111111"/>
          <w:sz w:val="28"/>
          <w:sz w:val="28"/>
          <w:szCs w:val="28"/>
          <w:rtl w:val="true"/>
          <w:lang w:bidi="fa-IR"/>
        </w:rPr>
        <w:t>فقه، به طور عادی بیش از پانزده سال به طول میانجامد، حال آیا کودک قبل از بلوغ میتواند به مرتبه اجتهاد برسد؟</w:t>
      </w:r>
    </w:p>
    <w:p>
      <w:pPr>
        <w:pStyle w:val="BookText"/>
        <w:rPr/>
      </w:pPr>
      <w:r>
        <w:rPr>
          <w:rFonts w:ascii="IRNazanin" w:hAnsi="IRNazanin" w:eastAsia="IRNazanin"/>
          <w:color w:val="111111"/>
          <w:sz w:val="28"/>
          <w:sz w:val="28"/>
          <w:szCs w:val="28"/>
          <w:rtl w:val="true"/>
          <w:lang w:bidi="fa-IR"/>
        </w:rPr>
        <w:t>در پاسخ باید گفت که امکان دارد، زیرا بعضی از انبیای بزرگ مانند حضرت عیسی و یحیی علیهما السلام درکودکی‌به مقام والای نبوت،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از ائمه بزرگوار شیعه مانند حضرت جوادالائمه و امام‌هادی علیهما السلام و نیز امام منتظر صاحب الامر عجل الله تعالی فرجه الشریف، در کودکی به مقام امامت و وصایت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کودکی مانع از رسیدن به مقام نبوت و امامت نیست، نمیتواند برای رسیدن به مرحله اجتهاد مانع باشد، افزون بر این برخی از فقها بزرگ شیعه در کودکی به مرتبه اجتهاد دست یافتند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حلّی</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ایشان ملقب به فخرالمحقّقین، متولد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این بزرگوار آمده است که در سن ده سالگی به مرتبه اجتهاد رسید</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فاضل اصفهانی، ایشان قبل از بلوغ به تألیف و تصنیف کتب فقهی پرداخته است</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صدرالدین موسوی عاملی</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محمدعلی فرزند سید صدرالدین موسوی عاملی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دختری مرحوم آیت الله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نوادر عصر خود به حساب میآید و در سن دوازده سالگی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 المبین فی احکام الصبیان و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 محمدباقر رشتی از علمای آن زمان کتاب او را دید اجتهاد وی را در همان سنین کودکی تصدیق نمود</w:t>
      </w:r>
      <w:r>
        <w:rPr>
          <w:rFonts w:eastAsia="IRNazanin" w:cs="IRNazanin"/>
          <w:color w:val="111111"/>
          <w:sz w:val="28"/>
          <w:szCs w:val="28"/>
          <w:rtl w:val="true"/>
          <w:lang w:bidi="fa-IR"/>
        </w:rPr>
        <w:t>.</w:t>
      </w:r>
      <w:r>
        <w:rPr>
          <w:rStyle w:val="FootnoteAnchor"/>
          <w:rtl w:val="true"/>
        </w:rPr>
        <w:footnoteReference w:id="149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عبدالکریم غیاث الدین ابن طاووس فرزند احمد بن طاووس</w:t>
      </w:r>
      <w:r>
        <w:rPr>
          <w:rStyle w:val="FootnoteAnchor"/>
          <w:rtl w:val="true"/>
        </w:rPr>
        <w:footnoteReference w:id="1491"/>
      </w:r>
      <w:r>
        <w:rPr>
          <w:rFonts w:ascii="IRNazanin" w:hAnsi="IRNazanin" w:eastAsia="IRNazanin"/>
          <w:color w:val="111111"/>
          <w:sz w:val="28"/>
          <w:sz w:val="28"/>
          <w:szCs w:val="28"/>
          <w:rtl w:val="true"/>
          <w:lang w:bidi="fa-IR"/>
        </w:rPr>
        <w:t>و بسیاری دیگر که نیاز به ذکر نیست</w:t>
      </w:r>
      <w:r>
        <w:rPr>
          <w:rFonts w:eastAsia="IRNazanin" w:cs="IRNazanin"/>
          <w:color w:val="111111"/>
          <w:sz w:val="28"/>
          <w:szCs w:val="28"/>
          <w:rtl w:val="true"/>
          <w:lang w:bidi="fa-IR"/>
        </w:rPr>
        <w:t>.</w:t>
      </w:r>
      <w:bookmarkStart w:id="678" w:name="pg13713_164632"/>
    </w:p>
    <w:p>
      <w:pPr>
        <w:pStyle w:val="BookText"/>
        <w:rPr/>
      </w:pPr>
      <w:bookmarkEnd w:id="678"/>
      <w:r>
        <w:rPr>
          <w:rFonts w:ascii="IRNazanin" w:hAnsi="IRNazanin" w:eastAsia="IRNazanin"/>
          <w:color w:val="111111"/>
          <w:sz w:val="28"/>
          <w:sz w:val="28"/>
          <w:szCs w:val="28"/>
          <w:rtl w:val="true"/>
          <w:lang w:bidi="fa-IR"/>
        </w:rPr>
        <w:t>باید افزود هرچند استعداد و فهم بالا در رسیدن کودک به مقام علمی قابل انکار نیست، ولی تربیت خانوادگی، مجالست و اهتمام اولیای وی نیز از عوامل تأثیرگذار در این خصوص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بر پدر و مادر و دیگر سرپرستان کودک لازم است در این باره وظایف خطیر خود را فراموش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جای بسی درنگ است که کودکی با پی گیری والدین در طفولیت به مرتبه اجتهاد که یکی از عالیترین مقامات علمی مذهبی است میرسد و در برابر کودکی که رفتار اعضای خانواده و هجوم تبلغیاتی دشمنان دین که متأسفانه در زمان ما به اوج خود رسیده او را از خدا و دین و معنویت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راه از کجا تا به کجا</w:t>
      </w:r>
      <w:r>
        <w:rPr>
          <w:rFonts w:eastAsia="IRNazanin" w:cs="IRNazanin"/>
          <w:color w:val="111111"/>
          <w:sz w:val="28"/>
          <w:szCs w:val="28"/>
          <w:rtl w:val="true"/>
          <w:lang w:bidi="fa-IR"/>
        </w:rPr>
        <w:t>.</w:t>
      </w:r>
    </w:p>
    <w:p>
      <w:pPr>
        <w:pStyle w:val="Heading4"/>
        <w:numPr>
          <w:ilvl w:val="3"/>
          <w:numId w:val="1"/>
        </w:numPr>
        <w:rPr/>
      </w:pPr>
      <w:bookmarkStart w:id="679" w:name="__RefHeading___Toc1259812_1468164448"/>
      <w:bookmarkStart w:id="680" w:name="_Toc251"/>
      <w:bookmarkEnd w:id="679"/>
      <w:r>
        <w:rPr/>
        <w:t>4</w:t>
      </w:r>
      <w:r>
        <w:rPr>
          <w:rtl w:val="true"/>
        </w:rPr>
        <w:t xml:space="preserve">- </w:t>
      </w:r>
      <w:r>
        <w:rPr>
          <w:rtl w:val="true"/>
        </w:rPr>
        <w:t>اعتبار فتوای کودک</w:t>
      </w:r>
      <w:bookmarkEnd w:id="680"/>
    </w:p>
    <w:p>
      <w:pPr>
        <w:pStyle w:val="BookText"/>
        <w:rPr/>
      </w:pPr>
      <w:r>
        <w:rPr>
          <w:rFonts w:ascii="IRNazanin" w:hAnsi="IRNazanin" w:eastAsia="IRNazanin"/>
          <w:color w:val="111111"/>
          <w:sz w:val="28"/>
          <w:sz w:val="28"/>
          <w:szCs w:val="28"/>
          <w:rtl w:val="true"/>
          <w:lang w:bidi="fa-IR"/>
        </w:rPr>
        <w:t>بعد از آنکه روشن شد کودک میتواند قبل از بلوغ به مرتبه اجتهاد برسد، بحث در این مسأله واقع میشود که آیا فتوای کودک برای خودش و دیگران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کودک میتواند بر طبق فتوای خود به احکام شرعی عمل کند یا دیگران بر اساس فتوای او چنین نمایند؟</w:t>
      </w:r>
    </w:p>
    <w:p>
      <w:pPr>
        <w:pStyle w:val="BookText"/>
        <w:rPr/>
      </w:pPr>
      <w:r>
        <w:rPr>
          <w:rFonts w:ascii="IRNazanin" w:hAnsi="IRNazanin" w:eastAsia="IRNazanin"/>
          <w:color w:val="111111"/>
          <w:sz w:val="28"/>
          <w:sz w:val="28"/>
          <w:szCs w:val="28"/>
          <w:rtl w:val="true"/>
          <w:lang w:bidi="fa-IR"/>
        </w:rPr>
        <w:t>بیتردید فتوای کودک برای خودش معتبر است و باید به احکامی که بر طبق موازین فقهی استنباط نموده عمل نماید، زیرا برای کسی که به مرتبه اجتهاد رسیده و علم به احکام پیدا کرده، تقلید از دیگری، مثل خودش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فتوای کودکی که جامع شرایط افتا غیر از بلوغ است، برای دیگران حجیّت دارد و میتوانند بدان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بودن بلوغ در فتوا دهنده</w:t>
      </w:r>
    </w:p>
    <w:p>
      <w:pPr>
        <w:pStyle w:val="BookText"/>
        <w:rPr/>
      </w:pPr>
      <w:r>
        <w:rPr>
          <w:rFonts w:ascii="IRNazanin" w:hAnsi="IRNazanin" w:eastAsia="IRNazanin"/>
          <w:color w:val="111111"/>
          <w:sz w:val="28"/>
          <w:sz w:val="28"/>
          <w:szCs w:val="28"/>
          <w:rtl w:val="true"/>
          <w:lang w:bidi="fa-IR"/>
        </w:rPr>
        <w:t>دیدگاه مشهور فقهای امامیه بلوغ را در مفتی شرط میداند، از عبارات برخی استفاده میشود این شرط مورد توافق و تسالم است</w:t>
      </w:r>
      <w:r>
        <w:rPr>
          <w:rFonts w:eastAsia="IRNazanin" w:cs="IRNazanin"/>
          <w:color w:val="111111"/>
          <w:sz w:val="28"/>
          <w:szCs w:val="28"/>
          <w:rtl w:val="true"/>
          <w:lang w:bidi="fa-IR"/>
        </w:rPr>
        <w:t>.</w:t>
      </w:r>
      <w:r>
        <w:rPr>
          <w:rStyle w:val="FootnoteAnchor"/>
          <w:rtl w:val="true"/>
        </w:rPr>
        <w:footnoteReference w:id="1492"/>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دیدگاه به ادلّه‌ای استناد شده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به این معنی که شک در حجیّت فتوای کودک، عدم حجیّت آن را در پی دارد</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غیر بالغ مورد قبول نیست، پس فتوای او به طریق أولی قبول نمیشود</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مذاق شرع استفاده میشود، غیر بالغ شایسته مقام افتا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مرفوع القلم است، به این معنی که کلام و فعل او حکمی ندارد، با این وصف چگونه تقلید از وی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بعضی از روایات عمد و خطای کودک یکسان است،</w:t>
      </w:r>
      <w:r>
        <w:rPr>
          <w:rStyle w:val="FootnoteAnchor"/>
          <w:rtl w:val="true"/>
        </w:rPr>
        <w:footnoteReference w:id="1495"/>
      </w:r>
      <w:r>
        <w:rPr>
          <w:rFonts w:ascii="IRNazanin" w:hAnsi="IRNazanin" w:eastAsia="IRNazanin"/>
          <w:color w:val="111111"/>
          <w:sz w:val="28"/>
          <w:sz w:val="28"/>
          <w:szCs w:val="28"/>
          <w:rtl w:val="true"/>
          <w:lang w:bidi="fa-IR"/>
        </w:rPr>
        <w:t>اطلاق این روایات شامل آرا و نظریات و افعال کودک میباشد و فتوایی که با خطا صادر شده نمیتواند حجت شرعی قرار گیرد</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به عبارت دیگر، احکام مترتّب بر افعال و گفتار همراه با قصد بالغین، بر افعال و گفتار همراه با قصد صغیر بار نمیشود و قصد او کالعدم تلقّی میگردد، و آرا و نظریاتی که بدون قصد باشد اثری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بعضی از ادلّه، حجیّت فتوا، عنوان مرد آمده 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إلی رَجُلٍ مِنْکُم</w:t>
      </w:r>
      <w:r>
        <w:rPr>
          <w:rFonts w:eastAsia="Amiri" w:cs="Amiri" w:ascii="Amiri" w:hAnsi="Amiri"/>
          <w:color w:val="111111"/>
          <w:sz w:val="28"/>
          <w:szCs w:val="28"/>
          <w:rtl w:val="true"/>
          <w:lang w:bidi="ar-SA"/>
        </w:rPr>
        <w:t>»</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نمایید به مردی از خودتان، این جمله دلالت بر عدم حجیّت فتوای کودک دارد، زیرا کودک در مقابل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حجیّت فتوی، ایمان و عدالت را در مفتی شرط میداند</w:t>
      </w:r>
      <w:r>
        <w:rPr>
          <w:rStyle w:val="FootnoteAnchor"/>
          <w:rtl w:val="true"/>
        </w:rPr>
        <w:footnoteReference w:id="1498"/>
      </w:r>
      <w:r>
        <w:rPr>
          <w:rFonts w:ascii="IRNazanin" w:hAnsi="IRNazanin" w:eastAsia="IRNazanin"/>
          <w:color w:val="111111"/>
          <w:sz w:val="28"/>
          <w:sz w:val="28"/>
          <w:szCs w:val="28"/>
          <w:rtl w:val="true"/>
          <w:lang w:bidi="fa-IR"/>
        </w:rPr>
        <w:t>و کودک با این که تکلیف الزامی بر او نیست، اطمینان پیدا نمیشود که به مقتضای عدالت، فتوا دهد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مطلقاً محجور است و نمیتواند در اموال و نفس خود تصرّف نماید، مگر با اذن ولی شرعی و هم‌چنین در اموال دیگران و این ویژگی با مرجعیت و حجیّت فتوا در تنافی است، زیرا از جمله وظایف مرجع به معنی مصطلح آن، حفظ اموال محجورین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پاره‌ای از ادلّه دیگر مثل این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قاضی بلوغ شرط</w:t>
      </w:r>
      <w:r>
        <w:rPr>
          <w:rStyle w:val="FootnoteAnchor"/>
          <w:rtl w:val="true"/>
        </w:rPr>
        <w:footnoteReference w:id="1499"/>
      </w:r>
      <w:r>
        <w:rPr>
          <w:rFonts w:ascii="IRNazanin" w:hAnsi="IRNazanin" w:eastAsia="IRNazanin"/>
          <w:color w:val="111111"/>
          <w:sz w:val="28"/>
          <w:sz w:val="28"/>
          <w:szCs w:val="28"/>
          <w:rtl w:val="true"/>
          <w:lang w:bidi="fa-IR"/>
        </w:rPr>
        <w:t>است، در مرجع تقلید نیز شرط میباشد و بعضی در این باره ادعای اجماع نموده‌اند</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لیکن تمام ادلّه مذکور نقض گردیده و به آنها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جواب دلیل اول گفته شده است هیچ منعی وجود ندارد که ادلّه حجیّت فتوا، فتوای کودک را شامل گردد و با وجود دلیل نوبت به اصل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دلیل دوم هم میتوان چنین گفت که شرط بودن بلوغ در راوی ثابت نیست و بر فرض که چنین باشد این دو را نمیتوان به یکدیگر قیاس نمود، چرا که قیاس در فقه شیعه دلیل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جواب دلیل سوّم گفته شده است که این مدّعا صرف استبعاد است و دلیلی بر آن نیست، بلکه دلیل بر خلاف آن وجود دارد، زیرا بعضی از پیامبران و ائمه علیهم السلام قبل از بلوغ به مقام نبوت و امامت رسیده‌اند</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هم‌چنین در جواب از دلیل چهارم هم مرحوم آیت الله فاضل لنکرانی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مرفوع القلم بودنِ کودک دلیل بر اعتبار بلوغ در مقام افتا نیست، زیرا مقصود از رفع القلم، رفع قلم مؤاخذه و یا اصل تکلیف الزامی است و این ویژگی موجب سلب صلاحیّت کودک برای افتا و عمل نمودن دیگران به فتوای وی نمیگردد</w:t>
      </w:r>
      <w:r>
        <w:rPr>
          <w:rFonts w:eastAsia="IRNazanin" w:cs="IRNazanin"/>
          <w:color w:val="111111"/>
          <w:sz w:val="28"/>
          <w:szCs w:val="28"/>
          <w:rtl w:val="true"/>
          <w:lang w:bidi="fa-IR"/>
        </w:rPr>
        <w:t>.</w:t>
      </w:r>
      <w:r>
        <w:rPr>
          <w:rStyle w:val="FootnoteAnchor"/>
          <w:rtl w:val="true"/>
        </w:rPr>
        <w:footnoteReference w:id="1502"/>
      </w:r>
      <w:r>
        <w:rPr>
          <w:rFonts w:ascii="IRNazanin" w:hAnsi="IRNazanin" w:eastAsia="IRNazanin"/>
          <w:color w:val="111111"/>
          <w:sz w:val="28"/>
          <w:sz w:val="28"/>
          <w:szCs w:val="28"/>
          <w:rtl w:val="true"/>
          <w:lang w:bidi="fa-IR"/>
        </w:rPr>
        <w:t>از ادلّه دیگر هم جواب داده شده است</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نبودن بلوغ در فتوا دهنده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دیدگاه اول برخی از فقها بلوغ را در فتوی دهنده شرط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خوئی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دلیل قابل قبول مبنی بر این که مفتی باید بالغ باشد اقامه</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r>
        <w:rPr>
          <w:rStyle w:val="FootnoteAnchor"/>
          <w:rtl w:val="true"/>
        </w:rPr>
        <w:footnoteReference w:id="1504"/>
      </w:r>
      <w:r>
        <w:rPr>
          <w:rFonts w:ascii="IRNazanin" w:hAnsi="IRNazanin" w:eastAsia="IRNazanin"/>
          <w:color w:val="111111"/>
          <w:sz w:val="28"/>
          <w:sz w:val="28"/>
          <w:szCs w:val="28"/>
          <w:rtl w:val="true"/>
          <w:lang w:bidi="fa-IR"/>
        </w:rPr>
        <w:t>برخی دیگر از فقهای معاصر نیز این دیدگاه را پذیرفته اند</w:t>
      </w:r>
      <w:r>
        <w:rPr>
          <w:rStyle w:val="FootnoteAnchor"/>
          <w:rtl w:val="true"/>
        </w:rPr>
        <w:footnoteReference w:id="1505"/>
      </w:r>
      <w:r>
        <w:rPr>
          <w:rFonts w:ascii="IRNazanin" w:hAnsi="IRNazanin" w:eastAsia="IRNazanin"/>
          <w:color w:val="111111"/>
          <w:sz w:val="28"/>
          <w:sz w:val="28"/>
          <w:szCs w:val="28"/>
          <w:rtl w:val="true"/>
          <w:lang w:bidi="fa-IR"/>
        </w:rPr>
        <w:t>و بعضی دیگر وجود این شرط را رعایت احتیاط دانسته‌اند</w:t>
      </w:r>
      <w:r>
        <w:rPr>
          <w:rFonts w:eastAsia="IRNazanin" w:cs="IRNazanin"/>
          <w:color w:val="111111"/>
          <w:sz w:val="28"/>
          <w:szCs w:val="28"/>
          <w:rtl w:val="true"/>
          <w:lang w:bidi="fa-IR"/>
        </w:rPr>
        <w:t>.</w:t>
      </w:r>
      <w:r>
        <w:rPr>
          <w:rStyle w:val="FootnoteAnchor"/>
          <w:rtl w:val="true"/>
        </w:rPr>
        <w:footnoteReference w:id="1506"/>
      </w:r>
      <w:r>
        <w:rPr>
          <w:rFonts w:ascii="IRNazanin" w:hAnsi="IRNazanin" w:eastAsia="IRNazanin"/>
          <w:color w:val="111111"/>
          <w:sz w:val="28"/>
          <w:sz w:val="28"/>
          <w:szCs w:val="28"/>
          <w:rtl w:val="true"/>
          <w:lang w:bidi="fa-IR"/>
        </w:rPr>
        <w:t>دلیل این نظریه اطلاق ادلّه لفظی حجیّت فتوا و سیره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عناوینی چون عالم، فقیه، اهل ذکر، و غیر از اینها که در ادلّه حجیّت‌فتوی آمده اختصاص به افراد بالغ ندارد و شامل کودک ممیّزی که قادر به استنباط احکام میباشد نیز میگردد، از طرفی برخی از کودکان به خواست خداوند متعال به مقام نبوّت و امامت که بالاتر و عظیم‌تر از مرتبه اجتهاد و افتا میباشد،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بنابراین‌بعید نیست ادّله حجیّت فتوی شامل کودک باشد، چنان‌که برخی از اعلام معاصر به آن تصریح نموده‌اند،</w:t>
      </w:r>
      <w:r>
        <w:rPr>
          <w:rStyle w:val="FootnoteAnchor"/>
          <w:rtl w:val="true"/>
        </w:rPr>
        <w:footnoteReference w:id="1507"/>
      </w:r>
    </w:p>
    <w:p>
      <w:pPr>
        <w:pStyle w:val="BookText"/>
        <w:rPr/>
      </w:pPr>
      <w:r>
        <w:rPr>
          <w:rFonts w:ascii="IRNazanin" w:hAnsi="IRNazanin" w:eastAsia="IRNazanin"/>
          <w:color w:val="111111"/>
          <w:sz w:val="28"/>
          <w:sz w:val="28"/>
          <w:szCs w:val="28"/>
          <w:rtl w:val="true"/>
          <w:lang w:bidi="fa-IR"/>
        </w:rPr>
        <w:t xml:space="preserve">به این استدلال ایراد شده که ادلّه حجیّت فتوا مربوط به افراد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کودک ممیّزی که به مرتبه اجتهاد رسیده باشد، در دوران‌های گذشته بسیار کمیاب و نادر است و جنبه استثنایی دارد و ادلّه از چنین فردی منصرف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ادّعا نیز جواب داده شده که کمیاب بودن، موجب انصراف ادلّه از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دلیل عمده در صحّت تقلید و جواز مراجعه افراد عادی به عالم و تبعیّت از او، فطری و ارتکازی بودن است، و ریشه در نهاد و ذات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عرفی و عقلایی و نیز متشرّعه که در این گونه موارد از آن یاد میشود، نیز به همین امر فطری و ارتکازی بر میگردد و اختصاصی به افراد بالغ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رجوع جاهل به عالم و تبعیّت غیر خُبره از اهل خُبره را لازم میشمرند هرچند فرد عالم، کودک باشد مثل این که کودک ممیّزی طبیب حاذق و متخصص باشد</w:t>
      </w:r>
      <w:r>
        <w:rPr>
          <w:rFonts w:eastAsia="IRNazanin" w:cs="IRNazanin"/>
          <w:color w:val="111111"/>
          <w:sz w:val="28"/>
          <w:szCs w:val="28"/>
          <w:rtl w:val="true"/>
          <w:lang w:bidi="fa-IR"/>
        </w:rPr>
        <w:t>.</w:t>
      </w:r>
      <w:r>
        <w:rPr>
          <w:rStyle w:val="FootnoteAnchor"/>
          <w:rtl w:val="true"/>
        </w:rPr>
        <w:footnoteReference w:id="1508"/>
      </w:r>
      <w:bookmarkStart w:id="681" w:name="pg13713_164636"/>
    </w:p>
    <w:p>
      <w:pPr>
        <w:pStyle w:val="BookText"/>
        <w:rPr/>
      </w:pPr>
      <w:bookmarkEnd w:id="681"/>
      <w:r>
        <w:rPr>
          <w:rFonts w:ascii="IRNazanin" w:hAnsi="IRNazanin" w:eastAsia="IRNazanin"/>
          <w:color w:val="111111"/>
          <w:sz w:val="28"/>
          <w:sz w:val="28"/>
          <w:szCs w:val="28"/>
          <w:rtl w:val="true"/>
          <w:lang w:bidi="fa-IR"/>
        </w:rPr>
        <w:t>لیکن با عنایت به ادّعای تسالم و اجماعی که شده است، اگر این اجماع کامل بوده و کاشف از رأی معصوم علیه السلام باشد، که ظاهراً چنین است، به احتیاط واجب باید شرط بلوغ در مفتی رعایت گردد، بر این اساس تقلید از مجتهد غیر بالغ جایز نیست</w:t>
      </w:r>
      <w:r>
        <w:rPr>
          <w:rFonts w:eastAsia="IRNazanin" w:cs="IRNazanin"/>
          <w:color w:val="111111"/>
          <w:sz w:val="28"/>
          <w:szCs w:val="28"/>
          <w:rtl w:val="true"/>
          <w:lang w:bidi="fa-IR"/>
        </w:rPr>
        <w:t>.</w:t>
      </w:r>
      <w:r>
        <w:rPr>
          <w:rStyle w:val="FootnoteAnchor"/>
          <w:rtl w:val="true"/>
        </w:rPr>
        <w:footnoteReference w:id="1509"/>
      </w:r>
    </w:p>
    <w:p>
      <w:pPr>
        <w:pStyle w:val="BookText"/>
        <w:rPr/>
      </w:pPr>
      <w:r>
        <w:rPr>
          <w:rFonts w:ascii="IRNazanin" w:hAnsi="IRNazanin" w:eastAsia="IRNazanin"/>
          <w:color w:val="111111"/>
          <w:sz w:val="28"/>
          <w:sz w:val="28"/>
          <w:szCs w:val="28"/>
          <w:rtl w:val="true"/>
          <w:lang w:bidi="fa-IR"/>
        </w:rPr>
        <w:t>باید یاد آور شد اگر کودک قبل از بلوغ، مراحل رسیدن به مرتبه اجتهاد را پیموده باشد و در زمان بلوغ وی به فتوای او عمل شود، بیتردید جایز و صحیح است،</w:t>
      </w:r>
      <w:r>
        <w:rPr>
          <w:rStyle w:val="FootnoteAnchor"/>
          <w:rtl w:val="true"/>
        </w:rPr>
        <w:footnoteReference w:id="1510"/>
      </w:r>
      <w:r>
        <w:rPr>
          <w:rFonts w:ascii="IRNazanin" w:hAnsi="IRNazanin" w:eastAsia="IRNazanin"/>
          <w:color w:val="111111"/>
          <w:sz w:val="28"/>
          <w:sz w:val="28"/>
          <w:szCs w:val="28"/>
          <w:rtl w:val="true"/>
          <w:lang w:bidi="fa-IR"/>
        </w:rPr>
        <w:t>و اختلاف نظری که در عنوان قبل ذکر شد، ربطی به این مسأله ندارد</w:t>
      </w:r>
      <w:r>
        <w:rPr>
          <w:rFonts w:eastAsia="IRNazanin" w:cs="IRNazanin"/>
          <w:color w:val="111111"/>
          <w:sz w:val="28"/>
          <w:szCs w:val="28"/>
          <w:rtl w:val="true"/>
          <w:lang w:bidi="fa-IR"/>
        </w:rPr>
        <w:t>.</w:t>
      </w:r>
    </w:p>
    <w:p>
      <w:pPr>
        <w:pStyle w:val="Heading4"/>
        <w:numPr>
          <w:ilvl w:val="3"/>
          <w:numId w:val="1"/>
        </w:numPr>
        <w:rPr/>
      </w:pPr>
      <w:bookmarkStart w:id="682" w:name="__RefHeading___Toc1259814_1468164448"/>
      <w:bookmarkStart w:id="683" w:name="_Toc252"/>
      <w:bookmarkEnd w:id="682"/>
      <w:r>
        <w:rPr/>
        <w:t>5</w:t>
      </w:r>
      <w:r>
        <w:rPr>
          <w:rtl w:val="true"/>
        </w:rPr>
        <w:t xml:space="preserve">- </w:t>
      </w:r>
      <w:r>
        <w:rPr>
          <w:rtl w:val="true"/>
        </w:rPr>
        <w:t>صحت تقلید کودک</w:t>
      </w:r>
      <w:bookmarkEnd w:id="683"/>
    </w:p>
    <w:p>
      <w:pPr>
        <w:pStyle w:val="BookText"/>
        <w:rPr/>
      </w:pPr>
      <w:r>
        <w:rPr>
          <w:rFonts w:ascii="IRNazanin" w:hAnsi="IRNazanin" w:eastAsia="IRNazanin"/>
          <w:color w:val="111111"/>
          <w:sz w:val="28"/>
          <w:sz w:val="28"/>
          <w:szCs w:val="28"/>
          <w:rtl w:val="true"/>
          <w:lang w:bidi="fa-IR"/>
        </w:rPr>
        <w:t>این مسأله در بین فقهای گذشته مطرح نشده است، ولی برخی اعلام فقهای معاصر فرموده‌اند که تقلید کودک صحیح است</w:t>
      </w:r>
      <w:r>
        <w:rPr>
          <w:rStyle w:val="FootnoteAnchor"/>
          <w:rtl w:val="true"/>
        </w:rPr>
        <w:footnoteReference w:id="1511"/>
      </w:r>
      <w:r>
        <w:rPr>
          <w:rFonts w:ascii="IRNazanin" w:hAnsi="IRNazanin" w:eastAsia="IRNazanin"/>
          <w:color w:val="111111"/>
          <w:sz w:val="28"/>
          <w:sz w:val="28"/>
          <w:szCs w:val="28"/>
          <w:rtl w:val="true"/>
          <w:lang w:bidi="fa-IR"/>
        </w:rPr>
        <w:t>و دلیل این دیدگاه عبارت است از</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حجیّت فتوای مجتهد برای غیر عالم، این ادلّه غیر بالغ را شامل میشود، زیرا هیچ کدام از آنها بلوغ را در مفتی معتبر نمیداند، به عنوان مثال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کنند، چرا از هر گروهی طایفه‌ای از آنان کوچ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آگاهی‌پیدا کنند و به هنگام بازگشت به سوی قوم خود آنها را انذار نمایند تا از مخالفت فرمان پروردگار بترسند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اهل اطلاع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که این آیات دلالت بر حجیّت فتوای مجتهد و جواز رجوع غیر عالم به عالم</w:t>
      </w:r>
    </w:p>
    <w:p>
      <w:pPr>
        <w:pStyle w:val="BookText"/>
        <w:rPr/>
      </w:pPr>
      <w:r>
        <w:rPr>
          <w:rFonts w:ascii="IRNazanin" w:hAnsi="IRNazanin" w:eastAsia="IRNazanin"/>
          <w:color w:val="111111"/>
          <w:sz w:val="28"/>
          <w:sz w:val="28"/>
          <w:szCs w:val="28"/>
          <w:rtl w:val="true"/>
          <w:lang w:bidi="fa-IR"/>
        </w:rPr>
        <w:t>جهت عمل به فتوای وی را داشته باشد،</w:t>
      </w:r>
      <w:r>
        <w:rPr>
          <w:rStyle w:val="FootnoteAnchor"/>
          <w:rtl w:val="true"/>
        </w:rPr>
        <w:footnoteReference w:id="1512"/>
      </w:r>
      <w:r>
        <w:rPr>
          <w:rFonts w:ascii="IRNazanin" w:hAnsi="IRNazanin" w:eastAsia="IRNazanin"/>
          <w:color w:val="111111"/>
          <w:sz w:val="28"/>
          <w:sz w:val="28"/>
          <w:szCs w:val="28"/>
          <w:rtl w:val="true"/>
          <w:lang w:bidi="fa-IR"/>
        </w:rPr>
        <w:t>شامل کودک ممیّزی که حکم را میفهمد و قدرت انجام آن بر طبق فتوای مجتهد را دارد،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 مستفیضه‌بلکه متواتر دلالت بر جواز تقلید دارد و غیر بالغ را شامل میشود، مثلاً درتوقیعی به خط شریف حضرت صاحب الامر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حوادثی که برای شما پیش‌میآید به راویان احادیث ما مراجعه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مسائل فقهی خود را از آنهابگیرید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حجت من بر شما میباشند و من حجت خدایم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وَامَّااَلْحَوادِثُ الْوَاقِعَةُ فَارْجِعُوا فِیهَا إلی رُوَاةِ حَدیثِنَا فَاِنَّهُمْ حجتی عَلَیکُم وَ أنَا حُجَّةُ اللهِ</w:t>
      </w:r>
      <w:r>
        <w:rPr>
          <w:rFonts w:eastAsia="IRNazanin" w:cs="IRNazanin"/>
          <w:color w:val="111111"/>
          <w:sz w:val="28"/>
          <w:szCs w:val="28"/>
          <w:rtl w:val="true"/>
          <w:lang w:bidi="fa-IR"/>
        </w:rPr>
        <w:t>»</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روایت و دیگر روایات</w:t>
      </w:r>
      <w:r>
        <w:rPr>
          <w:rStyle w:val="FootnoteAnchor"/>
          <w:rtl w:val="true"/>
        </w:rPr>
        <w:footnoteReference w:id="1514"/>
      </w:r>
      <w:r>
        <w:rPr>
          <w:rFonts w:ascii="IRNazanin" w:hAnsi="IRNazanin" w:eastAsia="IRNazanin"/>
          <w:color w:val="111111"/>
          <w:sz w:val="28"/>
          <w:sz w:val="28"/>
          <w:szCs w:val="28"/>
          <w:rtl w:val="true"/>
          <w:lang w:bidi="fa-IR"/>
        </w:rPr>
        <w:t xml:space="preserve">کودک ممیّز را شامل میشود، و او یکی ازمصادیقی‌است که به حکم این روایات باید به روات احادیث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فتوی و عمل بر طبق آن مراجعه نماید و در این باره فرقی بین کودک و بالغ نیست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جواز تقلید، سیره عقلایی بر رجوع غیر اهل خبره به خبره میباشد و روشن است که علمای دین در فهم احکام دین خبره میباشند و چون این سیره از طرف شارع ردع نشده، میتواند دلیل جواز تقلید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در بین متشرعه و مسلمین در دوران‌های گذشته جاری بوده و اختصاصی به افراد متشرّع از امامیه نداشته، بلکه بعید نیست ادّعا شود اختصاصی به مسلمین هم ندارد، بلکه در بین همه ملّت‌ها که دارای احکام دین میباشند جریان داشته است و مردم عوام برای فهم مسائل دینی به علما مراجعه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معلوم میشود، این سیره امر تعبّدی شرعی نیست، بلکه سیره‌ای است عقلایی بر رجوع جاهل به عالم و غیر خبره به اهل خبره</w:t>
      </w:r>
      <w:r>
        <w:rPr>
          <w:rStyle w:val="FootnoteAnchor"/>
          <w:rtl w:val="true"/>
        </w:rPr>
        <w:footnoteReference w:id="1515"/>
      </w:r>
      <w:r>
        <w:rPr>
          <w:rFonts w:ascii="IRNazanin" w:hAnsi="IRNazanin" w:eastAsia="IRNazanin"/>
          <w:color w:val="111111"/>
          <w:sz w:val="28"/>
          <w:sz w:val="28"/>
          <w:szCs w:val="28"/>
          <w:rtl w:val="true"/>
          <w:lang w:bidi="fa-IR"/>
        </w:rPr>
        <w:t>، اعم از این که فرد جاهل بالغ باشد یا غیر بالغ</w:t>
      </w:r>
      <w:r>
        <w:rPr>
          <w:rFonts w:eastAsia="IRNazanin" w:cs="IRNazanin"/>
          <w:color w:val="111111"/>
          <w:sz w:val="28"/>
          <w:szCs w:val="28"/>
          <w:rtl w:val="true"/>
          <w:lang w:bidi="fa-IR"/>
        </w:rPr>
        <w:t>.</w:t>
      </w:r>
      <w:bookmarkStart w:id="684" w:name="pg13713_164638"/>
    </w:p>
    <w:p>
      <w:pPr>
        <w:pStyle w:val="Heading4"/>
        <w:numPr>
          <w:ilvl w:val="3"/>
          <w:numId w:val="1"/>
        </w:numPr>
        <w:rPr/>
      </w:pPr>
      <w:bookmarkStart w:id="685" w:name="__RefHeading___Toc1259816_1468164448"/>
      <w:bookmarkStart w:id="686" w:name="_Toc253"/>
      <w:bookmarkEnd w:id="684"/>
      <w:bookmarkEnd w:id="685"/>
      <w:r>
        <w:rPr/>
        <w:t>6</w:t>
      </w:r>
      <w:r>
        <w:rPr>
          <w:rtl w:val="true"/>
        </w:rPr>
        <w:t xml:space="preserve">- </w:t>
      </w:r>
      <w:r>
        <w:rPr>
          <w:rtl w:val="true"/>
        </w:rPr>
        <w:t>عدم قبول روایت کودک</w:t>
      </w:r>
      <w:bookmarkEnd w:id="686"/>
    </w:p>
    <w:p>
      <w:pPr>
        <w:pStyle w:val="BookText"/>
        <w:rPr/>
      </w:pPr>
      <w:r>
        <w:rPr>
          <w:rFonts w:ascii="IRNazanin" w:hAnsi="IRNazanin" w:eastAsia="IRNazanin"/>
          <w:color w:val="111111"/>
          <w:sz w:val="28"/>
          <w:sz w:val="28"/>
          <w:szCs w:val="28"/>
          <w:rtl w:val="true"/>
          <w:lang w:bidi="fa-IR"/>
        </w:rPr>
        <w:t>مقصود از روایت که با واژه‌های خبر، حدیث، سنّت هم از آن یاد میشود، کلام پیامبر گرامی اسلام صلی الله علیه و آله و ائمه معصومین علیهم السلام میباشد که از عظمت، منزلت و شرافت بالایی برخوردار است، زیرا بعد از قرآن بزرگترین و جامع‌ترین دلیل احکام شرعی به حساب میآید و حلقه اتصال خلق با خالق و پیوند بنده با پروردگار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بسیاری از احکام الهی که در قرآن آمده است با زبان روایات تبیین شده به گونه‌ای که بدون آن مقصود خداوند متعال روشن نیست، به همین جهت مسلمانان در طول تاریخ اسلام و به ویژه شیعیان برای روایت و علوم مربوط به آن</w:t>
      </w:r>
      <w:r>
        <w:rPr>
          <w:rStyle w:val="FootnoteAnchor"/>
          <w:rtl w:val="true"/>
        </w:rPr>
        <w:footnoteReference w:id="1516"/>
      </w:r>
      <w:r>
        <w:rPr>
          <w:rFonts w:ascii="IRNazanin" w:hAnsi="IRNazanin" w:eastAsia="IRNazanin"/>
          <w:color w:val="111111"/>
          <w:sz w:val="28"/>
          <w:sz w:val="28"/>
          <w:szCs w:val="28"/>
          <w:rtl w:val="true"/>
          <w:lang w:bidi="fa-IR"/>
        </w:rPr>
        <w:t>اهمیّت خاصّی قائل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اجماعی است که روایت کودک غیر ممیّز مورد قبول نیست</w:t>
      </w:r>
      <w:r>
        <w:rPr>
          <w:rStyle w:val="FootnoteAnchor"/>
          <w:rtl w:val="true"/>
        </w:rPr>
        <w:footnoteReference w:id="1517"/>
      </w:r>
      <w:r>
        <w:rPr>
          <w:rFonts w:ascii="IRNazanin" w:hAnsi="IRNazanin" w:eastAsia="IRNazanin"/>
          <w:color w:val="111111"/>
          <w:sz w:val="28"/>
          <w:sz w:val="28"/>
          <w:szCs w:val="28"/>
          <w:rtl w:val="true"/>
          <w:lang w:bidi="fa-IR"/>
        </w:rPr>
        <w:t>و اثری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کودک ممیّز دو دیدگاه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مشهور فقها که عدم قبول است و بلوغ را در راوی شرط میداند</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ascii="IRNazanin" w:hAnsi="IRNazanin" w:eastAsia="IRNazanin"/>
          <w:color w:val="111111"/>
          <w:sz w:val="28"/>
          <w:sz w:val="28"/>
          <w:szCs w:val="28"/>
          <w:rtl w:val="true"/>
          <w:lang w:bidi="fa-IR"/>
        </w:rPr>
        <w:t>ادلّه عدم مقبولیت روایت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اصل، خبر غیر بالغ دارای اعتبار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ادّعای اجماع شده است</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وارد شده مبنی بر این که نباید به خبر غیر علمی عمل شود و هیچ دلیلی وجود ندارد که خبر غیر بالغ از عموم ادلّه مزبور خارج شده باشد، بنابراین روایت کودک مقبول نیست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چون میداند مرفوع القلم است و بر کذب مؤاخذه نمیشود، چه بسا مرتکب کذب شود، بنابراین خبراو مورد وثوق نمیباشد</w:t>
      </w:r>
      <w:r>
        <w:rPr>
          <w:rFonts w:eastAsia="IRNazanin" w:cs="IRNazanin"/>
          <w:color w:val="111111"/>
          <w:sz w:val="28"/>
          <w:szCs w:val="28"/>
          <w:rtl w:val="true"/>
          <w:lang w:bidi="fa-IR"/>
        </w:rPr>
        <w:t>.</w:t>
      </w:r>
      <w:r>
        <w:rPr>
          <w:rStyle w:val="FootnoteAnchor"/>
          <w:rtl w:val="true"/>
        </w:rPr>
        <w:footnoteReference w:id="1520"/>
      </w:r>
      <w:bookmarkStart w:id="687" w:name="pg13713_164639"/>
    </w:p>
    <w:p>
      <w:pPr>
        <w:pStyle w:val="BookText"/>
        <w:rPr/>
      </w:pPr>
      <w:bookmarkEnd w:id="687"/>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فاسق مقبول نیست، از این رو به طریق اولویت روایت کودک نیز نباید قبول باشد، زیرا چه بسا ترس از خداوند فاسق را از دروغ گفتن منع نماید، به خلاف کودک چرا که وی تکلیف ندارد تا از دروغ پرهیز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ادلّه مزبور مورد ایراد و خدشه واقع شده است، زیرا با وجود بنای عقلا بر پذیرش خبر مورد اطمینان، اصل جاری نمیشود و اجماعی که ادعّا شده است، تعبّدی و کاشف از رأی معصوم نیست و دلیل پرهیز از کذب فقط ترس از خدا نمیباشد، بلکه چه بسا شخص به جهت اینکه روحی سالم دارد و طالب کمالات معنوی است، از دروغ پرهیز مینماید</w:t>
      </w:r>
      <w:r>
        <w:rPr>
          <w:rFonts w:eastAsia="IRNazanin" w:cs="IRNazanin"/>
          <w:color w:val="111111"/>
          <w:sz w:val="28"/>
          <w:szCs w:val="28"/>
          <w:rtl w:val="true"/>
          <w:lang w:bidi="fa-IR"/>
        </w:rPr>
        <w:t>.</w:t>
      </w:r>
      <w:r>
        <w:rPr>
          <w:rStyle w:val="FootnoteAnchor"/>
          <w:rtl w:val="true"/>
        </w:rPr>
        <w:footnoteReference w:id="1521"/>
      </w:r>
    </w:p>
    <w:p>
      <w:pPr>
        <w:pStyle w:val="Heading4"/>
        <w:numPr>
          <w:ilvl w:val="3"/>
          <w:numId w:val="1"/>
        </w:numPr>
        <w:rPr/>
      </w:pPr>
      <w:bookmarkStart w:id="688" w:name="__RefHeading___Toc1259818_1468164448"/>
      <w:bookmarkStart w:id="689" w:name="_Toc254"/>
      <w:bookmarkEnd w:id="688"/>
      <w:r>
        <w:rPr/>
        <w:t>7</w:t>
      </w:r>
      <w:r>
        <w:rPr>
          <w:rtl w:val="true"/>
        </w:rPr>
        <w:t xml:space="preserve">- </w:t>
      </w:r>
      <w:r>
        <w:rPr>
          <w:rtl w:val="true"/>
        </w:rPr>
        <w:t>تحقیق در مسأله</w:t>
      </w:r>
      <w:bookmarkEnd w:id="689"/>
    </w:p>
    <w:p>
      <w:pPr>
        <w:pStyle w:val="BookText"/>
        <w:rPr/>
      </w:pPr>
      <w:r>
        <w:rPr>
          <w:rFonts w:ascii="IRNazanin" w:hAnsi="IRNazanin" w:eastAsia="IRNazanin"/>
          <w:color w:val="111111"/>
          <w:sz w:val="28"/>
          <w:sz w:val="28"/>
          <w:szCs w:val="28"/>
          <w:rtl w:val="true"/>
          <w:lang w:bidi="fa-IR"/>
        </w:rPr>
        <w:t xml:space="preserve">به نظر میرسد حق این است که گفته شود اگر از خبر کودک ممیّز اطمینان پیدا نشود که از معصوم علیه السلام صادر شده، قطعاً حجیّت ندارد و به مقتضای اصل و عموم ادلّه‌ای که دلالت بر منع از عمل به خبر غیر علمی دارد، نباید مورد قبول واقع شود، امّا اگر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به گونه‌ای که غالب مردم از خبر شخص عادل، علم پیدا میشود، در این صورت بعید نیست خبر کودک معتبر باشد و مورد قبول واقع شود، زیرا دلیل عمده بر اعتبار و حجیّت خبر واحد بنای عقلا است و عقلا خبر مورد وثوق را مقبول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بنای عرف و عقلا از گذشته بر این قرار گرفته که اگر به صدور خبری اطمینان یابند به آن ترتیب اثر میدهند و در صورتی که اطمینان صدور خبر پیدا کنند، فرقی بین راوی بالغ و غیر بالغ نیست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بزرگان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 ممیّز راوی خبر باشد و اطمینان به صدور خبر وی از معصوم علیه السلام پیدا شود، به گونه‌ای که عقلا به خبر عادل اطمینان پیدا میکنند، باید مورد قبول واقع شود، چون در این صورت مانعی برای پذیرش آن نیست و دلیلی که برای حجیّت خبر لازم است، وجود دارد</w:t>
      </w:r>
      <w:r>
        <w:rPr>
          <w:rFonts w:eastAsia="IRNazanin" w:cs="IRNazanin"/>
          <w:color w:val="111111"/>
          <w:sz w:val="28"/>
          <w:szCs w:val="28"/>
          <w:rtl w:val="true"/>
          <w:lang w:bidi="fa-IR"/>
        </w:rPr>
        <w:t>».</w:t>
      </w:r>
      <w:r>
        <w:rPr>
          <w:rStyle w:val="FootnoteAnchor"/>
          <w:rtl w:val="true"/>
        </w:rPr>
        <w:footnoteReference w:id="1522"/>
      </w:r>
      <w:bookmarkStart w:id="690" w:name="pg13713_164640"/>
    </w:p>
    <w:p>
      <w:pPr>
        <w:pStyle w:val="Heading4"/>
        <w:numPr>
          <w:ilvl w:val="3"/>
          <w:numId w:val="1"/>
        </w:numPr>
        <w:rPr/>
      </w:pPr>
      <w:bookmarkStart w:id="691" w:name="__RefHeading___Toc1259820_1468164448"/>
      <w:bookmarkStart w:id="692" w:name="_Toc255"/>
      <w:bookmarkEnd w:id="690"/>
      <w:bookmarkEnd w:id="691"/>
      <w:r>
        <w:rPr/>
        <w:t>8</w:t>
      </w:r>
      <w:r>
        <w:rPr>
          <w:rtl w:val="true"/>
        </w:rPr>
        <w:t xml:space="preserve">- </w:t>
      </w:r>
      <w:r>
        <w:rPr>
          <w:rtl w:val="true"/>
        </w:rPr>
        <w:t>معیار در شرایط راوی</w:t>
      </w:r>
      <w:bookmarkEnd w:id="692"/>
    </w:p>
    <w:p>
      <w:pPr>
        <w:pStyle w:val="BookText"/>
        <w:rPr/>
      </w:pPr>
      <w:r>
        <w:rPr>
          <w:rFonts w:ascii="IRNazanin" w:hAnsi="IRNazanin" w:eastAsia="IRNazanin"/>
          <w:color w:val="111111"/>
          <w:sz w:val="28"/>
          <w:sz w:val="28"/>
          <w:szCs w:val="28"/>
          <w:rtl w:val="true"/>
          <w:lang w:bidi="fa-IR"/>
        </w:rPr>
        <w:t>بسیاری از فقها با صراحت اعلام نموده‌اند که معیار در شرایط راوی وقت ادای خبر است، نه وقت شنیدن آن، بنابراین اگر راوی در وقت بیان و ادای خبر، واجد شرایطی باشد که در نقل آن لازم است، خبر او مورد قبول واقع میشود، هرچند در وقت شنیدن و تحمّل آن، کودک بوده و تمام یا برخی از شرایط مورد نیاز را نداشته باشد</w:t>
      </w:r>
      <w:r>
        <w:rPr>
          <w:rFonts w:eastAsia="IRNazanin" w:cs="IRNazanin"/>
          <w:color w:val="111111"/>
          <w:sz w:val="28"/>
          <w:szCs w:val="28"/>
          <w:rtl w:val="true"/>
          <w:lang w:bidi="fa-IR"/>
        </w:rPr>
        <w:t>.</w:t>
      </w:r>
      <w:r>
        <w:rPr>
          <w:rStyle w:val="FootnoteAnchor"/>
          <w:rtl w:val="true"/>
        </w:rPr>
        <w:footnoteReference w:id="1523"/>
      </w:r>
    </w:p>
    <w:p>
      <w:pPr>
        <w:pStyle w:val="BookText"/>
        <w:rPr/>
      </w:pPr>
      <w:r>
        <w:rPr>
          <w:rFonts w:ascii="IRNazanin" w:hAnsi="IRNazanin" w:eastAsia="IRNazanin"/>
          <w:color w:val="111111"/>
          <w:sz w:val="28"/>
          <w:sz w:val="28"/>
          <w:szCs w:val="28"/>
          <w:rtl w:val="true"/>
          <w:lang w:bidi="fa-IR"/>
        </w:rPr>
        <w:t>مرحوم شهید ثانی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اعم از شیعه و اهل سنّت اتّفاق نظر دارند که برخی از صحابه از پیغمبر اکرم صلی الله علیه و آله روایت نقل نموده‌اند، با این‌که در وقت شنیدن کلام آن حضرت کودک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اخباری که امام حسن و امام حسین علیهما السلام ازآن حضرت نقل نموده‌اند،؛ زیرا سنّ مبارک امام حسن علیه السلام در وقت رحلت رسول‌خدا صلی الله علیه و آله نزدیک به هشت سال و امام حسین علیه السلام هفت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عبدالله بن عباس و عبدالله بن زبیر و نعمان بن بشیر و دیگر افرادی از این قبیل از آن حضرت روایت نقل نموده‌اند با این که در وقت رحلت پیامبر خدا صلی الله علیه و آله بالغ نبوده‌اند و مسلمانان و متدیّنین جامعه آن روز، روایات این افراد را قبول نموده و به آن ترتیب اثر داده‌اند، به همین جهت مردم پیوسته روایات را برای کودکان نقل میکردند و آنها را در مجالس بیان احادیث حاضر مینمودند و روایت آنها را بعد از بلوغشان مورد توجّه قرار میدادند و فقط اندکی از مردم برای شنیدن خبر، بلوغ را شرط میدانستند</w:t>
      </w:r>
      <w:r>
        <w:rPr>
          <w:rFonts w:eastAsia="IRNazanin" w:cs="IRNazanin"/>
          <w:color w:val="111111"/>
          <w:sz w:val="28"/>
          <w:szCs w:val="28"/>
          <w:rtl w:val="true"/>
          <w:lang w:bidi="fa-IR"/>
        </w:rPr>
        <w:t>.</w:t>
      </w:r>
      <w:r>
        <w:rPr>
          <w:rStyle w:val="FootnoteAnchor"/>
          <w:rtl w:val="true"/>
        </w:rPr>
        <w:footnoteReference w:id="1524"/>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 به همین مضمون در عبارات برخی دیگر از فقیهان آمده و مدّعی شده‌اند این مسأله اجماعی است</w:t>
      </w:r>
      <w:r>
        <w:rPr>
          <w:rFonts w:eastAsia="IRNazanin" w:cs="IRNazanin"/>
          <w:color w:val="111111"/>
          <w:sz w:val="28"/>
          <w:szCs w:val="28"/>
          <w:rtl w:val="true"/>
          <w:lang w:bidi="fa-IR"/>
        </w:rPr>
        <w:t>.</w:t>
      </w:r>
      <w:r>
        <w:rPr>
          <w:rStyle w:val="FootnoteAnchor"/>
          <w:rtl w:val="true"/>
        </w:rPr>
        <w:footnoteReference w:id="1525"/>
      </w:r>
      <w:bookmarkStart w:id="693" w:name="pg13713_164641"/>
    </w:p>
    <w:p>
      <w:pPr>
        <w:pStyle w:val="Heading2"/>
        <w:numPr>
          <w:ilvl w:val="1"/>
          <w:numId w:val="1"/>
        </w:numPr>
        <w:rPr/>
      </w:pPr>
      <w:bookmarkStart w:id="694" w:name="__RefHeading___Toc1259822_1468164448"/>
      <w:bookmarkStart w:id="695" w:name="_Toc256"/>
      <w:bookmarkEnd w:id="693"/>
      <w:bookmarkEnd w:id="694"/>
      <w:r>
        <w:rPr>
          <w:rtl w:val="true"/>
        </w:rPr>
        <w:t>فصل پانزدهم</w:t>
      </w:r>
      <w:r>
        <w:rPr>
          <w:rtl w:val="true"/>
        </w:rPr>
        <w:t xml:space="preserve">: </w:t>
      </w:r>
      <w:r>
        <w:rPr>
          <w:rtl w:val="true"/>
        </w:rPr>
        <w:t>جنایت علیه کودک</w:t>
      </w:r>
      <w:bookmarkEnd w:id="69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6" w:name="__RefHeading___Toc1259824_1468164448"/>
      <w:bookmarkStart w:id="697" w:name="_Toc257"/>
      <w:bookmarkEnd w:id="696"/>
      <w:r>
        <w:rPr>
          <w:rtl w:val="true"/>
        </w:rPr>
        <w:t>اشاره</w:t>
      </w:r>
      <w:bookmarkStart w:id="698" w:name="pg13713_164643"/>
      <w:bookmarkEnd w:id="697"/>
    </w:p>
    <w:p>
      <w:pPr>
        <w:pStyle w:val="Heading3"/>
        <w:numPr>
          <w:ilvl w:val="2"/>
          <w:numId w:val="1"/>
        </w:numPr>
        <w:rPr/>
      </w:pPr>
      <w:bookmarkStart w:id="699" w:name="__RefHeading___Toc1259826_1468164448"/>
      <w:bookmarkStart w:id="700" w:name="_Toc258"/>
      <w:bookmarkEnd w:id="698"/>
      <w:bookmarkEnd w:id="699"/>
      <w:r>
        <w:rPr>
          <w:rtl w:val="true"/>
        </w:rPr>
        <w:t>گفتار اول</w:t>
      </w:r>
      <w:r>
        <w:rPr>
          <w:rtl w:val="true"/>
        </w:rPr>
        <w:t xml:space="preserve">: </w:t>
      </w:r>
      <w:r>
        <w:rPr>
          <w:rtl w:val="true"/>
        </w:rPr>
        <w:t>جنایت علیه نفس و اعضای کودک</w:t>
      </w:r>
      <w:bookmarkEnd w:id="700"/>
    </w:p>
    <w:p>
      <w:pPr>
        <w:pStyle w:val="Heading4"/>
        <w:numPr>
          <w:ilvl w:val="3"/>
          <w:numId w:val="1"/>
        </w:numPr>
        <w:rPr/>
      </w:pPr>
      <w:bookmarkStart w:id="701" w:name="__RefHeading___Toc1259828_1468164448"/>
      <w:bookmarkStart w:id="702" w:name="_Toc259"/>
      <w:bookmarkEnd w:id="701"/>
      <w:r>
        <w:rPr>
          <w:rtl w:val="true"/>
        </w:rPr>
        <w:t>اشاره</w:t>
      </w:r>
      <w:bookmarkEnd w:id="702"/>
    </w:p>
    <w:p>
      <w:pPr>
        <w:pStyle w:val="BookText"/>
        <w:rPr/>
      </w:pPr>
      <w:r>
        <w:rPr>
          <w:rFonts w:ascii="IRNazanin" w:hAnsi="IRNazanin" w:eastAsia="IRNazanin"/>
          <w:color w:val="111111"/>
          <w:sz w:val="28"/>
          <w:sz w:val="28"/>
          <w:szCs w:val="28"/>
          <w:rtl w:val="true"/>
          <w:lang w:bidi="fa-IR"/>
        </w:rPr>
        <w:t>در احکام کیفری اسلام حقوق کودک بزه دیده به طور کامل رعایت شده است، بیگمان تحقیق در این باره مجال بیشتری را میطلبد، لیکن در این فصل به ذکر بخشی از اموری که میتواند این مدعا را اثبات نماید، میپردازیم</w:t>
      </w:r>
      <w:r>
        <w:rPr>
          <w:rFonts w:eastAsia="IRNazanin" w:cs="IRNazanin"/>
          <w:color w:val="111111"/>
          <w:sz w:val="28"/>
          <w:szCs w:val="28"/>
          <w:rtl w:val="true"/>
          <w:lang w:bidi="fa-IR"/>
        </w:rPr>
        <w:t>.</w:t>
      </w:r>
    </w:p>
    <w:p>
      <w:pPr>
        <w:pStyle w:val="Heading4"/>
        <w:numPr>
          <w:ilvl w:val="3"/>
          <w:numId w:val="1"/>
        </w:numPr>
        <w:rPr/>
      </w:pPr>
      <w:bookmarkStart w:id="703" w:name="__RefHeading___Toc1259830_1468164448"/>
      <w:bookmarkStart w:id="704" w:name="_Toc260"/>
      <w:bookmarkEnd w:id="703"/>
      <w:r>
        <w:rPr/>
        <w:t>1</w:t>
      </w:r>
      <w:r>
        <w:rPr>
          <w:rtl w:val="true"/>
        </w:rPr>
        <w:t xml:space="preserve">- </w:t>
      </w:r>
      <w:r>
        <w:rPr>
          <w:rtl w:val="true"/>
        </w:rPr>
        <w:t>طرح موضوع و اهمیت آن</w:t>
      </w:r>
      <w:bookmarkEnd w:id="70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دنیای پاکی و صداقت و دریای عطوفت و مهربانی میباشند، ولی طبق آمارهای موجود که توسط سازمان‌های بین‌المللی تهیه گردیده است، بیشترین ظلم‌ها و ستم‌ها بر آنها تحمیل میگردد، انواع سوء استفاده‌ها را میبینند، امروز بشر نشان داده که زیباترین مخلوق عالم را رها میکند، میدزدد، میفروشد، معتاد میکند و چون بازیچه‌ای به هیچ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باندهای مخوف مافیای تجارت کودکان، بعضی از مواقع بیهیچ مانعی به فعالیت مجرمانه خود ادامه میدهند و از کودکان بهره کشی میکنند و در برابر چنین کودکانی گاه حتّی سر شکایت هم ندارد، به اشکی آرام میگیرند و به ناپناهی، پناه</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مفتخر بود که هیچ طفلی در خیابان‌ها رها و سرگردان نیست؟ آیا میتوان به خود بالید که نگذاشته‌ایم هیچ غنچه نوشکفته‌ای اسیر شیّادان گداصفت گردد و وسیله کسب حرام آنها شود؟</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حمایت از اطفال مظلوم و دفاع از حقوق طفل بزه دیده‌ای که به ناحق از ناحیه بزرگسالان مورد تعدّی قرار گرفته است، مبنای فلسفی و ایدئولوژی واحدی دارد، بدین معنی که در همه ادیان الهی، به ویژه در اسلام حمایت از حقوق او از تکالیف شرعی و از موجبات خشنودی خداوند متعال و رستگاری بندگان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در راه خدا و در راه زنان و مردان و کودکانی که به دست ستمگران تضعیف شده‌اند پیکار نمیکنید، همان افراد ستمدیده‌ای که میگویند خدایا ما را از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اهلش ستمگرند بیرون ببر و برای ما از سوی خود ولیی قرار ده و برای ما از سوی خود یار و یاوری معیّن فرما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لا تُقاتِلُونَ فِی سَبِیلِ اللّهِ وَ الْمُسْتَضْعَفِینَ مِنَ الرِّجالِ وَ النِّساءِ وَ 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حمایت از مظلومان از جمله کودکان ستمدیده در مقابل ظالمان یک اصل است که باید مراعات شود، حتّی اگر به جهاد منتهی شود و از طرفی چون در آیه قید و شرطی نیست، معلوم میشود اختصاص به زمانی خاص و نقطه‌ای معین ندارد، بلکه باید از کودکان مظلوم در هر کجا که باشند حمایت شود و در این خصوص نزدیک و یا دور بودن، داخل و یا خارج کشور تفاوت نمیکند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روایات معصومین علیهم السلام به این اصل اشاره شده و حمایت از مظلوم از وظائف مسلمانان به حساب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وصیت معروف خود به دو فرزند بزرگوارش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ستمگر و یاور و پشتیبان ستمدیده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وَکُونَا لِلظَّالِمِ خَصمَاً وَ لِلمَظلُومِ عَونَاً</w:t>
      </w:r>
      <w:r>
        <w:rPr>
          <w:rFonts w:eastAsia="IRNazanin" w:cs="IRNazanin"/>
          <w:color w:val="111111"/>
          <w:sz w:val="28"/>
          <w:szCs w:val="28"/>
          <w:rtl w:val="true"/>
          <w:lang w:bidi="fa-IR"/>
        </w:rPr>
        <w:t>»</w:t>
      </w:r>
      <w:r>
        <w:rPr>
          <w:rStyle w:val="FootnoteAnchor"/>
          <w:rtl w:val="true"/>
        </w:rPr>
        <w:footnoteReference w:id="1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اکرم صلی الله علیه و آله فرموده است، حمایت تو از ضعیف از بهترین صدقات و راه‌های خشنودی پروردگار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عَونُکَ الضَّعِیفَ مِن افضَلِ الصَّدَقَةِ</w:t>
      </w:r>
      <w:r>
        <w:rPr>
          <w:rFonts w:eastAsia="IRNazanin" w:cs="IRNazanin"/>
          <w:color w:val="111111"/>
          <w:sz w:val="28"/>
          <w:szCs w:val="28"/>
          <w:rtl w:val="true"/>
          <w:lang w:bidi="fa-IR"/>
        </w:rPr>
        <w:t>»</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فقه نیز که بر گرفته از کتاب، سنّت و عقل است، این اصل مورد تأکید قرار گرفته است و فقها در مباحث فقه جزایی جنایات علیه کودک را مطرح نموده و کیفر آن را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حمایت از نیازمندان، مظلومان، و به ویژه اطفال بزه دیده که مصداق بارز نیازمندان میباشند، جزء ارزش‌های جوامع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جنایی</w:t>
      </w:r>
    </w:p>
    <w:p>
      <w:pPr>
        <w:pStyle w:val="BookText"/>
        <w:rPr/>
      </w:pPr>
      <w:r>
        <w:rPr>
          <w:rStyle w:val="FootnoteAnchor"/>
          <w:rtl w:val="true"/>
        </w:rPr>
        <w:footnoteReference w:id="1529"/>
      </w:r>
      <w:r>
        <w:rPr>
          <w:rFonts w:ascii="IRNazanin" w:hAnsi="IRNazanin" w:eastAsia="IRNazanin"/>
          <w:color w:val="111111"/>
          <w:sz w:val="28"/>
          <w:sz w:val="28"/>
          <w:szCs w:val="28"/>
          <w:rtl w:val="true"/>
          <w:lang w:bidi="fa-IR"/>
        </w:rPr>
        <w:t>نمیتوانند با بیتفاوتی از چنین مسأله مهمی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 نظران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حمایت از قربانیان بزهکاری و کمک به آنها، باید بخشی از ارزش‌های اساسی جامعه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هر جامعه نسبت به بزه دیدگان باید از نظر اعتقادی در اعماق نظام کلّی آن جامعه ریشه بگستراند، از این رو ایجاد منابع قانونی که حقوق بزه دیدگان از آنها سیراب شوند، اهمیّتی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که اقدامات و سیاست‌های مورد نظر علاوه بر ملاحظات بشر دوستانه در مورد بزه دیدگان و وضعیّت آنها بر معیارهای دیگری نیز مبتنی باشند، لازم است پایه‌های حقوقی و اجتماعی تعهّدات جامعه و نیز مسئولیت بزه کار را نسبت به بزه دیده تعیین نماییم</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ascii="IRNazanin" w:hAnsi="IRNazanin" w:eastAsia="IRNazanin"/>
          <w:color w:val="111111"/>
          <w:sz w:val="28"/>
          <w:sz w:val="28"/>
          <w:szCs w:val="28"/>
          <w:rtl w:val="true"/>
          <w:lang w:bidi="fa-IR"/>
        </w:rPr>
        <w:t>از طرفی در روند تحوّلات اجتماعی جرایم علیه اطفال نیز دگرگون شده و امروزه در بعضی موارد به گونه‌ای غیر از آن‌چه در دوران‌های گذشته متداول بوده بر کودکان ستم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قتل، جرح و آزار جسمی و گاه سوء استفاده‌های جنسی از جنایات بر علیه کودکان محسوب میشد، ولی امروزه علاوه بر آنها جنایاتی، مانند هرزه نگاری، اعتیاد و قاچاق موادمخدر، فروش اعضا نیز به آن افزوده شده، بلکه از رایج‌ترین جرایم علیه کودکان گردیده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جهت اگر در گذشته طرح مباحث حقوقی و بیان احکام فقهی در این زمینه لازم بود، در این زمان ضرورت دارد و اهمیّت آن را دو چندان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بیان</w:t>
      </w:r>
      <w:bookmarkStart w:id="705" w:name="pg13713_164646"/>
    </w:p>
    <w:p>
      <w:pPr>
        <w:pStyle w:val="BookText"/>
        <w:rPr/>
      </w:pPr>
      <w:bookmarkEnd w:id="705"/>
      <w:r>
        <w:rPr>
          <w:rFonts w:ascii="IRNazanin" w:hAnsi="IRNazanin" w:eastAsia="IRNazanin"/>
          <w:color w:val="111111"/>
          <w:sz w:val="28"/>
          <w:sz w:val="28"/>
          <w:szCs w:val="28"/>
          <w:rtl w:val="true"/>
          <w:lang w:bidi="fa-IR"/>
        </w:rPr>
        <w:t>مجازات و قوانین کیفری اسلام در مورد مرتکبین جنایات بر علیه کودکان ستم دیده کفایت نمیکند، هرچند آگاهی جامعه از آن در تقلیل جنایات مؤثر است، بلکه باید حمایت از کودکان ستم دیده در ابعاد مختلف مورد بررسی و دقّت نظر قرار گیرد که تحقیق در مورد آن خارج از هدف این نوشتار میباشد</w:t>
      </w:r>
      <w:r>
        <w:rPr>
          <w:rFonts w:eastAsia="IRNazanin" w:cs="IRNazanin"/>
          <w:color w:val="111111"/>
          <w:sz w:val="28"/>
          <w:szCs w:val="28"/>
          <w:rtl w:val="true"/>
          <w:lang w:bidi="fa-IR"/>
        </w:rPr>
        <w:t>.</w:t>
      </w:r>
    </w:p>
    <w:p>
      <w:pPr>
        <w:pStyle w:val="Heading4"/>
        <w:numPr>
          <w:ilvl w:val="3"/>
          <w:numId w:val="1"/>
        </w:numPr>
        <w:rPr/>
      </w:pPr>
      <w:bookmarkStart w:id="706" w:name="__RefHeading___Toc1259832_1468164448"/>
      <w:bookmarkStart w:id="707" w:name="_Toc261"/>
      <w:bookmarkEnd w:id="706"/>
      <w:r>
        <w:rPr/>
        <w:t>2</w:t>
      </w:r>
      <w:r>
        <w:rPr>
          <w:rtl w:val="true"/>
        </w:rPr>
        <w:t xml:space="preserve">- </w:t>
      </w:r>
      <w:r>
        <w:rPr>
          <w:rtl w:val="true"/>
        </w:rPr>
        <w:t>قتل کودک</w:t>
      </w:r>
      <w:bookmarkEnd w:id="707"/>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دیدگاهی که اکثریت قریب به اتّفاق فقهای امامیه آن را پذیرفته‌اند اگر شخص بالغ، کودکی را عمداً به قتل</w:t>
      </w:r>
      <w:r>
        <w:rPr>
          <w:rStyle w:val="FootnoteAnchor"/>
          <w:rtl w:val="true"/>
        </w:rPr>
        <w:footnoteReference w:id="1531"/>
      </w:r>
      <w:r>
        <w:rPr>
          <w:rFonts w:ascii="IRNazanin" w:hAnsi="IRNazanin" w:eastAsia="IRNazanin"/>
          <w:color w:val="111111"/>
          <w:sz w:val="28"/>
          <w:sz w:val="28"/>
          <w:szCs w:val="28"/>
          <w:rtl w:val="true"/>
          <w:lang w:bidi="fa-IR"/>
        </w:rPr>
        <w:t>برساند، خواه ممیّز باشد یا غیر ممیّز، در صورتی که شرایط مقرّر در فقه را دارا باشد، مشمول قصاص</w:t>
      </w:r>
      <w:r>
        <w:rPr>
          <w:rStyle w:val="FootnoteAnchor"/>
          <w:rtl w:val="true"/>
        </w:rPr>
        <w:footnoteReference w:id="1532"/>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باره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کودکی را عمداً به قتل رساند قصاص میشود، و اگر به صورت خطا مرتکب قتل شود باید عاقله وی دیه او را بپردازد</w:t>
      </w:r>
      <w:r>
        <w:rPr>
          <w:rFonts w:eastAsia="IRNazanin" w:cs="IRNazanin"/>
          <w:color w:val="111111"/>
          <w:sz w:val="28"/>
          <w:szCs w:val="28"/>
          <w:rtl w:val="true"/>
          <w:lang w:bidi="fa-IR"/>
        </w:rPr>
        <w:t>.</w:t>
      </w:r>
      <w:r>
        <w:rPr>
          <w:rStyle w:val="FootnoteAnchor"/>
          <w:rtl w:val="true"/>
        </w:rPr>
        <w:footnoteReference w:id="1533"/>
      </w:r>
      <w:r>
        <w:rPr>
          <w:rFonts w:ascii="IRNazanin" w:hAnsi="IRNazanin" w:eastAsia="IRNazanin"/>
          <w:color w:val="111111"/>
          <w:sz w:val="28"/>
          <w:sz w:val="28"/>
          <w:szCs w:val="28"/>
          <w:rtl w:val="true"/>
          <w:lang w:bidi="fa-IR"/>
        </w:rPr>
        <w:t>عبارت بسیاری دیگر از فقها شبیه آن‌چه ذکر شد، میباشد</w:t>
      </w:r>
      <w:r>
        <w:rPr>
          <w:rFonts w:eastAsia="IRNazanin" w:cs="IRNazanin"/>
          <w:color w:val="111111"/>
          <w:sz w:val="28"/>
          <w:szCs w:val="28"/>
          <w:rtl w:val="true"/>
          <w:lang w:bidi="fa-IR"/>
        </w:rPr>
        <w:t>.</w:t>
      </w:r>
      <w:r>
        <w:rPr>
          <w:rStyle w:val="FootnoteAnchor"/>
          <w:rtl w:val="true"/>
        </w:rPr>
        <w:footnoteReference w:id="1534"/>
      </w:r>
      <w:r>
        <w:rPr>
          <w:rFonts w:ascii="IRNazanin" w:hAnsi="IRNazanin" w:eastAsia="IRNazanin"/>
          <w:color w:val="111111"/>
          <w:sz w:val="28"/>
          <w:sz w:val="28"/>
          <w:szCs w:val="28"/>
          <w:rtl w:val="true"/>
          <w:lang w:bidi="fa-IR"/>
        </w:rPr>
        <w:t>بعضی این قول را دیدگاه مشهور فقها دانسته‌اند</w:t>
      </w:r>
      <w:r>
        <w:rPr>
          <w:rFonts w:eastAsia="IRNazanin" w:cs="IRNazanin"/>
          <w:color w:val="111111"/>
          <w:sz w:val="28"/>
          <w:szCs w:val="28"/>
          <w:rtl w:val="true"/>
          <w:lang w:bidi="fa-IR"/>
        </w:rPr>
        <w:t>.</w:t>
      </w:r>
      <w:r>
        <w:rPr>
          <w:rStyle w:val="FootnoteAnchor"/>
          <w:rtl w:val="true"/>
        </w:rPr>
        <w:footnoteReference w:id="1535"/>
      </w:r>
      <w:r>
        <w:rPr>
          <w:rFonts w:ascii="IRNazanin" w:hAnsi="IRNazanin" w:eastAsia="IRNazanin"/>
          <w:color w:val="111111"/>
          <w:sz w:val="28"/>
          <w:sz w:val="28"/>
          <w:szCs w:val="28"/>
          <w:rtl w:val="true"/>
          <w:lang w:bidi="fa-IR"/>
        </w:rPr>
        <w:t>شهید ثانی هم آن را مذهب اکثر فقها، بلکه مذهب شیعه دانسته است</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هم‌چنین 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قدما و متأخرین مخالف این نظر را نیافته‌است، مگر آن‌که حکایت شده حلبی معتقد به عدم قصاص بوده است</w:t>
      </w:r>
      <w:r>
        <w:rPr>
          <w:rFonts w:eastAsia="IRNazanin" w:cs="IRNazanin"/>
          <w:color w:val="111111"/>
          <w:sz w:val="28"/>
          <w:szCs w:val="28"/>
          <w:rtl w:val="true"/>
          <w:lang w:bidi="fa-IR"/>
        </w:rPr>
        <w:t>.</w:t>
      </w:r>
      <w:r>
        <w:rPr>
          <w:rStyle w:val="FootnoteAnchor"/>
          <w:rtl w:val="true"/>
        </w:rPr>
        <w:footnoteReference w:id="1537"/>
      </w:r>
      <w:r>
        <w:rPr>
          <w:rFonts w:ascii="IRNazanin" w:hAnsi="IRNazanin" w:eastAsia="IRNazanin"/>
          <w:color w:val="111111"/>
          <w:sz w:val="28"/>
          <w:sz w:val="28"/>
          <w:szCs w:val="28"/>
          <w:rtl w:val="true"/>
          <w:lang w:bidi="fa-IR"/>
        </w:rPr>
        <w:t>ازبزرگان‌فقها معاصر امام خمینی قدس سره</w:t>
      </w:r>
      <w:r>
        <w:rPr>
          <w:rStyle w:val="FootnoteAnchor"/>
          <w:rtl w:val="true"/>
        </w:rPr>
        <w:footnoteReference w:id="1538"/>
      </w:r>
      <w:r>
        <w:rPr>
          <w:rFonts w:ascii="IRNazanin" w:hAnsi="IRNazanin" w:eastAsia="IRNazanin"/>
          <w:color w:val="111111"/>
          <w:sz w:val="28"/>
          <w:sz w:val="28"/>
          <w:szCs w:val="28"/>
          <w:rtl w:val="true"/>
          <w:lang w:bidi="fa-IR"/>
        </w:rPr>
        <w:t>و آیت الله فاضل لنکرانی قدس سره</w:t>
      </w:r>
      <w:r>
        <w:rPr>
          <w:rStyle w:val="FootnoteAnchor"/>
          <w:rtl w:val="true"/>
        </w:rPr>
        <w:footnoteReference w:id="1539"/>
      </w:r>
      <w:r>
        <w:rPr>
          <w:rFonts w:ascii="IRNazanin" w:hAnsi="IRNazanin" w:eastAsia="IRNazanin"/>
          <w:color w:val="111111"/>
          <w:sz w:val="28"/>
          <w:sz w:val="28"/>
          <w:szCs w:val="28"/>
          <w:rtl w:val="true"/>
          <w:lang w:bidi="fa-IR"/>
        </w:rPr>
        <w:t>و برخی دیگر</w:t>
      </w:r>
      <w:r>
        <w:rPr>
          <w:rStyle w:val="FootnoteAnchor"/>
          <w:rtl w:val="true"/>
        </w:rPr>
        <w:footnoteReference w:id="1540"/>
      </w:r>
      <w:r>
        <w:rPr>
          <w:rFonts w:ascii="IRNazanin" w:hAnsi="IRNazanin" w:eastAsia="IRNazanin"/>
          <w:color w:val="111111"/>
          <w:sz w:val="28"/>
          <w:sz w:val="28"/>
          <w:szCs w:val="28"/>
          <w:rtl w:val="true"/>
          <w:lang w:bidi="fa-IR"/>
        </w:rPr>
        <w:t>نیز به این دیدگاه معتقد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قصاص بالغ در قتل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مانند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بر شما درباره کشتگان، قصاص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الاجراء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 برابر آزاد، برده در برابر برده و زن در برابر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کُتِبَ عَلَیْکُمُ الْقِصاصُ فِی الْقَتْلی الْحُرُّ بِالْحُرِّ وَ الْعَبْدُ بِالْعَبْدِ وَ الْأُنْثی بِالْأُنْثی</w:t>
      </w:r>
      <w:r>
        <w:rPr>
          <w:rFonts w:eastAsia="IRNazanin" w:cs="IRNazanin"/>
          <w:color w:val="111111"/>
          <w:sz w:val="28"/>
          <w:szCs w:val="28"/>
          <w:rtl w:val="true"/>
          <w:lang w:bidi="fa-IR"/>
        </w:rPr>
        <w:t>) .</w:t>
      </w:r>
      <w:r>
        <w:rPr>
          <w:rStyle w:val="FootnoteAnchor"/>
          <w:rtl w:val="true"/>
        </w:rPr>
        <w:footnoteReference w:id="1541"/>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شود برای ولی او سلطه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قصاص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کشتن زیاده روی نکند به درستی که او یاری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 </w:t>
      </w:r>
      <w:r>
        <w:rPr>
          <w:rStyle w:val="FootnoteAnchor"/>
          <w:rtl w:val="true"/>
        </w:rPr>
        <w:footnoteReference w:id="1542"/>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قصاص را مقرّر داشتیم که اگر کسی عمداً بیگناهی را به قتل برساند، اولیای مقتول میتوانند او را قصاص نمایند، هم‌چنین در مقابل بریدن بینی جایز است بینی جانی بریده شود و در مقابل بریدن گوش، بریدن گوش جانی جایز است</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 از جمله در روایت صحیح 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در سرزمین منی خطبه خوانده و در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برادر یکدیگرند باید جان‌های آنها محفوظ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اخوَةٌ تَتَکافَأُ دِمَاءُهُم</w:t>
      </w:r>
      <w:r>
        <w:rPr>
          <w:rFonts w:eastAsia="IRNazanin" w:cs="IRNazanin"/>
          <w:color w:val="111111"/>
          <w:sz w:val="28"/>
          <w:szCs w:val="28"/>
          <w:rtl w:val="true"/>
          <w:lang w:bidi="fa-IR"/>
        </w:rPr>
        <w:t>...».</w:t>
      </w:r>
      <w:r>
        <w:rPr>
          <w:rStyle w:val="FootnoteAnchor"/>
          <w:rtl w:val="true"/>
        </w:rPr>
        <w:footnoteReference w:id="1544"/>
      </w:r>
      <w:r>
        <w:rPr>
          <w:rFonts w:ascii="IRNazanin" w:hAnsi="IRNazanin" w:eastAsia="IRNazanin"/>
          <w:color w:val="111111"/>
          <w:sz w:val="28"/>
          <w:sz w:val="28"/>
          <w:szCs w:val="28"/>
          <w:rtl w:val="true"/>
          <w:lang w:bidi="fa-IR"/>
        </w:rPr>
        <w:t>در روایت صحیح دیگری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مؤمنی را به قتل برساند، قصاص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مُؤمِنَاً مُتَعَمِّدَاً قَیِدَ مِنهُ</w:t>
      </w:r>
      <w:r>
        <w:rPr>
          <w:rFonts w:eastAsia="Amiri" w:cs="Amiri" w:ascii="Amiri" w:hAnsi="Amiri"/>
          <w:color w:val="111111"/>
          <w:sz w:val="28"/>
          <w:szCs w:val="28"/>
          <w:rtl w:val="true"/>
          <w:lang w:bidi="ar-SA"/>
        </w:rPr>
        <w:t>».</w:t>
      </w:r>
      <w:r>
        <w:rPr>
          <w:rStyle w:val="FootnoteAnchor"/>
          <w:rtl w:val="true"/>
        </w:rPr>
        <w:footnoteReference w:id="1545"/>
      </w:r>
      <w:r>
        <w:rPr>
          <w:rFonts w:ascii="IRNazanin" w:hAnsi="IRNazanin" w:eastAsia="IRNazanin"/>
          <w:color w:val="111111"/>
          <w:sz w:val="28"/>
          <w:sz w:val="28"/>
          <w:szCs w:val="28"/>
          <w:rtl w:val="true"/>
          <w:lang w:bidi="fa-IR"/>
        </w:rPr>
        <w:t>هم‌چنین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خطایی مانند عمد نیست، اگر کسی دیگری‌را عمداً به قتل رساند، باید کشته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الخَطَأُ مِثلُ العَمدِ، العَمدُ فِیهِ القَتلُ</w:t>
      </w:r>
      <w:r>
        <w:rPr>
          <w:rFonts w:eastAsia="Amiri" w:cs="Amiri" w:ascii="Amiri" w:hAnsi="Amiri"/>
          <w:color w:val="111111"/>
          <w:sz w:val="28"/>
          <w:szCs w:val="28"/>
          <w:rtl w:val="true"/>
          <w:lang w:bidi="ar-SA"/>
        </w:rPr>
        <w:t>».</w:t>
      </w:r>
      <w:r>
        <w:rPr>
          <w:rStyle w:val="FootnoteAnchor"/>
          <w:rtl w:val="true"/>
        </w:rPr>
        <w:footnoteReference w:id="1546"/>
      </w:r>
      <w:r>
        <w:rPr>
          <w:rFonts w:ascii="IRNazanin" w:hAnsi="IRNazanin" w:eastAsia="IRNazanin"/>
          <w:color w:val="111111"/>
          <w:sz w:val="28"/>
          <w:sz w:val="28"/>
          <w:szCs w:val="28"/>
          <w:rtl w:val="true"/>
          <w:lang w:bidi="fa-IR"/>
        </w:rPr>
        <w:t>ودیگر روایاتی که از جهت سند مرسل</w:t>
      </w:r>
      <w:r>
        <w:rPr>
          <w:rStyle w:val="FootnoteAnchor"/>
          <w:rtl w:val="true"/>
        </w:rPr>
        <w:footnoteReference w:id="1547"/>
      </w:r>
      <w:r>
        <w:rPr>
          <w:rFonts w:ascii="IRNazanin" w:hAnsi="IRNazanin" w:eastAsia="IRNazanin"/>
          <w:color w:val="111111"/>
          <w:sz w:val="28"/>
          <w:sz w:val="28"/>
          <w:szCs w:val="28"/>
          <w:rtl w:val="true"/>
          <w:lang w:bidi="fa-IR"/>
        </w:rPr>
        <w:t>میباشند و ضعف سند آنها به دلیل اینکه فقها بر طبق آن فتوا داده‌اند جبران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اطلاق و عموم در آیات و روایاتی که ذکر شد مرتکب قتل کودک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جواز قصاص شخص بالغ به جهت قتل غیر بالغ، عموم آیات و روایات و نیز اجماع فقها است بر این که قاتل را در مقابل قتل مقتول، باید قصاص نمود و هیچ دلیل صریح و روشنی از عقل یا نقل بر این که قاتل کودک از این حکم خارج شده وجود ندارد</w:t>
      </w:r>
      <w:r>
        <w:rPr>
          <w:rFonts w:eastAsia="IRNazanin" w:cs="IRNazanin"/>
          <w:color w:val="111111"/>
          <w:sz w:val="28"/>
          <w:szCs w:val="28"/>
          <w:rtl w:val="true"/>
          <w:lang w:bidi="fa-IR"/>
        </w:rPr>
        <w:t>.</w:t>
      </w:r>
      <w:r>
        <w:rPr>
          <w:rStyle w:val="FootnoteAnchor"/>
          <w:rtl w:val="true"/>
        </w:rPr>
        <w:footnoteReference w:id="1548"/>
      </w:r>
      <w:r>
        <w:rPr>
          <w:rFonts w:ascii="IRNazanin" w:hAnsi="IRNazanin" w:eastAsia="IRNazanin"/>
          <w:color w:val="111111"/>
          <w:sz w:val="28"/>
          <w:sz w:val="28"/>
          <w:szCs w:val="28"/>
          <w:rtl w:val="true"/>
          <w:lang w:bidi="fa-IR"/>
        </w:rPr>
        <w:t>قریب به این مضمون را آیت الله فاضل لنکرانی در توضیح یکی از روایاتی که مستند این حکم میباشد، آورده است</w:t>
      </w:r>
      <w:r>
        <w:rPr>
          <w:rFonts w:eastAsia="IRNazanin" w:cs="IRNazanin"/>
          <w:color w:val="111111"/>
          <w:sz w:val="28"/>
          <w:szCs w:val="28"/>
          <w:rtl w:val="true"/>
          <w:lang w:bidi="fa-IR"/>
        </w:rPr>
        <w:t>.</w:t>
      </w:r>
      <w:r>
        <w:rPr>
          <w:rStyle w:val="FootnoteAnchor"/>
          <w:rtl w:val="true"/>
        </w:rPr>
        <w:footnoteReference w:id="1549"/>
      </w:r>
      <w:bookmarkStart w:id="708" w:name="pg13713_164649"/>
    </w:p>
    <w:p>
      <w:pPr>
        <w:pStyle w:val="Heading4"/>
        <w:numPr>
          <w:ilvl w:val="3"/>
          <w:numId w:val="1"/>
        </w:numPr>
        <w:rPr/>
      </w:pPr>
      <w:bookmarkStart w:id="709" w:name="__RefHeading___Toc1259834_1468164448"/>
      <w:bookmarkStart w:id="710" w:name="_Toc262"/>
      <w:bookmarkEnd w:id="708"/>
      <w:bookmarkEnd w:id="709"/>
      <w:r>
        <w:rPr/>
        <w:t>3</w:t>
      </w:r>
      <w:r>
        <w:rPr>
          <w:rtl w:val="true"/>
        </w:rPr>
        <w:t xml:space="preserve">- </w:t>
      </w:r>
      <w:r>
        <w:rPr>
          <w:rtl w:val="true"/>
        </w:rPr>
        <w:t>عدم قصاص بالغ به جهت قتل کودک</w:t>
      </w:r>
      <w:bookmarkEnd w:id="710"/>
    </w:p>
    <w:p>
      <w:pPr>
        <w:pStyle w:val="BookText"/>
        <w:rPr/>
      </w:pPr>
      <w:r>
        <w:rPr>
          <w:rFonts w:ascii="IRNazanin" w:hAnsi="IRNazanin" w:eastAsia="IRNazanin"/>
          <w:color w:val="111111"/>
          <w:sz w:val="28"/>
          <w:sz w:val="28"/>
          <w:szCs w:val="28"/>
          <w:rtl w:val="true"/>
          <w:lang w:bidi="fa-IR"/>
        </w:rPr>
        <w:t>در برابر دیدگاه مشهور، بعضی از فقیهان گذشته، مانند ابوالصلاح حلبی</w:t>
      </w:r>
      <w:r>
        <w:rPr>
          <w:rStyle w:val="FootnoteAnchor"/>
          <w:rtl w:val="true"/>
        </w:rPr>
        <w:footnoteReference w:id="1550"/>
      </w:r>
      <w:r>
        <w:rPr>
          <w:rFonts w:ascii="IRNazanin" w:hAnsi="IRNazanin" w:eastAsia="IRNazanin"/>
          <w:color w:val="111111"/>
          <w:sz w:val="28"/>
          <w:sz w:val="28"/>
          <w:szCs w:val="28"/>
          <w:rtl w:val="true"/>
          <w:lang w:bidi="fa-IR"/>
        </w:rPr>
        <w:t>و از اعلام معاصر آیت الله سید ابوالقاسم خویی</w:t>
      </w:r>
      <w:r>
        <w:rPr>
          <w:rStyle w:val="FootnoteAnchor"/>
          <w:rtl w:val="true"/>
        </w:rPr>
        <w:footnoteReference w:id="1551"/>
      </w:r>
      <w:r>
        <w:rPr>
          <w:rFonts w:ascii="IRNazanin" w:hAnsi="IRNazanin" w:eastAsia="IRNazanin"/>
          <w:color w:val="111111"/>
          <w:sz w:val="28"/>
          <w:sz w:val="28"/>
          <w:szCs w:val="28"/>
          <w:rtl w:val="true"/>
          <w:lang w:bidi="fa-IR"/>
        </w:rPr>
        <w:t>و بعضی از شاگردان وی</w:t>
      </w:r>
      <w:r>
        <w:rPr>
          <w:rStyle w:val="FootnoteAnchor"/>
          <w:rtl w:val="true"/>
        </w:rPr>
        <w:footnoteReference w:id="1552"/>
      </w:r>
      <w:r>
        <w:rPr>
          <w:rFonts w:ascii="IRNazanin" w:hAnsi="IRNazanin" w:eastAsia="IRNazanin"/>
          <w:color w:val="111111"/>
          <w:sz w:val="28"/>
          <w:sz w:val="28"/>
          <w:szCs w:val="28"/>
          <w:rtl w:val="true"/>
          <w:lang w:bidi="fa-IR"/>
        </w:rPr>
        <w:t>معتقدند در مقابل قتل کودک، بالغ قصاص نمیشود و فقط باید دیه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این دیدگاه، روایت صحیح ابوبصیر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درضمن حدیثی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قصاص برای کسی که قصاص نمیشود،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فَلاقَوَدَلِمَن لَا یُقَادُ مِنهُ</w:t>
      </w:r>
      <w:r>
        <w:rPr>
          <w:rFonts w:eastAsia="IRNazanin" w:cs="IRNazanin"/>
          <w:color w:val="111111"/>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در این روایت امام علیه السلام علت اینکه قاتل شخص مجنون قصاص نمیشود را عدم‌قصاص مجنون اعلام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دیدگاه معتقدند این علت منصوص در هر کجا باشد، حکم نیز به دنبال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فرموده امام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فَلاقَوَد لِمَن لا یقَادُ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یک قاعده و کبرای کلی بر فرد خاص میباشد، بنابراین‌در مورد قاتل شخص غیر بالغ نیز میتوان گفت، چون غیر بالغ در صورت ارتکاب قتل قصاص نمیشود، حق قصاص برای او نیست، در نتیجه قاتل کودک فقط به پرداخت دیه الزام میشود</w:t>
      </w:r>
      <w:r>
        <w:rPr>
          <w:rFonts w:eastAsia="IRNazanin" w:cs="IRNazanin"/>
          <w:color w:val="111111"/>
          <w:sz w:val="28"/>
          <w:szCs w:val="28"/>
          <w:rtl w:val="true"/>
          <w:lang w:bidi="fa-IR"/>
        </w:rPr>
        <w:t>.</w:t>
      </w:r>
      <w:r>
        <w:rPr>
          <w:rStyle w:val="FootnoteAnchor"/>
          <w:rtl w:val="true"/>
        </w:rPr>
        <w:footnoteReference w:id="155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روایت مورد توجّه قرار گرفته است، تفاوت قاتل و مقتول از نظر موقعیت فردی و اجتماعی است، در این مجازات همان گونه که از مفهوم قصاص استفاده میشود، جرم و مجازات باید کاملاً با هم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مسئول جرایم ارتکابی خود نیست و نمیتوان او را مجازات کرد، بیگمان جان او برابر با جان یک انسان مسئول نیست و قصاص نفس به دلیل عدم تساوی در این گونه موارد ثابت نیست و به تعبیر فقهی این روایت عموم و اطلاقات ادلّه حکم قصاص را تخصیص میزند</w:t>
      </w:r>
      <w:r>
        <w:rPr>
          <w:rFonts w:eastAsia="IRNazanin" w:cs="IRNazanin"/>
          <w:color w:val="111111"/>
          <w:sz w:val="28"/>
          <w:szCs w:val="28"/>
          <w:rtl w:val="true"/>
          <w:lang w:bidi="fa-IR"/>
        </w:rPr>
        <w:t>.</w:t>
      </w:r>
      <w:bookmarkStart w:id="711" w:name="pg13713_164650"/>
    </w:p>
    <w:p>
      <w:pPr>
        <w:pStyle w:val="BookText"/>
        <w:rPr/>
      </w:pPr>
      <w:bookmarkEnd w:id="711"/>
      <w:r>
        <w:rPr>
          <w:rFonts w:ascii="IRNazanin" w:hAnsi="IRNazanin" w:eastAsia="IRNazanin"/>
          <w:color w:val="111111"/>
          <w:sz w:val="28"/>
          <w:sz w:val="28"/>
          <w:szCs w:val="28"/>
          <w:rtl w:val="true"/>
          <w:lang w:bidi="fa-IR"/>
        </w:rPr>
        <w:t xml:space="preserve">لیکن در برابر میتوان گفت که استدلال به این روایت بر اثبات مدّعا در صورتی صحیح است که بپذیریم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شامل هر کسی که قصاص نمیشود، میگردد تا کودک نیز در این حکم کلی وارد شود، در صورتی که این چنین نیست، زیرا این جمله جزای شرطی است که مجنون در آن مفروض است و احتمال این که حکم در آن اختصاص به مجنون داشته باشد، وجود دارد و با این احتمال اطلاق از بین میرود و نمیتواند کودک را شامل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حکم کلّی از روایت در صورتی صحیح است که آن را به منزله علت تامّه بدانیم، ولی اگر به عنوان جزای شرط مفروض باشد، چنان‌که روایت مورد بحث این گونه میباشد، نمیتوان علّت را از آن استفاده کرد و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معنی که روایت مشعر و مؤید حکم است، قابل انکار نیست</w:t>
      </w:r>
      <w:r>
        <w:rPr>
          <w:rFonts w:eastAsia="IRNazanin" w:cs="IRNazanin"/>
          <w:color w:val="111111"/>
          <w:sz w:val="28"/>
          <w:szCs w:val="28"/>
          <w:rtl w:val="true"/>
          <w:lang w:bidi="fa-IR"/>
        </w:rPr>
        <w:t>.</w:t>
      </w:r>
      <w:r>
        <w:rPr>
          <w:rStyle w:val="FootnoteAnchor"/>
          <w:rtl w:val="true"/>
        </w:rPr>
        <w:footnoteReference w:id="1555"/>
      </w:r>
      <w:r>
        <w:rPr>
          <w:rFonts w:ascii="IRNazanin" w:hAnsi="IRNazanin" w:eastAsia="IRNazanin"/>
          <w:color w:val="111111"/>
          <w:sz w:val="28"/>
          <w:sz w:val="28"/>
          <w:szCs w:val="28"/>
          <w:rtl w:val="true"/>
          <w:lang w:bidi="fa-IR"/>
        </w:rPr>
        <w:t>ناگفته نماند که از این استدلال جواب‌های دیگری نیز داده شد که ذکر آنها در مجال این نوشتار نیست</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به هر صورت در مسأله مورد بحث همان گونه که گذشت، حکم به قصاص توجیه فقهی دارد و مشهور فقها به آن فتوا داده‌اند، حکم به عدم قصاص نیز توجیه فقهی دارد و به آن فتوا داده شده است، ولی به نظر میرسد با توجه به فلسفه قصاص، باید آن نظری که بیش‌تر تأمین کننده مصالح اجتماعی است، مورد عمل قرار گیرد و این خود نیاز به مطالعه و بررسی همه جانبه دارد</w:t>
      </w:r>
      <w:r>
        <w:rPr>
          <w:rFonts w:eastAsia="IRNazanin" w:cs="IRNazanin"/>
          <w:color w:val="111111"/>
          <w:sz w:val="28"/>
          <w:szCs w:val="28"/>
          <w:rtl w:val="true"/>
          <w:lang w:bidi="fa-IR"/>
        </w:rPr>
        <w:t>.</w:t>
      </w:r>
    </w:p>
    <w:p>
      <w:pPr>
        <w:pStyle w:val="Heading4"/>
        <w:numPr>
          <w:ilvl w:val="3"/>
          <w:numId w:val="1"/>
        </w:numPr>
        <w:rPr/>
      </w:pPr>
      <w:bookmarkStart w:id="712" w:name="__RefHeading___Toc1259836_1468164448"/>
      <w:bookmarkStart w:id="713" w:name="_Toc263"/>
      <w:bookmarkEnd w:id="712"/>
      <w:r>
        <w:rPr/>
        <w:t>4</w:t>
      </w:r>
      <w:r>
        <w:rPr>
          <w:rtl w:val="true"/>
        </w:rPr>
        <w:t xml:space="preserve">- </w:t>
      </w:r>
      <w:r>
        <w:rPr>
          <w:rtl w:val="true"/>
        </w:rPr>
        <w:t>قصاص قاتل کودک از دیدگاه قانون مجازات اسلامی</w:t>
      </w:r>
      <w:bookmarkEnd w:id="71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بر اساس رعایت مصالح اجتماعی و جلوگیری از کشتن کودکان در جامعه است که قانونگذاردر جمهوری اسلامی نظر مشهور فقهای امامیه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ماده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بالغ، نابالغی را بکُشد قصاص میشود</w:t>
      </w:r>
      <w:r>
        <w:rPr>
          <w:rFonts w:eastAsia="IRNazanin" w:cs="IRNazanin"/>
          <w:color w:val="111111"/>
          <w:sz w:val="28"/>
          <w:szCs w:val="28"/>
          <w:rtl w:val="true"/>
          <w:lang w:bidi="fa-IR"/>
        </w:rPr>
        <w:t>».</w:t>
      </w:r>
      <w:bookmarkStart w:id="714" w:name="pg13713_164651"/>
    </w:p>
    <w:p>
      <w:pPr>
        <w:pStyle w:val="Heading4"/>
        <w:numPr>
          <w:ilvl w:val="3"/>
          <w:numId w:val="1"/>
        </w:numPr>
        <w:rPr/>
      </w:pPr>
      <w:bookmarkStart w:id="715" w:name="__RefHeading___Toc1259838_1468164448"/>
      <w:bookmarkStart w:id="716" w:name="_Toc264"/>
      <w:bookmarkEnd w:id="714"/>
      <w:bookmarkEnd w:id="715"/>
      <w:r>
        <w:rPr/>
        <w:t>5</w:t>
      </w:r>
      <w:r>
        <w:rPr>
          <w:rtl w:val="true"/>
        </w:rPr>
        <w:t xml:space="preserve">- </w:t>
      </w:r>
      <w:r>
        <w:rPr>
          <w:rtl w:val="true"/>
        </w:rPr>
        <w:t>وجوب کفّاره در قتل کودک</w:t>
      </w:r>
      <w:bookmarkEnd w:id="716"/>
    </w:p>
    <w:p>
      <w:pPr>
        <w:pStyle w:val="BookText"/>
        <w:rPr/>
      </w:pPr>
      <w:r>
        <w:rPr>
          <w:rFonts w:ascii="IRNazanin" w:hAnsi="IRNazanin" w:eastAsia="IRNazanin"/>
          <w:color w:val="111111"/>
          <w:sz w:val="28"/>
          <w:sz w:val="28"/>
          <w:szCs w:val="28"/>
          <w:rtl w:val="true"/>
          <w:lang w:bidi="fa-IR"/>
        </w:rPr>
        <w:t>به اتّفاق فقها اگر کسی مسلمانی را از روی عمد به قتل برساند، بر قاتل علاوه بر پرداخت دیه در صورتی که اولیای مقتول به گرفتن دیه به جای قصاص رضایت دهند، کفّاره جمع نیز واجب میشود، یعنی باید یک بنده را آزاد نماید و دو ماه پی در پی روزه بگیرد و شصت مسکین را غذا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قتل خطایی کفاره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میگردد، یعنی اگر میتواند باید یک بنده آزاد نماید و اگر توانایی بر انجام آن نیست، شصت روز پی در پی روزه بگیرند و اگر توانایی ندارند، شصت مسکین را طعام‌دهد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بین کودک و بالغ تفاوتی نیست حتی در قتل جنین که روح در آن دمیده شده باشد، این حکم ثابت است و بسیاری از فقهای گذشته</w:t>
      </w:r>
      <w:r>
        <w:rPr>
          <w:rStyle w:val="FootnoteAnchor"/>
          <w:rtl w:val="true"/>
        </w:rPr>
        <w:footnoteReference w:id="1557"/>
      </w:r>
      <w:r>
        <w:rPr>
          <w:rFonts w:ascii="IRNazanin" w:hAnsi="IRNazanin" w:eastAsia="IRNazanin"/>
          <w:color w:val="111111"/>
          <w:sz w:val="28"/>
          <w:sz w:val="28"/>
          <w:szCs w:val="28"/>
          <w:rtl w:val="true"/>
          <w:lang w:bidi="fa-IR"/>
        </w:rPr>
        <w:t>و معاصرین</w:t>
      </w:r>
      <w:r>
        <w:rPr>
          <w:rStyle w:val="FootnoteAnchor"/>
          <w:rtl w:val="true"/>
        </w:rPr>
        <w:footnoteReference w:id="1558"/>
      </w:r>
      <w:r>
        <w:rPr>
          <w:rFonts w:ascii="IRNazanin" w:hAnsi="IRNazanin" w:eastAsia="IRNazanin"/>
          <w:color w:val="111111"/>
          <w:sz w:val="28"/>
          <w:sz w:val="28"/>
          <w:szCs w:val="28"/>
          <w:rtl w:val="true"/>
          <w:lang w:bidi="fa-IR"/>
        </w:rPr>
        <w:t>به‌آن‌تصریح نموده‌اند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در این باره ادّعای لاخلاف و اجماع محصّل و منقول</w:t>
      </w:r>
      <w:r>
        <w:rPr>
          <w:rStyle w:val="FootnoteAnchor"/>
          <w:rtl w:val="true"/>
        </w:rPr>
        <w:footnoteReference w:id="1559"/>
      </w:r>
      <w:r>
        <w:rPr>
          <w:rFonts w:ascii="IRNazanin" w:hAnsi="IRNazanin" w:eastAsia="IRNazanin"/>
          <w:color w:val="111111"/>
          <w:sz w:val="28"/>
          <w:sz w:val="28"/>
          <w:szCs w:val="28"/>
          <w:rtl w:val="true"/>
          <w:lang w:bidi="fa-IR"/>
        </w:rPr>
        <w:t>نیز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مستند آن عموم و اطلاق ادلّه میباشد، مانند آن‌که در روایت صحیح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که مسلمانی را عمداً به قتل میرساند توبه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مسلمان را به جهت ایمانش به قتل رساند راهی برای توبه نیست و اگر به خاطر این که در حال غضب بوده یا به جهت امری از امور دنیا او را به قتل رساند، توبه او به این است که قصاص شود؛ او باید به نزد اولیای مقتول رود و به قتل اقرار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نسبت به قصاص عفو نمودند و به گرفتن دیه راضی شدند، علاوه بر پرداخت دیه واجب، یک بنده آزاد نماید و دو ماه پی در پی روزه بگیرد و شصت مسکین را طعام دهد، علاوه بر آن به درگاه پروردگار توبه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اعطاهُم الدِّیَةَ وَ اعتَقَ نَسَمَةً و صَامَ شَهرَینِ مُتَتَابِعَینِ و اطعَمَ سِتِّینَ مِسکِینَاً تَوبَةً الَی اللهِ عَزَّوَجَلَّ</w:t>
      </w:r>
      <w:r>
        <w:rPr>
          <w:rFonts w:eastAsia="IRNazanin" w:cs="IRNazanin"/>
          <w:color w:val="111111"/>
          <w:sz w:val="28"/>
          <w:szCs w:val="28"/>
          <w:rtl w:val="true"/>
          <w:lang w:bidi="fa-IR"/>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bookmarkStart w:id="717" w:name="pg13713_164652"/>
    </w:p>
    <w:p>
      <w:pPr>
        <w:pStyle w:val="BookText"/>
        <w:rPr/>
      </w:pPr>
      <w:bookmarkEnd w:id="717"/>
      <w:r>
        <w:rPr>
          <w:rFonts w:ascii="IRNazanin" w:hAnsi="IRNazanin" w:eastAsia="IRNazanin"/>
          <w:color w:val="111111"/>
          <w:sz w:val="28"/>
          <w:sz w:val="28"/>
          <w:szCs w:val="28"/>
          <w:rtl w:val="true"/>
          <w:lang w:bidi="fa-IR"/>
        </w:rPr>
        <w:t>در روایت صحیح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باید از این عمل پشیمان و نادم باشد و تصمیم جدّی داشته باشد بعد از آن، آن را تکرار ننماید و تا آخر عمر به درگاه خداوند متعال استغفار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َیعزِمَ عَلی تَرکِ العَودِ وَ یَستَغفِرَ اللهَ عَزَّوَجَل ابَدَاً مَابَقَی</w:t>
      </w:r>
      <w:r>
        <w:rPr>
          <w:rFonts w:eastAsia="Amiri" w:cs="Amiri" w:ascii="Amiri" w:hAnsi="Amiri"/>
          <w:color w:val="111111"/>
          <w:sz w:val="28"/>
          <w:szCs w:val="28"/>
          <w:rtl w:val="true"/>
          <w:lang w:bidi="ar-SA"/>
        </w:rPr>
        <w:t>».</w:t>
      </w:r>
      <w:r>
        <w:rPr>
          <w:rStyle w:val="FootnoteAnchor"/>
          <w:rtl w:val="true"/>
        </w:rPr>
        <w:footnoteReference w:id="1561"/>
      </w:r>
      <w:r>
        <w:rPr>
          <w:rFonts w:ascii="IRNazanin" w:hAnsi="IRNazanin" w:eastAsia="IRNazanin"/>
          <w:color w:val="111111"/>
          <w:sz w:val="28"/>
          <w:sz w:val="28"/>
          <w:szCs w:val="28"/>
          <w:rtl w:val="true"/>
          <w:lang w:bidi="fa-IR"/>
        </w:rPr>
        <w:t>و در مورد قتل خطایی 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فرد با ایمانی مجاز نیست فرد با ایمانی را به قتل برساند، مگر این که این کار از روی خطا و اشتباه از او سر زند وهرگاه کسی فرد با ایمانی را از روی خطا به قتل برساند، باید یک برده آزاد کند و دیه را به کسان مقتول بپردازد، مگر این که آنها دیه را ببخشند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مُؤْمِنَةٍ وَ دِیَةٌ مُسَلَّمَةٌ إِلی أَهْلِهِ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البته‌در این آیه حکم کفاره و مصادیق مرتّبه قتل خطایی به طور کامل ذکر نشده است، ولی در روایاتی که در تفسیر آیه وارد شده بیان گردیده است</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به هر صورت اطلاق این آیه و روایاتی که ذکر شد و دیگر روایات به طور قطع شامل کودک ممیّز میگردد، زیرا عنوان قتل مسلمان نسبت به وی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قتل کودک غیر ممیّز و نیز جنین در صورتی که روح در آن دمیده شده باشد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جنین روح دمیده شده باشد، در قتل او کفّاره واجب میشود، زیرا عنوان قتل بر او صادق است</w:t>
      </w:r>
      <w:r>
        <w:rPr>
          <w:rFonts w:eastAsia="IRNazanin" w:cs="IRNazanin"/>
          <w:color w:val="111111"/>
          <w:sz w:val="28"/>
          <w:szCs w:val="28"/>
          <w:rtl w:val="true"/>
          <w:lang w:bidi="fa-IR"/>
        </w:rPr>
        <w:t>».</w:t>
      </w:r>
      <w:r>
        <w:rPr>
          <w:rStyle w:val="FootnoteAnchor"/>
          <w:rtl w:val="true"/>
        </w:rPr>
        <w:footnoteReference w:id="1563"/>
      </w:r>
      <w:r>
        <w:rPr>
          <w:rFonts w:ascii="IRNazanin" w:hAnsi="IRNazanin" w:eastAsia="IRNazanin"/>
          <w:color w:val="111111"/>
          <w:sz w:val="28"/>
          <w:sz w:val="28"/>
          <w:szCs w:val="28"/>
          <w:rtl w:val="true"/>
          <w:lang w:bidi="fa-IR"/>
        </w:rPr>
        <w:t>قریب به همین مضمون را برخی دیگر از فقها</w:t>
      </w:r>
      <w:r>
        <w:rPr>
          <w:rStyle w:val="FootnoteAnchor"/>
          <w:rtl w:val="true"/>
        </w:rPr>
        <w:footnoteReference w:id="1564"/>
      </w:r>
      <w:r>
        <w:rPr>
          <w:rFonts w:ascii="IRNazanin" w:hAnsi="IRNazanin" w:eastAsia="IRNazanin"/>
          <w:color w:val="111111"/>
          <w:sz w:val="28"/>
          <w:sz w:val="28"/>
          <w:szCs w:val="28"/>
          <w:rtl w:val="true"/>
          <w:lang w:bidi="fa-IR"/>
        </w:rPr>
        <w:t>از جمله آیت الله فاضل لنکرانی قدس سره</w:t>
      </w:r>
      <w:r>
        <w:rPr>
          <w:rStyle w:val="FootnoteAnchor"/>
          <w:rtl w:val="true"/>
        </w:rPr>
        <w:footnoteReference w:id="1565"/>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w:t>
      </w:r>
    </w:p>
    <w:p>
      <w:pPr>
        <w:pStyle w:val="Heading4"/>
        <w:numPr>
          <w:ilvl w:val="3"/>
          <w:numId w:val="1"/>
        </w:numPr>
        <w:rPr/>
      </w:pPr>
      <w:bookmarkStart w:id="718" w:name="__RefHeading___Toc1259840_1468164448"/>
      <w:bookmarkStart w:id="719" w:name="_Toc265"/>
      <w:bookmarkEnd w:id="718"/>
      <w:r>
        <w:rPr/>
        <w:t>6</w:t>
      </w:r>
      <w:r>
        <w:rPr>
          <w:rtl w:val="true"/>
        </w:rPr>
        <w:t xml:space="preserve">- </w:t>
      </w:r>
      <w:r>
        <w:rPr>
          <w:rtl w:val="true"/>
        </w:rPr>
        <w:t>جنایت بر اعضای کودک</w:t>
      </w:r>
      <w:bookmarkEnd w:id="71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 اگر فرد بالغِ عاقل، دیگری را از روی عمد مجروح سازد یا اعضا و جوارح وی را قطع نماید، با وجود شرایط مقرّر در فقه،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عضو قطع شده از اعضای مشهور باشد، مانند دست، پا، بینی یا غیر مشهور مانند جراحت بر</w:t>
      </w:r>
      <w:bookmarkStart w:id="720" w:name="pg13713_164653"/>
    </w:p>
    <w:p>
      <w:pPr>
        <w:pStyle w:val="BookText"/>
        <w:rPr/>
      </w:pPr>
      <w:bookmarkEnd w:id="720"/>
      <w:r>
        <w:rPr>
          <w:rFonts w:ascii="IRNazanin" w:hAnsi="IRNazanin" w:eastAsia="IRNazanin"/>
          <w:color w:val="111111"/>
          <w:sz w:val="28"/>
          <w:sz w:val="28"/>
          <w:szCs w:val="28"/>
          <w:rtl w:val="true"/>
          <w:lang w:bidi="fa-IR"/>
        </w:rPr>
        <w:t>شکم و پشت و از این قبیل و اعم از این که مجنی علیه بالغ باشد یا غیر بالغ و خواه غیر بالغ ممیّز باشد یا غیر 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باره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عضوی از اعضای انسانی را قطع نماید، اگر مجنی علیه بخواهد، قصاص میشود، هم چنین اگر او را مجروح نماید</w:t>
      </w:r>
      <w:r>
        <w:rPr>
          <w:rFonts w:eastAsia="IRNazanin" w:cs="IRNazanin"/>
          <w:color w:val="111111"/>
          <w:sz w:val="28"/>
          <w:szCs w:val="28"/>
          <w:rtl w:val="true"/>
          <w:lang w:bidi="fa-IR"/>
        </w:rPr>
        <w:t>».</w:t>
      </w:r>
      <w:r>
        <w:rPr>
          <w:rStyle w:val="FootnoteAnchor"/>
          <w:rtl w:val="true"/>
        </w:rPr>
        <w:footnoteReference w:id="1566"/>
      </w:r>
      <w:r>
        <w:rPr>
          <w:rFonts w:ascii="IRNazanin" w:hAnsi="IRNazanin" w:eastAsia="IRNazanin"/>
          <w:color w:val="111111"/>
          <w:sz w:val="28"/>
          <w:sz w:val="28"/>
          <w:szCs w:val="28"/>
          <w:rtl w:val="true"/>
          <w:lang w:bidi="fa-IR"/>
        </w:rPr>
        <w:t>صاحب جواهر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اصل قصاص تردیدی وجود ندارد، بلکه اجماع محصّل و منقول بر آن قائم است، افزون بر این که عموم آیات قرآن</w:t>
      </w:r>
      <w:r>
        <w:rPr>
          <w:rStyle w:val="FootnoteAnchor"/>
          <w:rtl w:val="true"/>
        </w:rPr>
        <w:footnoteReference w:id="1567"/>
      </w:r>
      <w:r>
        <w:rPr>
          <w:rFonts w:ascii="IRNazanin" w:hAnsi="IRNazanin" w:eastAsia="IRNazanin"/>
          <w:color w:val="111111"/>
          <w:sz w:val="28"/>
          <w:sz w:val="28"/>
          <w:szCs w:val="28"/>
          <w:rtl w:val="true"/>
          <w:lang w:bidi="fa-IR"/>
        </w:rPr>
        <w:t>و روایات متواتر</w:t>
      </w:r>
      <w:r>
        <w:rPr>
          <w:rStyle w:val="FootnoteAnchor"/>
          <w:rtl w:val="true"/>
        </w:rPr>
        <w:footnoteReference w:id="1568"/>
      </w:r>
      <w:r>
        <w:rPr>
          <w:rFonts w:ascii="IRNazanin" w:hAnsi="IRNazanin" w:eastAsia="IRNazanin"/>
          <w:color w:val="111111"/>
          <w:sz w:val="28"/>
          <w:sz w:val="28"/>
          <w:szCs w:val="28"/>
          <w:rtl w:val="true"/>
          <w:lang w:bidi="fa-IR"/>
        </w:rPr>
        <w:t>برآن دلالت دارد</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 xml:space="preserve">به عبارت دیگر هر فعلی که انجام آن شرعاً حرام است، اگر عمداً صورت پذیرد و سبب قطع عضوی از اعضای دیگری یا جراحت بر وی شود، جنایت مادون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بر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موجب قصاص میگردد، ولی اگر جنایت بر اعضا به عنوان شبه عمد یا خطای محض صورت پذیرد، مرتکب یا بستگان او فقط به پرداخت دیه محکوم میشوند و موجب قصاص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مسائل جنایت بر اعضای کودک را در لابلای مباحث کیفری مربوط به بزرگسالان کم و بیش بیان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دو مورد به عنوان نمونه ذکر میشود</w:t>
      </w:r>
      <w:r>
        <w:rPr>
          <w:rFonts w:eastAsia="IRNazanin" w:cs="IRNazanin"/>
          <w:color w:val="111111"/>
          <w:sz w:val="28"/>
          <w:szCs w:val="28"/>
          <w:rtl w:val="true"/>
          <w:lang w:bidi="fa-IR"/>
        </w:rPr>
        <w:t>.</w:t>
      </w:r>
    </w:p>
    <w:p>
      <w:pPr>
        <w:pStyle w:val="Heading4"/>
        <w:numPr>
          <w:ilvl w:val="3"/>
          <w:numId w:val="1"/>
        </w:numPr>
        <w:rPr/>
      </w:pPr>
      <w:bookmarkStart w:id="721" w:name="__RefHeading___Toc1259842_1468164448"/>
      <w:bookmarkStart w:id="722" w:name="_Toc266"/>
      <w:bookmarkEnd w:id="721"/>
      <w:r>
        <w:rPr/>
        <w:t>7</w:t>
      </w:r>
      <w:r>
        <w:rPr>
          <w:rtl w:val="true"/>
        </w:rPr>
        <w:t xml:space="preserve">- </w:t>
      </w:r>
      <w:r>
        <w:rPr>
          <w:rtl w:val="true"/>
        </w:rPr>
        <w:t>جنایت بر دندان کودک</w:t>
      </w:r>
      <w:bookmarkEnd w:id="72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دندان‌ها با رعایت برابری از لحاظ محل، مورد قصاص قرار میگیرند، دندانی را که در فکّ بالا است، در برابر دندان فکّ پائینی و برعکس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دندان سمت راست در برابر چپ و برعکس قصاص نمیگردد و نیز دندان آسیا را در برابر نیش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دندان اصلی در برابر زاید و زاید در برابر اصلی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آن‌چه ذکر شد اگر کسی دندان شیری</w:t>
      </w:r>
      <w:r>
        <w:rPr>
          <w:rStyle w:val="FootnoteAnchor"/>
          <w:rtl w:val="true"/>
        </w:rPr>
        <w:footnoteReference w:id="1570"/>
      </w:r>
      <w:r>
        <w:rPr>
          <w:rFonts w:ascii="IRNazanin" w:hAnsi="IRNazanin" w:eastAsia="IRNazanin"/>
          <w:color w:val="111111"/>
          <w:sz w:val="28"/>
          <w:sz w:val="28"/>
          <w:szCs w:val="28"/>
          <w:rtl w:val="true"/>
          <w:lang w:bidi="fa-IR"/>
        </w:rPr>
        <w:t>کودک را قطع</w:t>
      </w:r>
    </w:p>
    <w:p>
      <w:pPr>
        <w:pStyle w:val="BookText"/>
        <w:rPr/>
      </w:pPr>
      <w:r>
        <w:rPr>
          <w:rFonts w:ascii="IRNazanin" w:hAnsi="IRNazanin" w:eastAsia="IRNazanin"/>
          <w:color w:val="111111"/>
          <w:sz w:val="28"/>
          <w:sz w:val="28"/>
          <w:szCs w:val="28"/>
          <w:rtl w:val="true"/>
          <w:lang w:bidi="fa-IR"/>
        </w:rPr>
        <w:t>نماید، به اتفاق فقها در زمان وقوع جرم، جانی قصاص نمیشود و هم چنین به پرداخت دیه محکوم نمیگردد، بلکه باید صبر کرد که آیا دندان اصلی به جای دندان شیری میروید یا خیر؟</w:t>
      </w:r>
    </w:p>
    <w:p>
      <w:pPr>
        <w:pStyle w:val="BookText"/>
        <w:rPr/>
      </w:pPr>
      <w:r>
        <w:rPr>
          <w:rFonts w:ascii="IRNazanin" w:hAnsi="IRNazanin" w:eastAsia="IRNazanin"/>
          <w:color w:val="111111"/>
          <w:sz w:val="28"/>
          <w:sz w:val="28"/>
          <w:szCs w:val="28"/>
          <w:rtl w:val="true"/>
          <w:lang w:bidi="fa-IR"/>
        </w:rPr>
        <w:t>بنابراین در این مسأله چند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دندان اصلی بدون تغییر و نقصان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این فرض سه نظر مطرح شده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 این است که جانی به قصاص و دیه محکوم نمیشود</w:t>
      </w:r>
      <w:r>
        <w:rPr>
          <w:rFonts w:eastAsia="IRNazanin" w:cs="IRNazanin"/>
          <w:color w:val="111111"/>
          <w:sz w:val="28"/>
          <w:szCs w:val="28"/>
          <w:rtl w:val="true"/>
          <w:lang w:bidi="fa-IR"/>
        </w:rPr>
        <w:t>.</w:t>
      </w:r>
      <w:r>
        <w:rPr>
          <w:rStyle w:val="FootnoteAnchor"/>
          <w:rtl w:val="true"/>
        </w:rPr>
        <w:footnoteReference w:id="1571"/>
      </w:r>
      <w:r>
        <w:rPr>
          <w:rFonts w:ascii="IRNazanin" w:hAnsi="IRNazanin" w:eastAsia="IRNazanin"/>
          <w:color w:val="111111"/>
          <w:sz w:val="28"/>
          <w:sz w:val="28"/>
          <w:szCs w:val="28"/>
          <w:rtl w:val="true"/>
          <w:lang w:bidi="fa-IR"/>
        </w:rPr>
        <w:t>بلکه‌باید ارش</w:t>
      </w:r>
      <w:r>
        <w:rPr>
          <w:rStyle w:val="FootnoteAnchor"/>
          <w:rtl w:val="true"/>
        </w:rPr>
        <w:footnoteReference w:id="1572"/>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در بعضی از روایات</w:t>
      </w:r>
      <w:r>
        <w:rPr>
          <w:rStyle w:val="FootnoteAnchor"/>
          <w:rtl w:val="true"/>
        </w:rPr>
        <w:footnoteReference w:id="1573"/>
      </w:r>
      <w:r>
        <w:rPr>
          <w:rFonts w:ascii="IRNazanin" w:hAnsi="IRNazanin" w:eastAsia="IRNazanin"/>
          <w:color w:val="111111"/>
          <w:sz w:val="28"/>
          <w:sz w:val="28"/>
          <w:szCs w:val="28"/>
          <w:rtl w:val="true"/>
          <w:lang w:bidi="fa-IR"/>
        </w:rPr>
        <w:t>علّت قصاص را نقصان‌ایجاد شده بر مجنبی علیه بیان کرده‌اند و در این مورد بعد از رویش دندان، نقصانی وجود ندارد و نیز بر عدم قصاص ادّعای اجماع و لاخلاف</w:t>
      </w:r>
      <w:r>
        <w:rPr>
          <w:rStyle w:val="FootnoteAnchor"/>
          <w:rtl w:val="true"/>
        </w:rPr>
        <w:footnoteReference w:id="1574"/>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روایت مرسله‌ای وجود دارد که بزرگان محدّث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شیخ صدوق و 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امام باقر یا صادق علیهما السلام نقل نموده‌اند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 دندان شیری کودکی ضربه وارد سازد تا قطع شود و سپس بروید قصاص نمیشود، بلکه باید ارش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قِصَاصٌ و عَلَیه الأرشُ</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از مرحوم آیت الله خوئی</w:t>
      </w:r>
    </w:p>
    <w:p>
      <w:pPr>
        <w:pStyle w:val="BookText"/>
        <w:rPr/>
      </w:pPr>
      <w:r>
        <w:rPr>
          <w:rStyle w:val="FootnoteAnchor"/>
          <w:rtl w:val="true"/>
        </w:rPr>
        <w:footnoteReference w:id="1576"/>
      </w:r>
      <w:r>
        <w:rPr>
          <w:rFonts w:ascii="IRNazanin" w:hAnsi="IRNazanin" w:eastAsia="IRNazanin"/>
          <w:color w:val="111111"/>
          <w:sz w:val="28"/>
          <w:sz w:val="28"/>
          <w:szCs w:val="28"/>
          <w:rtl w:val="true"/>
          <w:lang w:bidi="fa-IR"/>
        </w:rPr>
        <w:t>از اعلام معاصر و بعضی از شاگردان</w:t>
      </w:r>
      <w:r>
        <w:rPr>
          <w:rStyle w:val="FootnoteAnchor"/>
          <w:rtl w:val="true"/>
        </w:rPr>
        <w:footnoteReference w:id="1577"/>
      </w:r>
      <w:r>
        <w:rPr>
          <w:rFonts w:ascii="IRNazanin" w:hAnsi="IRNazanin" w:eastAsia="IRNazanin"/>
          <w:color w:val="111111"/>
          <w:sz w:val="28"/>
          <w:sz w:val="28"/>
          <w:szCs w:val="28"/>
          <w:rtl w:val="true"/>
          <w:lang w:bidi="fa-IR"/>
        </w:rPr>
        <w:t>وی میباشد، که جانی به پرداخت دیه 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استدلال به روایتی که ذکر شد ایراد نموده که مقصود از ارش در آن دیه میباشد و از نظر سند نیز ضعیف است، بنابراین به مقتضای اطلاق ادلّه باید دیه پرداخت شود</w:t>
      </w:r>
      <w:r>
        <w:rPr>
          <w:rFonts w:eastAsia="IRNazanin" w:cs="IRNazanin"/>
          <w:color w:val="111111"/>
          <w:sz w:val="28"/>
          <w:szCs w:val="28"/>
          <w:rtl w:val="true"/>
          <w:lang w:bidi="fa-IR"/>
        </w:rPr>
        <w:t>.</w:t>
      </w:r>
      <w:r>
        <w:rPr>
          <w:rStyle w:val="FootnoteAnchor"/>
          <w:rtl w:val="true"/>
        </w:rPr>
        <w:footnoteReference w:id="1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ایراد وارد نیست، زیرا اگرچه دربعضی از موارد خاص ارش بر دیه اطلاق شده است، ولی در اغلب موارد در مقابل دیه قرار میگیرد و حمل ارش بر دیه در این روایت بعید به نظر میرسد، به ویژه این که در ادامه حدیث، راوی از امام علیه السلام سؤال میکند مقدار ارش در دندان کودک و شکستن دست چه اندازه میباشد؟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و اندازه معلومی در این باره روایت نشده است،</w:t>
      </w:r>
      <w:r>
        <w:rPr>
          <w:rStyle w:val="FootnoteAnchor"/>
          <w:rtl w:val="true"/>
        </w:rPr>
        <w:footnoteReference w:id="1579"/>
      </w:r>
      <w:r>
        <w:rPr>
          <w:rFonts w:ascii="IRNazanin" w:hAnsi="IRNazanin" w:eastAsia="IRNazanin"/>
          <w:color w:val="111111"/>
          <w:sz w:val="28"/>
          <w:sz w:val="28"/>
          <w:szCs w:val="28"/>
          <w:rtl w:val="true"/>
          <w:lang w:bidi="fa-IR"/>
        </w:rPr>
        <w:t>این در حالی است که در روایات بسیاری مقدار دیه اعضا تعیین گردیده است و ایراد وی از جهت ضعف سند نیز وارد نمیباشد، زیرا در سند آن بعضی از بزرگان روات شیعه، مانند ابن ابی عمیر واقع شده است و نامبرده از کسانی است که اجماع متقدمین اصحاب بر این قرار گرفته، آن‌چه را ایشان صحیح بداند صحیح است</w:t>
      </w:r>
      <w:r>
        <w:rPr>
          <w:rFonts w:eastAsia="IRNazanin" w:cs="IRNazanin"/>
          <w:color w:val="111111"/>
          <w:sz w:val="28"/>
          <w:szCs w:val="28"/>
          <w:rtl w:val="true"/>
          <w:lang w:bidi="fa-IR"/>
        </w:rPr>
        <w:t>.</w:t>
      </w:r>
      <w:r>
        <w:rPr>
          <w:rStyle w:val="FootnoteAnchor"/>
          <w:rtl w:val="true"/>
        </w:rPr>
        <w:footnoteReference w:id="1580"/>
      </w:r>
      <w:r>
        <w:rPr>
          <w:rFonts w:ascii="IRNazanin" w:hAnsi="IRNazanin" w:eastAsia="IRNazanin"/>
          <w:color w:val="111111"/>
          <w:sz w:val="28"/>
          <w:sz w:val="28"/>
          <w:szCs w:val="28"/>
          <w:rtl w:val="true"/>
          <w:lang w:bidi="fa-IR"/>
        </w:rPr>
        <w:t>بنابراین مرسله بودن روایت ایجاد مشکل نمیکند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دیه قطع دندان کودک یک شتر است، اعم از این که بعداً بروید یا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مبسوط</w:t>
      </w:r>
      <w:r>
        <w:rPr>
          <w:rStyle w:val="FootnoteAnchor"/>
          <w:rtl w:val="true"/>
        </w:rPr>
        <w:footnoteReference w:id="1581"/>
      </w:r>
      <w:r>
        <w:rPr>
          <w:rFonts w:ascii="IRNazanin" w:hAnsi="IRNazanin" w:eastAsia="IRNazanin"/>
          <w:color w:val="111111"/>
          <w:sz w:val="28"/>
          <w:sz w:val="28"/>
          <w:szCs w:val="28"/>
          <w:rtl w:val="true"/>
          <w:lang w:bidi="fa-IR"/>
        </w:rPr>
        <w:t>و برخی دیگر از فقهای گذشته</w:t>
      </w:r>
      <w:r>
        <w:rPr>
          <w:rStyle w:val="FootnoteAnchor"/>
          <w:rtl w:val="true"/>
        </w:rPr>
        <w:footnoteReference w:id="1582"/>
      </w:r>
      <w:r>
        <w:rPr>
          <w:rFonts w:ascii="IRNazanin" w:hAnsi="IRNazanin" w:eastAsia="IRNazanin"/>
          <w:color w:val="111111"/>
          <w:sz w:val="28"/>
          <w:sz w:val="28"/>
          <w:szCs w:val="28"/>
          <w:rtl w:val="true"/>
          <w:lang w:bidi="fa-IR"/>
        </w:rPr>
        <w:t>این نظریه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بعضی از روایات است، مانند آن‌که امام صادق علیه السلام میفرماید امیرالمؤمنین علیه السلام قضاوت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دندان شیری کودک یک شتر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اَنَّامِیرَالمُؤمِنِینَعلیه السلام قَضَی فِی‌السِّنِ الصَّبِیِّ إذَا لَم یَثَّغِر بِبَعِیرٍ</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البته این روایت از جهت سند ضعیف است</w:t>
      </w:r>
      <w:r>
        <w:rPr>
          <w:rFonts w:eastAsia="IRNazanin" w:cs="IRNazanin"/>
          <w:color w:val="111111"/>
          <w:sz w:val="28"/>
          <w:szCs w:val="28"/>
          <w:rtl w:val="true"/>
          <w:lang w:bidi="fa-IR"/>
        </w:rPr>
        <w:t>.</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باید یادآور شد در فرضی که ذکر شد اگر کودکی که دندان شیری او قطع شده قبل از آن‌که زمان رویش دندان اصلی وی فرا رسد بمیرد، وارث میتوانند از جانی مطالبه ارش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فقیهان</w:t>
      </w:r>
      <w:r>
        <w:rPr>
          <w:rStyle w:val="FootnoteAnchor"/>
          <w:rtl w:val="true"/>
        </w:rPr>
        <w:footnoteReference w:id="1585"/>
      </w:r>
      <w:r>
        <w:rPr>
          <w:rFonts w:ascii="IRNazanin" w:hAnsi="IRNazanin" w:eastAsia="IRNazanin"/>
          <w:color w:val="111111"/>
          <w:sz w:val="28"/>
          <w:sz w:val="28"/>
          <w:szCs w:val="28"/>
          <w:rtl w:val="true"/>
          <w:lang w:bidi="fa-IR"/>
        </w:rPr>
        <w:t>به این مسأله تصریح نموده و دلیل آن را عموم و اطلاق ادلّه و اصل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جانی محکوم به پرداخت دیه میشود</w:t>
      </w:r>
      <w:r>
        <w:rPr>
          <w:rFonts w:eastAsia="IRNazanin" w:cs="IRNazanin"/>
          <w:color w:val="111111"/>
          <w:sz w:val="28"/>
          <w:szCs w:val="28"/>
          <w:rtl w:val="true"/>
          <w:lang w:bidi="fa-IR"/>
        </w:rPr>
        <w:t>.</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دندان کودک به نحو ناقص بروید، مثل این که کوچک‌تر از دیگر دندان‌ها باشد و یا تغییر رنگ دهد و مانند آن، در این حالت به پرداخت دو خسارت محکوم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خسارت دندان شیری که آن را قطع نموده است و دوّم خسارت دندانی که ناقص روییده است</w:t>
      </w:r>
      <w:r>
        <w:rPr>
          <w:rFonts w:eastAsia="IRNazanin" w:cs="IRNazanin"/>
          <w:color w:val="111111"/>
          <w:sz w:val="28"/>
          <w:szCs w:val="28"/>
          <w:rtl w:val="true"/>
          <w:lang w:bidi="fa-IR"/>
        </w:rPr>
        <w:t>.</w:t>
      </w:r>
      <w:r>
        <w:rPr>
          <w:rStyle w:val="FootnoteAnchor"/>
          <w:rtl w:val="true"/>
        </w:rPr>
        <w:footnoteReference w:id="1587"/>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دندان قطع شده نروید، در این حالت، این سوال مطرح است که آیا جانی محکوم به قصاص میگردد یا خیر؟ در این باره دو نظر 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فقها</w:t>
      </w:r>
      <w:r>
        <w:rPr>
          <w:rStyle w:val="FootnoteAnchor"/>
          <w:rtl w:val="true"/>
        </w:rPr>
        <w:footnoteReference w:id="1588"/>
      </w:r>
      <w:r>
        <w:rPr>
          <w:rFonts w:ascii="IRNazanin" w:hAnsi="IRNazanin" w:eastAsia="IRNazanin"/>
          <w:color w:val="111111"/>
          <w:sz w:val="28"/>
          <w:sz w:val="28"/>
          <w:szCs w:val="28"/>
          <w:rtl w:val="true"/>
          <w:lang w:bidi="fa-IR"/>
        </w:rPr>
        <w:t>قائل به قصاص میباشند، آنان دلیل این دیدگاه را اطلاق ادله مانند آیه شریفه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دندان در مقابل دندان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 بِالسِّنِّ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دوم از مرحوم آیت الله خوئی قدس 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به مقتضای روایت صحیح ابی‌بصیر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برای کسی که قصاص نمیشود،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قَوَدَ لِمَن لا یُقَادُ مِنهُ</w:t>
      </w:r>
      <w:r>
        <w:rPr>
          <w:rFonts w:eastAsia="IRNazanin" w:cs="IRNazanin"/>
          <w:color w:val="111111"/>
          <w:sz w:val="28"/>
          <w:szCs w:val="28"/>
          <w:rtl w:val="true"/>
          <w:lang w:bidi="fa-IR"/>
        </w:rPr>
        <w:t>»</w:t>
      </w:r>
      <w:r>
        <w:rPr>
          <w:rStyle w:val="FootnoteAnchor"/>
          <w:rtl w:val="true"/>
        </w:rPr>
        <w:footnoteReference w:id="1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درفرض مزبور جانی به پرداخت دیه محکوم میشود، زیرا کودک در ارتکاب جنایت قصاص نمیگردد</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در بحث از قصاص نفس به ادلّه این نظر جواب داده شد</w:t>
      </w:r>
      <w:r>
        <w:rPr>
          <w:rFonts w:eastAsia="IRNazanin" w:cs="IRNazanin"/>
          <w:color w:val="111111"/>
          <w:sz w:val="28"/>
          <w:szCs w:val="28"/>
          <w:rtl w:val="true"/>
          <w:lang w:bidi="fa-IR"/>
        </w:rPr>
        <w:t>.</w:t>
      </w:r>
      <w:bookmarkStart w:id="723" w:name="pg13713_164657"/>
    </w:p>
    <w:p>
      <w:pPr>
        <w:pStyle w:val="BookText"/>
        <w:rPr/>
      </w:pPr>
      <w:bookmarkEnd w:id="723"/>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کودکی دندان کودک دیگری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در تمام حالات حکم به پرداخت دیه میشود؛ زیرا در قصاص بلوغ و عقل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کودک محکوم به قصاص نمیشود</w:t>
      </w:r>
      <w:r>
        <w:rPr>
          <w:rFonts w:eastAsia="IRNazanin" w:cs="IRNazanin"/>
          <w:color w:val="111111"/>
          <w:sz w:val="28"/>
          <w:szCs w:val="28"/>
          <w:rtl w:val="true"/>
          <w:lang w:bidi="fa-IR"/>
        </w:rPr>
        <w:t>.</w:t>
      </w:r>
      <w:r>
        <w:rPr>
          <w:rStyle w:val="FootnoteAnchor"/>
          <w:rtl w:val="true"/>
        </w:rPr>
        <w:footnoteReference w:id="1591"/>
      </w:r>
    </w:p>
    <w:p>
      <w:pPr>
        <w:pStyle w:val="Heading4"/>
        <w:numPr>
          <w:ilvl w:val="3"/>
          <w:numId w:val="1"/>
        </w:numPr>
        <w:rPr/>
      </w:pPr>
      <w:bookmarkStart w:id="724" w:name="__RefHeading___Toc1259844_1468164448"/>
      <w:bookmarkStart w:id="725" w:name="_Toc267"/>
      <w:bookmarkEnd w:id="724"/>
      <w:r>
        <w:rPr/>
        <w:t>8</w:t>
      </w:r>
      <w:r>
        <w:rPr>
          <w:rtl w:val="true"/>
        </w:rPr>
        <w:t xml:space="preserve">- </w:t>
      </w:r>
      <w:r>
        <w:rPr>
          <w:rtl w:val="true"/>
        </w:rPr>
        <w:t>جنایت بر آلت تناسلی کودک</w:t>
      </w:r>
      <w:bookmarkEnd w:id="725"/>
    </w:p>
    <w:p>
      <w:pPr>
        <w:pStyle w:val="BookText"/>
        <w:rPr/>
      </w:pPr>
      <w:r>
        <w:rPr>
          <w:rFonts w:ascii="IRNazanin" w:hAnsi="IRNazanin" w:eastAsia="IRNazanin"/>
          <w:color w:val="111111"/>
          <w:sz w:val="28"/>
          <w:sz w:val="28"/>
          <w:szCs w:val="28"/>
          <w:rtl w:val="true"/>
          <w:lang w:bidi="fa-IR"/>
        </w:rPr>
        <w:t>به اتفاق فقها، حکم قصاص در آلت تناسلی مرد ثابت است</w:t>
      </w:r>
      <w:r>
        <w:rPr>
          <w:rStyle w:val="FootnoteAnchor"/>
          <w:rtl w:val="true"/>
        </w:rPr>
        <w:footnoteReference w:id="1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 باره ادّعای اجماع</w:t>
      </w:r>
      <w:r>
        <w:rPr>
          <w:rStyle w:val="FootnoteAnchor"/>
          <w:rtl w:val="true"/>
        </w:rPr>
        <w:footnoteReference w:id="1593"/>
      </w:r>
      <w:r>
        <w:rPr>
          <w:rFonts w:ascii="IRNazanin" w:hAnsi="IRNazanin" w:eastAsia="IRNazanin"/>
          <w:color w:val="111111"/>
          <w:sz w:val="28"/>
          <w:sz w:val="28"/>
          <w:szCs w:val="28"/>
          <w:rtl w:val="true"/>
          <w:lang w:bidi="fa-IR"/>
        </w:rPr>
        <w:t>نموده‌اند که در این جهت بین کودک و بالغ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در آلت تناسلی مرد ثابت است و در این حکم بین کودک، هر چند شیرخوار باشد با افراد بزرگسال تفاوتی نیست</w:t>
      </w:r>
      <w:r>
        <w:rPr>
          <w:rFonts w:eastAsia="IRNazanin" w:cs="IRNazanin"/>
          <w:color w:val="111111"/>
          <w:sz w:val="28"/>
          <w:szCs w:val="28"/>
          <w:rtl w:val="true"/>
          <w:lang w:bidi="fa-IR"/>
        </w:rPr>
        <w:t>.</w:t>
      </w:r>
      <w:r>
        <w:rPr>
          <w:rStyle w:val="FootnoteAnchor"/>
          <w:rtl w:val="true"/>
        </w:rPr>
        <w:footnoteReference w:id="1594"/>
      </w:r>
      <w:r>
        <w:rPr>
          <w:rFonts w:ascii="IRNazanin" w:hAnsi="IRNazanin" w:eastAsia="IRNazanin"/>
          <w:color w:val="111111"/>
          <w:sz w:val="28"/>
          <w:sz w:val="28"/>
          <w:szCs w:val="28"/>
          <w:rtl w:val="true"/>
          <w:lang w:bidi="fa-IR"/>
        </w:rPr>
        <w:t>دلیل آن عموم و اطلاقات ادلّه قصاص</w:t>
      </w:r>
      <w:r>
        <w:rPr>
          <w:rStyle w:val="FootnoteAnchor"/>
          <w:rtl w:val="true"/>
        </w:rPr>
        <w:footnoteReference w:id="159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قصاص در جنایت بر عضو تناسلی زن نیز ثابت است و در این باره بین دختر خردسال با زن بزرگسال فرقی نیست شرح این مسأله نیز در فقه بیان گردیده است</w:t>
      </w:r>
      <w:r>
        <w:rPr>
          <w:rFonts w:eastAsia="IRNazanin" w:cs="IRNazanin"/>
          <w:color w:val="111111"/>
          <w:sz w:val="28"/>
          <w:szCs w:val="28"/>
          <w:rtl w:val="true"/>
          <w:lang w:bidi="fa-IR"/>
        </w:rPr>
        <w:t>.</w:t>
      </w:r>
      <w:r>
        <w:rPr>
          <w:rStyle w:val="FootnoteAnchor"/>
          <w:rtl w:val="true"/>
        </w:rPr>
        <w:footnoteReference w:id="1596"/>
      </w:r>
      <w:bookmarkStart w:id="726" w:name="pg13713_164658"/>
    </w:p>
    <w:p>
      <w:pPr>
        <w:pStyle w:val="Heading3"/>
        <w:numPr>
          <w:ilvl w:val="2"/>
          <w:numId w:val="1"/>
        </w:numPr>
        <w:rPr/>
      </w:pPr>
      <w:bookmarkStart w:id="727" w:name="__RefHeading___Toc1259846_1468164448"/>
      <w:bookmarkStart w:id="728" w:name="_Toc268"/>
      <w:bookmarkEnd w:id="726"/>
      <w:bookmarkEnd w:id="727"/>
      <w:r>
        <w:rPr>
          <w:rtl w:val="true"/>
        </w:rPr>
        <w:t>گفتار دوم</w:t>
      </w:r>
      <w:r>
        <w:rPr>
          <w:rtl w:val="true"/>
        </w:rPr>
        <w:t xml:space="preserve">: </w:t>
      </w:r>
      <w:r>
        <w:rPr>
          <w:rtl w:val="true"/>
        </w:rPr>
        <w:t>رعایت حق کودک در اخذ دیه و عفو از قصاص نسبت به وی</w:t>
      </w:r>
      <w:bookmarkEnd w:id="728"/>
    </w:p>
    <w:p>
      <w:pPr>
        <w:pStyle w:val="Heading4"/>
        <w:numPr>
          <w:ilvl w:val="3"/>
          <w:numId w:val="1"/>
        </w:numPr>
        <w:rPr/>
      </w:pPr>
      <w:bookmarkStart w:id="729" w:name="__RefHeading___Toc1259848_1468164448"/>
      <w:bookmarkStart w:id="730" w:name="_Toc269"/>
      <w:bookmarkEnd w:id="729"/>
      <w:r>
        <w:rPr/>
        <w:t>1</w:t>
      </w:r>
      <w:r>
        <w:rPr>
          <w:rtl w:val="true"/>
        </w:rPr>
        <w:t xml:space="preserve">- </w:t>
      </w:r>
      <w:r>
        <w:rPr>
          <w:rtl w:val="true"/>
        </w:rPr>
        <w:t>ولایت در قصاص و اخذ دیه</w:t>
      </w:r>
      <w:bookmarkEnd w:id="730"/>
    </w:p>
    <w:p>
      <w:pPr>
        <w:pStyle w:val="BookText"/>
        <w:rPr/>
      </w:pPr>
      <w:r>
        <w:rPr>
          <w:rFonts w:ascii="IRNazanin" w:hAnsi="IRNazanin" w:eastAsia="IRNazanin"/>
          <w:color w:val="111111"/>
          <w:sz w:val="28"/>
          <w:sz w:val="28"/>
          <w:szCs w:val="28"/>
          <w:rtl w:val="true"/>
          <w:lang w:bidi="fa-IR"/>
        </w:rPr>
        <w:t xml:space="preserve">به اتفاق فقها در مواردی که جنایت عمد بر کودک موجب قصاص شود یا جنایت بر اعضا و جوارح وی به عنوان خطای محض یا شبه عمد موجب دیه گردد، هم‌چنین در مواردی که جنایت عمدی به دلیل فقد بعضی از شرایط موجب دیه شود و یا به هر دلیل جنایت بر کودک موجب دیه گردد، در تمام موارد ولی شرعی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جدّ پدری،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یا گرفتن دیه و لایت دارد، اعم از این که دیه توسط جانی پرداخت شود و یا عاقله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مالی که به عنوان دیه اخذ میشود برای کودک تا زمان بلوغ او نگهداری شود، این مسأله مورد توافق فقها</w:t>
      </w:r>
      <w:r>
        <w:rPr>
          <w:rStyle w:val="FootnoteAnchor"/>
          <w:rtl w:val="true"/>
        </w:rPr>
        <w:footnoteReference w:id="1597"/>
      </w:r>
      <w:r>
        <w:rPr>
          <w:rFonts w:ascii="IRNazanin" w:hAnsi="IRNazanin" w:eastAsia="IRNazanin"/>
          <w:color w:val="111111"/>
          <w:sz w:val="28"/>
          <w:sz w:val="28"/>
          <w:szCs w:val="28"/>
          <w:rtl w:val="true"/>
          <w:lang w:bidi="fa-IR"/>
        </w:rPr>
        <w:t>است و اختلافی در آن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خوئی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اقتضای مصلحت، ولی کودک میتواند از قاتل دیه بگیرد یا با گرفتن چیزی با وی مصالحه نماید، زیرا ولایت ولی در این موارد ثابت است</w:t>
      </w:r>
      <w:r>
        <w:rPr>
          <w:rFonts w:eastAsia="IRNazanin" w:cs="IRNazanin"/>
          <w:color w:val="111111"/>
          <w:sz w:val="28"/>
          <w:szCs w:val="28"/>
          <w:rtl w:val="true"/>
          <w:lang w:bidi="fa-IR"/>
        </w:rPr>
        <w:t>».</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ادلّه ولایت ولی در اخذ دیه و قصاص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اطلاقاتی که دلالت بر ولایت ولی، بر مال کودک دارد</w:t>
      </w:r>
      <w:r>
        <w:rPr>
          <w:rFonts w:eastAsia="IRNazanin" w:cs="IRNazanin"/>
          <w:color w:val="111111"/>
          <w:sz w:val="28"/>
          <w:szCs w:val="28"/>
          <w:rtl w:val="true"/>
          <w:lang w:bidi="fa-IR"/>
        </w:rPr>
        <w:t>.</w:t>
      </w:r>
      <w:r>
        <w:rPr>
          <w:rStyle w:val="FootnoteAnchor"/>
          <w:rtl w:val="true"/>
        </w:rPr>
        <w:footnoteReference w:id="1599"/>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دیه یا قصاص حق کودک است و با فرض این که محجور است و توانایی استیفای حق خود را ندارد، ولی او، باید حق وی را استیفا نماید</w:t>
      </w:r>
      <w:r>
        <w:rPr>
          <w:rFonts w:eastAsia="IRNazanin" w:cs="IRNazanin"/>
          <w:color w:val="111111"/>
          <w:sz w:val="28"/>
          <w:szCs w:val="28"/>
          <w:rtl w:val="true"/>
          <w:lang w:bidi="fa-IR"/>
        </w:rPr>
        <w:t>.</w:t>
      </w:r>
      <w:r>
        <w:rPr>
          <w:rStyle w:val="FootnoteAnchor"/>
          <w:rtl w:val="true"/>
        </w:rPr>
        <w:footnoteReference w:id="1600"/>
      </w:r>
      <w:bookmarkStart w:id="731" w:name="pg13713_164659"/>
    </w:p>
    <w:p>
      <w:pPr>
        <w:pStyle w:val="BookText"/>
        <w:rPr/>
      </w:pPr>
      <w:bookmarkEnd w:id="7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بعضی از روایات به طور خاص، مانند این که محمد بن مسلم از امام‌باقر علیه السلام نقل میکند که در ضمن حدیث صحیح در ارتباط با ولایت در قبول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کودک خردسال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کودک متولّی امور وی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وَالِدَهُ هُوَ الَّذِی یَلِی امرَهُ</w:t>
      </w:r>
      <w:r>
        <w:rPr>
          <w:rFonts w:eastAsia="IRNazanin" w:cs="IRNazanin"/>
          <w:color w:val="111111"/>
          <w:sz w:val="28"/>
          <w:szCs w:val="28"/>
          <w:rtl w:val="true"/>
          <w:lang w:bidi="fa-IR"/>
        </w:rPr>
        <w:t>»</w:t>
      </w:r>
      <w:r>
        <w:rPr>
          <w:rStyle w:val="FootnoteAnchor"/>
          <w:rtl w:val="true"/>
        </w:rPr>
        <w:footnoteReference w:id="1601"/>
      </w:r>
      <w:r>
        <w:rPr>
          <w:rFonts w:ascii="IRNazanin" w:hAnsi="IRNazanin" w:eastAsia="IRNazanin"/>
          <w:color w:val="111111"/>
          <w:sz w:val="28"/>
          <w:sz w:val="28"/>
          <w:szCs w:val="28"/>
          <w:rtl w:val="true"/>
          <w:lang w:bidi="fa-IR"/>
        </w:rPr>
        <w:t>و روایات دیگر</w:t>
      </w:r>
      <w:r>
        <w:rPr>
          <w:rStyle w:val="FootnoteAnchor"/>
          <w:rtl w:val="true"/>
        </w:rPr>
        <w:footnoteReference w:id="1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امر کودک در کلام امام علیه السلام مطلق است و شامل مال، نفس و حق میباشد</w:t>
      </w:r>
      <w:r>
        <w:rPr>
          <w:rFonts w:eastAsia="IRNazanin" w:cs="IRNazanin"/>
          <w:color w:val="111111"/>
          <w:sz w:val="28"/>
          <w:szCs w:val="28"/>
          <w:rtl w:val="true"/>
          <w:lang w:bidi="fa-IR"/>
        </w:rPr>
        <w:t>.</w:t>
      </w:r>
    </w:p>
    <w:p>
      <w:pPr>
        <w:pStyle w:val="Heading4"/>
        <w:numPr>
          <w:ilvl w:val="3"/>
          <w:numId w:val="1"/>
        </w:numPr>
        <w:rPr/>
      </w:pPr>
      <w:bookmarkStart w:id="732" w:name="__RefHeading___Toc1259850_1468164448"/>
      <w:bookmarkStart w:id="733" w:name="_Toc270"/>
      <w:bookmarkEnd w:id="732"/>
      <w:r>
        <w:rPr/>
        <w:t>2</w:t>
      </w:r>
      <w:r>
        <w:rPr>
          <w:rtl w:val="true"/>
        </w:rPr>
        <w:t xml:space="preserve">- </w:t>
      </w:r>
      <w:r>
        <w:rPr>
          <w:rtl w:val="true"/>
        </w:rPr>
        <w:t>عفو ولی از قصاص</w:t>
      </w:r>
      <w:bookmarkEnd w:id="733"/>
    </w:p>
    <w:p>
      <w:pPr>
        <w:pStyle w:val="BookText"/>
        <w:rPr/>
      </w:pPr>
      <w:r>
        <w:rPr>
          <w:rFonts w:ascii="IRNazanin" w:hAnsi="IRNazanin" w:eastAsia="IRNazanin"/>
          <w:color w:val="111111"/>
          <w:sz w:val="28"/>
          <w:sz w:val="28"/>
          <w:szCs w:val="28"/>
          <w:rtl w:val="true"/>
          <w:lang w:bidi="fa-IR"/>
        </w:rPr>
        <w:t>اختلافی در بین فقیهان دیده نشده و بعضی هم ادّعای اجماع نموده‌اند</w:t>
      </w:r>
      <w:r>
        <w:rPr>
          <w:rStyle w:val="FootnoteAnchor"/>
          <w:rtl w:val="true"/>
        </w:rPr>
        <w:footnoteReference w:id="1603"/>
      </w:r>
      <w:r>
        <w:rPr>
          <w:rFonts w:ascii="IRNazanin" w:hAnsi="IRNazanin" w:eastAsia="IRNazanin"/>
          <w:color w:val="111111"/>
          <w:sz w:val="28"/>
          <w:sz w:val="28"/>
          <w:szCs w:val="28"/>
          <w:rtl w:val="true"/>
          <w:lang w:bidi="fa-IR"/>
        </w:rPr>
        <w:t xml:space="preserve">که در قصاص اعضا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نمیتواند جانی را مورد عفو قرار دهد</w:t>
      </w:r>
      <w:r>
        <w:rPr>
          <w:rStyle w:val="FootnoteAnchor"/>
          <w:rtl w:val="true"/>
        </w:rPr>
        <w:footnoteReference w:id="1604"/>
      </w:r>
      <w:r>
        <w:rPr>
          <w:rFonts w:ascii="IRNazanin" w:hAnsi="IRNazanin" w:eastAsia="IRNazanin"/>
          <w:color w:val="111111"/>
          <w:sz w:val="28"/>
          <w:sz w:val="28"/>
          <w:szCs w:val="28"/>
          <w:rtl w:val="true"/>
          <w:lang w:bidi="fa-IR"/>
        </w:rPr>
        <w:t>، زیرا کودک و مجنون مسلوب العبارة میباشند و اهل عفو نیستند، بنابراین نمیتوانند در این خصوص تصمیم بگیرند</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به بیان دیگر نمیتوانند در مورد اموال و دیگر حقوق خود دخالت داشته باشند</w:t>
      </w:r>
    </w:p>
    <w:p>
      <w:pPr>
        <w:pStyle w:val="BookText"/>
        <w:rPr/>
      </w:pPr>
      <w:r>
        <w:rPr>
          <w:rFonts w:ascii="IRNazanin" w:hAnsi="IRNazanin" w:eastAsia="IRNazanin"/>
          <w:color w:val="111111"/>
          <w:sz w:val="28"/>
          <w:sz w:val="28"/>
          <w:szCs w:val="28"/>
          <w:rtl w:val="true"/>
          <w:lang w:bidi="fa-IR"/>
        </w:rPr>
        <w:t>هم‌چنین ولی کودک نمیتواند بدون گرفتن مال و برخلاف مصلحت کودک، جانی را مورد عفو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جایز است با رعایت مصلحت و غبطه نسبت به کودک، و گرفتن مال ازجانی، او را عفو نماید</w:t>
      </w:r>
      <w:r>
        <w:rPr>
          <w:rFonts w:eastAsia="IRNazanin" w:cs="IRNazanin"/>
          <w:color w:val="111111"/>
          <w:sz w:val="28"/>
          <w:szCs w:val="28"/>
          <w:rtl w:val="true"/>
          <w:lang w:bidi="fa-IR"/>
        </w:rPr>
        <w:t>.</w:t>
      </w:r>
      <w:r>
        <w:rPr>
          <w:rStyle w:val="FootnoteAnchor"/>
          <w:rtl w:val="true"/>
        </w:rPr>
        <w:footnoteReference w:id="160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قواعد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ولی کودک جایز نیست جانی را بدون گرفتن مال،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میتواند در مقابل مالی که از او به نفع کودک میگیرد و با رعایت مصلحت، عفو نماید</w:t>
      </w:r>
      <w:r>
        <w:rPr>
          <w:rFonts w:eastAsia="IRNazanin" w:cs="IRNazanin"/>
          <w:color w:val="111111"/>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ادلّه‌ای که در مورد ولایت ولی در اخذ دیه</w:t>
      </w:r>
      <w:r>
        <w:rPr>
          <w:rStyle w:val="FootnoteAnchor"/>
          <w:rtl w:val="true"/>
        </w:rPr>
        <w:footnoteReference w:id="1608"/>
      </w:r>
      <w:r>
        <w:rPr>
          <w:rFonts w:ascii="IRNazanin" w:hAnsi="IRNazanin" w:eastAsia="IRNazanin"/>
          <w:color w:val="111111"/>
          <w:sz w:val="28"/>
          <w:sz w:val="28"/>
          <w:szCs w:val="28"/>
          <w:rtl w:val="true"/>
          <w:lang w:bidi="fa-IR"/>
        </w:rPr>
        <w:t>ذکر شد هم‌چنین ادلّه ولایت وی بر اموال کودک</w:t>
      </w:r>
      <w:r>
        <w:rPr>
          <w:rStyle w:val="FootnoteAnchor"/>
          <w:rtl w:val="true"/>
        </w:rPr>
        <w:footnoteReference w:id="1609"/>
      </w:r>
      <w:r>
        <w:rPr>
          <w:rFonts w:ascii="IRNazanin" w:hAnsi="IRNazanin" w:eastAsia="IRNazanin"/>
          <w:color w:val="111111"/>
          <w:sz w:val="28"/>
          <w:sz w:val="28"/>
          <w:szCs w:val="28"/>
          <w:rtl w:val="true"/>
          <w:lang w:bidi="fa-IR"/>
        </w:rPr>
        <w:t>در این مسأله نیز، دلیل قرار میگیرد</w:t>
      </w:r>
      <w:r>
        <w:rPr>
          <w:rFonts w:eastAsia="IRNazanin" w:cs="IRNazanin"/>
          <w:color w:val="111111"/>
          <w:sz w:val="28"/>
          <w:szCs w:val="28"/>
          <w:rtl w:val="true"/>
          <w:lang w:bidi="fa-IR"/>
        </w:rPr>
        <w:t>.</w:t>
      </w:r>
      <w:bookmarkStart w:id="734" w:name="pg13713_164660"/>
    </w:p>
    <w:p>
      <w:pPr>
        <w:pStyle w:val="Heading4"/>
        <w:numPr>
          <w:ilvl w:val="3"/>
          <w:numId w:val="1"/>
        </w:numPr>
        <w:rPr/>
      </w:pPr>
      <w:bookmarkStart w:id="735" w:name="__RefHeading___Toc1259852_1468164448"/>
      <w:bookmarkStart w:id="736" w:name="_Toc271"/>
      <w:bookmarkEnd w:id="734"/>
      <w:bookmarkEnd w:id="735"/>
      <w:r>
        <w:rPr/>
        <w:t>3</w:t>
      </w:r>
      <w:r>
        <w:rPr>
          <w:rtl w:val="true"/>
        </w:rPr>
        <w:t xml:space="preserve">- </w:t>
      </w:r>
      <w:r>
        <w:rPr>
          <w:rtl w:val="true"/>
        </w:rPr>
        <w:t>دیه کودک در حین آموزش مهارت‌ها و فنون مختلف</w:t>
      </w:r>
      <w:bookmarkEnd w:id="736"/>
    </w:p>
    <w:p>
      <w:pPr>
        <w:pStyle w:val="BookText"/>
        <w:rPr/>
      </w:pPr>
      <w:r>
        <w:rPr>
          <w:rFonts w:ascii="IRNazanin" w:hAnsi="IRNazanin" w:eastAsia="IRNazanin"/>
          <w:color w:val="111111"/>
          <w:sz w:val="28"/>
          <w:sz w:val="28"/>
          <w:szCs w:val="28"/>
          <w:rtl w:val="true"/>
          <w:lang w:bidi="fa-IR"/>
        </w:rPr>
        <w:t>به تناسب بحث از مسائل دیه کودک در کتب فقهی این مسأله مطرح شده است که اگر پدری کودک خود را برای آموزش به مربّی شنا تحویل دهد و بر اثر تفریط و سهل انگاری او، کودک غرق شود ضامن است، و باید دیه وی را بپردازد</w:t>
      </w:r>
      <w:r>
        <w:rPr>
          <w:rFonts w:eastAsia="IRNazanin" w:cs="IRNazanin"/>
          <w:color w:val="111111"/>
          <w:sz w:val="28"/>
          <w:szCs w:val="28"/>
          <w:rtl w:val="true"/>
          <w:lang w:bidi="fa-IR"/>
        </w:rPr>
        <w:t>.</w:t>
      </w:r>
      <w:r>
        <w:rPr>
          <w:rStyle w:val="FootnoteAnchor"/>
          <w:rtl w:val="true"/>
        </w:rPr>
        <w:footnoteReference w:id="1610"/>
      </w:r>
      <w:r>
        <w:rPr>
          <w:rFonts w:ascii="IRNazanin" w:hAnsi="IRNazanin" w:eastAsia="IRNazanin"/>
          <w:color w:val="111111"/>
          <w:sz w:val="28"/>
          <w:sz w:val="28"/>
          <w:szCs w:val="28"/>
          <w:rtl w:val="true"/>
          <w:lang w:bidi="fa-IR"/>
        </w:rPr>
        <w:t>بی تردیدً این حکم اختصاص به شنا ندارد و آموزش دیگر فنون اعم از ورزشی و رزمی که در زمان ما رایج است را نیز شامل میگردد، از این رو افرادی که در این خصوص تفریط نموده‌اند به پرداخت دیه محکوم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آموزش دادن شنا یا هر مهارت و فن دیگری به کودک گاه با اذن ولی شرعی صورت میپذیرد و گاهی بدون اذن وی و در هر دو صورت گاهی مربّی در انجام وظیفه کوتاهی و بیاحتیاطی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تلف میشود و گاهی حتّی با رعایت احتیاط نیز ممکن است کودک از بین برود، ضمان مربّی در دو مورد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جایی که آموزش به کودک بدون اذن ولی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 که مربّی در انجام وظیفه کوتاهی کرده و مقصّر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پرداخت دیه در دو فرض مزبور این است که مربّی سبب تلف شدن کودک است، افزون بر این بر او واجب بوده در حفظ کودک بکوشد و به این وظیفه عمل ننموده و چون فعل او خطای محض نیست، بنابراین دیه از مال اوست و بر عاقله وی واجب نیست و اما در صورتی که ولی، کودک را به مربی شنا یا هر مهارت دیگری تحویل دهد و انجام آن به مصلحت کودک باشد و مربّی و معلّم در وظیفه خود کوتاهی ننماید، آیا اگر کودک تلف شد مربّی ضامن است یا خیر؟ در این باره دو دیدگاه مطرح شده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کلام برخی از فقها</w:t>
      </w:r>
      <w:r>
        <w:rPr>
          <w:rStyle w:val="FootnoteAnchor"/>
          <w:rtl w:val="true"/>
        </w:rPr>
        <w:footnoteReference w:id="1611"/>
      </w:r>
      <w:r>
        <w:rPr>
          <w:rFonts w:ascii="IRNazanin" w:hAnsi="IRNazanin" w:eastAsia="IRNazanin"/>
          <w:color w:val="111111"/>
          <w:sz w:val="28"/>
          <w:sz w:val="28"/>
          <w:szCs w:val="28"/>
          <w:rtl w:val="true"/>
          <w:lang w:bidi="fa-IR"/>
        </w:rPr>
        <w:t>استفاده میشود در فرض مزبور مربّی یا آموزش‌گر ضامن نیست، زیرا فرض بر این است آموزش شنا یا هر صنعت دیگر به</w:t>
      </w:r>
      <w:bookmarkStart w:id="737" w:name="pg13713_164661"/>
    </w:p>
    <w:p>
      <w:pPr>
        <w:pStyle w:val="BookText"/>
        <w:rPr/>
      </w:pPr>
      <w:bookmarkEnd w:id="737"/>
      <w:r>
        <w:rPr>
          <w:rFonts w:ascii="IRNazanin" w:hAnsi="IRNazanin" w:eastAsia="IRNazanin"/>
          <w:color w:val="111111"/>
          <w:sz w:val="28"/>
          <w:sz w:val="28"/>
          <w:szCs w:val="28"/>
          <w:rtl w:val="true"/>
          <w:lang w:bidi="fa-IR"/>
        </w:rPr>
        <w:t>مصلحت کودک است و مربّی نیز کوتاهی ننموده است، بنابراین نسبت به ضامن بودن مربّی، اصل برائت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برخی دیگر از فقها</w:t>
      </w:r>
      <w:r>
        <w:rPr>
          <w:rStyle w:val="FootnoteAnchor"/>
          <w:rtl w:val="true"/>
        </w:rPr>
        <w:footnoteReference w:id="1612"/>
      </w:r>
      <w:r>
        <w:rPr>
          <w:rFonts w:ascii="IRNazanin" w:hAnsi="IRNazanin" w:eastAsia="IRNazanin"/>
          <w:color w:val="111111"/>
          <w:sz w:val="28"/>
          <w:sz w:val="28"/>
          <w:szCs w:val="28"/>
          <w:rtl w:val="true"/>
          <w:lang w:bidi="fa-IR"/>
        </w:rPr>
        <w:t>استفاده میشود که در این فرض مربّی ضامن است، زیرا وی سبب تلف میباشد، به علاوه فحوای روایاتی که در مورد ضمانت پزشک هرچند حاذق و متخصّص باشد وارد شده است، حکم مسأله مورد بحث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طبابت مینماید بایدقبل از مداوا از مریض یا ولی او برائت جوید، به این معنی که اگر طبابت او موجب ضرر و زیان شد بریء الذّمه باشد در غیر این صورت ضامن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تَطَبَّبَ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فَلیاخُذِ البَرَاءَةِ مِن وَلِیِّهِ وَ الاّ فَهُوَ لَهُ ضَامِنٌ</w:t>
      </w:r>
      <w:r>
        <w:rPr>
          <w:rFonts w:eastAsia="IRNazanin" w:cs="IRNazanin"/>
          <w:color w:val="111111"/>
          <w:sz w:val="28"/>
          <w:szCs w:val="28"/>
          <w:rtl w:val="true"/>
          <w:lang w:bidi="fa-IR"/>
        </w:rPr>
        <w:t>»</w:t>
      </w:r>
      <w:r>
        <w:rPr>
          <w:rStyle w:val="FootnoteAnchor"/>
          <w:rtl w:val="true"/>
        </w:rPr>
        <w:footnoteReference w:id="1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روایت اگر مریض پزشک را در صورت بروز زیان بریء الذّمه ننماید ضامن است، هرچند متخصص و حاذق باشد و در انجام وظیفه کوتاهی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اجیر شود تا در مقابل گرفتن مزد، کاری را به طور شایسته انجام دهد و کار وی موجب ضرر شود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کُلُّاَجیرٍ یُعطَی الاجرَةَ عَلی ان یٌصلِحَ فَیُفسِدُ فَهُوَ ضَامِنٌ</w:t>
      </w:r>
      <w:r>
        <w:rPr>
          <w:rFonts w:eastAsia="IRNazanin" w:cs="IRNazanin"/>
          <w:color w:val="111111"/>
          <w:sz w:val="28"/>
          <w:szCs w:val="28"/>
          <w:rtl w:val="true"/>
          <w:lang w:bidi="fa-IR"/>
        </w:rPr>
        <w:t>»</w:t>
      </w:r>
      <w:r>
        <w:rPr>
          <w:rStyle w:val="FootnoteAnchor"/>
          <w:rtl w:val="true"/>
        </w:rPr>
        <w:footnoteReference w:id="1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فحوای هر دو روایت مسأله مورد بحث را نیز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نظر میرسد در فرض مزبور ضمان دائرمدار بیاحتیاطی و کوتاهی مربّی و صنعت گر است و در صورتی که وی با رعایت جانب احتیاط به وظیفه خود عمل نموده حکم به ضمان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حکم به ضمان دارد نیز باید بر همین مورد حمل شود</w:t>
      </w:r>
      <w:r>
        <w:rPr>
          <w:rFonts w:eastAsia="IRNazanin" w:cs="IRNazanin"/>
          <w:color w:val="111111"/>
          <w:sz w:val="28"/>
          <w:szCs w:val="28"/>
          <w:rtl w:val="true"/>
          <w:lang w:bidi="fa-IR"/>
        </w:rPr>
        <w:t>.</w:t>
      </w:r>
    </w:p>
    <w:p>
      <w:pPr>
        <w:pStyle w:val="Heading4"/>
        <w:numPr>
          <w:ilvl w:val="3"/>
          <w:numId w:val="1"/>
        </w:numPr>
        <w:rPr/>
      </w:pPr>
      <w:bookmarkStart w:id="738" w:name="__RefHeading___Toc1259854_1468164448"/>
      <w:bookmarkStart w:id="739" w:name="_Toc272"/>
      <w:bookmarkEnd w:id="738"/>
      <w:r>
        <w:rPr/>
        <w:t>4</w:t>
      </w:r>
      <w:r>
        <w:rPr>
          <w:rtl w:val="true"/>
        </w:rPr>
        <w:t xml:space="preserve">- </w:t>
      </w:r>
      <w:r>
        <w:rPr>
          <w:rtl w:val="true"/>
        </w:rPr>
        <w:t>رعایت حق کودک با داشتن حق قصاص</w:t>
      </w:r>
      <w:bookmarkEnd w:id="73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فقهی این مسأله مطرح گردیده است که اگر ولی دم و وارث مقتول، صغیر باشد و حق قصاص برای وی باشد، مثل این که مادر کودک کُشته</w:t>
      </w:r>
    </w:p>
    <w:p>
      <w:pPr>
        <w:pStyle w:val="BookText"/>
        <w:rPr/>
      </w:pPr>
      <w:r>
        <w:rPr>
          <w:rFonts w:ascii="IRNazanin" w:hAnsi="IRNazanin" w:eastAsia="IRNazanin"/>
          <w:color w:val="111111"/>
          <w:sz w:val="28"/>
          <w:sz w:val="28"/>
          <w:szCs w:val="28"/>
          <w:rtl w:val="true"/>
          <w:lang w:bidi="fa-IR"/>
        </w:rPr>
        <w:t>شود و دارای پدر و جدّ پدری باشد و در صورتی که آنها نباشند حاکم شرع ولی او باشد و یا اولیای دم همگی صغیر باشند، مانند آن‌که مقتول مادر چند کودک خردسال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آیا ولی کودک میتواند با رعایت مقرّرات شرعی قاتل را قصاص نماید، یا این که لازم است به جهت رعایت حق کودک یا کودکان قاتل حبس گردد تا بعد از بلوغ خود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نظر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در فرض مزبور ولی کودک نمیتواند درخواست قصاص کند، شیخ طوسی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ولی دم صغیر یا مجنون باشد مثل این که مقتول مادر کودک باشد، کسی نمیتواند درخواست قصاص نسبت به قاتل بنماید، بلکه‌باید صبر نمود تا کودک بالغ گردد و او خود تصمیم بگیرد، اعم از این که قصاص‌نسبت به اعضا باشد و یا قصاص نفس</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برخی دیگر از فقها گذشته</w:t>
      </w:r>
      <w:r>
        <w:rPr>
          <w:rStyle w:val="FootnoteAnchor"/>
          <w:rtl w:val="true"/>
        </w:rPr>
        <w:footnoteReference w:id="1616"/>
      </w:r>
      <w:r>
        <w:rPr>
          <w:rFonts w:ascii="IRNazanin" w:hAnsi="IRNazanin" w:eastAsia="IRNazanin"/>
          <w:color w:val="111111"/>
          <w:sz w:val="28"/>
          <w:sz w:val="28"/>
          <w:szCs w:val="28"/>
          <w:rtl w:val="true"/>
          <w:lang w:bidi="fa-IR"/>
        </w:rPr>
        <w:t>و معاصرین</w:t>
      </w:r>
      <w:r>
        <w:rPr>
          <w:rStyle w:val="FootnoteAnchor"/>
          <w:rtl w:val="true"/>
        </w:rPr>
        <w:footnoteReference w:id="1617"/>
      </w:r>
      <w:r>
        <w:rPr>
          <w:rFonts w:ascii="IRNazanin" w:hAnsi="IRNazanin" w:eastAsia="IRNazanin"/>
          <w:color w:val="111111"/>
          <w:sz w:val="28"/>
          <w:sz w:val="28"/>
          <w:szCs w:val="28"/>
          <w:rtl w:val="true"/>
          <w:lang w:bidi="fa-IR"/>
        </w:rPr>
        <w:t>نیز این نظر را پذیرفته‌اند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نظر اول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از آنِ صغیر است و او اهلیّت استیفای این حق را ندارد و معلوم نیست بعد از بلوغ چگونه تصمیم خواهد گرفت، بنابراین باید استیفای این حق به تأخیر بیفتد تا کودک بالغ شود</w:t>
      </w:r>
      <w:r>
        <w:rPr>
          <w:rFonts w:eastAsia="IRNazanin" w:cs="IRNazanin"/>
          <w:color w:val="111111"/>
          <w:sz w:val="28"/>
          <w:szCs w:val="28"/>
          <w:rtl w:val="true"/>
          <w:lang w:bidi="fa-IR"/>
        </w:rPr>
        <w:t>.</w:t>
      </w:r>
      <w:r>
        <w:rPr>
          <w:rStyle w:val="FootnoteAnchor"/>
          <w:rtl w:val="true"/>
        </w:rPr>
        <w:footnoteReference w:id="161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ادلّه استفاده میشود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ولی دم ثابت است و فرض بر این است که وی صغیر میباشد و از طرفی ولایت پدر و جدّ پدری بر صغیر در استیفای حق قصاص برای وی ثابت نیست، زیرا اطلاق یا عمومی که دلالت بر ثبوت ولایت آنان</w:t>
      </w:r>
    </w:p>
    <w:p>
      <w:pPr>
        <w:pStyle w:val="BookText"/>
        <w:rPr/>
      </w:pPr>
      <w:r>
        <w:rPr>
          <w:rFonts w:ascii="IRNazanin" w:hAnsi="IRNazanin" w:eastAsia="IRNazanin"/>
          <w:color w:val="111111"/>
          <w:sz w:val="28"/>
          <w:sz w:val="28"/>
          <w:szCs w:val="28"/>
          <w:rtl w:val="true"/>
          <w:lang w:bidi="fa-IR"/>
        </w:rPr>
        <w:t>حتّی در مورد قصاص داشته باشد وجود ندارد، بنابراین واجب است قصاص تا زمان بلوغ صغیر به تأخیر افتد</w:t>
      </w:r>
      <w:r>
        <w:rPr>
          <w:rFonts w:eastAsia="IRNazanin" w:cs="IRNazanin"/>
          <w:color w:val="111111"/>
          <w:sz w:val="28"/>
          <w:szCs w:val="28"/>
          <w:rtl w:val="true"/>
          <w:lang w:bidi="fa-IR"/>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در تشریع حکم قصاص تشفّی قلب اولیای دم است</w:t>
      </w:r>
      <w:r>
        <w:rPr>
          <w:rStyle w:val="FootnoteAnchor"/>
          <w:rtl w:val="true"/>
        </w:rPr>
        <w:footnoteReference w:id="1621"/>
      </w:r>
      <w:r>
        <w:rPr>
          <w:rFonts w:ascii="IRNazanin" w:hAnsi="IRNazanin" w:eastAsia="IRNazanin"/>
          <w:color w:val="111111"/>
          <w:sz w:val="28"/>
          <w:sz w:val="28"/>
          <w:szCs w:val="28"/>
          <w:rtl w:val="true"/>
          <w:lang w:bidi="fa-IR"/>
        </w:rPr>
        <w:t>و با عجله در اجرای قصاص قبل از بلوغ کودک این غرض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از امیرالمؤمنین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پدرانشان کشته شده، باید منتظر بمانند تا به حدّ بلوغ برسند، آنگاه مخیّرند قاتل را قصاص نمایند یا عفو کنند و یا با گرفتن دیه مصالحه نمایند</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لیکن تمام ادلّه مذکور مورد خدشه و ایراد قرار گرفته و از آنها جواب داده شده است</w:t>
      </w:r>
      <w:r>
        <w:rPr>
          <w:rFonts w:eastAsia="IRNazanin" w:cs="IRNazanin"/>
          <w:color w:val="111111"/>
          <w:sz w:val="28"/>
          <w:szCs w:val="28"/>
          <w:rtl w:val="true"/>
          <w:lang w:bidi="fa-IR"/>
        </w:rPr>
        <w:t>.</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قویتر مینماید و بسیاری از بزرگان فقها</w:t>
      </w:r>
      <w:r>
        <w:rPr>
          <w:rStyle w:val="FootnoteAnchor"/>
          <w:rtl w:val="true"/>
        </w:rPr>
        <w:footnoteReference w:id="1624"/>
      </w:r>
      <w:r>
        <w:rPr>
          <w:rFonts w:ascii="IRNazanin" w:hAnsi="IRNazanin" w:eastAsia="IRNazanin"/>
          <w:color w:val="111111"/>
          <w:sz w:val="28"/>
          <w:sz w:val="28"/>
          <w:szCs w:val="28"/>
          <w:rtl w:val="true"/>
          <w:lang w:bidi="fa-IR"/>
        </w:rPr>
        <w:t>آن‌راپذیرفته‌اند، این است که در فرض مزبور برای ولی صغیر جایز است قاتل را، درصورتی که مصلحت صغیر اقتضا داشته باشد، قصاص نماید یا در مقابل گرفتن دیه عفو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نظر دوم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مشهور نبوی مبنی بر این که، حاکم ولی کسی است که برای او ولی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وَلِی لِمَن لَا وَلِی لَه</w:t>
      </w:r>
      <w:r>
        <w:rPr>
          <w:rFonts w:eastAsia="Amiri" w:cs="Amiri" w:ascii="Amiri" w:hAnsi="Amiri"/>
          <w:color w:val="111111"/>
          <w:sz w:val="28"/>
          <w:szCs w:val="28"/>
          <w:rtl w:val="true"/>
          <w:lang w:bidi="ar-SA"/>
        </w:rPr>
        <w:t>»</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سلطان در این روایت امام عادل یا کسی که از طرف او مأذون است، میباشد که در عصر ما فقیه جامع الشرایط و حاکم اسلامی است</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بنابراین به مقتضای این روایت حاکم بر کسی که برای او ولی نیست ولایت دارد، و اطلاق آن شامل ولایت بر استیفای حقّ قصاص برای صغیر میگردد، ضعف سند آن نیز با</w:t>
      </w:r>
    </w:p>
    <w:p>
      <w:pPr>
        <w:pStyle w:val="BookText"/>
        <w:rPr/>
      </w:pPr>
      <w:r>
        <w:rPr>
          <w:rFonts w:ascii="IRNazanin" w:hAnsi="IRNazanin" w:eastAsia="IRNazanin"/>
          <w:color w:val="111111"/>
          <w:sz w:val="28"/>
          <w:sz w:val="28"/>
          <w:szCs w:val="28"/>
          <w:rtl w:val="true"/>
          <w:lang w:bidi="fa-IR"/>
        </w:rPr>
        <w:t>عمل اصحاب</w:t>
      </w:r>
      <w:r>
        <w:rPr>
          <w:rStyle w:val="FootnoteAnchor"/>
          <w:rtl w:val="true"/>
        </w:rPr>
        <w:footnoteReference w:id="1627"/>
      </w:r>
      <w:r>
        <w:rPr>
          <w:rFonts w:ascii="IRNazanin" w:hAnsi="IRNazanin" w:eastAsia="IRNazanin"/>
          <w:color w:val="111111"/>
          <w:sz w:val="28"/>
          <w:sz w:val="28"/>
          <w:szCs w:val="28"/>
          <w:rtl w:val="true"/>
          <w:lang w:bidi="fa-IR"/>
        </w:rPr>
        <w:t>جبران میگردد، البته این روایت اختصاص به حاکم دارد و پدر و جدّ پدری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که در مسائل ولایت پدر و جدّ پدری بر نکاح صغیر به آن استناد میشود از امام صادق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گره گشای عقد نکاح صغیره میباشد بر امور او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 هُوَ وَلِیُّ امرِهَا</w:t>
      </w:r>
      <w:r>
        <w:rPr>
          <w:rFonts w:eastAsia="IRNazanin" w:cs="IRNazanin"/>
          <w:color w:val="111111"/>
          <w:sz w:val="28"/>
          <w:szCs w:val="28"/>
          <w:rtl w:val="true"/>
          <w:lang w:bidi="fa-IR"/>
        </w:rPr>
        <w:t>»</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کسی که عقد نکاح صغیر به دست او است پدر و جدّ پدری است</w:t>
      </w:r>
    </w:p>
    <w:p>
      <w:pPr>
        <w:pStyle w:val="BookText"/>
        <w:rPr/>
      </w:pPr>
      <w:r>
        <w:rPr>
          <w:rStyle w:val="FootnoteAnchor"/>
          <w:rtl w:val="true"/>
        </w:rPr>
        <w:footnoteReference w:id="1629"/>
      </w:r>
      <w:r>
        <w:rPr>
          <w:rFonts w:ascii="IRNazanin" w:hAnsi="IRNazanin" w:eastAsia="IRNazanin"/>
          <w:color w:val="111111"/>
          <w:sz w:val="28"/>
          <w:sz w:val="28"/>
          <w:szCs w:val="28"/>
          <w:rtl w:val="true"/>
          <w:lang w:bidi="fa-IR"/>
        </w:rPr>
        <w:t>وبه‌مقتضای این روایت این دو بر امور صغیر دارای ولایت میباشند، این ولایت مطلق است و شامل استیفای قصاص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صحیح دیگری امام کاظم علیه السلام در پاسخ سؤالی در ارتباط با خرید اموال صغار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صغار ولی باشد که به انجام امور مربوط به آنان مبادرت ورزد و یا قیّم و ناظر برای آنان تعیین شده باشد تا با رعایت مصلحت به انجام امور آنان بپردازد، خرید مال آنان منعی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لَهُم وَلِیُّ یَقُومُ بِاَمرِهِمِ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اذَا بَاعَ عَلَیهِمُ القَیِّمُ لَهُمُ النَّاظِرُ لَهُم فِیمَا یُصلِحُهُم</w:t>
      </w:r>
      <w:r>
        <w:rPr>
          <w:rFonts w:eastAsia="IRNazanin" w:cs="IRNazanin"/>
          <w:color w:val="111111"/>
          <w:sz w:val="28"/>
          <w:szCs w:val="28"/>
          <w:rtl w:val="true"/>
          <w:lang w:bidi="fa-IR"/>
        </w:rPr>
        <w:t>...»</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مذکور در کلام امام علیه السلام مبنی بر انجام امور صغار توسط ولی و ناظر بر ایتام، مطلق است و شامل استیفای حقّ قصاص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اجرای قصاص چه بسا موجب تفویت و تضییع حق صغیر میگردد، زیرا ممکن است قاتل فرار کند یا قبل از بلوغ کودک، بمیرد در این صورت انجام قصاص امکان‌پذیر نیست</w:t>
      </w:r>
      <w:r>
        <w:rPr>
          <w:rFonts w:eastAsia="IRNazanin" w:cs="IRNazanin"/>
          <w:color w:val="111111"/>
          <w:sz w:val="28"/>
          <w:szCs w:val="28"/>
          <w:rtl w:val="true"/>
          <w:lang w:bidi="fa-IR"/>
        </w:rPr>
        <w:t>.</w:t>
      </w:r>
      <w:r>
        <w:rPr>
          <w:rStyle w:val="FootnoteAnchor"/>
          <w:rtl w:val="true"/>
        </w:rPr>
        <w:footnoteReference w:id="1631"/>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تشریع حکم قصاص حفظ جان انسان‌ها است، چنان‌که خداوند متعال آن را در کلامی موجز بیان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تأخیردر اجرای آن مخالف با نتیجه‌ای که از تشریع آن مورد نظر بوده محسوب میگردد</w:t>
      </w:r>
      <w:r>
        <w:rPr>
          <w:rFonts w:eastAsia="IRNazanin" w:cs="IRNazanin"/>
          <w:color w:val="111111"/>
          <w:sz w:val="28"/>
          <w:szCs w:val="28"/>
          <w:rtl w:val="true"/>
          <w:lang w:bidi="fa-IR"/>
        </w:rPr>
        <w:t>.</w:t>
      </w:r>
      <w:r>
        <w:rPr>
          <w:rStyle w:val="FootnoteAnchor"/>
          <w:rtl w:val="true"/>
        </w:rPr>
        <w:footnoteReference w:id="1632"/>
      </w:r>
      <w:bookmarkStart w:id="740" w:name="pg13713_164665"/>
    </w:p>
    <w:p>
      <w:pPr>
        <w:pStyle w:val="BookText"/>
        <w:rPr/>
      </w:pPr>
      <w:bookmarkEnd w:id="74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 ولایت بر صغار که با رعایت مصلحت یا عدم مفسده برای ولی ثابت است، مقتضی این است که در فرض مزبور نیز دارای ولایت باشد،</w:t>
      </w:r>
      <w:r>
        <w:rPr>
          <w:rStyle w:val="FootnoteAnchor"/>
          <w:rtl w:val="true"/>
        </w:rPr>
        <w:footnoteReference w:id="1633"/>
      </w:r>
      <w:r>
        <w:rPr>
          <w:rFonts w:ascii="IRNazanin" w:hAnsi="IRNazanin" w:eastAsia="IRNazanin"/>
          <w:color w:val="111111"/>
          <w:sz w:val="28"/>
          <w:sz w:val="28"/>
          <w:szCs w:val="28"/>
          <w:rtl w:val="true"/>
          <w:lang w:bidi="fa-IR"/>
        </w:rPr>
        <w:t xml:space="preserve">زیرا از آن ادله استفاده میشود ولی قائم مقام مولی علیه میباشد و آن‌چه برای مولی علیه ثابت است برای او نیز چنین است، بنابراین میتواند به مصلحت مولّی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نماید و حق او را استیفا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آن‌چه ذکر شد، در عین حال بعضی از بزرگان در حکم مسأله متوقّف شده و با تردید از کنار آن گذشته و به آن فتوی نداده اند</w:t>
      </w:r>
      <w:r>
        <w:rPr>
          <w:rFonts w:eastAsia="IRNazanin" w:cs="IRNazanin"/>
          <w:color w:val="111111"/>
          <w:sz w:val="28"/>
          <w:szCs w:val="28"/>
          <w:rtl w:val="true"/>
          <w:lang w:bidi="fa-IR"/>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آیت الله فاضل لنکرانی قدس سره در این باره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فرض مورد بحث مسأله مشکلی است، زیرا از طرفی روشن نیست که عموم ادلّه ولایت، ولایت بر قصاص را شامل باشد و در نتیجه باید قاتل را حبس نمود، که لازمه آن مجازات شدیدتر نسبت به وی میباشد، چرا که باید چند سال تحمّل زندان نماید و بعد از آن‌که کودک به حدّ بلوغ رسید، اگر خواست قصاص نماید و از طرفی نمیتوان از روایتی که دلالت بر وجوب تأخیر قصاص و منتظر ماندن تا زمان بلوغ کودک دارد دست برداشت</w:t>
      </w:r>
      <w:r>
        <w:rPr>
          <w:rFonts w:eastAsia="IRNazanin" w:cs="IRNazanin"/>
          <w:color w:val="111111"/>
          <w:sz w:val="28"/>
          <w:szCs w:val="28"/>
          <w:rtl w:val="true"/>
          <w:lang w:bidi="fa-IR"/>
        </w:rPr>
        <w:t>».</w:t>
      </w:r>
      <w:r>
        <w:rPr>
          <w:rStyle w:val="FootnoteAnchor"/>
          <w:rtl w:val="true"/>
        </w:rPr>
        <w:footnoteReference w:id="1635"/>
      </w:r>
      <w:r>
        <w:rPr>
          <w:rFonts w:ascii="IRNazanin" w:hAnsi="IRNazanin" w:eastAsia="IRNazanin"/>
          <w:color w:val="111111"/>
          <w:sz w:val="28"/>
          <w:sz w:val="28"/>
          <w:szCs w:val="28"/>
          <w:rtl w:val="true"/>
          <w:lang w:bidi="fa-IR"/>
        </w:rPr>
        <w:t>برخی دیگر از فقیهان معاصر در مسأله تفصیل قائل شده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تا بلوغ کودک زمان طولانی باقی نمانده باید صبر کرد در غیر این صورت حاکم شرعی باید به اجرای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ورزد، زیرا در این صورت وجود کودک کالعدم است و حاکم شرع ولی مقتول محسوب میگردد</w:t>
      </w:r>
      <w:r>
        <w:rPr>
          <w:rFonts w:eastAsia="IRNazanin" w:cs="IRNazanin"/>
          <w:color w:val="111111"/>
          <w:sz w:val="28"/>
          <w:szCs w:val="28"/>
          <w:rtl w:val="true"/>
          <w:lang w:bidi="fa-IR"/>
        </w:rPr>
        <w:t>».</w:t>
      </w:r>
      <w:r>
        <w:rPr>
          <w:rStyle w:val="FootnoteAnchor"/>
          <w:rtl w:val="true"/>
        </w:rPr>
        <w:footnoteReference w:id="1636"/>
      </w:r>
    </w:p>
    <w:p>
      <w:pPr>
        <w:pStyle w:val="Heading4"/>
        <w:numPr>
          <w:ilvl w:val="3"/>
          <w:numId w:val="1"/>
        </w:numPr>
        <w:rPr/>
      </w:pPr>
      <w:bookmarkStart w:id="741" w:name="__RefHeading___Toc1259856_1468164448"/>
      <w:bookmarkStart w:id="742" w:name="_Toc273"/>
      <w:bookmarkEnd w:id="741"/>
      <w:r>
        <w:rPr/>
        <w:t>5</w:t>
      </w:r>
      <w:r>
        <w:rPr>
          <w:rtl w:val="true"/>
        </w:rPr>
        <w:t xml:space="preserve">- </w:t>
      </w:r>
      <w:r>
        <w:rPr>
          <w:rtl w:val="true"/>
        </w:rPr>
        <w:t>اشتراک کودک با بالغ در حق قصاص</w:t>
      </w:r>
      <w:bookmarkEnd w:id="742"/>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بعضی از اولیای دم بالغ و رشید و بعضی دیگر صغیر و یا مجنون باشند، این پرسش مطرح است که آیا برای فرد یا افراد بالغ جایز است قبل از آن‌که صغیر به حدّ بلوغ رسد، قاتل را قصاص نماید یا خیر؟ در این جا نیز دو نظر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 معتقدند جایز است فرد یا افراد بالغ با رعایت شرایط قاتل را قصاص نمایند و در این صورت باید سهم دیگر اولیای دم را از دیه پرداخت کنند و اگر با قاتل در گرفتن دیه مصالحه نمودند کودک یا کودکان بعد از آن‌که به سن بلوغ رسیدند، حق دارند قاتل را قصاص نمایند، البته باید آن‌چه را که قاتل پیش‌تر به عنوان دیه پرداخت کرده یا بعضی از اولیای دم او را عفو نموده‌اند به اولیای قاتل پرداخت نمایند</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ascii="IRNazanin" w:hAnsi="IRNazanin" w:eastAsia="IRNazanin"/>
          <w:color w:val="111111"/>
          <w:sz w:val="28"/>
          <w:sz w:val="28"/>
          <w:szCs w:val="28"/>
          <w:rtl w:val="true"/>
          <w:lang w:bidi="fa-IR"/>
        </w:rPr>
        <w:t>ادلّه جواز قصاص</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ادّعای اجماع</w:t>
      </w:r>
      <w:r>
        <w:rPr>
          <w:rStyle w:val="FootnoteAnchor"/>
          <w:rtl w:val="true"/>
        </w:rPr>
        <w:footnoteReference w:id="1638"/>
      </w:r>
      <w:r>
        <w:rPr>
          <w:rFonts w:ascii="IRNazanin" w:hAnsi="IRNazanin" w:eastAsia="IRNazanin"/>
          <w:color w:val="111111"/>
          <w:sz w:val="28"/>
          <w:sz w:val="28"/>
          <w:szCs w:val="28"/>
          <w:rtl w:val="true"/>
          <w:lang w:bidi="fa-IR"/>
        </w:rPr>
        <w:t>شده و بعضی از فقها</w:t>
      </w:r>
      <w:r>
        <w:rPr>
          <w:rStyle w:val="FootnoteAnchor"/>
          <w:rtl w:val="true"/>
        </w:rPr>
        <w:footnoteReference w:id="1639"/>
      </w:r>
      <w:r>
        <w:rPr>
          <w:rFonts w:ascii="IRNazanin" w:hAnsi="IRNazanin" w:eastAsia="IRNazanin"/>
          <w:color w:val="111111"/>
          <w:sz w:val="28"/>
          <w:sz w:val="28"/>
          <w:szCs w:val="28"/>
          <w:rtl w:val="true"/>
          <w:lang w:bidi="fa-IR"/>
        </w:rPr>
        <w:t>این اجماع را دلیل و حجت شرعی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کسی‌که‌مظلوم کشته شده برای ولیش حق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و بر هر یک از اولیای دم ولی صدق دارد، بنابراین هر یک از آنها جداگانهً بر قاتل تسلّط و حق قصاص دارند، در غیر این صورت سلطه آنها کامل و تمام نیست</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ascii="IRNazanin" w:hAnsi="IRNazanin" w:eastAsia="IRNazanin"/>
          <w:color w:val="111111"/>
          <w:sz w:val="28"/>
          <w:sz w:val="28"/>
          <w:szCs w:val="28"/>
          <w:rtl w:val="true"/>
          <w:lang w:bidi="fa-IR"/>
        </w:rPr>
        <w:t>به عبارت دیگر، حق قصاص برای مطلق و طبیعی ولی جعل شده و به تعداد نفراتی که دارای ولایت میباشند انحلال مییابد، یعنی برای هر یک از آنها به طور مستقل حق قصاص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دیگر مواردی که حکم به نسبت طبیعت موضوع خود انحلال مییابد، این چنین است</w:t>
      </w:r>
      <w:r>
        <w:rPr>
          <w:rFonts w:eastAsia="IRNazanin" w:cs="IRNazanin"/>
          <w:color w:val="111111"/>
          <w:sz w:val="28"/>
          <w:szCs w:val="28"/>
          <w:rtl w:val="true"/>
          <w:lang w:bidi="fa-IR"/>
        </w:rPr>
        <w:t>.</w:t>
      </w:r>
      <w:r>
        <w:rPr>
          <w:rStyle w:val="FootnoteAnchor"/>
          <w:rtl w:val="true"/>
        </w:rPr>
        <w:footnoteReference w:id="1641"/>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تمام اولیا کبیر باشند، چنان که بعضی از آنها قاتل را عفو نمایند و بعضی به گرفتن دیه راضی شوند، برای افراد باقی مانده که خواستار قصاص میباشند،</w:t>
      </w:r>
    </w:p>
    <w:p>
      <w:pPr>
        <w:pStyle w:val="BookText"/>
        <w:rPr/>
      </w:pPr>
      <w:r>
        <w:rPr>
          <w:rFonts w:ascii="IRNazanin" w:hAnsi="IRNazanin" w:eastAsia="IRNazanin"/>
          <w:color w:val="111111"/>
          <w:sz w:val="28"/>
          <w:sz w:val="28"/>
          <w:szCs w:val="28"/>
          <w:rtl w:val="true"/>
          <w:lang w:bidi="fa-IR"/>
        </w:rPr>
        <w:t>جایزاست با پرداخت دیه نسبت به دو گروه اول به اجرای قصاص مبادرت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مورد بحث که صاحبان حق سکوت کرده یا معلوم نیست در آینده چه تصمیم خواهند گرفت، باید به طریق اولی اجرای قصاص جایز باشد</w:t>
      </w:r>
      <w:r>
        <w:rPr>
          <w:rFonts w:eastAsia="IRNazanin" w:cs="IRNazanin"/>
          <w:color w:val="111111"/>
          <w:sz w:val="28"/>
          <w:szCs w:val="28"/>
          <w:rtl w:val="true"/>
          <w:lang w:bidi="fa-IR"/>
        </w:rPr>
        <w:t>.</w:t>
      </w:r>
      <w:r>
        <w:rPr>
          <w:rStyle w:val="FootnoteAnchor"/>
          <w:rtl w:val="true"/>
        </w:rPr>
        <w:footnoteReference w:id="1642"/>
      </w:r>
    </w:p>
    <w:p>
      <w:pPr>
        <w:pStyle w:val="BookText"/>
        <w:rPr/>
      </w:pPr>
      <w:r>
        <w:rPr>
          <w:rFonts w:ascii="IRNazanin" w:hAnsi="IRNazanin" w:eastAsia="IRNazanin"/>
          <w:color w:val="111111"/>
          <w:sz w:val="28"/>
          <w:sz w:val="28"/>
          <w:szCs w:val="28"/>
          <w:rtl w:val="true"/>
          <w:lang w:bidi="fa-IR"/>
        </w:rPr>
        <w:t>به نظر میرسد هر چند بعضی از ادلّه‌ای که ذکر شد، به ویژه دلیل اخیر قابل خدشه و مورد ایراد است، لیکن به جهت اینکه در مسأله اجماع و سیره قطعی وجود دارد، این نظر اثبات میگردد و باید آن را پذیرفت، به علاوه بعضی از اعلام فقهای معاصر</w:t>
      </w:r>
      <w:r>
        <w:rPr>
          <w:rStyle w:val="FootnoteAnchor"/>
          <w:rtl w:val="true"/>
        </w:rPr>
        <w:footnoteReference w:id="1643"/>
      </w:r>
      <w:r>
        <w:rPr>
          <w:rFonts w:ascii="IRNazanin" w:hAnsi="IRNazanin" w:eastAsia="IRNazanin"/>
          <w:color w:val="111111"/>
          <w:sz w:val="28"/>
          <w:sz w:val="28"/>
          <w:szCs w:val="28"/>
          <w:rtl w:val="true"/>
          <w:lang w:bidi="fa-IR"/>
        </w:rPr>
        <w:t>برای تثبیت این نظر به برخی از روایات استناد نموده است، از جمله روایتی که به صحیحه ابی ولّاد شهرت یافته است،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کشته شده و دارای مادر، پدر و فرزند است، فرزند درخواست قصاص قاتل دارد، 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مورد عفو قرار دادم و مادر درخواست گرفتن دیه دارد، چه باید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 مقتول که خواهان قصاص است، یک ششم دیه را به مادر مقتول بپردازد و یک ششم دیگر یعنی سهم پدر مقتول را به ورثه قاتل، آنگاه حق دارد قاتل را قصاص نماید</w:t>
      </w:r>
      <w:r>
        <w:rPr>
          <w:rFonts w:eastAsia="IRNazanin" w:cs="IRNazanin"/>
          <w:color w:val="111111"/>
          <w:sz w:val="28"/>
          <w:szCs w:val="28"/>
          <w:rtl w:val="true"/>
          <w:lang w:bidi="fa-IR"/>
        </w:rPr>
        <w:t>.</w:t>
      </w:r>
      <w:r>
        <w:rPr>
          <w:rStyle w:val="FootnoteAnchor"/>
          <w:rtl w:val="true"/>
        </w:rPr>
        <w:footnoteReference w:id="164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به این روایت به گونه‌ای که مسأله مورد بحث را شامل شود به این صورت است که گفته شود آن دسته از اولیاء دم که در حال حاضر اهلیّت استیفای قصاص را ندارند، بعد از بلوغ یا خواستار قصاص میشوند که انجام شده و یا درخواست دیه دارند و ممکن است قاتل را عفو نمایند، در دو صورت اخیر به استناد این روایت امام علیه السلام اجرای‌قصاص را جایز دانسته است، در نتیجه میتواند مستند حکم، در مسأله مورد بحث قرار گیرد، مگر این که ادّعا شود این روایت با روایات دیگری که در همین زمینه وارد شده، مبنی بر اینکه اگر بعضی از اولیاء دم عفو نمودند حکم قصاص منتفی میگردد</w:t>
      </w:r>
      <w:r>
        <w:rPr>
          <w:rStyle w:val="FootnoteAnchor"/>
          <w:rtl w:val="true"/>
        </w:rPr>
        <w:footnoteReference w:id="1645"/>
      </w:r>
      <w:r>
        <w:rPr>
          <w:rFonts w:ascii="IRNazanin" w:hAnsi="IRNazanin" w:eastAsia="IRNazanin"/>
          <w:color w:val="111111"/>
          <w:sz w:val="28"/>
          <w:sz w:val="28"/>
          <w:szCs w:val="28"/>
          <w:rtl w:val="true"/>
          <w:lang w:bidi="fa-IR"/>
        </w:rPr>
        <w:t>وسایر ورثه فقط حق دیه دارند، در تعارض است، بدان جهت نمیتوان به آن استناد نمود</w:t>
      </w:r>
      <w:r>
        <w:rPr>
          <w:rFonts w:eastAsia="IRNazanin" w:cs="IRNazanin"/>
          <w:color w:val="111111"/>
          <w:sz w:val="28"/>
          <w:szCs w:val="28"/>
          <w:rtl w:val="true"/>
          <w:lang w:bidi="fa-IR"/>
        </w:rPr>
        <w:t>.</w:t>
      </w:r>
      <w:r>
        <w:rPr>
          <w:rStyle w:val="FootnoteAnchor"/>
          <w:rtl w:val="true"/>
        </w:rPr>
        <w:footnoteReference w:id="1646"/>
      </w:r>
      <w:bookmarkStart w:id="743" w:name="pg13713_164668"/>
    </w:p>
    <w:p>
      <w:pPr>
        <w:pStyle w:val="Heading4"/>
        <w:numPr>
          <w:ilvl w:val="3"/>
          <w:numId w:val="1"/>
        </w:numPr>
        <w:rPr/>
      </w:pPr>
      <w:bookmarkStart w:id="744" w:name="__RefHeading___Toc1259858_1468164448"/>
      <w:bookmarkStart w:id="745" w:name="_Toc274"/>
      <w:bookmarkEnd w:id="743"/>
      <w:bookmarkEnd w:id="744"/>
      <w:r>
        <w:rPr/>
        <w:t>6</w:t>
      </w:r>
      <w:r>
        <w:rPr>
          <w:rtl w:val="true"/>
        </w:rPr>
        <w:t xml:space="preserve">- </w:t>
      </w:r>
      <w:r>
        <w:rPr>
          <w:rtl w:val="true"/>
        </w:rPr>
        <w:t>عدم جواز قصاص</w:t>
      </w:r>
      <w:bookmarkEnd w:id="745"/>
    </w:p>
    <w:p>
      <w:pPr>
        <w:pStyle w:val="BookText"/>
        <w:rPr/>
      </w:pPr>
      <w:r>
        <w:rPr>
          <w:rFonts w:ascii="IRNazanin" w:hAnsi="IRNazanin" w:eastAsia="IRNazanin"/>
          <w:color w:val="111111"/>
          <w:sz w:val="28"/>
          <w:sz w:val="28"/>
          <w:szCs w:val="28"/>
          <w:rtl w:val="true"/>
          <w:lang w:bidi="fa-IR"/>
        </w:rPr>
        <w:t>نظر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 بر این باورند که اگر اولیای دم متعدد باشند، اجرای‌قصاص در صورتی جایز است که بین آنها در این خصوص توافق حاصل شود، مانند این که به یکی از افراد در بین خود اذن یا وکالت دهند</w:t>
      </w:r>
      <w:r>
        <w:rPr>
          <w:rFonts w:eastAsia="IRNazanin" w:cs="IRNazanin"/>
          <w:color w:val="111111"/>
          <w:sz w:val="28"/>
          <w:szCs w:val="28"/>
          <w:rtl w:val="true"/>
          <w:lang w:bidi="fa-IR"/>
        </w:rPr>
        <w:t>.</w:t>
      </w:r>
      <w:r>
        <w:rPr>
          <w:rStyle w:val="FootnoteAnchor"/>
          <w:rtl w:val="true"/>
        </w:rPr>
        <w:footnoteReference w:id="1647"/>
      </w:r>
      <w:r>
        <w:rPr>
          <w:rFonts w:ascii="IRNazanin" w:hAnsi="IRNazanin" w:eastAsia="IRNazanin"/>
          <w:color w:val="111111"/>
          <w:sz w:val="28"/>
          <w:sz w:val="28"/>
          <w:szCs w:val="28"/>
          <w:rtl w:val="true"/>
          <w:lang w:bidi="fa-IR"/>
        </w:rPr>
        <w:t>امام خمینی قدس سره</w:t>
      </w:r>
      <w:r>
        <w:rPr>
          <w:rStyle w:val="FootnoteAnchor"/>
          <w:rtl w:val="true"/>
        </w:rPr>
        <w:footnoteReference w:id="1648"/>
      </w:r>
      <w:r>
        <w:rPr>
          <w:rFonts w:ascii="IRNazanin" w:hAnsi="IRNazanin" w:eastAsia="IRNazanin"/>
          <w:color w:val="111111"/>
          <w:sz w:val="28"/>
          <w:sz w:val="28"/>
          <w:szCs w:val="28"/>
          <w:rtl w:val="true"/>
          <w:lang w:bidi="fa-IR"/>
        </w:rPr>
        <w:t>و نیز آیت‌الله فاضل لنکرانی قدس سره</w:t>
      </w:r>
      <w:r>
        <w:rPr>
          <w:rStyle w:val="FootnoteAnchor"/>
          <w:rtl w:val="true"/>
        </w:rPr>
        <w:footnoteReference w:id="1649"/>
      </w:r>
      <w:r>
        <w:rPr>
          <w:rFonts w:ascii="IRNazanin" w:hAnsi="IRNazanin" w:eastAsia="IRNazanin"/>
          <w:color w:val="111111"/>
          <w:sz w:val="28"/>
          <w:sz w:val="28"/>
          <w:szCs w:val="28"/>
          <w:rtl w:val="true"/>
          <w:lang w:bidi="fa-IR"/>
        </w:rPr>
        <w:t>و برخی دیگر از اعلام فقهای</w:t>
      </w:r>
      <w:r>
        <w:rPr>
          <w:rStyle w:val="FootnoteAnchor"/>
          <w:rtl w:val="true"/>
        </w:rPr>
        <w:footnoteReference w:id="1650"/>
      </w:r>
      <w:r>
        <w:rPr>
          <w:rFonts w:ascii="IRNazanin" w:hAnsi="IRNazanin" w:eastAsia="IRNazanin"/>
          <w:color w:val="111111"/>
          <w:sz w:val="28"/>
          <w:sz w:val="28"/>
          <w:szCs w:val="28"/>
          <w:rtl w:val="true"/>
          <w:lang w:bidi="fa-IR"/>
        </w:rPr>
        <w:t>معاصر این نظر را قوی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دیدگاه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اولیای دم در حق قصاص اشتراک دارند و در سلطه بر قاتل مساوی میباشند، انجام قصاص توسط یکی از آنها بدون اذن دیگران تصرف در حق غیر بدون اذن وی محسوب میگردد،</w:t>
      </w:r>
      <w:r>
        <w:rPr>
          <w:rStyle w:val="FootnoteAnchor"/>
          <w:rtl w:val="true"/>
        </w:rPr>
        <w:footnoteReference w:id="1651"/>
      </w:r>
      <w:r>
        <w:rPr>
          <w:rFonts w:ascii="IRNazanin" w:hAnsi="IRNazanin" w:eastAsia="IRNazanin"/>
          <w:color w:val="111111"/>
          <w:sz w:val="28"/>
          <w:sz w:val="28"/>
          <w:szCs w:val="28"/>
          <w:rtl w:val="true"/>
          <w:lang w:bidi="fa-IR"/>
        </w:rPr>
        <w:t>بنابراین باید در استیفای آن توافق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حکم قصاص به جهت تشفّی قلوب اولیای دم میباشد و انجام آن توسط بعضی از آنها برای بعضی دیگر حاصل نمیگردد</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قصاص اختصاص به افراد بالغ یا حاضر ندارد و قابل تقسیم و تبعیض‌پذیر نیز نمیباشد، بنابراین لازم است به تأخیر افتد تا کودک و یا کودکان به مرحله‌ای برسند که بتوانند حق خود را استیفا نمایند، از این رو لازم است حاکم شرع قاتل را جهت حفظ حقوق اولیای دم حبس نماید</w:t>
      </w:r>
      <w:r>
        <w:rPr>
          <w:rStyle w:val="FootnoteAnchor"/>
          <w:rtl w:val="true"/>
        </w:rPr>
        <w:footnoteReference w:id="1653"/>
      </w:r>
      <w:r>
        <w:rPr>
          <w:rFonts w:ascii="IRNazanin" w:hAnsi="IRNazanin" w:eastAsia="IRNazanin"/>
          <w:color w:val="111111"/>
          <w:sz w:val="28"/>
          <w:sz w:val="28"/>
          <w:szCs w:val="28"/>
          <w:rtl w:val="true"/>
          <w:lang w:bidi="fa-IR"/>
        </w:rPr>
        <w:t>و ادله دیگر</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آن‌چه در توضیح ادلّه نظر اول گذشت، ادلّه نظر دوم مورد مناقشه و ایراد قرار میگیرد، به ویژه این که حبس قاتل در مدّت طولانی پیامدهای منفی متعددی خواهد</w:t>
      </w:r>
      <w:bookmarkStart w:id="746" w:name="pg13713_164669"/>
    </w:p>
    <w:p>
      <w:pPr>
        <w:pStyle w:val="BookText"/>
        <w:rPr/>
      </w:pPr>
      <w:bookmarkEnd w:id="746"/>
      <w:r>
        <w:rPr>
          <w:rFonts w:ascii="IRNazanin" w:hAnsi="IRNazanin" w:eastAsia="IRNazanin"/>
          <w:color w:val="111111"/>
          <w:sz w:val="28"/>
          <w:sz w:val="28"/>
          <w:szCs w:val="28"/>
          <w:rtl w:val="true"/>
          <w:lang w:bidi="fa-IR"/>
        </w:rPr>
        <w:t>داشت، ضمن این که مجوز روشنی برای آن وجود ندارد</w:t>
      </w:r>
      <w:r>
        <w:rPr>
          <w:rStyle w:val="FootnoteAnchor"/>
          <w:rtl w:val="true"/>
        </w:rPr>
        <w:footnoteReference w:id="1655"/>
      </w:r>
      <w:r>
        <w:rPr>
          <w:rFonts w:ascii="IRNazanin" w:hAnsi="IRNazanin" w:eastAsia="IRNazanin"/>
          <w:color w:val="111111"/>
          <w:sz w:val="28"/>
          <w:sz w:val="28"/>
          <w:szCs w:val="28"/>
          <w:rtl w:val="true"/>
          <w:lang w:bidi="fa-IR"/>
        </w:rPr>
        <w:t>، از این رو این مسأله نیز از مسائل مشکل باب قصاص میباشد و چون نص خاص و روشنی در حکم آن وجود ندارد باید جوانب احتیاط را رعایت نمود به همین جهت بزرگان فقها در مورد آن تردید نموده و امر به تأمل و احتیاط فرموده اند</w:t>
      </w:r>
      <w:r>
        <w:rPr>
          <w:rStyle w:val="FootnoteAnchor"/>
          <w:rtl w:val="true"/>
        </w:rPr>
        <w:footnoteReference w:id="1656"/>
      </w:r>
      <w:r>
        <w:rPr>
          <w:rFonts w:ascii="IRNazanin" w:hAnsi="IRNazanin" w:eastAsia="IRNazanin"/>
          <w:color w:val="111111"/>
          <w:sz w:val="28"/>
          <w:sz w:val="28"/>
          <w:szCs w:val="28"/>
          <w:rtl w:val="true"/>
          <w:lang w:bidi="fa-IR"/>
        </w:rPr>
        <w:t>و برخی دیگر احتمال های گوناگونی را ذکر نموده و هیچ کدام از آنها را بر دیگری ترجیح نداده‌اند</w:t>
      </w:r>
      <w:r>
        <w:rPr>
          <w:rStyle w:val="FootnoteAnchor"/>
          <w:rtl w:val="true"/>
        </w:rPr>
        <w:footnoteReference w:id="1657"/>
      </w:r>
      <w:r>
        <w:rPr>
          <w:rFonts w:ascii="IRNazanin" w:hAnsi="IRNazanin" w:eastAsia="IRNazanin"/>
          <w:color w:val="111111"/>
          <w:sz w:val="28"/>
          <w:sz w:val="28"/>
          <w:szCs w:val="28"/>
          <w:rtl w:val="true"/>
          <w:lang w:bidi="fa-IR"/>
        </w:rPr>
        <w:t>و یا در مسأله توقف نموده‌اند</w:t>
      </w:r>
      <w:r>
        <w:rPr>
          <w:rFonts w:eastAsia="IRNazanin" w:cs="IRNazanin"/>
          <w:color w:val="111111"/>
          <w:sz w:val="28"/>
          <w:szCs w:val="28"/>
          <w:rtl w:val="true"/>
          <w:lang w:bidi="fa-IR"/>
        </w:rPr>
        <w:t>.</w:t>
      </w:r>
      <w:r>
        <w:rPr>
          <w:rStyle w:val="FootnoteAnchor"/>
          <w:rtl w:val="true"/>
        </w:rPr>
        <w:footnoteReference w:id="1658"/>
      </w:r>
    </w:p>
    <w:p>
      <w:pPr>
        <w:pStyle w:val="Heading4"/>
        <w:numPr>
          <w:ilvl w:val="3"/>
          <w:numId w:val="1"/>
        </w:numPr>
        <w:rPr/>
      </w:pPr>
      <w:bookmarkStart w:id="747" w:name="__RefHeading___Toc1259860_1468164448"/>
      <w:bookmarkStart w:id="748" w:name="_Toc275"/>
      <w:bookmarkEnd w:id="747"/>
      <w:r>
        <w:rPr/>
        <w:t>7</w:t>
      </w:r>
      <w:r>
        <w:rPr>
          <w:rtl w:val="true"/>
        </w:rPr>
        <w:t xml:space="preserve">- </w:t>
      </w:r>
      <w:r>
        <w:rPr>
          <w:rtl w:val="true"/>
        </w:rPr>
        <w:t>حبس قاتل</w:t>
      </w:r>
      <w:bookmarkEnd w:id="748"/>
    </w:p>
    <w:p>
      <w:pPr>
        <w:pStyle w:val="BookText"/>
        <w:rPr/>
      </w:pPr>
      <w:r>
        <w:rPr>
          <w:rFonts w:ascii="IRNazanin" w:hAnsi="IRNazanin" w:eastAsia="IRNazanin"/>
          <w:color w:val="111111"/>
          <w:sz w:val="28"/>
          <w:sz w:val="28"/>
          <w:szCs w:val="28"/>
          <w:rtl w:val="true"/>
          <w:lang w:bidi="fa-IR"/>
        </w:rPr>
        <w:t xml:space="preserve">در مفروض بحث که ولی دم، کودک است و خود دارای ولی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جدّ پدری یا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فرض قبول این نظر که ولی شرعی حق استیفای قصاص را ندارد، آیا جایز است قاتل را حبس نمود تا کودک بالغ شود و خود تصمیم بگیرد؟ چندنظر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زیرا حبس به نفع قاتل و نیز ولی دم هر دو میباشد؛ قاتل به زندگی خود هرچند در حبس ادامه میدهد و حق کودک نیز محفوظ میماند</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برای قاتل مجازات قصاص یا دیه تجویز شده و مجازات حبس مجوّز شرعی ندارد</w:t>
      </w:r>
      <w:r>
        <w:rPr>
          <w:rFonts w:eastAsia="IRNazanin" w:cs="IRNazanin"/>
          <w:color w:val="111111"/>
          <w:sz w:val="28"/>
          <w:szCs w:val="28"/>
          <w:rtl w:val="true"/>
          <w:lang w:bidi="fa-IR"/>
        </w:rPr>
        <w:t>.</w:t>
      </w:r>
      <w:r>
        <w:rPr>
          <w:rStyle w:val="FootnoteAnchor"/>
          <w:rtl w:val="true"/>
        </w:rPr>
        <w:footnoteReference w:id="1660"/>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بین این که بیم فرار قاتل باشد یا خیر باید تفصیل داد</w:t>
      </w:r>
      <w:r>
        <w:rPr>
          <w:rFonts w:eastAsia="IRNazanin" w:cs="IRNazanin"/>
          <w:color w:val="111111"/>
          <w:sz w:val="28"/>
          <w:szCs w:val="28"/>
          <w:rtl w:val="true"/>
          <w:lang w:bidi="fa-IR"/>
        </w:rPr>
        <w:t>.</w:t>
      </w:r>
      <w:r>
        <w:rPr>
          <w:rStyle w:val="FootnoteAnchor"/>
          <w:rtl w:val="true"/>
        </w:rPr>
        <w:footnoteReference w:id="1661"/>
      </w:r>
      <w:r>
        <w:rPr>
          <w:rFonts w:ascii="IRNazanin" w:hAnsi="IRNazanin" w:eastAsia="IRNazanin"/>
          <w:color w:val="111111"/>
          <w:sz w:val="28"/>
          <w:sz w:val="28"/>
          <w:szCs w:val="28"/>
          <w:rtl w:val="true"/>
          <w:lang w:bidi="fa-IR"/>
        </w:rPr>
        <w:t>در صورت اول، حبس جایز است، زیرا استیفای حق قصاص متوقّف بر حبس است، به علاوه خون مسلمان نباید هدر باشد و با فرض فرار قاتل، چنین خواهد شد</w:t>
      </w:r>
      <w:r>
        <w:rPr>
          <w:rFonts w:eastAsia="IRNazanin" w:cs="IRNazanin"/>
          <w:color w:val="111111"/>
          <w:sz w:val="28"/>
          <w:szCs w:val="28"/>
          <w:rtl w:val="true"/>
          <w:lang w:bidi="fa-IR"/>
        </w:rPr>
        <w:t>.</w:t>
      </w:r>
      <w:r>
        <w:rPr>
          <w:rStyle w:val="FootnoteAnchor"/>
          <w:rtl w:val="true"/>
        </w:rPr>
        <w:footnoteReference w:id="1662"/>
      </w:r>
      <w:bookmarkStart w:id="749" w:name="pg13713_164670"/>
    </w:p>
    <w:p>
      <w:pPr>
        <w:pStyle w:val="BookText"/>
        <w:rPr/>
      </w:pPr>
      <w:bookmarkEnd w:id="749"/>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فقها</w:t>
      </w:r>
      <w:r>
        <w:rPr>
          <w:rStyle w:val="FootnoteAnchor"/>
          <w:rtl w:val="true"/>
        </w:rPr>
        <w:footnoteReference w:id="1663"/>
      </w:r>
      <w:r>
        <w:rPr>
          <w:rFonts w:ascii="IRNazanin" w:hAnsi="IRNazanin" w:eastAsia="IRNazanin"/>
          <w:color w:val="111111"/>
          <w:sz w:val="28"/>
          <w:sz w:val="28"/>
          <w:szCs w:val="28"/>
          <w:rtl w:val="true"/>
          <w:lang w:bidi="fa-IR"/>
        </w:rPr>
        <w:t>در مسأله متوقّف شده و به بیان اشکال بر مفاد هر یک از اقوال بسنده نموده و به صراحت نظری را انتخاب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ذکر شد مسأله مورد اختلاف فقها است، از طرفی دلیل خاصی هم در این خصوص وارد نشده است، بنابراین به مقتضای احتیاط اگر بیم فرار قاتل وجود دارد، بهتر است با اخذ وثیقه نقدی یا غیر نقدی از فرار وی جلوگیری شود و اگر باز هم بیم فرار وجود داشته باشد، ظاهراً منعی برای حبس او نیست، چرا که اجرای حکم قصاص بدون حبس امکان‌پذیر نمیباشد</w:t>
      </w:r>
      <w:r>
        <w:rPr>
          <w:rFonts w:eastAsia="IRNazanin" w:cs="IRNazanin"/>
          <w:color w:val="111111"/>
          <w:sz w:val="28"/>
          <w:szCs w:val="28"/>
          <w:rtl w:val="true"/>
          <w:lang w:bidi="fa-IR"/>
        </w:rPr>
        <w:t>.</w:t>
      </w:r>
    </w:p>
    <w:p>
      <w:pPr>
        <w:pStyle w:val="Heading4"/>
        <w:numPr>
          <w:ilvl w:val="3"/>
          <w:numId w:val="1"/>
        </w:numPr>
        <w:rPr/>
      </w:pPr>
      <w:bookmarkStart w:id="750" w:name="__RefHeading___Toc1259862_1468164448"/>
      <w:bookmarkStart w:id="751" w:name="_Toc276"/>
      <w:bookmarkEnd w:id="750"/>
      <w:r>
        <w:rPr/>
        <w:t>8</w:t>
      </w:r>
      <w:r>
        <w:rPr>
          <w:rtl w:val="true"/>
        </w:rPr>
        <w:t xml:space="preserve">- </w:t>
      </w:r>
      <w:r>
        <w:rPr>
          <w:rtl w:val="true"/>
        </w:rPr>
        <w:t>استیفای قصاص توسط کودک</w:t>
      </w:r>
      <w:bookmarkEnd w:id="751"/>
    </w:p>
    <w:p>
      <w:pPr>
        <w:pStyle w:val="BookText"/>
        <w:rPr/>
      </w:pPr>
      <w:r>
        <w:rPr>
          <w:rFonts w:ascii="IRNazanin" w:hAnsi="IRNazanin" w:eastAsia="IRNazanin"/>
          <w:color w:val="111111"/>
          <w:sz w:val="28"/>
          <w:sz w:val="28"/>
          <w:szCs w:val="28"/>
          <w:rtl w:val="true"/>
          <w:lang w:bidi="fa-IR"/>
        </w:rPr>
        <w:t>در مفروض بحث که کودک ولی دم است و از طرفی اهلیّت استیفای حق قصاص را ندارد، سؤالی که ممکن است مطرح باشد این است که اگر خود به‌انجام قصاص مبادرت نمود چه حکمی دارد؟ در جواب این مسأله دو فرض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 این که جانی برای انجام قصاص در اعضا، خود را در اختیار کودک یا مجنون قرار دهد، در این صورت به اتّفاق فقها</w:t>
      </w:r>
      <w:r>
        <w:rPr>
          <w:rStyle w:val="FootnoteAnchor"/>
          <w:rtl w:val="true"/>
        </w:rPr>
        <w:footnoteReference w:id="1664"/>
      </w:r>
      <w:r>
        <w:rPr>
          <w:rFonts w:ascii="IRNazanin" w:hAnsi="IRNazanin" w:eastAsia="IRNazanin"/>
          <w:color w:val="111111"/>
          <w:sz w:val="28"/>
          <w:sz w:val="28"/>
          <w:szCs w:val="28"/>
          <w:rtl w:val="true"/>
          <w:lang w:bidi="fa-IR"/>
        </w:rPr>
        <w:t>قصاص انجام شده، هدر است به این معنا که حق قصاص به قوّت خود باقی است و جانی برای آن‌چه انجام شده هیچ ادّعایی علیه کودک یا عاقله وی و مجنون نمیتواند داشته باشد، اعم از این که جانی به حکم مسأله آگاهی داشته باشد یا خیر، زیرا فرض بر این است که کودک و مجنون اهلیّت استیفای حق قصاص را ندارند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این که کودک خود و بدون رضایت جانی به انجام قصاص مبادرت ورزد در این صورت در حکم آن دو دیدگاه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عبارات برخی از فقیهان به گروهی</w:t>
      </w:r>
      <w:r>
        <w:rPr>
          <w:rStyle w:val="FootnoteAnchor"/>
          <w:rtl w:val="true"/>
        </w:rPr>
        <w:footnoteReference w:id="1665"/>
      </w:r>
      <w:r>
        <w:rPr>
          <w:rFonts w:ascii="IRNazanin" w:hAnsi="IRNazanin" w:eastAsia="IRNazanin"/>
          <w:color w:val="111111"/>
          <w:sz w:val="28"/>
          <w:sz w:val="28"/>
          <w:szCs w:val="28"/>
          <w:rtl w:val="true"/>
          <w:lang w:bidi="fa-IR"/>
        </w:rPr>
        <w:t>نسبت داده شده که در این صورت فعل کودک استیفای حق وی محسوب میشود، البته برخی فرموده‌اند قائل این نظریه فقهای اهل سنت میباشند و بین فقهای امامیه طرفداری ندارد</w:t>
      </w:r>
      <w:r>
        <w:rPr>
          <w:rFonts w:eastAsia="IRNazanin" w:cs="IRNazanin"/>
          <w:color w:val="111111"/>
          <w:sz w:val="28"/>
          <w:szCs w:val="28"/>
          <w:rtl w:val="true"/>
          <w:lang w:bidi="fa-IR"/>
        </w:rPr>
        <w:t>.</w:t>
      </w:r>
      <w:r>
        <w:rPr>
          <w:rStyle w:val="FootnoteAnchor"/>
          <w:rtl w:val="true"/>
        </w:rPr>
        <w:footnoteReference w:id="1666"/>
      </w:r>
      <w:r>
        <w:rPr>
          <w:rFonts w:ascii="IRNazanin" w:hAnsi="IRNazanin" w:eastAsia="IRNazanin"/>
          <w:color w:val="111111"/>
          <w:sz w:val="28"/>
          <w:sz w:val="28"/>
          <w:szCs w:val="28"/>
          <w:rtl w:val="true"/>
          <w:lang w:bidi="fa-IR"/>
        </w:rPr>
        <w:t>و بر آن ایراد شده که با فرض عدم اهلیّت کودک عملی که توسط او انجام شده به منزله فعل غیر است، بنابراین باید حق قصاص باقی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دوم معتقد است آن‌چه توسط کودک انجام شده استیفای حق قصاص محسوب نمیشود، چرا که وی اهلیّت آن را ندارد،</w:t>
      </w:r>
      <w:r>
        <w:rPr>
          <w:rStyle w:val="FootnoteAnchor"/>
          <w:rtl w:val="true"/>
        </w:rPr>
        <w:footnoteReference w:id="1667"/>
      </w:r>
      <w:r>
        <w:rPr>
          <w:rFonts w:ascii="IRNazanin" w:hAnsi="IRNazanin" w:eastAsia="IRNazanin"/>
          <w:color w:val="111111"/>
          <w:sz w:val="28"/>
          <w:sz w:val="28"/>
          <w:szCs w:val="28"/>
          <w:rtl w:val="true"/>
          <w:lang w:bidi="fa-IR"/>
        </w:rPr>
        <w:t>بنابراین در قصاص اعضا، حق قصاص باقی است و فعلی که از کودک صادر شده حکم خاص خود را دارد</w:t>
      </w:r>
      <w:r>
        <w:rPr>
          <w:rFonts w:eastAsia="IRNazanin" w:cs="IRNazanin"/>
          <w:color w:val="111111"/>
          <w:sz w:val="28"/>
          <w:szCs w:val="28"/>
          <w:rtl w:val="true"/>
          <w:lang w:bidi="fa-IR"/>
        </w:rPr>
        <w:t>.</w:t>
      </w:r>
      <w:bookmarkStart w:id="752" w:name="pg13713_164672"/>
    </w:p>
    <w:p>
      <w:pPr>
        <w:pStyle w:val="Heading3"/>
        <w:numPr>
          <w:ilvl w:val="2"/>
          <w:numId w:val="1"/>
        </w:numPr>
        <w:rPr/>
      </w:pPr>
      <w:bookmarkStart w:id="753" w:name="__RefHeading___Toc1259864_1468164448"/>
      <w:bookmarkStart w:id="754" w:name="_Toc277"/>
      <w:bookmarkEnd w:id="752"/>
      <w:bookmarkEnd w:id="753"/>
      <w:r>
        <w:rPr>
          <w:rtl w:val="true"/>
        </w:rPr>
        <w:t>گفتار سوم</w:t>
      </w:r>
      <w:r>
        <w:rPr>
          <w:rtl w:val="true"/>
        </w:rPr>
        <w:t xml:space="preserve">: </w:t>
      </w:r>
      <w:r>
        <w:rPr>
          <w:rtl w:val="true"/>
        </w:rPr>
        <w:t>اعمال منافی عفت با کودک</w:t>
      </w:r>
      <w:bookmarkEnd w:id="754"/>
    </w:p>
    <w:p>
      <w:pPr>
        <w:pStyle w:val="Heading4"/>
        <w:numPr>
          <w:ilvl w:val="3"/>
          <w:numId w:val="1"/>
        </w:numPr>
        <w:rPr/>
      </w:pPr>
      <w:bookmarkStart w:id="755" w:name="__RefHeading___Toc1259866_1468164448"/>
      <w:bookmarkStart w:id="756" w:name="_Toc278"/>
      <w:bookmarkEnd w:id="755"/>
      <w:r>
        <w:rPr/>
        <w:t>1</w:t>
      </w:r>
      <w:r>
        <w:rPr>
          <w:rtl w:val="true"/>
        </w:rPr>
        <w:t xml:space="preserve">- </w:t>
      </w:r>
      <w:r>
        <w:rPr>
          <w:rtl w:val="true"/>
        </w:rPr>
        <w:t>زنای بالغ با کودک</w:t>
      </w:r>
      <w:bookmarkEnd w:id="756"/>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بالغی که شرایط زنای محصنه</w:t>
      </w:r>
      <w:r>
        <w:rPr>
          <w:rStyle w:val="FootnoteAnchor"/>
          <w:rtl w:val="true"/>
        </w:rPr>
        <w:footnoteReference w:id="1669"/>
      </w:r>
      <w:r>
        <w:rPr>
          <w:rFonts w:ascii="IRNazanin" w:hAnsi="IRNazanin" w:eastAsia="IRNazanin"/>
          <w:color w:val="111111"/>
          <w:sz w:val="28"/>
          <w:sz w:val="28"/>
          <w:szCs w:val="28"/>
          <w:rtl w:val="true"/>
          <w:lang w:bidi="fa-IR"/>
        </w:rPr>
        <w:t xml:space="preserve">را ندارد با دختر غیر بالغ زنا کند به حدّ زنای غیر محصنه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ضربه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میگردد، این حکم مورد توافق فقها</w:t>
      </w:r>
      <w:r>
        <w:rPr>
          <w:rStyle w:val="FootnoteAnchor"/>
          <w:rtl w:val="true"/>
        </w:rPr>
        <w:footnoteReference w:id="16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این است که چنان‌چه دارای شرایط احصان باشد آیا حدّ رجم بر او اجرا میشود یا فقط به صد تازیانه محکوم میگردد؟ در این باره دو نظر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 معتقد است فقط محکوم به تازیانه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 بالغ با دختری که به حدّ بلوغ نرسیده و همسالان وی نیز بالغ نمیباشند زنا کند، محکوم به 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خاصی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و باید او را صد تازیانه بزنند، البته اگر دختر را افضا نموده یا معیوب ساخته ضامن عیب نیز میباشد</w:t>
      </w:r>
      <w:r>
        <w:rPr>
          <w:rFonts w:eastAsia="IRNazanin" w:cs="IRNazanin"/>
          <w:color w:val="111111"/>
          <w:sz w:val="28"/>
          <w:szCs w:val="28"/>
          <w:rtl w:val="true"/>
          <w:lang w:bidi="fa-IR"/>
        </w:rPr>
        <w:t>».</w:t>
      </w:r>
      <w:r>
        <w:rPr>
          <w:rStyle w:val="FootnoteAnchor"/>
          <w:rtl w:val="true"/>
        </w:rPr>
        <w:footnoteReference w:id="1671"/>
      </w:r>
      <w:r>
        <w:rPr>
          <w:rFonts w:ascii="IRNazanin" w:hAnsi="IRNazanin" w:eastAsia="IRNazanin"/>
          <w:color w:val="111111"/>
          <w:sz w:val="28"/>
          <w:sz w:val="28"/>
          <w:szCs w:val="28"/>
          <w:rtl w:val="true"/>
          <w:lang w:bidi="fa-IR"/>
        </w:rPr>
        <w:t>بسیاری دیگر از فقها</w:t>
      </w:r>
      <w:r>
        <w:rPr>
          <w:rStyle w:val="FootnoteAnchor"/>
          <w:rtl w:val="true"/>
        </w:rPr>
        <w:footnoteReference w:id="1672"/>
      </w:r>
      <w:r>
        <w:rPr>
          <w:rFonts w:ascii="IRNazanin" w:hAnsi="IRNazanin" w:eastAsia="IRNazanin"/>
          <w:color w:val="111111"/>
          <w:sz w:val="28"/>
          <w:sz w:val="28"/>
          <w:szCs w:val="28"/>
          <w:rtl w:val="true"/>
          <w:lang w:bidi="fa-IR"/>
        </w:rPr>
        <w:t>از جمله محقق</w:t>
      </w:r>
      <w:r>
        <w:rPr>
          <w:rStyle w:val="FootnoteAnchor"/>
          <w:rtl w:val="true"/>
        </w:rPr>
        <w:footnoteReference w:id="1673"/>
      </w:r>
      <w:r>
        <w:rPr>
          <w:rFonts w:ascii="IRNazanin" w:hAnsi="IRNazanin" w:eastAsia="IRNazanin"/>
          <w:color w:val="111111"/>
          <w:sz w:val="28"/>
          <w:sz w:val="28"/>
          <w:szCs w:val="28"/>
          <w:rtl w:val="true"/>
          <w:lang w:bidi="fa-IR"/>
        </w:rPr>
        <w:t>و نیز علامه</w:t>
      </w:r>
      <w:r>
        <w:rPr>
          <w:rStyle w:val="FootnoteAnchor"/>
          <w:rtl w:val="true"/>
        </w:rPr>
        <w:footnoteReference w:id="1674"/>
      </w:r>
      <w:r>
        <w:rPr>
          <w:rFonts w:ascii="IRNazanin" w:hAnsi="IRNazanin" w:eastAsia="IRNazanin"/>
          <w:color w:val="111111"/>
          <w:sz w:val="28"/>
          <w:sz w:val="28"/>
          <w:szCs w:val="28"/>
          <w:rtl w:val="true"/>
          <w:lang w:bidi="fa-IR"/>
        </w:rPr>
        <w:t>و برخی از فقهای معاصر</w:t>
      </w:r>
      <w:r>
        <w:rPr>
          <w:rStyle w:val="FootnoteAnchor"/>
          <w:rtl w:val="true"/>
        </w:rPr>
        <w:footnoteReference w:id="1675"/>
      </w:r>
      <w:r>
        <w:rPr>
          <w:rFonts w:ascii="IRNazanin" w:hAnsi="IRNazanin" w:eastAsia="IRNazanin"/>
          <w:color w:val="111111"/>
          <w:sz w:val="28"/>
          <w:sz w:val="28"/>
          <w:szCs w:val="28"/>
          <w:rtl w:val="true"/>
          <w:lang w:bidi="fa-IR"/>
        </w:rPr>
        <w:t>مانند آیت الله فاضل لنکرانی قدس سره</w:t>
      </w:r>
      <w:r>
        <w:rPr>
          <w:rStyle w:val="FootnoteAnchor"/>
          <w:rtl w:val="true"/>
        </w:rPr>
        <w:footnoteReference w:id="1676"/>
      </w:r>
      <w:r>
        <w:rPr>
          <w:rFonts w:ascii="IRNazanin" w:hAnsi="IRNazanin" w:eastAsia="IRNazanin"/>
          <w:color w:val="111111"/>
          <w:sz w:val="28"/>
          <w:sz w:val="28"/>
          <w:szCs w:val="28"/>
          <w:rtl w:val="true"/>
          <w:lang w:bidi="fa-IR"/>
        </w:rPr>
        <w:t>این‌نظر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 دیدگاه برخی از روایات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موثّق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مردی با دختری که به حدّ بلوغ نرسیده است زنا نموده،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کم‌تر از حدّ محکوم میگردد و بر مرد اقامه 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تُضرَبُ الجَارِیَةُ دُونَ الحَدِّ وَ یُقَامُ عَلَی الرَّجُلِ الحَدُّ</w:t>
      </w:r>
      <w:r>
        <w:rPr>
          <w:rFonts w:eastAsia="IRNazanin" w:cs="IRNazanin"/>
          <w:color w:val="111111"/>
          <w:sz w:val="28"/>
          <w:szCs w:val="28"/>
          <w:rtl w:val="true"/>
          <w:lang w:bidi="fa-IR"/>
        </w:rPr>
        <w:t>»</w:t>
      </w:r>
      <w:r>
        <w:rPr>
          <w:rStyle w:val="FootnoteAnchor"/>
          <w:rtl w:val="true"/>
        </w:rPr>
        <w:footnoteReference w:id="1677"/>
      </w:r>
      <w:r>
        <w:rPr>
          <w:rFonts w:ascii="IRNazanin" w:hAnsi="IRNazanin" w:eastAsia="IRNazanin"/>
          <w:color w:val="111111"/>
          <w:sz w:val="28"/>
          <w:sz w:val="28"/>
          <w:szCs w:val="28"/>
          <w:rtl w:val="true"/>
          <w:lang w:bidi="fa-IR"/>
        </w:rPr>
        <w:t xml:space="preserve">مقصود از اقامه حدّ بر مرد به قرینه این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مجازات صغیره قرار گرفته، تازیانه میباشد، نه رجم،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رجم به کار نمیرود افزون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 که مقصود از حدّ تازیانه میباشد، نه رجم، زیرا بر رجم، زدن صدق نمیکند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با زنی زنا کند به حدّ محکوم‌نمیگردد، ولی اگر مردی با دختر غیر بالغی زنا کند، محکوم به حدّ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لایُحَدُّ الصَّبِیُّ إذَا وَقَعَ عَلَی المَرأةِ وَ یُحَدُّ الرَّجُلُ إذَا وَقَعَ عَلَی الصَّبِیَّةِ</w:t>
      </w:r>
      <w:r>
        <w:rPr>
          <w:rFonts w:eastAsia="IRNazanin" w:cs="IRNazanin"/>
          <w:color w:val="111111"/>
          <w:sz w:val="28"/>
          <w:szCs w:val="28"/>
          <w:rtl w:val="true"/>
          <w:lang w:bidi="fa-IR"/>
        </w:rPr>
        <w:t>»</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مقصودازحدّی‌که مرد به آن محکوم میگردد، به قرینه این که در مقابل حدّ کودک</w:t>
      </w:r>
    </w:p>
    <w:p>
      <w:pPr>
        <w:pStyle w:val="BookText"/>
        <w:rPr/>
      </w:pPr>
      <w:r>
        <w:rPr>
          <w:rFonts w:ascii="IRNazanin" w:hAnsi="IRNazanin" w:eastAsia="IRNazanin"/>
          <w:color w:val="111111"/>
          <w:sz w:val="28"/>
          <w:sz w:val="28"/>
          <w:szCs w:val="28"/>
          <w:rtl w:val="true"/>
          <w:lang w:bidi="fa-IR"/>
        </w:rPr>
        <w:t>قرار گرفته است، صد ضربه شلاق است، زیرا به طور قطع کودک محکوم به رجم نمیگردد و روایات دیگر</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 xml:space="preserve">افزون بر این با استناد به قاعده معروف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دَرء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شبهه، اجرای حدود متوقف میگردد، حد رجم نفی میگردد، زیرا صرف نظر از دلالت روایات تردید پیدا میشود که آیا مرتکب مستحق رجم میشود یا خیر؟ با استناد به این قاعده رجم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قانون مجازات اسلامی در خصوص فرض مورد بحث اظهار نظر نشده است، ولی صورت مشابه آن را موجب حدّ تازیانه دانسته و در تبصره ذیل ماده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زنای‌زن محصنه با نابالغ موجب حدّ تازیانه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که برخی دیگر از فقها اعم از متقدمین</w:t>
      </w:r>
      <w:r>
        <w:rPr>
          <w:rStyle w:val="FootnoteAnchor"/>
          <w:rtl w:val="true"/>
        </w:rPr>
        <w:footnoteReference w:id="1680"/>
      </w:r>
      <w:r>
        <w:rPr>
          <w:rFonts w:ascii="IRNazanin" w:hAnsi="IRNazanin" w:eastAsia="IRNazanin"/>
          <w:color w:val="111111"/>
          <w:sz w:val="28"/>
          <w:sz w:val="28"/>
          <w:szCs w:val="28"/>
          <w:rtl w:val="true"/>
          <w:lang w:bidi="fa-IR"/>
        </w:rPr>
        <w:t>ومعاصرین</w:t>
      </w:r>
      <w:r>
        <w:rPr>
          <w:rStyle w:val="FootnoteAnchor"/>
          <w:rtl w:val="true"/>
        </w:rPr>
        <w:footnoteReference w:id="1681"/>
      </w:r>
      <w:r>
        <w:rPr>
          <w:rFonts w:ascii="IRNazanin" w:hAnsi="IRNazanin" w:eastAsia="IRNazanin"/>
          <w:color w:val="111111"/>
          <w:sz w:val="28"/>
          <w:sz w:val="28"/>
          <w:szCs w:val="28"/>
          <w:rtl w:val="true"/>
          <w:lang w:bidi="fa-IR"/>
        </w:rPr>
        <w:t>آن را پذیرفته‌اند این که در فرض مزبور مرتکب به حدّ رجم محکوم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به اطلاق ادلّه ثبوت رجم با وجود شرایط احصان استناد نموده‌اند و معتقدند دلیلی که بتوان از اطلاق آن ادلّه صرف نظر نمود، وجود ندارد</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صاحب جواهر در توضیح این دیدگاه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در فرض مزبور عنوان زنای محصنه صادق است بنابراین اطلاق ادلّه‌ای که دلالت بر ثبوت حدّ بر فرد بالغ دارد، این مورد را شامل میشود و از سیاق ادلّه استفاده میشود حدّ باید کامل باشد و حدّ کامل با وجود شرایط احصان، رجم است</w:t>
      </w:r>
      <w:r>
        <w:rPr>
          <w:rFonts w:eastAsia="IRNazanin" w:cs="IRNazanin"/>
          <w:color w:val="111111"/>
          <w:sz w:val="28"/>
          <w:szCs w:val="28"/>
          <w:rtl w:val="true"/>
          <w:lang w:bidi="fa-IR"/>
        </w:rPr>
        <w:t>».</w:t>
      </w:r>
      <w:r>
        <w:rPr>
          <w:rStyle w:val="FootnoteAnchor"/>
          <w:rtl w:val="true"/>
        </w:rPr>
        <w:footnoteReference w:id="1683"/>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روایات وارد شده در این خصوص میتواند اطلاق ادلّه را تقیید نماید، زیرا همان گونه که توضیح داده شد مقصود از حدّ در آنها تازیانه است و مجازات رجم را شامل نمیگردد</w:t>
      </w:r>
      <w:r>
        <w:rPr>
          <w:rFonts w:eastAsia="IRNazanin" w:cs="IRNazanin"/>
          <w:color w:val="111111"/>
          <w:sz w:val="28"/>
          <w:szCs w:val="28"/>
          <w:rtl w:val="true"/>
          <w:lang w:bidi="fa-IR"/>
        </w:rPr>
        <w:t>.</w:t>
      </w:r>
      <w:bookmarkStart w:id="757" w:name="pg13713_164675"/>
    </w:p>
    <w:p>
      <w:pPr>
        <w:pStyle w:val="Heading4"/>
        <w:numPr>
          <w:ilvl w:val="3"/>
          <w:numId w:val="1"/>
        </w:numPr>
        <w:rPr/>
      </w:pPr>
      <w:bookmarkStart w:id="758" w:name="__RefHeading___Toc1259868_1468164448"/>
      <w:bookmarkStart w:id="759" w:name="_Toc279"/>
      <w:bookmarkEnd w:id="757"/>
      <w:bookmarkEnd w:id="758"/>
      <w:r>
        <w:rPr/>
        <w:t>2</w:t>
      </w:r>
      <w:r>
        <w:rPr>
          <w:rtl w:val="true"/>
        </w:rPr>
        <w:t xml:space="preserve">- </w:t>
      </w:r>
      <w:r>
        <w:rPr>
          <w:rtl w:val="true"/>
        </w:rPr>
        <w:t>لواط با کودک</w:t>
      </w:r>
      <w:bookmarkEnd w:id="759"/>
    </w:p>
    <w:p>
      <w:pPr>
        <w:pStyle w:val="BookText"/>
        <w:rPr/>
      </w:pPr>
      <w:r>
        <w:rPr>
          <w:rStyle w:val="FootnoteAnchor"/>
          <w:rtl w:val="true"/>
        </w:rPr>
        <w:footnoteReference w:id="1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لواط و تفخیذ و حکم آن</w:t>
      </w:r>
    </w:p>
    <w:p>
      <w:pPr>
        <w:pStyle w:val="BookText"/>
        <w:rPr/>
      </w:pPr>
      <w:r>
        <w:rPr>
          <w:rFonts w:ascii="IRNazanin" w:hAnsi="IRNazanin" w:eastAsia="IRNazanin"/>
          <w:color w:val="111111"/>
          <w:sz w:val="28"/>
          <w:sz w:val="28"/>
          <w:szCs w:val="28"/>
          <w:rtl w:val="true"/>
          <w:lang w:bidi="fa-IR"/>
        </w:rPr>
        <w:t>لواط در لغت از ماده لاط به معنی چسبیدن است و مقصود از آن در اصطلاح فقه جماع نمودن دو مذکّر با یکدگیر است، اعم از این که حشفه در دُبر پنهان شود یا نشود،</w:t>
      </w:r>
      <w:r>
        <w:rPr>
          <w:rStyle w:val="FootnoteAnchor"/>
          <w:rtl w:val="true"/>
        </w:rPr>
        <w:footnoteReference w:id="1685"/>
      </w:r>
      <w:r>
        <w:rPr>
          <w:rFonts w:ascii="IRNazanin" w:hAnsi="IRNazanin" w:eastAsia="IRNazanin"/>
          <w:color w:val="111111"/>
          <w:sz w:val="28"/>
          <w:sz w:val="28"/>
          <w:szCs w:val="28"/>
          <w:rtl w:val="true"/>
          <w:lang w:bidi="fa-IR"/>
        </w:rPr>
        <w:t>البته بعضی پنهان شدن حشفه را شرط دانسته‌اند،</w:t>
      </w:r>
      <w:r>
        <w:rPr>
          <w:rStyle w:val="FootnoteAnchor"/>
          <w:rtl w:val="true"/>
        </w:rPr>
        <w:footnoteReference w:id="1686"/>
      </w:r>
      <w:r>
        <w:rPr>
          <w:rFonts w:ascii="IRNazanin" w:hAnsi="IRNazanin" w:eastAsia="IRNazanin"/>
          <w:color w:val="111111"/>
          <w:sz w:val="28"/>
          <w:sz w:val="28"/>
          <w:szCs w:val="28"/>
          <w:rtl w:val="true"/>
          <w:lang w:bidi="fa-IR"/>
        </w:rPr>
        <w:t xml:space="preserve">قانون مجازات اسلامی نیز در ماده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این گونه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لواط وطی انسان مذکر است چه به صورت دخول باشد یا تفخیذ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تعریف لواط معلوم میشود که در تحقق آن شرط است که مفعول مذکر باشد بنابراین اگر مفعول مؤنث باشد لواط محقّق نمیگردد، بلکه زنا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تفخیذعبارت است از مالیدن آلت تناسلی مرد به ران یا در میان دو الیه و کفل</w:t>
      </w:r>
      <w:r>
        <w:rPr>
          <w:rFonts w:eastAsia="IRNazanin" w:cs="IRNazanin"/>
          <w:color w:val="111111"/>
          <w:sz w:val="28"/>
          <w:szCs w:val="28"/>
          <w:rtl w:val="true"/>
          <w:lang w:bidi="fa-IR"/>
        </w:rPr>
        <w:t>.</w:t>
      </w:r>
      <w:r>
        <w:rPr>
          <w:rStyle w:val="FootnoteAnchor"/>
          <w:rtl w:val="true"/>
        </w:rPr>
        <w:footnoteReference w:id="1687"/>
      </w:r>
    </w:p>
    <w:p>
      <w:pPr>
        <w:pStyle w:val="BookText"/>
        <w:rPr/>
      </w:pPr>
      <w:r>
        <w:rPr>
          <w:rFonts w:ascii="IRNazanin" w:hAnsi="IRNazanin" w:eastAsia="IRNazanin"/>
          <w:color w:val="111111"/>
          <w:sz w:val="28"/>
          <w:sz w:val="28"/>
          <w:szCs w:val="28"/>
          <w:rtl w:val="true"/>
          <w:lang w:bidi="fa-IR"/>
        </w:rPr>
        <w:t>حرمت لواط یکی از مسائل ضروری و مسلّم دین اسلام است و آیات و روایات فراوانی بر آن دلالت دارد، از جمله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لُوطاً إِذْ قالَ لِقَوْمِهِ أَ تَأْتُونَ الْفاحِشَةَ ما سَبَقَکُمْ بِها مِنْ أَحَدٍ مِنَ الْعالَمِینَ، إِنَّکُمْ لَتَأْتُونَ الرِّجالَ شَهْوَةً مِنْ دُونِ النِّساءِ 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لوط به قوم خود گفت آیا مرتکب فحشا و ننگی میشوید که هیچ کس قبل از شما انجام نداده است آیا برای شهوت رانی به جای زنان به سراغ مردان میروید، بلکه شما گروهی اسراف کار میباشید</w:t>
      </w:r>
      <w:r>
        <w:rPr>
          <w:rFonts w:eastAsia="IRNazanin" w:cs="IRNazanin"/>
          <w:color w:val="111111"/>
          <w:sz w:val="28"/>
          <w:szCs w:val="28"/>
          <w:rtl w:val="true"/>
          <w:lang w:bidi="fa-IR"/>
        </w:rPr>
        <w:t>.</w:t>
      </w:r>
      <w:r>
        <w:rPr>
          <w:rStyle w:val="FootnoteAnchor"/>
          <w:rtl w:val="true"/>
        </w:rPr>
        <w:footnoteReference w:id="1688"/>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پیغمبر اکرم صلی الله علیه و آله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کودکی مجامعت نماید در قیامت جُنُب محشور میگردد و آب دنیا او را پاک نمیکند و خداوند بر او غضب نموده و از رحمت خود دور میدارد و جهنم را برای او آماده ساخته و</w:t>
      </w:r>
    </w:p>
    <w:p>
      <w:pPr>
        <w:pStyle w:val="BookText"/>
        <w:rPr/>
      </w:pPr>
      <w:r>
        <w:rPr>
          <w:rFonts w:ascii="IRNazanin" w:hAnsi="IRNazanin" w:eastAsia="IRNazanin"/>
          <w:color w:val="111111"/>
          <w:sz w:val="28"/>
          <w:sz w:val="28"/>
          <w:szCs w:val="28"/>
          <w:rtl w:val="true"/>
          <w:lang w:bidi="fa-IR"/>
        </w:rPr>
        <w:t>بدجایگاهی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مذکّر بر مذکّر دیگری قرار میگیرد، عرش خدا میلرزد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الذَّکَرَ لَیَرکَبُ الذَّکَرَ فَیَهتَزُّ العَرشُ لِذَلِکَ</w:t>
      </w:r>
      <w:r>
        <w:rPr>
          <w:rFonts w:eastAsia="IRNazanin" w:cs="IRNazanin"/>
          <w:color w:val="111111"/>
          <w:sz w:val="28"/>
          <w:szCs w:val="28"/>
          <w:rtl w:val="true"/>
          <w:lang w:bidi="fa-IR"/>
        </w:rPr>
        <w:t>»</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لواط</w:t>
      </w:r>
    </w:p>
    <w:p>
      <w:pPr>
        <w:pStyle w:val="BookText"/>
        <w:rPr/>
      </w:pPr>
      <w:r>
        <w:rPr>
          <w:rFonts w:ascii="IRNazanin" w:hAnsi="IRNazanin" w:eastAsia="IRNazanin"/>
          <w:color w:val="111111"/>
          <w:sz w:val="28"/>
          <w:sz w:val="28"/>
          <w:szCs w:val="28"/>
          <w:rtl w:val="true"/>
          <w:lang w:bidi="fa-IR"/>
        </w:rPr>
        <w:t>لواط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دخول در دُبر به اندازه حشفه و حدّ آن در صورتی که فاعل، بالغ، عاقل، و دارای اختیار باشد، 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تفخیذ بدون این که دخول صورت پذیرد و حدّ آن اگر فاعل واجد شرایطی که ذکر شد باشد، صد تازیانه است، این حکم تا حدودی مورد توافق فقها است</w:t>
      </w:r>
      <w:r>
        <w:rPr>
          <w:rFonts w:eastAsia="IRNazanin" w:cs="IRNazanin"/>
          <w:color w:val="111111"/>
          <w:sz w:val="28"/>
          <w:szCs w:val="28"/>
          <w:rtl w:val="true"/>
          <w:lang w:bidi="fa-IR"/>
        </w:rPr>
        <w:t>.</w:t>
      </w:r>
      <w:r>
        <w:rPr>
          <w:rStyle w:val="FootnoteAnchor"/>
          <w:rtl w:val="true"/>
        </w:rPr>
        <w:footnoteReference w:id="1690"/>
      </w:r>
      <w:r>
        <w:rPr>
          <w:rFonts w:ascii="IRNazanin" w:hAnsi="IRNazanin" w:eastAsia="IRNazanin"/>
          <w:color w:val="111111"/>
          <w:sz w:val="28"/>
          <w:sz w:val="28"/>
          <w:szCs w:val="28"/>
          <w:rtl w:val="true"/>
          <w:lang w:bidi="fa-IR"/>
        </w:rPr>
        <w:t>البته اگر فاعل یا مفعول کودک باشد تأدیب میشوند و تحقیق آن در فصل بعد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از بزرگان و متقدمین فقهای شیعه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فاعل در عمل شنیع لواط در صورتی که دخول نباشد و فقط آلت تناسلی در بین ران مفعول قرار دهد صد ضربه شلّاق است و همچنین حدّ مفعول در صورتی که هر دو بالغ و عاقل باشند و در اجرای آن رعایت شرایط احصان معتبر نیست و چنان‌چه دخول انجام شود حدّ آن قتل است، هر چند شرایط احصان نباشد</w:t>
      </w:r>
      <w:r>
        <w:rPr>
          <w:rFonts w:eastAsia="IRNazanin" w:cs="IRNazanin"/>
          <w:color w:val="111111"/>
          <w:sz w:val="28"/>
          <w:szCs w:val="28"/>
          <w:rtl w:val="true"/>
          <w:lang w:bidi="fa-IR"/>
        </w:rPr>
        <w:t>».</w:t>
      </w:r>
      <w:r>
        <w:rPr>
          <w:rStyle w:val="FootnoteAnchor"/>
          <w:rtl w:val="true"/>
        </w:rPr>
        <w:footnoteReference w:id="1691"/>
      </w:r>
      <w:r>
        <w:rPr>
          <w:rFonts w:ascii="IRNazanin" w:hAnsi="IRNazanin" w:eastAsia="IRNazanin"/>
          <w:color w:val="111111"/>
          <w:sz w:val="28"/>
          <w:sz w:val="28"/>
          <w:szCs w:val="28"/>
          <w:rtl w:val="true"/>
          <w:lang w:bidi="fa-IR"/>
        </w:rPr>
        <w:t>هم چنین شهید ثانی در این باره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با مذکر اعم از این که دخول صورت پذیرد یا صرف تفخیذ باشد، لواط بر آن اطلاق میشود هرچند حکم این دو مختلف است و اطلاق وطی بر قسم دوم مجازی است</w:t>
      </w:r>
      <w:r>
        <w:rPr>
          <w:rFonts w:eastAsia="IRNazanin" w:cs="IRNazanin"/>
          <w:color w:val="111111"/>
          <w:sz w:val="28"/>
          <w:szCs w:val="28"/>
          <w:rtl w:val="true"/>
          <w:lang w:bidi="fa-IR"/>
        </w:rPr>
        <w:t>.</w:t>
      </w:r>
      <w:r>
        <w:rPr>
          <w:rStyle w:val="FootnoteAnchor"/>
          <w:rtl w:val="true"/>
        </w:rPr>
        <w:footnoteReference w:id="1692"/>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فقها امامیه در حدّ لواط در قانون مجازات اسلامی نیز پذیرفته شده و در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مرد بالغ و عاقل با نابالغی لواط کند، فاعل کشته میشود و مفعول اگر مکره نباشد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تعزیر میشود</w:t>
      </w:r>
      <w:r>
        <w:rPr>
          <w:rFonts w:eastAsia="IRNazanin" w:cs="IRNazanin"/>
          <w:color w:val="111111"/>
          <w:sz w:val="28"/>
          <w:szCs w:val="28"/>
          <w:rtl w:val="true"/>
          <w:lang w:bidi="fa-IR"/>
        </w:rPr>
        <w:t>».</w:t>
      </w:r>
      <w:bookmarkStart w:id="760" w:name="pg13713_164677"/>
    </w:p>
    <w:p>
      <w:pPr>
        <w:pStyle w:val="BookText"/>
        <w:rPr/>
      </w:pPr>
      <w:bookmarkEnd w:id="760"/>
      <w:r>
        <w:rPr>
          <w:rFonts w:ascii="IRNazanin" w:hAnsi="IRNazanin" w:eastAsia="IRNazanin"/>
          <w:color w:val="111111"/>
          <w:sz w:val="28"/>
          <w:sz w:val="28"/>
          <w:szCs w:val="28"/>
          <w:rtl w:val="true"/>
          <w:lang w:bidi="fa-IR"/>
        </w:rPr>
        <w:t>به هر صورت دلیل وجوب اجرای حدّ بر فرد بالغی که با کودک عمل شنیع لواط نموده روایاتی در حدّ استفاضه است،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را با کودکی در زیر یک رختخواب برهنه ببینند بر مرد اجرای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ضربه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کودک تأدیب میگردد و اگر دخول انجام شده مرد محکوم به رجم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الرَّجُلُ وَ أُدِّبَ الغُلامُ وَ ان کَانَ ثََقَبَ وَ کَانَ مُحصِنَاً رُجِمَ</w:t>
      </w:r>
      <w:r>
        <w:rPr>
          <w:rFonts w:eastAsia="IRNazanin" w:cs="IRNazanin"/>
          <w:color w:val="111111"/>
          <w:sz w:val="28"/>
          <w:szCs w:val="28"/>
          <w:rtl w:val="true"/>
          <w:lang w:bidi="fa-IR"/>
        </w:rPr>
        <w:t>»</w:t>
      </w:r>
      <w:r>
        <w:rPr>
          <w:rStyle w:val="FootnoteAnchor"/>
          <w:rtl w:val="true"/>
        </w:rPr>
        <w:footnoteReference w:id="1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زنی را به نزد حضرت امیرالمؤمنین علیه السلام آوردند که مرد با فرزند زن که از شوهر دیگری بود لواط کرده و دخول انجام شده بود و شهود بر علیه او شهادت دادند، حضرت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با شمشیر کشتند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عَلیهِ بِذلِکَ الشُّهُودُ فَأَمَرَ بِهِعلیه السلام فَضُرِبَ بالسَّیفِ حَتَّی قُتِلَ</w:t>
      </w:r>
      <w:r>
        <w:rPr>
          <w:rFonts w:eastAsia="Amiri" w:cs="Amiri" w:ascii="Amiri" w:hAnsi="Amiri"/>
          <w:color w:val="111111"/>
          <w:sz w:val="28"/>
          <w:szCs w:val="28"/>
          <w:rtl w:val="true"/>
          <w:lang w:bidi="ar-SA"/>
        </w:rPr>
        <w:t>»</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1" w:name="__RefHeading___Toc1259870_1468164448"/>
      <w:bookmarkStart w:id="762" w:name="_Toc280"/>
      <w:bookmarkEnd w:id="761"/>
      <w:r>
        <w:rPr/>
        <w:t>3</w:t>
      </w:r>
      <w:r>
        <w:rPr>
          <w:rtl w:val="true"/>
        </w:rPr>
        <w:t xml:space="preserve">- </w:t>
      </w:r>
      <w:r>
        <w:rPr>
          <w:rtl w:val="true"/>
        </w:rPr>
        <w:t>تعزیر بوسیدن کودک با انگیزه شهوانی</w:t>
      </w:r>
      <w:bookmarkEnd w:id="762"/>
    </w:p>
    <w:p>
      <w:pPr>
        <w:pStyle w:val="BookText"/>
        <w:rPr/>
      </w:pPr>
      <w:r>
        <w:rPr>
          <w:rFonts w:ascii="IRNazanin" w:hAnsi="IRNazanin" w:eastAsia="IRNazanin"/>
          <w:color w:val="111111"/>
          <w:sz w:val="28"/>
          <w:sz w:val="28"/>
          <w:szCs w:val="28"/>
          <w:rtl w:val="true"/>
          <w:lang w:bidi="fa-IR"/>
        </w:rPr>
        <w:t>به اتفاق فقها بوسیدن کودک به جهت لذّت جنسی و انگیزه شهوانی و امیال نفسانی جایز نیست و مرتکب مستحق تعزیر میگردد</w:t>
      </w:r>
      <w:r>
        <w:rPr>
          <w:rFonts w:eastAsia="IRNazanin" w:cs="IRNazanin"/>
          <w:color w:val="111111"/>
          <w:sz w:val="28"/>
          <w:szCs w:val="28"/>
          <w:rtl w:val="true"/>
          <w:lang w:bidi="fa-IR"/>
        </w:rPr>
        <w:t>.</w:t>
      </w:r>
      <w:r>
        <w:rPr>
          <w:rStyle w:val="FootnoteAnchor"/>
          <w:rtl w:val="true"/>
        </w:rPr>
        <w:footnoteReference w:id="1695"/>
      </w:r>
      <w:r>
        <w:rPr>
          <w:rFonts w:ascii="IRNazanin" w:hAnsi="IRNazanin" w:eastAsia="IRNazanin"/>
          <w:color w:val="111111"/>
          <w:sz w:val="28"/>
          <w:sz w:val="28"/>
          <w:szCs w:val="28"/>
          <w:rtl w:val="true"/>
          <w:lang w:bidi="fa-IR"/>
        </w:rPr>
        <w:t>دلیل آن روایات بسیاری است، به عنوان نمونه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پیغمبر اکرم صلی الله علیه و آله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کودکی را با قصد شهوت ببوسد، خداوند او رادر روز قیامت با لجامی از آتش وارد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غُلامَاً مِن شَهوَةٍ الجَمَهُ اللهُ یَومَ القِیَامَةِ بِلِجَامٍ مِن نَارٍ</w:t>
      </w:r>
      <w:r>
        <w:rPr>
          <w:rFonts w:eastAsia="IRNazanin" w:cs="IRNazanin"/>
          <w:color w:val="111111"/>
          <w:sz w:val="28"/>
          <w:szCs w:val="28"/>
          <w:rtl w:val="true"/>
          <w:lang w:bidi="fa-IR"/>
        </w:rPr>
        <w:t>».</w:t>
      </w:r>
      <w:r>
        <w:rPr>
          <w:rStyle w:val="FootnoteAnchor"/>
          <w:rtl w:val="true"/>
        </w:rPr>
        <w:footnoteReference w:id="1696"/>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الفقه که منسوب به امام رضا علیه السلام است از ایشان نقل شده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کودکی را با انگیزه شهوانی ببوسد، ملائکه آسمان و</w:t>
      </w:r>
      <w:bookmarkStart w:id="763" w:name="pg13713_164678"/>
    </w:p>
    <w:p>
      <w:pPr>
        <w:pStyle w:val="BookText"/>
        <w:rPr/>
      </w:pPr>
      <w:bookmarkEnd w:id="763"/>
      <w:r>
        <w:rPr>
          <w:rFonts w:ascii="IRNazanin" w:hAnsi="IRNazanin" w:eastAsia="IRNazanin"/>
          <w:color w:val="111111"/>
          <w:sz w:val="28"/>
          <w:sz w:val="28"/>
          <w:szCs w:val="28"/>
          <w:rtl w:val="true"/>
          <w:lang w:bidi="fa-IR"/>
        </w:rPr>
        <w:t>ملائکه زمین، هم چنین ملائکه غضب و رحمت، او را لعنت نموده و درخواست دوری او از رحمت پروردگار را دارند و برای او جهنم که جایگاه بدی است مهیا گردیده است</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ascii="IRNazanin" w:hAnsi="IRNazanin" w:eastAsia="IRNazanin"/>
          <w:color w:val="111111"/>
          <w:sz w:val="28"/>
          <w:sz w:val="28"/>
          <w:szCs w:val="28"/>
          <w:rtl w:val="true"/>
          <w:lang w:bidi="fa-IR"/>
        </w:rPr>
        <w:t xml:space="preserve">قانون مجازات اسلامی نیز به تبعیت از فقها بوسیدن فرد دیگری را از روی شهوت جرم دانسته و در ماده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دیگری را از روی شهوت ببوسد تا شصت ضربه شلاق تعزیر میشود</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البته بوسیدن کودک به جهت اظهار محبّت و نشان دادن علاقه پدری و یا مادری و خویشاوندی و به خاطر انگیزه دینی و الهی دارای اجر معنوی است و عبادت محسوب میشود، چنان‌که برخی از فقها به آن تصریح نموده‌اند و روایاتی بر آن دلالت دارد که در بحث تعلیم و تربیت به آن اشاره شد</w:t>
      </w:r>
      <w:r>
        <w:rPr>
          <w:rFonts w:eastAsia="IRNazanin" w:cs="IRNazanin"/>
          <w:color w:val="111111"/>
          <w:sz w:val="28"/>
          <w:szCs w:val="28"/>
          <w:rtl w:val="true"/>
          <w:lang w:bidi="fa-IR"/>
        </w:rPr>
        <w:t>.</w:t>
      </w:r>
      <w:r>
        <w:rPr>
          <w:rStyle w:val="FootnoteAnchor"/>
          <w:rtl w:val="true"/>
        </w:rPr>
        <w:footnoteReference w:id="1699"/>
      </w:r>
    </w:p>
    <w:p>
      <w:pPr>
        <w:pStyle w:val="Heading4"/>
        <w:numPr>
          <w:ilvl w:val="3"/>
          <w:numId w:val="1"/>
        </w:numPr>
        <w:rPr/>
      </w:pPr>
      <w:bookmarkStart w:id="764" w:name="__RefHeading___Toc1259872_1468164448"/>
      <w:bookmarkStart w:id="765" w:name="_Toc281"/>
      <w:bookmarkEnd w:id="764"/>
      <w:r>
        <w:rPr/>
        <w:t>4</w:t>
      </w:r>
      <w:r>
        <w:rPr>
          <w:rtl w:val="true"/>
        </w:rPr>
        <w:t xml:space="preserve">- </w:t>
      </w:r>
      <w:r>
        <w:rPr>
          <w:rtl w:val="true"/>
        </w:rPr>
        <w:t>احکام فقهی مترتّب بر لواط با کودک</w:t>
      </w:r>
      <w:bookmarkEnd w:id="76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اختلافی در بین فقها دیده نشده اگر کسی با پسری عمل شنیع لواط انجام دهد مادر مفعول و هر کس در این سلسله قرار گیرد، یعنی مادر مادر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برفاعل حرام میشود و نمیتواند با آنها ازدواج نماید، هم چنین دختر مفعول و دختر دختر او و دختر پسر وی و نیز خواهر مفعول بر فاعل حرام ابدی میشوند و جایز نیست با آنها عقد نکاح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مفید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بر کودکی جنایت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دخول صورت پذیرد، خواهر و مادر و دختر او به طور دائم بر او حرام میشود و نمیتواند آنها را به عقد نکاح خود در آورد</w:t>
      </w:r>
      <w:r>
        <w:rPr>
          <w:rFonts w:eastAsia="IRNazanin" w:cs="IRNazanin"/>
          <w:color w:val="111111"/>
          <w:sz w:val="28"/>
          <w:szCs w:val="28"/>
          <w:rtl w:val="true"/>
          <w:lang w:bidi="fa-IR"/>
        </w:rPr>
        <w:t>».</w:t>
      </w:r>
      <w:r>
        <w:rPr>
          <w:rStyle w:val="FootnoteAnchor"/>
          <w:rtl w:val="true"/>
        </w:rPr>
        <w:footnoteReference w:id="1700"/>
      </w:r>
      <w:r>
        <w:rPr>
          <w:rFonts w:ascii="IRNazanin" w:hAnsi="IRNazanin" w:eastAsia="IRNazanin"/>
          <w:color w:val="111111"/>
          <w:sz w:val="28"/>
          <w:sz w:val="28"/>
          <w:szCs w:val="28"/>
          <w:rtl w:val="true"/>
          <w:lang w:bidi="fa-IR"/>
        </w:rPr>
        <w:t>عبارت بسیاری دیگر از فقها</w:t>
      </w:r>
      <w:r>
        <w:rPr>
          <w:rStyle w:val="FootnoteAnchor"/>
          <w:rtl w:val="true"/>
        </w:rPr>
        <w:footnoteReference w:id="1701"/>
      </w:r>
      <w:r>
        <w:rPr>
          <w:rFonts w:ascii="IRNazanin" w:hAnsi="IRNazanin" w:eastAsia="IRNazanin"/>
          <w:color w:val="111111"/>
          <w:sz w:val="28"/>
          <w:sz w:val="28"/>
          <w:szCs w:val="28"/>
          <w:rtl w:val="true"/>
          <w:lang w:bidi="fa-IR"/>
        </w:rPr>
        <w:t>قریب به همین مضمون میباشد</w:t>
      </w:r>
      <w:r>
        <w:rPr>
          <w:rFonts w:eastAsia="IRNazanin" w:cs="IRNazanin"/>
          <w:color w:val="111111"/>
          <w:sz w:val="28"/>
          <w:szCs w:val="28"/>
          <w:rtl w:val="true"/>
          <w:lang w:bidi="fa-IR"/>
        </w:rPr>
        <w:t>.</w:t>
      </w:r>
      <w:bookmarkStart w:id="766" w:name="pg13713_164679"/>
    </w:p>
    <w:p>
      <w:pPr>
        <w:pStyle w:val="Heading4"/>
        <w:numPr>
          <w:ilvl w:val="3"/>
          <w:numId w:val="1"/>
        </w:numPr>
        <w:rPr/>
      </w:pPr>
      <w:bookmarkStart w:id="767" w:name="__RefHeading___Toc1259874_1468164448"/>
      <w:bookmarkStart w:id="768" w:name="_Toc282"/>
      <w:bookmarkEnd w:id="766"/>
      <w:bookmarkEnd w:id="767"/>
      <w:r>
        <w:rPr/>
        <w:t>5</w:t>
      </w:r>
      <w:r>
        <w:rPr>
          <w:rtl w:val="true"/>
        </w:rPr>
        <w:t xml:space="preserve">- </w:t>
      </w:r>
      <w:r>
        <w:rPr>
          <w:rtl w:val="true"/>
        </w:rPr>
        <w:t>دلیل این حکم</w:t>
      </w:r>
      <w:bookmarkEnd w:id="768"/>
    </w:p>
    <w:p>
      <w:pPr>
        <w:pStyle w:val="BookText"/>
        <w:rPr/>
      </w:pPr>
      <w:r>
        <w:rPr>
          <w:rFonts w:ascii="IRNazanin" w:hAnsi="IRNazanin" w:eastAsia="IRNazanin"/>
          <w:color w:val="111111"/>
          <w:sz w:val="28"/>
          <w:sz w:val="28"/>
          <w:szCs w:val="28"/>
          <w:rtl w:val="true"/>
          <w:lang w:bidi="fa-IR"/>
        </w:rPr>
        <w:t>دلیل این حکم، علاوه بر اجماع</w:t>
      </w:r>
      <w:r>
        <w:rPr>
          <w:rStyle w:val="FootnoteAnchor"/>
          <w:rtl w:val="true"/>
        </w:rPr>
        <w:footnoteReference w:id="1702"/>
      </w:r>
      <w:r>
        <w:rPr>
          <w:rFonts w:ascii="IRNazanin" w:hAnsi="IRNazanin" w:eastAsia="IRNazanin"/>
          <w:color w:val="111111"/>
          <w:sz w:val="28"/>
          <w:sz w:val="28"/>
          <w:szCs w:val="28"/>
          <w:rtl w:val="true"/>
          <w:lang w:bidi="fa-IR"/>
        </w:rPr>
        <w:t>فقها که به تعبیر بعضی از بزرگان در بالاترین مرتبه استفاضه و تواتر میباشد</w:t>
      </w:r>
      <w:r>
        <w:rPr>
          <w:rStyle w:val="FootnoteAnchor"/>
          <w:rtl w:val="true"/>
        </w:rPr>
        <w:footnoteReference w:id="1703"/>
      </w:r>
      <w:r>
        <w:rPr>
          <w:rFonts w:ascii="IRNazanin" w:hAnsi="IRNazanin" w:eastAsia="IRNazanin"/>
          <w:color w:val="111111"/>
          <w:sz w:val="28"/>
          <w:sz w:val="28"/>
          <w:szCs w:val="28"/>
          <w:rtl w:val="true"/>
          <w:lang w:bidi="fa-IR"/>
        </w:rPr>
        <w:t>، روایاتی است در حدّ استفاضه، 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معتبر حمّاد بن 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مردی‌با کودکی عمل لواط انجام داده آیا خواهر او برای وی حلال است و میتواند ازدواج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دخول انجام شده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ثَقَبَ فَلا</w:t>
      </w:r>
      <w:r>
        <w:rPr>
          <w:rFonts w:eastAsia="IRNazanin" w:cs="IRNazanin"/>
          <w:color w:val="111111"/>
          <w:sz w:val="28"/>
          <w:szCs w:val="28"/>
          <w:rtl w:val="true"/>
          <w:lang w:bidi="fa-IR"/>
        </w:rPr>
        <w:t>»</w:t>
      </w:r>
      <w:r>
        <w:rPr>
          <w:rStyle w:val="FootnoteAnchor"/>
          <w:rtl w:val="true"/>
        </w:rPr>
        <w:footnoteReference w:id="17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مضمون را راوی دیگری از آن حضرت نقل نموده است</w:t>
      </w:r>
      <w:r>
        <w:rPr>
          <w:rFonts w:eastAsia="IRNazanin" w:cs="IRNazanin"/>
          <w:color w:val="111111"/>
          <w:sz w:val="28"/>
          <w:szCs w:val="28"/>
          <w:rtl w:val="true"/>
          <w:lang w:bidi="fa-IR"/>
        </w:rPr>
        <w:t>.</w:t>
      </w:r>
    </w:p>
    <w:p>
      <w:pPr>
        <w:pStyle w:val="BookText"/>
        <w:rPr/>
      </w:pPr>
      <w:r>
        <w:rPr>
          <w:rStyle w:val="FootnoteAnchor"/>
          <w:rtl w:val="true"/>
        </w:rPr>
        <w:footnoteReference w:id="170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صحیح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خواهر مفعول بر فاعل حرام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اوقَبَ حَرُمَت عَلیهِ ابنَتُهُ وَ اختُهُ</w:t>
      </w:r>
      <w:r>
        <w:rPr>
          <w:rFonts w:eastAsia="IRNazanin" w:cs="IRNazanin"/>
          <w:color w:val="111111"/>
          <w:sz w:val="28"/>
          <w:szCs w:val="28"/>
          <w:rtl w:val="true"/>
          <w:lang w:bidi="fa-IR"/>
        </w:rPr>
        <w:t>»</w:t>
      </w:r>
      <w:r>
        <w:rPr>
          <w:rStyle w:val="FootnoteAnchor"/>
          <w:rtl w:val="true"/>
        </w:rPr>
        <w:footnoteReference w:id="1706"/>
      </w:r>
    </w:p>
    <w:p>
      <w:pPr>
        <w:pStyle w:val="Heading4"/>
        <w:numPr>
          <w:ilvl w:val="3"/>
          <w:numId w:val="1"/>
        </w:numPr>
        <w:rPr/>
      </w:pPr>
      <w:bookmarkStart w:id="769" w:name="__RefHeading___Toc1259876_1468164448"/>
      <w:bookmarkStart w:id="770" w:name="_Toc283"/>
      <w:bookmarkEnd w:id="769"/>
      <w:r>
        <w:rPr/>
        <w:t>6</w:t>
      </w:r>
      <w:r>
        <w:rPr>
          <w:rtl w:val="true"/>
        </w:rPr>
        <w:t xml:space="preserve">- </w:t>
      </w:r>
      <w:r>
        <w:rPr>
          <w:rtl w:val="true"/>
        </w:rPr>
        <w:t>تذکّر چند مطلب در ارتباط با این حکم</w:t>
      </w:r>
      <w:bookmarkEnd w:id="7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نیز عبارات فقها عنوان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قرار گرفته و حکم بر آن مترتّب میگردد و دخول با ادخال قسمتی از حشفه نیز صادق است، چنان که بسیاری از فقها</w:t>
      </w:r>
      <w:r>
        <w:rPr>
          <w:rStyle w:val="FootnoteAnchor"/>
          <w:rtl w:val="true"/>
        </w:rPr>
        <w:footnoteReference w:id="1707"/>
      </w:r>
      <w:r>
        <w:rPr>
          <w:rFonts w:ascii="IRNazanin" w:hAnsi="IRNazanin" w:eastAsia="IRNazanin"/>
          <w:color w:val="111111"/>
          <w:sz w:val="28"/>
          <w:sz w:val="28"/>
          <w:szCs w:val="28"/>
          <w:rtl w:val="true"/>
          <w:lang w:bidi="fa-IR"/>
        </w:rPr>
        <w:t>به‌آن تصریح نموده‌اند، البته بعضی ادخال بعضی از حشفه را در نشر حرمت کافی نمیدانند</w:t>
      </w:r>
      <w:r>
        <w:rPr>
          <w:rFonts w:eastAsia="IRNazanin" w:cs="IRNazanin"/>
          <w:color w:val="111111"/>
          <w:sz w:val="28"/>
          <w:szCs w:val="28"/>
          <w:rtl w:val="true"/>
          <w:lang w:bidi="fa-IR"/>
        </w:rPr>
        <w:t>.</w:t>
      </w:r>
      <w:r>
        <w:rPr>
          <w:rStyle w:val="FootnoteAnchor"/>
          <w:rtl w:val="true"/>
        </w:rPr>
        <w:footnoteReference w:id="1708"/>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مطرح است که آیا این حکم فقط در موردی است که فاعل کبیر باشد یا این که بین کودک و بالغ 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نظر مطرح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معتقدند در این حکم بین صغیر و کبیر فرقی نیست</w:t>
      </w:r>
      <w:r>
        <w:rPr>
          <w:rFonts w:eastAsia="IRNazanin" w:cs="IRNazanin"/>
          <w:color w:val="111111"/>
          <w:sz w:val="28"/>
          <w:szCs w:val="28"/>
          <w:rtl w:val="true"/>
          <w:lang w:bidi="fa-IR"/>
        </w:rPr>
        <w:t>.</w:t>
      </w:r>
      <w:r>
        <w:rPr>
          <w:rStyle w:val="FootnoteAnchor"/>
          <w:rtl w:val="true"/>
        </w:rPr>
        <w:footnoteReference w:id="1709"/>
      </w:r>
      <w:r>
        <w:rPr>
          <w:rFonts w:ascii="IRNazanin" w:hAnsi="IRNazanin" w:eastAsia="IRNazanin"/>
          <w:color w:val="111111"/>
          <w:sz w:val="28"/>
          <w:sz w:val="28"/>
          <w:szCs w:val="28"/>
          <w:rtl w:val="true"/>
          <w:lang w:bidi="fa-IR"/>
        </w:rPr>
        <w:t>در مقابل</w:t>
      </w:r>
    </w:p>
    <w:p>
      <w:pPr>
        <w:pStyle w:val="BookText"/>
        <w:rPr/>
      </w:pPr>
      <w:r>
        <w:rPr>
          <w:rFonts w:ascii="IRNazanin" w:hAnsi="IRNazanin" w:eastAsia="IRNazanin"/>
          <w:color w:val="111111"/>
          <w:sz w:val="28"/>
          <w:sz w:val="28"/>
          <w:szCs w:val="28"/>
          <w:rtl w:val="true"/>
          <w:lang w:bidi="fa-IR"/>
        </w:rPr>
        <w:t>بعضی دیگر از فقها</w:t>
      </w:r>
      <w:r>
        <w:rPr>
          <w:rStyle w:val="FootnoteAnchor"/>
          <w:rtl w:val="true"/>
        </w:rPr>
        <w:footnoteReference w:id="1710"/>
      </w:r>
      <w:r>
        <w:rPr>
          <w:rFonts w:ascii="IRNazanin" w:hAnsi="IRNazanin" w:eastAsia="IRNazanin"/>
          <w:color w:val="111111"/>
          <w:sz w:val="28"/>
          <w:sz w:val="28"/>
          <w:szCs w:val="28"/>
          <w:rtl w:val="true"/>
          <w:lang w:bidi="fa-IR"/>
        </w:rPr>
        <w:t>ازجمله حضرات آیات عظام حکیم</w:t>
      </w:r>
      <w:r>
        <w:rPr>
          <w:rStyle w:val="FootnoteAnchor"/>
          <w:rtl w:val="true"/>
        </w:rPr>
        <w:footnoteReference w:id="1711"/>
      </w:r>
      <w:r>
        <w:rPr>
          <w:rFonts w:ascii="IRNazanin" w:hAnsi="IRNazanin" w:eastAsia="IRNazanin"/>
          <w:color w:val="111111"/>
          <w:sz w:val="28"/>
          <w:sz w:val="28"/>
          <w:szCs w:val="28"/>
          <w:rtl w:val="true"/>
          <w:lang w:bidi="fa-IR"/>
        </w:rPr>
        <w:t>و خوئی</w:t>
      </w:r>
      <w:r>
        <w:rPr>
          <w:rStyle w:val="FootnoteAnchor"/>
          <w:rtl w:val="true"/>
        </w:rPr>
        <w:footnoteReference w:id="1712"/>
      </w:r>
      <w:r>
        <w:rPr>
          <w:rFonts w:ascii="IRNazanin" w:hAnsi="IRNazanin" w:eastAsia="IRNazanin"/>
          <w:color w:val="111111"/>
          <w:sz w:val="28"/>
          <w:sz w:val="28"/>
          <w:szCs w:val="28"/>
          <w:rtl w:val="true"/>
          <w:lang w:bidi="fa-IR"/>
        </w:rPr>
        <w:t>و فاضل لنکرانی</w:t>
      </w:r>
      <w:r>
        <w:rPr>
          <w:rStyle w:val="FootnoteAnchor"/>
          <w:rtl w:val="true"/>
        </w:rPr>
        <w:footnoteReference w:id="1713"/>
      </w:r>
      <w:r>
        <w:rPr>
          <w:rFonts w:ascii="IRNazanin" w:hAnsi="IRNazanin" w:eastAsia="IRNazanin"/>
          <w:color w:val="111111"/>
          <w:sz w:val="28"/>
          <w:sz w:val="28"/>
          <w:szCs w:val="28"/>
          <w:rtl w:val="true"/>
          <w:lang w:bidi="fa-IR"/>
        </w:rPr>
        <w:t>معتقدند این حکم اختصاص به فاعل کبیر دارد و بر فعل غیر بالغ بار نمیشود، زیرا لفظ رجل که در روایات وارد شده ظهور در فرد بالغ دارد نه کودک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تصریح نموده‌اند این حکم اختصاص به فاعل دارد و مفعول را شامل نمیگردد،</w:t>
      </w:r>
      <w:r>
        <w:rPr>
          <w:rStyle w:val="FootnoteAnchor"/>
          <w:rtl w:val="true"/>
        </w:rPr>
        <w:footnoteReference w:id="1714"/>
      </w:r>
      <w:r>
        <w:rPr>
          <w:rFonts w:ascii="IRNazanin" w:hAnsi="IRNazanin" w:eastAsia="IRNazanin"/>
          <w:color w:val="111111"/>
          <w:sz w:val="28"/>
          <w:sz w:val="28"/>
          <w:szCs w:val="28"/>
          <w:rtl w:val="true"/>
          <w:lang w:bidi="fa-IR"/>
        </w:rPr>
        <w:t>زیرا اخبار در مورد لواط کننده وارد شده و اثبات حکم آن برای مفعول نوعی قیاس محسوب میشود که در فقه امامیه نمیتواند دلیل حکم شرعی قرار گیرد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تحریم افراد مزبور بر فاعل، مربوط به موردی است که این عمل قبل از عقد ازدواج انجام شود، از این رو بسیاری از فقها تصریح نموده‌اند اگر این عمل بعد از عقد ازدواج صورت پذیرد، این حکم بار نمیگردد، مثل این که فردی با برادر همسر خود لواط کند در این صورت خواهر مفعول که همسر وی باشد بر او حرام نمیگردد</w:t>
      </w:r>
      <w:r>
        <w:rPr>
          <w:rStyle w:val="FootnoteAnchor"/>
          <w:rtl w:val="true"/>
        </w:rPr>
        <w:footnoteReference w:id="1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را علاوه بر اصل </w:t>
      </w:r>
      <w:r>
        <w:rPr>
          <w:rStyle w:val="FootnoteAnchor"/>
          <w:rtl w:val="true"/>
        </w:rPr>
        <w:footnoteReference w:id="17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استصحاب حلیّت</w:t>
      </w:r>
      <w:r>
        <w:rPr>
          <w:rFonts w:eastAsia="IRNazanin" w:cs="IRNazanin"/>
          <w:color w:val="111111"/>
          <w:sz w:val="28"/>
          <w:szCs w:val="28"/>
          <w:rtl w:val="true"/>
          <w:lang w:bidi="fa-IR"/>
        </w:rPr>
        <w:t>»</w:t>
      </w:r>
      <w:r>
        <w:rPr>
          <w:rStyle w:val="FootnoteAnchor"/>
          <w:rtl w:val="true"/>
        </w:rPr>
        <w:footnoteReference w:id="1717"/>
      </w:r>
      <w:r>
        <w:rPr>
          <w:rFonts w:ascii="IRNazanin" w:hAnsi="IRNazanin" w:eastAsia="IRNazanin"/>
          <w:color w:val="111111"/>
          <w:sz w:val="28"/>
          <w:sz w:val="28"/>
          <w:szCs w:val="28"/>
          <w:rtl w:val="true"/>
          <w:lang w:bidi="fa-IR"/>
        </w:rPr>
        <w:t>و اجماع</w:t>
      </w:r>
      <w:r>
        <w:rPr>
          <w:rStyle w:val="FootnoteAnchor"/>
          <w:rtl w:val="true"/>
        </w:rPr>
        <w:footnoteReference w:id="1718"/>
      </w:r>
      <w:r>
        <w:rPr>
          <w:rFonts w:ascii="Amiri" w:hAnsi="Amiri" w:eastAsia="Amiri" w:cs="Amiri"/>
          <w:color w:val="111111"/>
          <w:sz w:val="28"/>
          <w:sz w:val="28"/>
          <w:szCs w:val="28"/>
          <w:rtl w:val="true"/>
          <w:lang w:bidi="ar-SA"/>
        </w:rPr>
        <w:t xml:space="preserve">، عموم‌اخباری دانسته‌اند که دلالت دارد بر این که ارتکاب فعل حرام موجب از بین رفتن حلال نمیشود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الحَرَامَ لایُفسِدُ الحَلالَ</w:t>
      </w:r>
      <w:r>
        <w:rPr>
          <w:rFonts w:eastAsia="Amiri" w:cs="Amiri" w:ascii="Amiri" w:hAnsi="Amiri"/>
          <w:color w:val="111111"/>
          <w:sz w:val="28"/>
          <w:szCs w:val="28"/>
          <w:rtl w:val="true"/>
          <w:lang w:bidi="ar-SA"/>
        </w:rPr>
        <w:t>»</w:t>
      </w:r>
      <w:r>
        <w:rPr>
          <w:rStyle w:val="FootnoteAnchor"/>
          <w:rtl w:val="true"/>
        </w:rPr>
        <w:footnoteReference w:id="1719"/>
      </w:r>
      <w:r>
        <w:rPr>
          <w:rFonts w:ascii="IRNazanin" w:hAnsi="IRNazanin" w:eastAsia="IRNazanin"/>
          <w:color w:val="111111"/>
          <w:sz w:val="28"/>
          <w:sz w:val="28"/>
          <w:szCs w:val="28"/>
          <w:rtl w:val="true"/>
          <w:lang w:bidi="fa-IR"/>
        </w:rPr>
        <w:t>بنابراین در فرض مزبور عقد نکاح بین فاعل و خواهر مفعول قبل از انجام عمل لواط حلال بود با انجام آن به حکم روایاتی که به آنها اشاره شد حرام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فقهای</w:t>
      </w:r>
      <w:r>
        <w:rPr>
          <w:rStyle w:val="FootnoteAnchor"/>
          <w:rtl w:val="true"/>
        </w:rPr>
        <w:footnoteReference w:id="1720"/>
      </w:r>
      <w:r>
        <w:rPr>
          <w:rFonts w:ascii="IRNazanin" w:hAnsi="IRNazanin" w:eastAsia="IRNazanin"/>
          <w:color w:val="111111"/>
          <w:sz w:val="28"/>
          <w:sz w:val="28"/>
          <w:szCs w:val="28"/>
          <w:rtl w:val="true"/>
          <w:lang w:bidi="fa-IR"/>
        </w:rPr>
        <w:t>گذشته معتقدند با</w:t>
      </w:r>
      <w:bookmarkStart w:id="771" w:name="pg13713_164681"/>
    </w:p>
    <w:p>
      <w:pPr>
        <w:pStyle w:val="BookText"/>
        <w:rPr/>
      </w:pPr>
      <w:bookmarkEnd w:id="771"/>
      <w:r>
        <w:rPr>
          <w:rFonts w:ascii="IRNazanin" w:hAnsi="IRNazanin" w:eastAsia="IRNazanin"/>
          <w:color w:val="111111"/>
          <w:sz w:val="28"/>
          <w:sz w:val="28"/>
          <w:szCs w:val="28"/>
          <w:rtl w:val="true"/>
          <w:lang w:bidi="fa-IR"/>
        </w:rPr>
        <w:t>انجام لواط بعد از عقد ازدواج نیز حکم تحریم 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معاصرین</w:t>
      </w:r>
      <w:r>
        <w:rPr>
          <w:rStyle w:val="FootnoteAnchor"/>
          <w:rtl w:val="true"/>
        </w:rPr>
        <w:footnoteReference w:id="1721"/>
      </w:r>
      <w:r>
        <w:rPr>
          <w:rFonts w:ascii="IRNazanin" w:hAnsi="IRNazanin" w:eastAsia="IRNazanin"/>
          <w:color w:val="111111"/>
          <w:sz w:val="28"/>
          <w:sz w:val="28"/>
          <w:szCs w:val="28"/>
          <w:rtl w:val="true"/>
          <w:lang w:bidi="fa-IR"/>
        </w:rPr>
        <w:t>نیز احتیاط را در حکم به حرمت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 اختلافی دیده نشده که حکم تحریم مربوط به ازدواج فاعل و افرادی که در ابتدای این بحث ذکر شد، میباشد</w:t>
      </w:r>
      <w:r>
        <w:rPr>
          <w:rStyle w:val="FootnoteAnchor"/>
          <w:rtl w:val="true"/>
        </w:rPr>
        <w:footnoteReference w:id="1722"/>
      </w:r>
      <w:r>
        <w:rPr>
          <w:rFonts w:ascii="IRNazanin" w:hAnsi="IRNazanin" w:eastAsia="IRNazanin"/>
          <w:color w:val="111111"/>
          <w:sz w:val="28"/>
          <w:sz w:val="28"/>
          <w:szCs w:val="28"/>
          <w:rtl w:val="true"/>
          <w:lang w:bidi="fa-IR"/>
        </w:rPr>
        <w:t>، بنابراین پسر فاعل میتواند با دختر مفعول یا خواهر و یا مادر او ازدواج نماید</w:t>
      </w:r>
      <w:r>
        <w:rPr>
          <w:rFonts w:eastAsia="IRNazanin" w:cs="IRNazanin"/>
          <w:color w:val="111111"/>
          <w:sz w:val="28"/>
          <w:szCs w:val="28"/>
          <w:rtl w:val="true"/>
          <w:lang w:bidi="fa-IR"/>
        </w:rPr>
        <w:t>.</w:t>
      </w:r>
      <w:r>
        <w:rPr>
          <w:rStyle w:val="FootnoteAnchor"/>
          <w:rtl w:val="true"/>
        </w:rPr>
        <w:footnoteReference w:id="1723"/>
      </w:r>
      <w:r>
        <w:rPr>
          <w:rFonts w:ascii="IRNazanin" w:hAnsi="IRNazanin" w:eastAsia="IRNazanin"/>
          <w:color w:val="111111"/>
          <w:sz w:val="28"/>
          <w:sz w:val="28"/>
          <w:szCs w:val="28"/>
          <w:rtl w:val="true"/>
          <w:lang w:bidi="fa-IR"/>
        </w:rPr>
        <w:t>بعضی از بزرگان</w:t>
      </w:r>
      <w:r>
        <w:rPr>
          <w:rStyle w:val="FootnoteAnchor"/>
          <w:rtl w:val="true"/>
        </w:rPr>
        <w:footnoteReference w:id="1724"/>
      </w:r>
      <w:r>
        <w:rPr>
          <w:rFonts w:ascii="IRNazanin" w:hAnsi="IRNazanin" w:eastAsia="IRNazanin"/>
          <w:color w:val="111111"/>
          <w:sz w:val="28"/>
          <w:sz w:val="28"/>
          <w:szCs w:val="28"/>
          <w:rtl w:val="true"/>
          <w:lang w:bidi="fa-IR"/>
        </w:rPr>
        <w:t>در این مورد نیز حکم تحریم را به عنوان احتیاط لازم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فقها در این حکم، مادر، دختر و خواهر رضاعی مانند نسبی میباشند و با ارتکاب لواط حکم تحریم بار میگردد، بنابراین فاعل نمیتواند با افراد مذکور در صورتی که از جهت رضاع و شیرخوارگی با مفعول منتسب میباشند، ازدواج نماید</w:t>
      </w:r>
      <w:r>
        <w:rPr>
          <w:rFonts w:eastAsia="IRNazanin" w:cs="IRNazanin"/>
          <w:color w:val="111111"/>
          <w:sz w:val="28"/>
          <w:szCs w:val="28"/>
          <w:rtl w:val="true"/>
          <w:lang w:bidi="fa-IR"/>
        </w:rPr>
        <w:t>.</w:t>
      </w:r>
      <w:r>
        <w:rPr>
          <w:rStyle w:val="FootnoteAnchor"/>
          <w:rtl w:val="true"/>
        </w:rPr>
        <w:footnoteReference w:id="1725"/>
      </w:r>
    </w:p>
    <w:p>
      <w:pPr>
        <w:pStyle w:val="Heading4"/>
        <w:numPr>
          <w:ilvl w:val="3"/>
          <w:numId w:val="1"/>
        </w:numPr>
        <w:rPr/>
      </w:pPr>
      <w:bookmarkStart w:id="772" w:name="__RefHeading___Toc1259878_1468164448"/>
      <w:bookmarkStart w:id="773" w:name="_Toc284"/>
      <w:bookmarkEnd w:id="772"/>
      <w:r>
        <w:rPr/>
        <w:t>7</w:t>
      </w:r>
      <w:r>
        <w:rPr>
          <w:rtl w:val="true"/>
        </w:rPr>
        <w:t xml:space="preserve">- </w:t>
      </w:r>
      <w:r>
        <w:rPr>
          <w:rtl w:val="true"/>
        </w:rPr>
        <w:t>تصریح قانون مدنی به مسأله مورد بحث</w:t>
      </w:r>
      <w:bookmarkEnd w:id="773"/>
    </w:p>
    <w:p>
      <w:pPr>
        <w:pStyle w:val="BookText"/>
        <w:rPr/>
      </w:pPr>
      <w:r>
        <w:rPr>
          <w:rFonts w:ascii="IRNazanin" w:hAnsi="IRNazanin" w:eastAsia="IRNazanin"/>
          <w:color w:val="111111"/>
          <w:sz w:val="28"/>
          <w:sz w:val="28"/>
          <w:szCs w:val="28"/>
          <w:rtl w:val="true"/>
          <w:lang w:bidi="fa-IR"/>
        </w:rPr>
        <w:t>قانون مدنی نیز به پیروی از فقه امامیه ازدواج فاعل با افراد مزبور را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با پسری عمل شنیع کند، نمیتواند مادر یا خواهر یا دختر او را تزویج کند</w:t>
      </w:r>
      <w:r>
        <w:rPr>
          <w:rFonts w:eastAsia="IRNazanin" w:cs="IRNazanin"/>
          <w:color w:val="111111"/>
          <w:sz w:val="28"/>
          <w:szCs w:val="28"/>
          <w:rtl w:val="true"/>
          <w:lang w:bidi="fa-IR"/>
        </w:rPr>
        <w:t>».</w:t>
      </w:r>
    </w:p>
    <w:p>
      <w:pPr>
        <w:pStyle w:val="Heading4"/>
        <w:numPr>
          <w:ilvl w:val="3"/>
          <w:numId w:val="1"/>
        </w:numPr>
        <w:rPr/>
      </w:pPr>
      <w:bookmarkStart w:id="774" w:name="__RefHeading___Toc1259880_1468164448"/>
      <w:bookmarkStart w:id="775" w:name="_Toc285"/>
      <w:bookmarkEnd w:id="774"/>
      <w:r>
        <w:rPr/>
        <w:t>8</w:t>
      </w:r>
      <w:r>
        <w:rPr>
          <w:rtl w:val="true"/>
        </w:rPr>
        <w:t xml:space="preserve">- </w:t>
      </w:r>
      <w:r>
        <w:rPr>
          <w:rtl w:val="true"/>
        </w:rPr>
        <w:t>قذف کودک</w:t>
      </w:r>
      <w:bookmarkEnd w:id="7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قذف و حدّ آن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قذف در لغت به معنی پرتاب کردن چیزی است</w:t>
      </w:r>
      <w:r>
        <w:rPr>
          <w:rStyle w:val="FootnoteAnchor"/>
          <w:rtl w:val="true"/>
        </w:rPr>
        <w:footnoteReference w:id="1726"/>
      </w:r>
      <w:r>
        <w:rPr>
          <w:rFonts w:ascii="IRNazanin" w:hAnsi="IRNazanin" w:eastAsia="IRNazanin"/>
          <w:color w:val="111111"/>
          <w:sz w:val="28"/>
          <w:sz w:val="28"/>
          <w:szCs w:val="28"/>
          <w:rtl w:val="true"/>
          <w:lang w:bidi="fa-IR"/>
        </w:rPr>
        <w:t>و در اصطلاح فقها نسبت دادن شخص دیگری را به زنا و یا لواط قذف میگویند</w:t>
      </w:r>
      <w:r>
        <w:rPr>
          <w:rFonts w:eastAsia="IRNazanin" w:cs="IRNazanin"/>
          <w:color w:val="111111"/>
          <w:sz w:val="28"/>
          <w:szCs w:val="28"/>
          <w:rtl w:val="true"/>
          <w:lang w:bidi="fa-IR"/>
        </w:rPr>
        <w:t>.</w:t>
      </w:r>
      <w:r>
        <w:rPr>
          <w:rStyle w:val="FootnoteAnchor"/>
          <w:rtl w:val="true"/>
        </w:rPr>
        <w:footnoteReference w:id="1727"/>
      </w:r>
      <w:r>
        <w:rPr>
          <w:rFonts w:ascii="IRNazanin" w:hAnsi="IRNazanin" w:eastAsia="IRNazanin"/>
          <w:color w:val="111111"/>
          <w:sz w:val="28"/>
          <w:sz w:val="28"/>
          <w:szCs w:val="28"/>
          <w:rtl w:val="true"/>
          <w:lang w:bidi="fa-IR"/>
        </w:rPr>
        <w:t>گویا قذف کننده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نسبت‌ناروایی را به قذف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میکند و در این که آیا نسبت مساحقه دادن به دیگری نیز موجب حدّ قذف میگردد یا خیر بین فقها اختلاف نظر وجود دارد</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 xml:space="preserve">قانون مجازات اسلامی نیز در ماده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قذف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نسبت دادن زنا یا لواط است به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شخص دیگری در این ماده شخص معیّن خارجی است، بنابراین شرط تحقق قذف آن است که نسبت زنا یا لواط به شخص معین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قذف از گناهان کبیره است و حدّ آن با وجود شرایط مقرر در فقه و اثبات آن در دادگاه هشتاد ضربه شلاق است و مستند آن آیاتی از قرآن و روایات</w:t>
      </w:r>
      <w:r>
        <w:rPr>
          <w:rStyle w:val="FootnoteAnchor"/>
          <w:rtl w:val="true"/>
        </w:rPr>
        <w:footnoteReference w:id="1729"/>
      </w:r>
      <w:r>
        <w:rPr>
          <w:rFonts w:ascii="IRNazanin" w:hAnsi="IRNazanin" w:eastAsia="IRNazanin"/>
          <w:color w:val="111111"/>
          <w:sz w:val="28"/>
          <w:sz w:val="28"/>
          <w:szCs w:val="28"/>
          <w:rtl w:val="true"/>
          <w:lang w:bidi="fa-IR"/>
        </w:rPr>
        <w:t xml:space="preserve">است، از جمله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زنان پاکدامن را متّهم میکنند، سپس چهار شاهد بر ادّعای خود نمیآورند، آنها را هشتاد تازیانه بزنید و شهادتشان را هرگز نپذیرید و آنها فاسقانند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 وَ لا تَقْبَلُوا لَهُمْ شَهادَةً أَبَداً وَ أُولئِکَ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قذف کودک</w:t>
      </w:r>
    </w:p>
    <w:p>
      <w:pPr>
        <w:pStyle w:val="BookText"/>
        <w:rPr/>
      </w:pPr>
      <w:r>
        <w:rPr>
          <w:rFonts w:ascii="IRNazanin" w:hAnsi="IRNazanin" w:eastAsia="IRNazanin"/>
          <w:color w:val="111111"/>
          <w:sz w:val="28"/>
          <w:sz w:val="28"/>
          <w:szCs w:val="28"/>
          <w:rtl w:val="true"/>
          <w:lang w:bidi="fa-IR"/>
        </w:rPr>
        <w:t xml:space="preserve">بلوغ و عقل در مقذوف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معتبر در استحقاق حدّ قذف میباشد، بنابراین اگر فرد بالغ کودکی را قذف نماید، حد بر او جاری نمیشود، بلکه به اندازه‌ای که حاکم شرع مصلحت بداند تعزیر میگردد</w:t>
      </w:r>
      <w:r>
        <w:rPr>
          <w:rFonts w:eastAsia="IRNazanin" w:cs="IRNazanin"/>
          <w:color w:val="111111"/>
          <w:sz w:val="28"/>
          <w:szCs w:val="28"/>
          <w:rtl w:val="true"/>
          <w:lang w:bidi="fa-IR"/>
        </w:rPr>
        <w:t>.</w:t>
      </w:r>
      <w:r>
        <w:rPr>
          <w:rStyle w:val="FootnoteAnchor"/>
          <w:rtl w:val="true"/>
        </w:rPr>
        <w:footnoteReference w:id="1730"/>
      </w:r>
      <w:r>
        <w:rPr>
          <w:rFonts w:ascii="IRNazanin" w:hAnsi="IRNazanin" w:eastAsia="IRNazanin"/>
          <w:color w:val="111111"/>
          <w:sz w:val="28"/>
          <w:sz w:val="28"/>
          <w:szCs w:val="28"/>
          <w:rtl w:val="true"/>
          <w:lang w:bidi="fa-IR"/>
        </w:rPr>
        <w:t>این حکم تا حدودی مورد توافق فقها است</w:t>
      </w:r>
      <w:r>
        <w:rPr>
          <w:rFonts w:eastAsia="IRNazanin" w:cs="IRNazanin"/>
          <w:color w:val="111111"/>
          <w:sz w:val="28"/>
          <w:szCs w:val="28"/>
          <w:rtl w:val="true"/>
          <w:lang w:bidi="fa-IR"/>
        </w:rPr>
        <w:t>.</w:t>
      </w:r>
      <w:r>
        <w:rPr>
          <w:rStyle w:val="FootnoteAnchor"/>
          <w:rtl w:val="true"/>
        </w:rPr>
        <w:footnoteReference w:id="1731"/>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در این باره چنین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قذف شده کودک حرّ و آزاد باشد بر قذف کننده حدّ جاری نمیشود، بلکه به اندازه‌ای که امام مصلحت بداند</w:t>
      </w:r>
    </w:p>
    <w:p>
      <w:pPr>
        <w:pStyle w:val="BookText"/>
        <w:rPr/>
      </w:pPr>
      <w:r>
        <w:rPr>
          <w:rFonts w:ascii="IRNazanin" w:hAnsi="IRNazanin" w:eastAsia="IRNazanin"/>
          <w:color w:val="111111"/>
          <w:sz w:val="28"/>
          <w:sz w:val="28"/>
          <w:szCs w:val="28"/>
          <w:rtl w:val="true"/>
          <w:lang w:bidi="fa-IR"/>
        </w:rPr>
        <w:t>تعزیر میگردد</w:t>
      </w:r>
      <w:r>
        <w:rPr>
          <w:rStyle w:val="FootnoteAnchor"/>
          <w:rtl w:val="true"/>
        </w:rPr>
        <w:footnoteReference w:id="1732"/>
      </w:r>
      <w:r>
        <w:rPr>
          <w:rFonts w:ascii="IRNazanin" w:hAnsi="IRNazanin" w:eastAsia="IRNazanin"/>
          <w:color w:val="111111"/>
          <w:sz w:val="28"/>
          <w:sz w:val="28"/>
          <w:szCs w:val="28"/>
          <w:rtl w:val="true"/>
          <w:lang w:bidi="fa-IR"/>
        </w:rPr>
        <w:t xml:space="preserve">و مستند آن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است که پیش‌تر ذکر شد، توضیح این که، حدّ قذف در صورتی ثابت میشود که فرد قذف شده محصن یا محصنه باشد و در احصان پنج شرط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 قذف شده حرّ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بالغ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عفیف از زنا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متظاهر و معروف به زنا نباشد</w:t>
      </w:r>
      <w:r>
        <w:rPr>
          <w:rFonts w:eastAsia="IRNazanin" w:cs="IRNazanin"/>
          <w:color w:val="111111"/>
          <w:sz w:val="28"/>
          <w:szCs w:val="28"/>
          <w:rtl w:val="true"/>
          <w:lang w:bidi="fa-IR"/>
        </w:rPr>
        <w:t>».</w:t>
      </w:r>
      <w:r>
        <w:rPr>
          <w:rStyle w:val="FootnoteAnchor"/>
          <w:rtl w:val="true"/>
        </w:rPr>
        <w:footnoteReference w:id="1733"/>
      </w:r>
    </w:p>
    <w:p>
      <w:pPr>
        <w:pStyle w:val="BookText"/>
        <w:rPr/>
      </w:pPr>
      <w:r>
        <w:rPr>
          <w:rFonts w:ascii="IRNazanin" w:hAnsi="IRNazanin" w:eastAsia="IRNazanin"/>
          <w:color w:val="111111"/>
          <w:sz w:val="28"/>
          <w:sz w:val="28"/>
          <w:szCs w:val="28"/>
          <w:rtl w:val="true"/>
          <w:lang w:bidi="fa-IR"/>
        </w:rPr>
        <w:t>بدین ترتیب قذف کودک موجب تعزیر است نه حدّ، علاوه بر این برای اثبات این حکم به اصل</w:t>
      </w:r>
      <w:r>
        <w:rPr>
          <w:rStyle w:val="FootnoteAnchor"/>
          <w:rtl w:val="true"/>
        </w:rPr>
        <w:footnoteReference w:id="1734"/>
      </w:r>
      <w:r>
        <w:rPr>
          <w:rFonts w:ascii="IRNazanin" w:hAnsi="IRNazanin" w:eastAsia="IRNazanin"/>
          <w:color w:val="111111"/>
          <w:sz w:val="28"/>
          <w:sz w:val="28"/>
          <w:szCs w:val="28"/>
          <w:rtl w:val="true"/>
          <w:lang w:bidi="fa-IR"/>
        </w:rPr>
        <w:t>و اجماع</w:t>
      </w:r>
      <w:r>
        <w:rPr>
          <w:rStyle w:val="FootnoteAnchor"/>
          <w:rtl w:val="true"/>
        </w:rPr>
        <w:footnoteReference w:id="1735"/>
      </w:r>
      <w:r>
        <w:rPr>
          <w:rFonts w:ascii="IRNazanin" w:hAnsi="IRNazanin" w:eastAsia="IRNazanin"/>
          <w:color w:val="111111"/>
          <w:sz w:val="28"/>
          <w:sz w:val="28"/>
          <w:szCs w:val="28"/>
          <w:rtl w:val="true"/>
          <w:lang w:bidi="fa-IR"/>
        </w:rPr>
        <w:t>و روایاتی در حدّ استفاضه استناد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معتبر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نمودم، کودکی که به حدّ بلوغ نرسیده، مردی را قذف مینماید، آیا میتوان بر او اجرای حدّ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اگر مرد کودکی را قذف نماید، مستحق حدّ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ذَلِکَ لَو انَّ رَجُلاً قَذَفَ الغُلامَ لَم یُجلَد</w:t>
      </w:r>
      <w:r>
        <w:rPr>
          <w:rFonts w:eastAsia="IRNazanin" w:cs="IRNazanin"/>
          <w:color w:val="111111"/>
          <w:sz w:val="28"/>
          <w:szCs w:val="28"/>
          <w:rtl w:val="true"/>
          <w:lang w:bidi="fa-IR"/>
        </w:rPr>
        <w:t>»</w:t>
      </w:r>
      <w:r>
        <w:rPr>
          <w:rStyle w:val="FootnoteAnchor"/>
          <w:rtl w:val="true"/>
        </w:rPr>
        <w:footnoteReference w:id="173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صحیح دیگری از امام صادق علیه السلام سؤال شده اگر مردی دختر غیر بالغی را قذف نماید، بر او حدّ جاری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حدّ بلوغ نرسیده، نه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7"/>
      </w:r>
      <w:r>
        <w:rPr>
          <w:rFonts w:ascii="IRNazanin" w:hAnsi="IRNazanin" w:eastAsia="IRNazanin"/>
          <w:color w:val="111111"/>
          <w:sz w:val="28"/>
          <w:sz w:val="28"/>
          <w:szCs w:val="28"/>
          <w:rtl w:val="true"/>
          <w:lang w:bidi="fa-IR"/>
        </w:rPr>
        <w:t>و روایات دیگر</w:t>
      </w:r>
      <w:r>
        <w:rPr>
          <w:rStyle w:val="FootnoteAnchor"/>
          <w:rtl w:val="true"/>
        </w:rPr>
        <w:footnoteReference w:id="1738"/>
      </w:r>
      <w:r>
        <w:rPr>
          <w:rFonts w:ascii="IRNazanin" w:hAnsi="IRNazanin" w:eastAsia="IRNazanin"/>
          <w:color w:val="111111"/>
          <w:sz w:val="28"/>
          <w:sz w:val="28"/>
          <w:szCs w:val="28"/>
          <w:rtl w:val="true"/>
          <w:lang w:bidi="fa-IR"/>
        </w:rPr>
        <w:t>البته چنان که ذکر شد قذف کودک موجب تعزیر میباشد</w:t>
      </w:r>
      <w:r>
        <w:rPr>
          <w:rFonts w:eastAsia="IRNazanin" w:cs="IRNazanin"/>
          <w:color w:val="111111"/>
          <w:sz w:val="28"/>
          <w:szCs w:val="28"/>
          <w:rtl w:val="true"/>
          <w:lang w:bidi="fa-IR"/>
        </w:rPr>
        <w:t>.</w:t>
      </w:r>
      <w:bookmarkStart w:id="776" w:name="pg13713_164684"/>
    </w:p>
    <w:p>
      <w:pPr>
        <w:pStyle w:val="Heading4"/>
        <w:numPr>
          <w:ilvl w:val="3"/>
          <w:numId w:val="1"/>
        </w:numPr>
        <w:rPr/>
      </w:pPr>
      <w:bookmarkStart w:id="777" w:name="__RefHeading___Toc1259882_1468164448"/>
      <w:bookmarkStart w:id="778" w:name="_Toc286"/>
      <w:bookmarkEnd w:id="776"/>
      <w:bookmarkEnd w:id="777"/>
      <w:r>
        <w:rPr/>
        <w:t>9</w:t>
      </w:r>
      <w:r>
        <w:rPr>
          <w:rtl w:val="true"/>
        </w:rPr>
        <w:t xml:space="preserve">- </w:t>
      </w:r>
      <w:r>
        <w:rPr>
          <w:rtl w:val="true"/>
        </w:rPr>
        <w:t>قذف کودک در قانون مجازات اسلامی</w:t>
      </w:r>
      <w:bookmarkEnd w:id="77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قذف در مواردی موجب حدّ میشود که قذف کننده بالغ، عاقل، مختار و دارای قصد باشد و قذف شونده نیز بالغ، عاقل، مسلمان و عفیف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قذف کننده یا قصد شونده فاقد یکی از اوصاف فوق باشد، حدّ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شرایط بلوغ، عقل، اختیار و قصد برای قذف کننده یک امر طبیعی و مطابق با قواعد حقوقی است، زیرا قصد یکی از جرایم است و مرتکب باید شرایط سایر مجرمان را داشته باشد، امّا شرط بلوغ و عقل برای قذف شونده مخالف قواعد حقوقی میباشد و مهم‌ترین دلیل آن روایات است که به بعضی از آنها در بحث قبل اشاره شد</w:t>
      </w:r>
      <w:r>
        <w:rPr>
          <w:rFonts w:eastAsia="IRNazanin" w:cs="IRNazanin"/>
          <w:color w:val="111111"/>
          <w:sz w:val="28"/>
          <w:szCs w:val="28"/>
          <w:rtl w:val="true"/>
          <w:lang w:bidi="fa-IR"/>
        </w:rPr>
        <w:t>.</w:t>
      </w:r>
      <w:bookmarkStart w:id="779" w:name="pg13713_164685"/>
    </w:p>
    <w:p>
      <w:pPr>
        <w:pStyle w:val="Heading3"/>
        <w:numPr>
          <w:ilvl w:val="2"/>
          <w:numId w:val="1"/>
        </w:numPr>
        <w:rPr/>
      </w:pPr>
      <w:bookmarkStart w:id="780" w:name="__RefHeading___Toc1259884_1468164448"/>
      <w:bookmarkStart w:id="781" w:name="_Toc287"/>
      <w:bookmarkEnd w:id="779"/>
      <w:bookmarkEnd w:id="780"/>
      <w:r>
        <w:rPr>
          <w:rtl w:val="true"/>
        </w:rPr>
        <w:t>گفتار چهارم</w:t>
      </w:r>
      <w:r>
        <w:rPr>
          <w:rtl w:val="true"/>
        </w:rPr>
        <w:t xml:space="preserve">: </w:t>
      </w:r>
      <w:r>
        <w:rPr>
          <w:rtl w:val="true"/>
        </w:rPr>
        <w:t>جنایات مختلف علیه کودک</w:t>
      </w:r>
      <w:bookmarkEnd w:id="781"/>
    </w:p>
    <w:p>
      <w:pPr>
        <w:pStyle w:val="Heading4"/>
        <w:numPr>
          <w:ilvl w:val="3"/>
          <w:numId w:val="1"/>
        </w:numPr>
        <w:rPr/>
      </w:pPr>
      <w:bookmarkStart w:id="782" w:name="__RefHeading___Toc1259886_1468164448"/>
      <w:bookmarkStart w:id="783" w:name="_Toc288"/>
      <w:bookmarkEnd w:id="782"/>
      <w:r>
        <w:rPr/>
        <w:t>1</w:t>
      </w:r>
      <w:r>
        <w:rPr>
          <w:rtl w:val="true"/>
        </w:rPr>
        <w:t xml:space="preserve">- </w:t>
      </w:r>
      <w:r>
        <w:rPr>
          <w:rtl w:val="true"/>
        </w:rPr>
        <w:t>کودک ربایی</w:t>
      </w:r>
      <w:bookmarkEnd w:id="7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و اهمیت آن</w:t>
      </w:r>
    </w:p>
    <w:p>
      <w:pPr>
        <w:pStyle w:val="BookText"/>
        <w:rPr/>
      </w:pPr>
      <w:r>
        <w:rPr>
          <w:rFonts w:ascii="IRNazanin" w:hAnsi="IRNazanin" w:eastAsia="IRNazanin"/>
          <w:color w:val="111111"/>
          <w:sz w:val="28"/>
          <w:sz w:val="28"/>
          <w:szCs w:val="28"/>
          <w:rtl w:val="true"/>
          <w:lang w:bidi="fa-IR"/>
        </w:rPr>
        <w:t>در میان حیوانات همنوع، کمک و مساعدت و تعاون به طور شایسته‌ای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برابری و مدارا با هم زندگی میکنند؛ قوی در خدمت ضعیف است و ضعیف متّکی به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افراد یک نوع حیوان خیلی کم اتفاق میافتد که تعدّی و تجاوز وجود داشته باشد، اگر هم یکی بخواهد تعدّی کند با مقاومت طرف مقابل روبرو میشود، به همین جهت است که حیوانات بنده و برده یکدیگر نمیشوند، در راه خود مستقیم و در زندگی خود دادگر و دادگستر میباشند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انسان، به رغم اینکه از لحاظ فکری و عقلی از همه قویتر و در عرصه پهناور جهان فعّال مایشاء است، با نظام عجیبی روبرو میشویم، نظامی که بی گمان غیر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آن قدر که تنازع هست، تعاون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قوی همنوع ضعیف خود را میکُشد و به بیگاری و بهره کشی میگیرد تا خود بهتر زندگی کند و باز آنها که ضعیفند یا به ضعیفی خو گرفته‌اند، پیش همنوع خود کُرنش و بندگی میکنند، تا بهتر به آرمان‌های پوچ خود دست یابند، کاری که هیچ حیوانی حاضر نیست در برابر همنوع یا غیر همنوع خود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از بیبصری بندگی آدم کرد گوهری داشت ولی نذر قباد و جم کرد</w:t>
      </w:r>
    </w:p>
    <w:p>
      <w:pPr>
        <w:pStyle w:val="BookText"/>
        <w:rPr/>
      </w:pPr>
      <w:r>
        <w:rPr>
          <w:rFonts w:ascii="IRNazanin" w:hAnsi="IRNazanin" w:eastAsia="IRNazanin"/>
          <w:color w:val="111111"/>
          <w:sz w:val="28"/>
          <w:sz w:val="28"/>
          <w:szCs w:val="28"/>
          <w:rtl w:val="true"/>
          <w:lang w:bidi="fa-IR"/>
        </w:rPr>
        <w:t>یعنی از خوی غلامی ز سگان پست‌تر است من ندیدم که سگی پیش سگی سر خم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انبیاء آمدند، حکما گفتند، واعظان وعظ کردند، اخلاقیون اخلاق بنا نهادند، ولی هنوز نیز اصل تنازع در جهان بشریت جولان دارد، بسیاری از انسان‌ها چون میخواهند با اصل تنازع بقا زندگی کنند، حق زیستن و به زیستن را از همنوع خود سلب میکنند تا خود زندگی بهتری داشته باشند</w:t>
      </w:r>
      <w:r>
        <w:rPr>
          <w:rFonts w:eastAsia="IRNazanin" w:cs="IRNazanin"/>
          <w:color w:val="111111"/>
          <w:sz w:val="28"/>
          <w:szCs w:val="28"/>
          <w:rtl w:val="true"/>
          <w:lang w:bidi="fa-IR"/>
        </w:rPr>
        <w:t>.</w:t>
      </w:r>
      <w:r>
        <w:rPr>
          <w:rStyle w:val="FootnoteAnchor"/>
          <w:rtl w:val="true"/>
        </w:rPr>
        <w:footnoteReference w:id="1739"/>
      </w:r>
      <w:r>
        <w:rPr>
          <w:rFonts w:ascii="IRNazanin" w:hAnsi="IRNazanin" w:eastAsia="IRNazanin"/>
          <w:color w:val="111111"/>
          <w:sz w:val="28"/>
          <w:sz w:val="28"/>
          <w:szCs w:val="28"/>
          <w:rtl w:val="true"/>
          <w:lang w:bidi="fa-IR"/>
        </w:rPr>
        <w:t>به همین جهت است که کار انسان به جایی رسیده است که همنوع خود را میدزدد و شاید یکی از دردناک‌ترین جنایات بر علیه کودک که متأسفانه در اجتماع به اصطلاح متمدن امروز دنیا وجود دارد کودک ربایی در اشکال مختلف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یکی از مهم‌ترین موهبت‌ها و یکی از بارزترین حقوق مسلّم کودک است که همواره مورد بحث بوده است یکی از انواع این آزادی، آزادی تن کودک است که بر اساس آن کودکان میتوانند هر کجا که بخواهند بروند، بیایند، بنشینند، برخیزند، سکونت و اقامت گزینند و کسی هم مانع آنها نشود و راه بر آنها نبندد و آنها را از رفت و آمد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مواردی که قانون مقرّر کرده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آزادی از دیرباز به ویژه در احکام و مقرّرات دین مبین اسلام مورد حمایت بوده و امروزه نیز در اسناد و اعلامیه‌ها بین‌المللی و قوانین اساسی و عادی کشورهای مختلف به شیوه‌های گوناگون بیان شده و تضمیناتی نیز برای حفظ و رعایت آن منظور گردیده است، ولی متأسفانه به رغم اهمیت و حساسیت این نوع آزادی و نیز به رغم حمایت‌ها و تضمینات حقوقی و قانونی و مذهبی و اخلاقی از آن همیشه مورد تعرّض بوده است</w:t>
      </w:r>
      <w:r>
        <w:rPr>
          <w:rStyle w:val="FootnoteAnchor"/>
          <w:rtl w:val="true"/>
        </w:rPr>
        <w:footnoteReference w:id="1740"/>
      </w:r>
      <w:r>
        <w:rPr>
          <w:rFonts w:ascii="IRNazanin" w:hAnsi="IRNazanin" w:eastAsia="IRNazanin"/>
          <w:color w:val="111111"/>
          <w:sz w:val="28"/>
          <w:sz w:val="28"/>
          <w:szCs w:val="28"/>
          <w:rtl w:val="true"/>
          <w:lang w:bidi="fa-IR"/>
        </w:rPr>
        <w:t xml:space="preserve">به گونه‌ای که گاه و بی گاه شاهد تجاوز به آزادی جسمانی کودکان به شیوه‌های گوناگون میباشیم که بارزترین آن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ربایی و قاچاق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کودک ربایی در فقه</w:t>
      </w:r>
    </w:p>
    <w:p>
      <w:pPr>
        <w:pStyle w:val="BookText"/>
        <w:rPr/>
      </w:pPr>
      <w:r>
        <w:rPr>
          <w:rFonts w:ascii="IRNazanin" w:hAnsi="IRNazanin" w:eastAsia="IRNazanin"/>
          <w:color w:val="111111"/>
          <w:sz w:val="28"/>
          <w:sz w:val="28"/>
          <w:szCs w:val="28"/>
          <w:rtl w:val="true"/>
          <w:lang w:bidi="fa-IR"/>
        </w:rPr>
        <w:t>در مباحث فقهی از دیر زمان مسائل ربوده شدن انسان به صورت‌های مختلف مورد تحلیل قرار گرفته است که مهم‌ترین آن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اعم از این که کودک باشد یا بزرگسال، ربوده شود و سارق او را نفروشد، در مجازات وی دو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مجازات مرتکب در فرض مزبور قطع دست است</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دیگری که تعداد بیشتری از فقها گذشته تا معاصرین آن را پذیرفته‌اند، این است که مرتکب به آن‌چه حاکم شرع مصلحت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یا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میگردد</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فرض دیگری که بیش‌تر مورد ابتلا میباشد، این است که سارق کودک یا فرد بالغی را برباید و او را بفروشد و یا به هر صورت غیر از فروش در اختیار دیگری قرار دهد، در این فرض نیز در مجازات مرتکب دو نظر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میشود، زیرا انسان آزادی که مورد سرقت قرار گرفته مال نیست تا به حدّ نصاب شرعی برسد و مجازات آن قطع دست باشد</w:t>
      </w:r>
      <w:r>
        <w:rPr>
          <w:rFonts w:eastAsia="IRNazanin" w:cs="IRNazanin"/>
          <w:color w:val="111111"/>
          <w:sz w:val="28"/>
          <w:szCs w:val="28"/>
          <w:rtl w:val="true"/>
          <w:lang w:bidi="fa-IR"/>
        </w:rPr>
        <w:t>.</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مرتکب قطع میشود</w:t>
      </w:r>
      <w:r>
        <w:rPr>
          <w:rFonts w:eastAsia="IRNazanin" w:cs="IRNazanin"/>
          <w:color w:val="111111"/>
          <w:sz w:val="28"/>
          <w:szCs w:val="28"/>
          <w:rtl w:val="true"/>
          <w:lang w:bidi="fa-IR"/>
        </w:rPr>
        <w:t>.</w:t>
      </w:r>
      <w:r>
        <w:rPr>
          <w:rStyle w:val="FootnoteAnchor"/>
          <w:rtl w:val="true"/>
        </w:rPr>
        <w:footnoteReference w:id="1744"/>
      </w:r>
      <w:r>
        <w:rPr>
          <w:rFonts w:ascii="IRNazanin" w:hAnsi="IRNazanin" w:eastAsia="IRNazanin"/>
          <w:color w:val="111111"/>
          <w:sz w:val="28"/>
          <w:sz w:val="28"/>
          <w:szCs w:val="28"/>
          <w:rtl w:val="true"/>
          <w:lang w:bidi="fa-IR"/>
        </w:rPr>
        <w:t>شیخ طوسی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در فرض مزبور دست سارق قطع شود، زیرا چنین فردی از مفسدین فی الارض میباشد</w:t>
      </w:r>
      <w:r>
        <w:rPr>
          <w:rFonts w:eastAsia="IRNazanin" w:cs="IRNazanin"/>
          <w:color w:val="111111"/>
          <w:sz w:val="28"/>
          <w:szCs w:val="28"/>
          <w:rtl w:val="true"/>
          <w:lang w:bidi="fa-IR"/>
        </w:rPr>
        <w:t>».</w:t>
      </w:r>
      <w:r>
        <w:rPr>
          <w:rStyle w:val="FootnoteAnchor"/>
          <w:rtl w:val="true"/>
        </w:rPr>
        <w:footnoteReference w:id="174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عمده این دیدگاه روایاتی است در حدّ استفاضه، از جمله در روایت معتبر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انسان آزاد و حرّی را ربوده و به فروش رسانده بود را به محضر امیرالمؤمنین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را قطع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یدَهُ</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ascii="IRNazanin" w:hAnsi="IRNazanin" w:eastAsia="IRNazanin"/>
          <w:color w:val="111111"/>
          <w:sz w:val="28"/>
          <w:sz w:val="28"/>
          <w:szCs w:val="28"/>
          <w:rtl w:val="true"/>
          <w:lang w:bidi="fa-IR"/>
        </w:rPr>
        <w:t>در روایت دیگری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مجازات مردی که زن یا دختری را ربوده و او را فروخته 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ممکن است چهار نوع مجازات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ارتکاب سرقت، سارق به قطع دست محکوم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با زن یا دختر دزدیده شده زنا کرده باشد، به حدّ زنا محکوم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خریدار در صورتی که با علم به مسأله مرتکب زنا شده و شرایط زنای محصنه را داشته باشد، به قتل و رجم محکوم میشود و اگر شرایط احصان را نداشته به شلاق محکوم میشود و اگر بدون علم و آگاهی مبادرت به خرید نموده و چیزی نمیدانسته، مجازاتی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امور ذکر شده در حالی که زن ناراضی است و با کراهت وی انجام شود زن مجازاتی ندارد، ولی چنان‌چه در انجام زنا همکاری داشته باشد به حدّ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میگردد،</w:t>
      </w:r>
      <w:r>
        <w:rPr>
          <w:rStyle w:val="FootnoteAnchor"/>
          <w:rtl w:val="true"/>
        </w:rPr>
        <w:footnoteReference w:id="1747"/>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1748"/>
      </w:r>
    </w:p>
    <w:p>
      <w:pPr>
        <w:pStyle w:val="BookText"/>
        <w:rPr/>
      </w:pPr>
      <w:r>
        <w:rPr>
          <w:rFonts w:ascii="IRNazanin" w:hAnsi="IRNazanin" w:eastAsia="IRNazanin"/>
          <w:color w:val="111111"/>
          <w:sz w:val="28"/>
          <w:sz w:val="28"/>
          <w:szCs w:val="28"/>
          <w:rtl w:val="true"/>
          <w:lang w:bidi="fa-IR"/>
        </w:rPr>
        <w:t>بی تردید اطلاق این روایات کودک را شامل میشود، البته برخی از فقها آنها را از جهت سند ضعیف دانسته‌اند، از این رو در حکم مسأله تردید نموده</w:t>
      </w:r>
      <w:r>
        <w:rPr>
          <w:rStyle w:val="FootnoteAnchor"/>
          <w:rtl w:val="true"/>
        </w:rPr>
        <w:footnoteReference w:id="1749"/>
      </w:r>
      <w:r>
        <w:rPr>
          <w:rFonts w:ascii="IRNazanin" w:hAnsi="IRNazanin" w:eastAsia="IRNazanin"/>
          <w:color w:val="111111"/>
          <w:sz w:val="28"/>
          <w:sz w:val="28"/>
          <w:szCs w:val="28"/>
          <w:rtl w:val="true"/>
          <w:lang w:bidi="fa-IR"/>
        </w:rPr>
        <w:t>و یا احتیاط</w:t>
      </w:r>
      <w:r>
        <w:rPr>
          <w:rStyle w:val="FootnoteAnchor"/>
          <w:rtl w:val="true"/>
        </w:rPr>
        <w:footnoteReference w:id="1750"/>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ضعف سند در این روایات بعد از آن‌که مجازات قطع دست برای مرتکب در فرض مزبور شهرت یافته واضح الفساد</w:t>
      </w:r>
      <w:r>
        <w:rPr>
          <w:rStyle w:val="FootnoteAnchor"/>
          <w:rtl w:val="true"/>
        </w:rPr>
        <w:footnoteReference w:id="175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روایاتی که ذکر شد استفاده میشود مجازات قطع دست در آنها به جهت فروش انسان بعد از سرقت وی میباشد و صِرف ربودن وی موجب قطع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فاضل لنکرانی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تعبیر سرقت در بیش‌تر روایات آمده است، ولی مجازات قطع دست در آنها مستند به سرقت نمیشود، بلکه از این جهت</w:t>
      </w:r>
    </w:p>
    <w:p>
      <w:pPr>
        <w:pStyle w:val="BookText"/>
        <w:rPr/>
      </w:pPr>
      <w:r>
        <w:rPr>
          <w:rFonts w:ascii="IRNazanin" w:hAnsi="IRNazanin" w:eastAsia="IRNazanin"/>
          <w:color w:val="111111"/>
          <w:sz w:val="28"/>
          <w:sz w:val="28"/>
          <w:szCs w:val="28"/>
          <w:rtl w:val="true"/>
          <w:lang w:bidi="fa-IR"/>
        </w:rPr>
        <w:t>که فعل مرتکب موجب مفسده در اجتماع میباشد، به این مجازات محکوم میگردد و ممکن است ادعّا شود بر نفس عنوان فروش انسان آزاد در شریعت اسلام مجازات قطع دست و دیگر مجازاتی که در آیه شریفه قرآن</w:t>
      </w:r>
      <w:r>
        <w:rPr>
          <w:rStyle w:val="FootnoteAnchor"/>
          <w:rtl w:val="true"/>
        </w:rPr>
        <w:footnoteReference w:id="1752"/>
      </w:r>
      <w:r>
        <w:rPr>
          <w:rFonts w:ascii="IRNazanin" w:hAnsi="IRNazanin" w:eastAsia="IRNazanin"/>
          <w:color w:val="111111"/>
          <w:sz w:val="28"/>
          <w:sz w:val="28"/>
          <w:szCs w:val="28"/>
          <w:rtl w:val="true"/>
          <w:lang w:bidi="fa-IR"/>
        </w:rPr>
        <w:t>برای مفسد فی الارض در نظر گرفته شده و انتخاب آن در اختیار حاکم شرع میباشد مترتّب میگردد، هرچند از مصادیق مفسد به معنی مذکور در آیه نباشد</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کودک ربایی در قوانین داخلی</w:t>
      </w:r>
    </w:p>
    <w:p>
      <w:pPr>
        <w:pStyle w:val="BookText"/>
        <w:rPr/>
      </w:pPr>
      <w:r>
        <w:rPr>
          <w:rFonts w:ascii="IRNazanin" w:hAnsi="IRNazanin" w:eastAsia="IRNazanin"/>
          <w:color w:val="111111"/>
          <w:sz w:val="28"/>
          <w:sz w:val="28"/>
          <w:szCs w:val="28"/>
          <w:rtl w:val="true"/>
          <w:lang w:bidi="fa-IR"/>
        </w:rPr>
        <w:t>اولین گروه از بزه دیدگان این جرم را کودکان تازه متولّد شده، تشکیل میدهند و به ویژه این که قابل جابجایی با اطفال دیگر بوده و چهره آنها قابل تمییز و شناسایی با اطفال دیگر نمیباشد، با ملاحظه حیات و ممات این اطفال در هنگام تولد و برخورداری از حمایت قانونی، میتوان آنها را در سه قسم زیر طبقه‌بندی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تازه متولد مسلّم الحیات</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تازه متولد مسلّم الوفات</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تازه متولد مشکوک الحیات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گروه از بزه دیدگان این جرم را کودکان بزه دیده‌ای تشکیل میدهند که از نظر طیف سنی در سنین بالاتر از گروه قبلی قرار دارند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واقع در مراحل بالاتر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محدوده سنی آنها به طوری است که عرفاً به آنها اطفال تازه متولّد اطلاق نمیگردد و در سن بلوغ خاتمه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حمایت‌تقنینی از هر دو گروه و بیان مجازات مرتکبین جرم کودک ربایی در متون قانونی قبل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مصوّب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انقلاب ماده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تعزیرات مصوّب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مواد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قانون‌مجازات اسلامی مصوب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سه ماده اخیر که در حال حاضر قابل اجرا میباشد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گروه اول ماده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طفل را که تازه متولّد شده است، بدزدد یا مخفی کند یا او را به جای طفل دیگری یا متعلّق به زن دیگری غیر از مادر طفل قلمداد نماید، به شش ماه تا سه سال حبس محکوم خواهد شد و چنان‌چه احراز شود که طفل مزبور مرده بوده مرتکب به یکصدهزار تا پانصدهزار ریال جزای نقدی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دادن طفلی که به او سپرده شده است در موقع مطالبه اشخاصی که قانوناً حق مطالبه دارند امتناع کند به مجازات از سه ماه تا شش ماه حبس یا به جزای نقدی از یک میلیون و پانصدهزار تا سه میلیون ریال محکوم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مجازات ربودن گروه دوم سنی کودکان، ماده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قصد مطالبه وجه یا مال یا به قصد انتقام یا به هر منظور دیگر به عنف یا تهدید یا حیله یا به هر نحو دیگر شخصاً یا توسط دیگری شخصی را برباید به حبس از پنج تا پانزده سال محکوم خواهد شد در صورتی که سن مجنی علیه کم‌تر از پانزده سال تمام باشد یا ربودن توسط وسایل نقلیه انجام پذیرد یا به مجنی علیه آسیب جسمی یا حیثیتی وارد شود مرتکب به حداکثر مجازات تعیین شده محکوم خواهد شد، و در صورت ارتکاب جرایم صورت دیگر به مجازات آن جرم نیز محکوم میگردد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برای حمایت از طفل وضع نشده است، بلکه برای حمایت از حق والدین جهت نگهداری و حضانت از طفلی که از آنان متولّد شده است نیز میباشد، ممکن است جرم موضوع این ماده یک جرم مطلق تلقّی شود، یعنی دزدیدن یا مخفی کردن یا جابجا کردن طفل در هر صورت جرم محسوب میشود، هرچند در حین ربودن یا جابجایی مرتکب دستگیر شود، بنابراین شخصی که طفل را از محل خود بر میدارد و قبل از این که طفل دیگری را به جای او بگذارد، دستگیر شود مرتکب جرم تام شده، ولی ظاهراً این عملیات را باید شروع در جابجایی دانست و تحقق جرم منوط به حصول نتیجه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دیگر این که عنصر معنوی این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نیت عام است که همان قصد جدا کردن فرزند ازوالدین یا اشخاص مراقب میباشد، بنابراین تفاوتی ندارد که</w:t>
      </w:r>
    </w:p>
    <w:p>
      <w:pPr>
        <w:pStyle w:val="BookText"/>
        <w:rPr/>
      </w:pPr>
      <w:r>
        <w:rPr>
          <w:rFonts w:ascii="IRNazanin" w:hAnsi="IRNazanin" w:eastAsia="IRNazanin"/>
          <w:color w:val="111111"/>
          <w:sz w:val="28"/>
          <w:sz w:val="28"/>
          <w:szCs w:val="28"/>
          <w:rtl w:val="true"/>
          <w:lang w:bidi="fa-IR"/>
        </w:rPr>
        <w:t>مرتکب با چه هدفی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واژه دزدیدن ظهور در موردی دارد که مرتکب به قصد جداسازی دایمی طفل از والدینش، او را میرباید، از این رو اگر شخصی، طفلی را برباید تا مدتی نزد او باشد و سپس او را برگرداند بعید است که عمل وی مشمول ماده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در مورد جابجایی طفل یا متعلق به غیر مادر وانمودن کردن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مخفی کردن طفل شامل مخفی کردن موقتی نیز میشود</w:t>
      </w:r>
      <w:r>
        <w:rPr>
          <w:rFonts w:eastAsia="IRNazanin" w:cs="IRNazanin"/>
          <w:color w:val="111111"/>
          <w:sz w:val="28"/>
          <w:szCs w:val="28"/>
          <w:rtl w:val="true"/>
          <w:lang w:bidi="fa-IR"/>
        </w:rPr>
        <w:t>.</w:t>
      </w:r>
      <w:r>
        <w:rPr>
          <w:rStyle w:val="FootnoteAnchor"/>
          <w:rtl w:val="true"/>
        </w:rPr>
        <w:footnoteReference w:id="175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تقنینی از کودکان ربوده شده یا مخفی نگه داشته شده در سطح بین‌المللی</w:t>
      </w:r>
    </w:p>
    <w:p>
      <w:pPr>
        <w:pStyle w:val="BookText"/>
        <w:rPr/>
      </w:pPr>
      <w:r>
        <w:rPr>
          <w:rFonts w:ascii="IRNazanin" w:hAnsi="IRNazanin" w:eastAsia="IRNazanin"/>
          <w:color w:val="111111"/>
          <w:sz w:val="28"/>
          <w:sz w:val="28"/>
          <w:szCs w:val="28"/>
          <w:rtl w:val="true"/>
          <w:lang w:bidi="fa-IR"/>
        </w:rPr>
        <w:t xml:space="preserve">شیوع بچه دزدی و درک مفاسد و پیامدهای ناگوار آن منجر به ابداعات خاص در سطح بین‌المللی نیز شده است که مهم‌ترین آن پیمان نامه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لاهه در مورد جنبه‌های‌مدنی بچه دزدی در سطح بین‌الملل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نامه لاهه یک سند جهانی‌است که در ژوئن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این سند را به تصویب رسانده‌اند یا به آن‌ملحق گردیده‌اند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مواد این پیمان نامه میتوان اطفال کم‌تر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را که به طور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برخلاف میل سرپرست یا قیّم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کشور متعاهد پیمان نامه جابجا شده یا نگهداری میشود سریعاً به محل سکونت دائمی آنها بازگرداند تا در آن جا تصمیم نهایی درباره آینده آنها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دادگاه میتواند در صورتی که اطفال مخالف این امر باشند یا در معرض احتمال آسیب جدّی باشند یا در محل سکونت جدید خویش بیش از یک سال مقیم بوده و در نتیجه استقرار یافته باشند با این دستور مخالفت نماید</w:t>
      </w:r>
      <w:r>
        <w:rPr>
          <w:rFonts w:eastAsia="IRNazanin" w:cs="IRNazanin"/>
          <w:color w:val="111111"/>
          <w:sz w:val="28"/>
          <w:szCs w:val="28"/>
          <w:rtl w:val="true"/>
          <w:lang w:bidi="fa-IR"/>
        </w:rPr>
        <w:t>.</w:t>
      </w:r>
      <w:r>
        <w:rPr>
          <w:rStyle w:val="FootnoteAnchor"/>
          <w:rtl w:val="true"/>
        </w:rPr>
        <w:footnoteReference w:id="1755"/>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کنوانسیون حقوق کودک که به عنوان یک سند بین‌المللی به طور خاص به منظور حمایت از حقوق اطفال تدوین گردیده ربودن اطفال را، اعم از اطفال تازه متولّد شده و اطفال واقع در مراحل بالاتر سنی ممنوع اعلام کرده و آنها را در قبال این نوع بزه دیدگی تحت پوشش حمایتی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کنوانسیون، قاچاق اطفال به طور کلّی ممنوع است و کشورهای عضو این کنوانسیون موظّف به</w:t>
      </w:r>
      <w:bookmarkStart w:id="784" w:name="pg13713_164692"/>
    </w:p>
    <w:p>
      <w:pPr>
        <w:pStyle w:val="BookText"/>
        <w:rPr/>
      </w:pPr>
      <w:bookmarkEnd w:id="784"/>
      <w:r>
        <w:rPr>
          <w:rFonts w:ascii="IRNazanin" w:hAnsi="IRNazanin" w:eastAsia="IRNazanin"/>
          <w:color w:val="111111"/>
          <w:sz w:val="28"/>
          <w:sz w:val="28"/>
          <w:szCs w:val="28"/>
          <w:rtl w:val="true"/>
          <w:lang w:bidi="fa-IR"/>
        </w:rPr>
        <w:t>جلوگیری از قاچاق اطفال و نیز بازگشت دادن آنها به کشورهای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ماده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کنوانسیون در راستای حمایت از اطفال، ربودن و قاچاق اطفال را به هر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 اجازه والدین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منظوری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خرید و فروش یا تهاتر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اعلام کرده و خواستار اقداماتی برای جلوگیری از بچه دزدی و فروش و جابجایی اطفال به هر منظور و به هر شکلی میباشد</w:t>
      </w:r>
      <w:r>
        <w:rPr>
          <w:rFonts w:eastAsia="IRNazanin" w:cs="IRNazanin"/>
          <w:color w:val="111111"/>
          <w:sz w:val="28"/>
          <w:szCs w:val="28"/>
          <w:rtl w:val="true"/>
          <w:lang w:bidi="fa-IR"/>
        </w:rPr>
        <w:t>.</w:t>
      </w:r>
    </w:p>
    <w:p>
      <w:pPr>
        <w:pStyle w:val="Heading4"/>
        <w:numPr>
          <w:ilvl w:val="3"/>
          <w:numId w:val="1"/>
        </w:numPr>
        <w:rPr/>
      </w:pPr>
      <w:bookmarkStart w:id="785" w:name="__RefHeading___Toc1259888_1468164448"/>
      <w:bookmarkStart w:id="786" w:name="_Toc289"/>
      <w:bookmarkEnd w:id="785"/>
      <w:r>
        <w:rPr/>
        <w:t>2</w:t>
      </w:r>
      <w:r>
        <w:rPr>
          <w:rtl w:val="true"/>
        </w:rPr>
        <w:t xml:space="preserve">- </w:t>
      </w:r>
      <w:r>
        <w:rPr>
          <w:rtl w:val="true"/>
        </w:rPr>
        <w:t>رها کردن کودکان</w:t>
      </w:r>
      <w:bookmarkEnd w:id="786"/>
    </w:p>
    <w:p>
      <w:pPr>
        <w:pStyle w:val="BookText"/>
        <w:rPr/>
      </w:pPr>
      <w:r>
        <w:rPr>
          <w:rFonts w:ascii="IRNazanin" w:hAnsi="IRNazanin" w:eastAsia="IRNazanin"/>
          <w:color w:val="111111"/>
          <w:sz w:val="28"/>
          <w:sz w:val="28"/>
          <w:szCs w:val="28"/>
          <w:rtl w:val="true"/>
          <w:lang w:bidi="fa-IR"/>
        </w:rPr>
        <w:t>یکی از حقوق مسلم کودکان، زندگی و رشد و پرورش یافتن آنها در محیط مملو از مهر و محبتِ خانواده است، محیطی که زندگی در آن رشد و پرورش مادی و معنوی و اخلاقی کودکان را میسّر میسازد، به رغم این که حق زیستن با والدین و در کنار آنها بودن از حقوق طبیعی و اساسی اطفال تلقی گردیده است، لیکن با این وجود، این حق، به عناوین مختلفی نقض و مورد تهدید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بارز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کردن اطفال در معابر، خیابان‌ها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این حق اساسی به عنوان یکی دیگر از جرایم خاص علیه اطفال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فقهی، حضانت و نگهداری طفل تا زمانی که نیاز به نگهداری دارد بر والدین و دیگر اولیای وی واجب است و امتناع از آن و نادیده گرفتن این حق گناه و جرم است و دادگاه صالح میتواند به حسب مورد متخلّف را مجازات نماید که شرح آن در مباحث حضانت در جلد اول این تحقیق گذشت</w:t>
      </w:r>
      <w:r>
        <w:rPr>
          <w:rFonts w:eastAsia="IRNazanin" w:cs="IRNazanin"/>
          <w:color w:val="111111"/>
          <w:sz w:val="28"/>
          <w:szCs w:val="28"/>
          <w:rtl w:val="true"/>
          <w:lang w:bidi="fa-IR"/>
        </w:rPr>
        <w:t>.</w:t>
      </w:r>
    </w:p>
    <w:p>
      <w:pPr>
        <w:pStyle w:val="Heading4"/>
        <w:numPr>
          <w:ilvl w:val="3"/>
          <w:numId w:val="1"/>
        </w:numPr>
        <w:rPr/>
      </w:pPr>
      <w:bookmarkStart w:id="787" w:name="__RefHeading___Toc1259890_1468164448"/>
      <w:bookmarkStart w:id="788" w:name="_Toc290"/>
      <w:bookmarkEnd w:id="787"/>
      <w:r>
        <w:rPr/>
        <w:t>3</w:t>
      </w:r>
      <w:r>
        <w:rPr>
          <w:rtl w:val="true"/>
        </w:rPr>
        <w:t xml:space="preserve">- </w:t>
      </w:r>
      <w:r>
        <w:rPr>
          <w:rtl w:val="true"/>
        </w:rPr>
        <w:t>سوء استفاده از کودکان در تکدّی گری</w:t>
      </w:r>
      <w:bookmarkEnd w:id="78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تکدّی از گناهان بزرگ است و به عنوان یکی از مهم‌ترین جرایم بر ضد نظم عمومی جامعه محسوب میشود، فقها در بحث از شرایط مستحقین زکات به حکم تکدّی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بر انجام کار به منزله داشتن مال</w:t>
      </w:r>
    </w:p>
    <w:p>
      <w:pPr>
        <w:pStyle w:val="BookText"/>
        <w:rPr/>
      </w:pPr>
      <w:r>
        <w:rPr>
          <w:rFonts w:ascii="IRNazanin" w:hAnsi="IRNazanin" w:eastAsia="IRNazanin"/>
          <w:color w:val="111111"/>
          <w:sz w:val="28"/>
          <w:sz w:val="28"/>
          <w:szCs w:val="28"/>
          <w:rtl w:val="true"/>
          <w:lang w:bidi="fa-IR"/>
        </w:rPr>
        <w:t xml:space="preserve">است، بنابراین برای کسی که قادر به انجام کسب و کار برای تأمین معیشت خود و کسانی که واجب النفقه او محسوب میشوند، باشد درخواست صدقه نمودن و کمک مالی خواستن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قبول زکات هم برای او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این باره ادعای اجماع</w:t>
      </w:r>
      <w:r>
        <w:rPr>
          <w:rStyle w:val="FootnoteAnchor"/>
          <w:rtl w:val="true"/>
        </w:rPr>
        <w:footnoteReference w:id="1757"/>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بسیاری دیگر از فقها</w:t>
      </w:r>
      <w:r>
        <w:rPr>
          <w:rStyle w:val="FootnoteAnchor"/>
          <w:rtl w:val="true"/>
        </w:rPr>
        <w:footnoteReference w:id="1758"/>
      </w:r>
      <w:r>
        <w:rPr>
          <w:rFonts w:ascii="IRNazanin" w:hAnsi="IRNazanin" w:eastAsia="IRNazanin"/>
          <w:color w:val="111111"/>
          <w:sz w:val="28"/>
          <w:sz w:val="28"/>
          <w:szCs w:val="28"/>
          <w:rtl w:val="true"/>
          <w:lang w:bidi="fa-IR"/>
        </w:rPr>
        <w:t>نیز بدین مضمون میباشد، مستند این حکم روایاتی است در حدّ استفاضه، از جمله از پیغمبر اکرم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برای افراد بینیاز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الصَّدَقَةُ لِغَنِِیٍّ</w:t>
      </w:r>
      <w:r>
        <w:rPr>
          <w:rFonts w:eastAsia="IRNazanin" w:cs="IRNazanin"/>
          <w:color w:val="111111"/>
          <w:sz w:val="28"/>
          <w:szCs w:val="28"/>
          <w:rtl w:val="true"/>
          <w:lang w:bidi="fa-IR"/>
        </w:rPr>
        <w:t>».</w:t>
      </w:r>
      <w:r>
        <w:rPr>
          <w:rStyle w:val="FootnoteAnchor"/>
          <w:rtl w:val="true"/>
        </w:rPr>
        <w:footnoteReference w:id="1759"/>
      </w:r>
      <w:r>
        <w:rPr>
          <w:rFonts w:ascii="IRNazanin" w:hAnsi="IRNazanin" w:eastAsia="IRNazanin"/>
          <w:color w:val="111111"/>
          <w:sz w:val="28"/>
          <w:sz w:val="28"/>
          <w:szCs w:val="28"/>
          <w:rtl w:val="true"/>
          <w:lang w:bidi="fa-IR"/>
        </w:rPr>
        <w:t>و در حدیث دیگری از همان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مردم درخواست کند در حالی که به مقدار کفایت دارد، آتش دوزخ را برای خود افزون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سَئَلَ وَ عِندَهُ مَا یغنِیهِ فَاِنَّما یستَکثِرُ مِن جَمرِ جَهَنَّمَ</w:t>
      </w:r>
      <w:r>
        <w:rPr>
          <w:rFonts w:eastAsia="IRNazanin" w:cs="IRNazanin"/>
          <w:color w:val="111111"/>
          <w:sz w:val="28"/>
          <w:szCs w:val="28"/>
          <w:rtl w:val="true"/>
          <w:lang w:bidi="fa-IR"/>
        </w:rPr>
        <w:t>».</w:t>
      </w:r>
      <w:r>
        <w:rPr>
          <w:rStyle w:val="FootnoteAnchor"/>
          <w:rtl w:val="true"/>
        </w:rPr>
        <w:footnoteReference w:id="1760"/>
      </w:r>
      <w:r>
        <w:rPr>
          <w:rFonts w:ascii="IRNazanin" w:hAnsi="IRNazanin" w:eastAsia="IRNazanin"/>
          <w:color w:val="111111"/>
          <w:sz w:val="28"/>
          <w:sz w:val="28"/>
          <w:szCs w:val="28"/>
          <w:rtl w:val="true"/>
          <w:lang w:bidi="fa-IR"/>
        </w:rPr>
        <w:t xml:space="preserve">هم‌چنین در روایات وارد شده که شهادت سائل به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w:t>
      </w:r>
      <w:r>
        <w:rPr>
          <w:rFonts w:eastAsia="IRNazanin" w:cs="IRNazanin"/>
          <w:color w:val="111111"/>
          <w:sz w:val="28"/>
          <w:szCs w:val="28"/>
          <w:rtl w:val="true"/>
          <w:lang w:bidi="fa-IR"/>
        </w:rPr>
        <w:t>.</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متأسفانه متکدّیان برای رسیدن به اهداف و مقاصد شوم خود اغلب از اطفال بیدفاع و اشخاص غیر رشید استفاده میکنند، از این رو میتوان گفت که اطفال مهم‌ترین گروه از بزه دیدگان این جرم محسوب میشوند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در جوامع کنونی استفاده از اطفال برای تکدّی به عنوان یک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درقالب‌اجاره کردن و اجاره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که زشتی این پدیده را بیش از پیش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اجاره دهندگان اغلب والدین معتادی هستند که توانایی و صلاحیت کار کردن حتی تکدّی گری را نیز از دست داده‌اند و اجاره کنندگان نیز متکدّیان باسابقه و حرفه‌ای هستند که از درآمد بالایی برخوردارند و مورد اجاره نیز اغلب اطفال بیگناه و بیدفاعی هستند که با محبّت و صمیمیت بیگانه‌اند و وجودشان سرشار از ترس و اطاعت محض است، خیلی زود</w:t>
      </w:r>
      <w:bookmarkStart w:id="789" w:name="pg13713_164694"/>
    </w:p>
    <w:p>
      <w:pPr>
        <w:pStyle w:val="BookText"/>
        <w:rPr/>
      </w:pPr>
      <w:bookmarkEnd w:id="789"/>
      <w:r>
        <w:rPr>
          <w:rFonts w:ascii="IRNazanin" w:hAnsi="IRNazanin" w:eastAsia="IRNazanin"/>
          <w:color w:val="111111"/>
          <w:sz w:val="28"/>
          <w:sz w:val="28"/>
          <w:szCs w:val="28"/>
          <w:rtl w:val="true"/>
          <w:lang w:bidi="fa-IR"/>
        </w:rPr>
        <w:t>تربیت شده و منظور اجاره کننده را میفهمند و بسان بازیگری ماهر نقش اطفال بیماری، فلج و علیل را بازی میکنند و عواطف و احساسات رهگذران را بر میانگیزند و در صورت ناتوانی در ایفای وظیفه محوّله با نیشگون‌های دردناک و یا سوزن‌های سوزدار اجاره کننده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نوع عقد اجاره، اشخاصی نیز پیدا شده‌اند که در گریم کردن اطفال و آنان را به شکل بیمار و علیل درآوردن، تخصّص دارند، آنان که با رنگ‌ها و وسایل پانسمان قسمت‌هایی از دست و پای اطفال را گچ گرفته و یا بدن و اندام آنان را همانند مجروحان و سوختگان در میآورند و از این راه امرار و معاش مینمایند</w:t>
      </w:r>
      <w:r>
        <w:rPr>
          <w:rFonts w:eastAsia="IRNazanin" w:cs="IRNazanin"/>
          <w:color w:val="111111"/>
          <w:sz w:val="28"/>
          <w:szCs w:val="28"/>
          <w:rtl w:val="true"/>
          <w:lang w:bidi="fa-IR"/>
        </w:rPr>
        <w:t>.</w:t>
      </w:r>
      <w:r>
        <w:rPr>
          <w:rStyle w:val="FootnoteAnchor"/>
          <w:rtl w:val="true"/>
        </w:rPr>
        <w:footnoteReference w:id="1762"/>
      </w:r>
    </w:p>
    <w:p>
      <w:pPr>
        <w:pStyle w:val="Heading4"/>
        <w:numPr>
          <w:ilvl w:val="3"/>
          <w:numId w:val="1"/>
        </w:numPr>
        <w:rPr/>
      </w:pPr>
      <w:bookmarkStart w:id="790" w:name="__RefHeading___Toc1259892_1468164448"/>
      <w:bookmarkStart w:id="791" w:name="_Toc291"/>
      <w:bookmarkEnd w:id="790"/>
      <w:r>
        <w:rPr/>
        <w:t>4</w:t>
      </w:r>
      <w:r>
        <w:rPr>
          <w:rtl w:val="true"/>
        </w:rPr>
        <w:t xml:space="preserve">- </w:t>
      </w:r>
      <w:r>
        <w:rPr>
          <w:rtl w:val="true"/>
        </w:rPr>
        <w:t>عوال بزه دیده واقع شدن اطفال در زمینه تکدّی</w:t>
      </w:r>
      <w:bookmarkEnd w:id="791"/>
    </w:p>
    <w:p>
      <w:pPr>
        <w:pStyle w:val="BookText"/>
        <w:rPr/>
      </w:pPr>
      <w:r>
        <w:rPr>
          <w:rFonts w:ascii="IRNazanin" w:hAnsi="IRNazanin" w:eastAsia="IRNazanin"/>
          <w:color w:val="111111"/>
          <w:sz w:val="28"/>
          <w:sz w:val="28"/>
          <w:szCs w:val="28"/>
          <w:rtl w:val="true"/>
          <w:lang w:bidi="fa-IR"/>
        </w:rPr>
        <w:t>علاوه بر عوامل مهمی چون صغر سن و ناتوانی دفاع در مقابل بزرگسالان و ترحّم انگیزی بیش‌تر توسط اطفال، دو دسته از عوامل در بزه دیدگی اطفال در این جرم دخالت دارند که بدان‌ها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مربوط به اطفال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معلولیت جسمی و ناقص العضو بودن به عنوان یکی از ابزارهای کلیدی این پدیده نابهنجار تلقی میشود، زیرا در برانگیختن احساسات مردم و جذب کمک‌های مالی از آنها نقش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اطفال در مشاغل کاذبی چون واکس زنی، سیگار فروشی، آدامس فروشی، موجب گزینش سریع و سهل آنان برای تکدّی گری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موفقیت اطفال در امتحانات درسی و ترس از تنبیه والدین باعث میشود که آنها از محیطهای تحصیلی و آموزشی گریزان شده و به جمع گروهای اطفال خیابانی ملحق شوند که از نظر جرم شناختی مهم‌ترین گروه برای تکدّی گری محسوب میشوند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خیابانی بودن اطفال بهترین عامل برای تکدّی گری محسوب میشوند و عوامل مختلفی چون فقر، اعتیاد، جنگ، مهاجرت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وجود آمدن آن نقش دارند</w:t>
      </w:r>
      <w:r>
        <w:rPr>
          <w:rFonts w:eastAsia="IRNazanin" w:cs="IRNazanin"/>
          <w:color w:val="111111"/>
          <w:sz w:val="28"/>
          <w:szCs w:val="28"/>
          <w:rtl w:val="true"/>
          <w:lang w:bidi="fa-IR"/>
        </w:rPr>
        <w:t>.</w:t>
      </w:r>
      <w:bookmarkStart w:id="792" w:name="pg13713_164695"/>
    </w:p>
    <w:p>
      <w:pPr>
        <w:pStyle w:val="BookText"/>
        <w:rPr/>
      </w:pPr>
      <w:bookmarkEnd w:id="79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خانوادگی</w:t>
      </w:r>
    </w:p>
    <w:p>
      <w:pPr>
        <w:pStyle w:val="BookText"/>
        <w:rPr/>
      </w:pPr>
      <w:r>
        <w:rPr>
          <w:rFonts w:ascii="IRNazanin" w:hAnsi="IRNazanin" w:eastAsia="IRNazanin"/>
          <w:color w:val="111111"/>
          <w:sz w:val="28"/>
          <w:sz w:val="28"/>
          <w:szCs w:val="28"/>
          <w:rtl w:val="true"/>
          <w:lang w:bidi="fa-IR"/>
        </w:rPr>
        <w:t>این عوامل به طور اجمال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رفتاری پدر و مادر یا پدرخوانده و یا مادرخوانده با اطفال، وجود اختلاف در خانواده و عدم احساس و آرامش و امنیّت در محیط خانوادگی، سخت‌گیریهای بیجای والدین، اعتیاد، طلاق و یا مرگ والدین، افزایش هزینه سرسام آور زندگی خانواده‌ها در شهرهای بزرگ و عدم تأمین زندگی مثل غذا، مسکن، پوشاک و غیره و نیز مهاجرت‌های دسته جمعی خانواده‌ها از روستاها به شهرها و عدم انطباق وضع زندگی و عادت و اخلاق روستائیان با تمدّن شهری و سرگردانی و روحی اطفال در محیطهای بزرگ و نامأنوس</w:t>
      </w:r>
      <w:r>
        <w:rPr>
          <w:rFonts w:eastAsia="IRNazanin" w:cs="IRNazanin"/>
          <w:color w:val="111111"/>
          <w:sz w:val="28"/>
          <w:szCs w:val="28"/>
          <w:rtl w:val="true"/>
          <w:lang w:bidi="fa-IR"/>
        </w:rPr>
        <w:t>.</w:t>
      </w:r>
      <w:r>
        <w:rPr>
          <w:rStyle w:val="FootnoteAnchor"/>
          <w:rtl w:val="true"/>
        </w:rPr>
        <w:footnoteReference w:id="1763"/>
      </w:r>
    </w:p>
    <w:p>
      <w:pPr>
        <w:pStyle w:val="Heading4"/>
        <w:numPr>
          <w:ilvl w:val="3"/>
          <w:numId w:val="1"/>
        </w:numPr>
        <w:rPr/>
      </w:pPr>
      <w:bookmarkStart w:id="793" w:name="__RefHeading___Toc1259894_1468164448"/>
      <w:bookmarkStart w:id="794" w:name="_Toc292"/>
      <w:bookmarkEnd w:id="793"/>
      <w:r>
        <w:rPr/>
        <w:t>5</w:t>
      </w:r>
      <w:r>
        <w:rPr>
          <w:rtl w:val="true"/>
        </w:rPr>
        <w:t xml:space="preserve">- </w:t>
      </w:r>
      <w:r>
        <w:rPr>
          <w:rtl w:val="true"/>
        </w:rPr>
        <w:t>بزه دیدگی کودکان در جرایم مواد مخدّر</w:t>
      </w:r>
      <w:bookmarkEnd w:id="794"/>
    </w:p>
    <w:p>
      <w:pPr>
        <w:pStyle w:val="BookText"/>
        <w:rPr/>
      </w:pPr>
      <w:r>
        <w:rPr>
          <w:rFonts w:ascii="IRNazanin" w:hAnsi="IRNazanin" w:eastAsia="IRNazanin"/>
          <w:color w:val="111111"/>
          <w:sz w:val="28"/>
          <w:sz w:val="28"/>
          <w:szCs w:val="28"/>
          <w:rtl w:val="true"/>
          <w:lang w:bidi="fa-IR"/>
        </w:rPr>
        <w:t>کودکان در خصوص جرایم مواد مخدّر نیز همانند سایر انحرافات و جرایم اجتماعی دیگر از دو دیدگاه بزهکاری و بزه دیدگی قابل مطالعه و بررسی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بزهکاری کودکان در مواد مخدّر همانند بزهکاری بزرگسالان میباشد و تفاوت چندانی بین آنها از ناحیه ارتکاب بزه نیست هرچند از ناحیه مجازات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بزهکاری کودکان از موضوع تحقیق در این گفتار خارج است، از این رو عمده بحث بر جنبه دیگر یعنی بزه دیدگی کودکان در جرایم مواد مخدّر متمرکز میگردد که در ادامه به دو شکل رایج آن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کردن کودکان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به مواد مخدّر از عواملی است که فرد را به نابودی میکشاند و در پی آن خانواده و اجتماع را نیز به تباهی سوق میدهد، اهمیت موضوع وقتی است که این کار از ناحیه کودکان جامعه صورت گیرد و توجّه خاص و بسیج عمومی</w:t>
      </w:r>
    </w:p>
    <w:p>
      <w:pPr>
        <w:pStyle w:val="BookText"/>
        <w:rPr/>
      </w:pPr>
      <w:r>
        <w:rPr>
          <w:rFonts w:ascii="IRNazanin" w:hAnsi="IRNazanin" w:eastAsia="IRNazanin"/>
          <w:color w:val="111111"/>
          <w:sz w:val="28"/>
          <w:sz w:val="28"/>
          <w:szCs w:val="28"/>
          <w:rtl w:val="true"/>
          <w:lang w:bidi="fa-IR"/>
        </w:rPr>
        <w:t>زمانی به صورت جدّی لازم میآید که اکثریت افراد یک جامعه یعنی کودکان در معرض خطر باشند</w:t>
      </w:r>
      <w:r>
        <w:rPr>
          <w:rFonts w:eastAsia="IRNazanin" w:cs="IRNazanin"/>
          <w:color w:val="111111"/>
          <w:sz w:val="28"/>
          <w:szCs w:val="28"/>
          <w:rtl w:val="true"/>
          <w:lang w:bidi="fa-IR"/>
        </w:rPr>
        <w:t>.</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معتاد کردن کودکان ممکن است به دو صورت انجام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معتاد کردن آنان به صورت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شخص بزرگسالی مستقیماً و بلاواسطه، با انگیزه و به قصد معتاد کردن کودک باعث اعتیاد وی به مواد مخدّر یا مواد روان گردان گردد، این شیوه اغلب توسط قاچاقچیان، معتادان بزرگسال و معتادان همسال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 کردن اطفال توسط قاچاقچیان بدین صورت است که چون فروش مواد مخدّر دارای سود فراوان میباشد، از این رو آنها سعی میکنند تا اطفال را به این مواد معتاد سازند تا بدین وسیله هم خود از لحاظ جنسی از آنها بهره کشی نمایند و هم به وسیله آنها جنس خود را به فروش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قاچاقچیان مواد مخدّر اطفال معصوم و بیگناه را معتاد نموده و با شرکت و همدستی آنان به فعالیّت‌های نامشروع خود ادامه میدهند و مطمئن هستند که اطفال در صورت ارتکاب جرم از پرداخت جزای نقدی معاف و محکومیت‌های طولانی در مورد آنان اجرا نخواهد شد</w:t>
      </w:r>
      <w:r>
        <w:rPr>
          <w:rFonts w:eastAsia="IRNazanin" w:cs="IRNazanin"/>
          <w:color w:val="111111"/>
          <w:sz w:val="28"/>
          <w:szCs w:val="28"/>
          <w:rtl w:val="true"/>
          <w:lang w:bidi="fa-IR"/>
        </w:rPr>
        <w:t>.</w:t>
      </w:r>
      <w:r>
        <w:rPr>
          <w:rStyle w:val="FootnoteAnchor"/>
          <w:rtl w:val="true"/>
        </w:rPr>
        <w:footnoteReference w:id="176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گروه دیگری از معتادان بزرگسال اشخاص بیگانه یا والدین و یا سرپرستان قانونی اطفال میباشند که به قصد ارضاع طمع‌های مالی یا جنسی به صورت عالمانه یا جاهلانه، اطفال و افراد تحت سرپرستی خویش را معتاد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معتادان همسال هم گروه</w:t>
      </w:r>
    </w:p>
    <w:p>
      <w:pPr>
        <w:pStyle w:val="BookText"/>
        <w:rPr/>
      </w:pPr>
      <w:r>
        <w:rPr>
          <w:rFonts w:ascii="IRNazanin" w:hAnsi="IRNazanin" w:eastAsia="IRNazanin"/>
          <w:color w:val="111111"/>
          <w:sz w:val="28"/>
          <w:sz w:val="28"/>
          <w:szCs w:val="28"/>
          <w:rtl w:val="true"/>
          <w:lang w:bidi="fa-IR"/>
        </w:rPr>
        <w:t>دیگری از معتادکنندگان به شیوه مستقیم هستند که به انگیزه دمسازی، کنجکاوی، تفنّن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هم سن و سال خویش را به وادی اعتیاد میکشانند</w:t>
      </w:r>
      <w:r>
        <w:rPr>
          <w:rFonts w:eastAsia="IRNazanin" w:cs="IRNazanin"/>
          <w:color w:val="111111"/>
          <w:sz w:val="28"/>
          <w:szCs w:val="28"/>
          <w:rtl w:val="true"/>
          <w:lang w:bidi="fa-IR"/>
        </w:rPr>
        <w:t>.</w:t>
      </w:r>
      <w:r>
        <w:rPr>
          <w:rStyle w:val="FootnoteAnchor"/>
          <w:rtl w:val="true"/>
        </w:rPr>
        <w:footnoteReference w:id="17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معتاد کردن به شیوه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علل و عوامل اعتیادزایی که به صورت غیر مستقیم و با واسطه به کشیده شدن اطفال به اعتیاد منجر میگردد، زیرا اطفال به عنوان افراد آسیب‌پذیر میتوانند با نامناسب بودن بسترهای پرورشی خیلی زود و به راحتی به اعتیاد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علل و عوامل اعتیادزا برای اطفال میتوان به علل جسمی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توراث، نژاد، جنسیت، سن و وضع جسمی از نظر مصرف داروهای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اختلالات روانی، هیجانات ناگهانی، احساس تنهایی، کمبود محبّت و افسردگی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محیط خانواده، ناسازگاری، از هم گسیختگی خانواده، عدم سرپرست و مراقبت، بیاعتنایی، عدم امکانات تفریحی، اعتیاد والدین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یکی از مهم‌ترین علل اعتیادزا برای اطفال که جزء علل اجتماعی به شمار میآید، اعتیاد والدین است</w:t>
      </w:r>
      <w:r>
        <w:rPr>
          <w:rFonts w:eastAsia="IRNazanin" w:cs="IRNazanin"/>
          <w:color w:val="111111"/>
          <w:sz w:val="28"/>
          <w:szCs w:val="28"/>
          <w:rtl w:val="true"/>
          <w:lang w:bidi="fa-IR"/>
        </w:rPr>
        <w:t>.</w:t>
      </w:r>
      <w:r>
        <w:rPr>
          <w:rStyle w:val="FootnoteAnchor"/>
          <w:rtl w:val="true"/>
        </w:rPr>
        <w:footnoteReference w:id="17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اطفال در خرید و فروش و قاچاق مواد مخدر</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بهره کشی و سوء استفاده از اطفال در خرید و فروش و قاچاق مواد مخدر به صورت فزاینده‌ای گسترش یافته تا جایی که به گفته بعضی از محققین، اشتغال به قاچاق توسط اطفال زیر نظر افراد مسن و باسابقه به یکی از حرفه‌های شایع انحرافی و غیر قانونی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اطفال به علت سبکی وزن و چابک بودن در پیمودن سریع کوچه‌ها و خیابان‌ها جهت انتقال پیام‌ها و حمل مواد چون کوکائین و حشیش تحت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هواپیما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گرفته میشوند</w:t>
      </w:r>
      <w:r>
        <w:rPr>
          <w:rFonts w:eastAsia="IRNazanin" w:cs="IRNazanin"/>
          <w:color w:val="111111"/>
          <w:sz w:val="28"/>
          <w:szCs w:val="28"/>
          <w:rtl w:val="true"/>
          <w:lang w:bidi="fa-IR"/>
        </w:rPr>
        <w:t>.</w:t>
      </w:r>
      <w:r>
        <w:rPr>
          <w:rStyle w:val="FootnoteAnchor"/>
          <w:rtl w:val="true"/>
        </w:rPr>
        <w:footnoteReference w:id="1768"/>
      </w:r>
      <w:bookmarkStart w:id="795" w:name="pg13713_164698"/>
    </w:p>
    <w:p>
      <w:pPr>
        <w:pStyle w:val="BookText"/>
        <w:rPr/>
      </w:pPr>
      <w:bookmarkEnd w:id="795"/>
      <w:r>
        <w:rPr>
          <w:rFonts w:ascii="IRNazanin" w:hAnsi="IRNazanin" w:eastAsia="IRNazanin"/>
          <w:color w:val="111111"/>
          <w:sz w:val="28"/>
          <w:sz w:val="28"/>
          <w:szCs w:val="28"/>
          <w:rtl w:val="true"/>
          <w:lang w:bidi="fa-IR"/>
        </w:rPr>
        <w:t>این پدیده شوم به ویژه در کشورهای در حال توسعه متأثر از شرایط نامناسب اقتصادی، اجتماعی، فرهنگی و آموزشی آن جوامع و به لحاظ وضعیت آسیب‌پذیری اطفال به صورت جرایم سازمان یافته بین‌المللی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کودکان آسیب‌پذیر جهت به کارگیری در خرید و فروش و قاچاق مواد مخدّر به ویژه در قالب سازمان یافته اطفال مهاجر روستایی، اطفال پناهنده و اطفال کارگر خردسال</w:t>
      </w:r>
      <w:r>
        <w:rPr>
          <w:rStyle w:val="FootnoteAnchor"/>
          <w:rtl w:val="true"/>
        </w:rPr>
        <w:footnoteReference w:id="1769"/>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4"/>
        <w:numPr>
          <w:ilvl w:val="3"/>
          <w:numId w:val="1"/>
        </w:numPr>
        <w:rPr/>
      </w:pPr>
      <w:bookmarkStart w:id="796" w:name="__RefHeading___Toc1259896_1468164448"/>
      <w:bookmarkStart w:id="797" w:name="_Toc293"/>
      <w:bookmarkEnd w:id="796"/>
      <w:r>
        <w:rPr/>
        <w:t>6</w:t>
      </w:r>
      <w:r>
        <w:rPr>
          <w:rtl w:val="true"/>
        </w:rPr>
        <w:t xml:space="preserve">- </w:t>
      </w:r>
      <w:r>
        <w:rPr>
          <w:rtl w:val="true"/>
        </w:rPr>
        <w:t xml:space="preserve">گمراه نمودن </w:t>
      </w:r>
      <w:r>
        <w:rPr>
          <w:rtl w:val="true"/>
        </w:rPr>
        <w:t>(</w:t>
      </w:r>
      <w:r>
        <w:rPr>
          <w:rtl w:val="true"/>
        </w:rPr>
        <w:t>اضلال</w:t>
      </w:r>
      <w:r>
        <w:rPr>
          <w:rtl w:val="true"/>
        </w:rPr>
        <w:t xml:space="preserve">) </w:t>
      </w:r>
      <w:r>
        <w:rPr>
          <w:rtl w:val="true"/>
        </w:rPr>
        <w:t>کودکان</w:t>
      </w:r>
      <w:bookmarkEnd w:id="797"/>
    </w:p>
    <w:p>
      <w:pPr>
        <w:pStyle w:val="BookText"/>
        <w:rPr/>
      </w:pPr>
      <w:r>
        <w:rPr>
          <w:rFonts w:ascii="IRNazanin" w:hAnsi="IRNazanin" w:eastAsia="IRNazanin"/>
          <w:color w:val="111111"/>
          <w:sz w:val="28"/>
          <w:sz w:val="28"/>
          <w:szCs w:val="28"/>
          <w:rtl w:val="true"/>
          <w:lang w:bidi="fa-IR"/>
        </w:rPr>
        <w:t>ضلالت و اضلال که ترجمه آن در فارسی گمراهی و گمراه نمودن است، در لغت به معنی هلاک شدن، گم کردن، مخفی شدن، رفتن به راهی که انسان را به مطلوب نمیرساند و انحراف از دین حق یا طریقی که به نفع دنیا و آخرت انسان است، به کار میرود</w:t>
      </w:r>
      <w:r>
        <w:rPr>
          <w:rFonts w:eastAsia="IRNazanin" w:cs="IRNazanin"/>
          <w:color w:val="111111"/>
          <w:sz w:val="28"/>
          <w:szCs w:val="28"/>
          <w:rtl w:val="true"/>
          <w:lang w:bidi="fa-IR"/>
        </w:rPr>
        <w:t>.</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واژه‌های هدایت و هم خانواده‌های آن کلماتی هستند که به گونه‌ای با این واژه تقابل و ضدیّت دارند، هدایت به معنی دلالت و راهنمایی نمودن است که همراه با لطف و محبّت باشد، هدیه نیز از همین واژه میباشد</w:t>
      </w:r>
      <w:r>
        <w:rPr>
          <w:rFonts w:eastAsia="IRNazanin" w:cs="IRNazanin"/>
          <w:color w:val="111111"/>
          <w:sz w:val="28"/>
          <w:szCs w:val="28"/>
          <w:rtl w:val="true"/>
          <w:lang w:bidi="fa-IR"/>
        </w:rPr>
        <w:t>.</w:t>
      </w:r>
      <w:r>
        <w:rPr>
          <w:rStyle w:val="FootnoteAnchor"/>
          <w:rtl w:val="true"/>
        </w:rPr>
        <w:footnoteReference w:id="1771"/>
      </w:r>
      <w:r>
        <w:rPr>
          <w:rFonts w:ascii="IRNazanin" w:hAnsi="IRNazanin" w:eastAsia="IRNazanin"/>
          <w:color w:val="111111"/>
          <w:sz w:val="28"/>
          <w:sz w:val="28"/>
          <w:szCs w:val="28"/>
          <w:rtl w:val="true"/>
          <w:lang w:bidi="fa-IR"/>
        </w:rPr>
        <w:t>مقصود از اضلال در این بحث نیز گمراه نمودن کودکان از راه حق و حقیقت و دینداری و اعتقادات صحیح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کودک در جهت تربیت صحیح، بیش‌تر و زودتر از بزرگسالان مسائل تربیتی و علمی را میگیرد و بدان آگاهی پیدا میکند، هم چنان‌که گفته شده آموختن مسائل علمی در کودکی همانند نقش بر سنگ است</w:t>
      </w:r>
      <w:r>
        <w:rPr>
          <w:rFonts w:eastAsia="IRNazanin" w:cs="IRNazanin"/>
          <w:color w:val="111111"/>
          <w:sz w:val="28"/>
          <w:szCs w:val="28"/>
          <w:rtl w:val="true"/>
          <w:lang w:bidi="fa-IR"/>
        </w:rPr>
        <w:t>.</w:t>
      </w:r>
      <w:r>
        <w:rPr>
          <w:rStyle w:val="FootnoteAnchor"/>
          <w:rtl w:val="true"/>
        </w:rPr>
        <w:footnoteReference w:id="1772"/>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مسائلی که انسان در کودکی میآموزد، در تمام دوران عمر آنها را از یاد نمیبرد، به همین جهت ترویج و تبلیغ مظاهر کفر و شرک در بین کودکان و طرح سؤالاتی که کودک قدرت فهم و هضم آن را ندارد و موجب تضعیف اعتقادات وی میشود و جو سازی بر علیه دین و دینداری زودتر و بیش‌تر</w:t>
      </w:r>
    </w:p>
    <w:p>
      <w:pPr>
        <w:pStyle w:val="BookText"/>
        <w:rPr/>
      </w:pPr>
      <w:r>
        <w:rPr>
          <w:rFonts w:ascii="IRNazanin" w:hAnsi="IRNazanin" w:eastAsia="IRNazanin"/>
          <w:color w:val="111111"/>
          <w:sz w:val="28"/>
          <w:sz w:val="28"/>
          <w:szCs w:val="28"/>
          <w:rtl w:val="true"/>
          <w:lang w:bidi="fa-IR"/>
        </w:rPr>
        <w:t>کودکان را منحرف میسازد، به گونه‌ای که شاید آثار مخرب و منفی آن تا آخر عمر باقی بماند و کودک را برای همیشه از دین و باورهای دینی دور و موجبات شقاوت و بدبختی او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ظلم بر کودک توسط هر کس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معلم و استاد، افراد جامعه، دوست و همنشین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دردناک‌ترین و پر خطرترین جنایات میباشد و با عناوینی مانند اضلال کودکان، ترویج و تبلیغ منکرات در بین آنها، ایجاد روح بدبینی و نفرت از دین و دینداری، سوق دادن آنها به عقاید کفرآمیز و ترویج از کفر و ضدیت علیه اسلام میتواند مورد بحث و کاوش قرار گیرد که تحقیق در مورد آنها مجال بیشتری را میطلبد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کلام را با این حدیث شریف از امام کاظم علیه السلام به پایان میبریم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بنیانگذار روش و سنّت نیک باشد، پاداش آن را دارد و نیز پاداش کسانی که به آن سنّت عمل مینمایند، بدون این که از پاداش آنان کم شود، هم چنین کسی که بنیانگذار روش و سنّت زشت و زیان باری باشد، عواقب آن روش باطل را خواهد داشت و نیز کیفر کسانی که به آن سنّت و روش باطل عمل مینمایند، بدون اینکه از کیفر آنان چیزی کم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استَنَّ بِسُنَّةٍ سَیئَةٍ فَعَلیهِ وِزرُهَا وَ وِزرُ مَن عَمِلَ بِهَا مِن غَیرِ أن یَنقُصَ مِن أوزَارِهِم شَیءٌ</w:t>
      </w:r>
      <w:r>
        <w:rPr>
          <w:rFonts w:eastAsia="IRNazanin" w:cs="IRNazanin"/>
          <w:color w:val="111111"/>
          <w:sz w:val="28"/>
          <w:szCs w:val="28"/>
          <w:rtl w:val="true"/>
          <w:lang w:bidi="fa-IR"/>
        </w:rPr>
        <w:t>»</w:t>
      </w:r>
      <w:r>
        <w:rPr>
          <w:rStyle w:val="FootnoteAnchor"/>
          <w:rtl w:val="true"/>
        </w:rPr>
        <w:footnoteReference w:id="1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شریف اگر تبلیغ و ترویج معلّم در کلاس درس از مظاهر کفر و شرک و ایراد بر احکام اسلام و ایجاد وسوسه نسبت به آنها، اعتقادات کودک نسبت به مسائل دینی تضعیف شود به طوری که موجب گردد نماز و دیگر احکام مستحبی که کودک میتواند آن را انجام دهد، ترک نماید و این عمل به صورت یک سنّت باطل در بین کودکان رایج گردد و بعد از بلوغ آنان نیز ادامه یابد، معلّم مشمول کیفر ترک نماز قرار میگیرد، بدون این که از کیفر کسی که نماز را بجا نیاورده است کم شود و این کیفر بسیار شدید و ترسناک است</w:t>
      </w:r>
      <w:r>
        <w:rPr>
          <w:rFonts w:eastAsia="IRNazanin" w:cs="IRNazanin"/>
          <w:color w:val="111111"/>
          <w:sz w:val="28"/>
          <w:szCs w:val="28"/>
          <w:rtl w:val="true"/>
          <w:lang w:bidi="fa-IR"/>
        </w:rPr>
        <w:t>.</w:t>
      </w:r>
      <w:bookmarkStart w:id="798" w:name="pg13713_164700"/>
    </w:p>
    <w:p>
      <w:pPr>
        <w:pStyle w:val="Heading4"/>
        <w:numPr>
          <w:ilvl w:val="3"/>
          <w:numId w:val="1"/>
        </w:numPr>
        <w:rPr/>
      </w:pPr>
      <w:bookmarkStart w:id="799" w:name="__RefHeading___Toc1259898_1468164448"/>
      <w:bookmarkStart w:id="800" w:name="_Toc294"/>
      <w:bookmarkEnd w:id="798"/>
      <w:bookmarkEnd w:id="799"/>
      <w:r>
        <w:rPr/>
        <w:t>7</w:t>
      </w:r>
      <w:r>
        <w:rPr>
          <w:rtl w:val="true"/>
        </w:rPr>
        <w:t xml:space="preserve">- </w:t>
      </w:r>
      <w:r>
        <w:rPr>
          <w:rtl w:val="true"/>
        </w:rPr>
        <w:t>مجازات مرتکبین جنایات علیه کودک در فقه</w:t>
      </w:r>
      <w:bookmarkEnd w:id="800"/>
    </w:p>
    <w:p>
      <w:pPr>
        <w:pStyle w:val="BookText"/>
        <w:rPr/>
      </w:pPr>
      <w:r>
        <w:rPr>
          <w:rFonts w:ascii="IRNazanin" w:hAnsi="IRNazanin" w:eastAsia="IRNazanin"/>
          <w:color w:val="111111"/>
          <w:sz w:val="28"/>
          <w:sz w:val="28"/>
          <w:szCs w:val="28"/>
          <w:rtl w:val="true"/>
          <w:lang w:bidi="fa-IR"/>
        </w:rPr>
        <w:t>تعدّیات و جنایات ذکر شده، یعنی رها کردن کودکان در معابر، سوء استفاده از آنان در تکدّی گری، سوء استفاده از آنان در جرایم مواد مخدّر، ایجاد روح بدبینی نسبت به مسائل دینی در بین آنها، صرف نظر از تفاوت‌هایی که در شیوه ارتکاب آنان ممکن است صورت پذیرد</w:t>
      </w:r>
      <w:r>
        <w:rPr>
          <w:rStyle w:val="FootnoteAnchor"/>
          <w:rtl w:val="true"/>
        </w:rPr>
        <w:footnoteReference w:id="1774"/>
      </w:r>
      <w:r>
        <w:rPr>
          <w:rFonts w:ascii="IRNazanin" w:hAnsi="IRNazanin" w:eastAsia="IRNazanin"/>
          <w:color w:val="111111"/>
          <w:sz w:val="28"/>
          <w:sz w:val="28"/>
          <w:szCs w:val="28"/>
          <w:rtl w:val="true"/>
          <w:lang w:bidi="fa-IR"/>
        </w:rPr>
        <w:t>، به طور کلی از دیدگاه احکام کیفری اسلام جزء جرایم تعزیری قرار میگیرد و حاکم شرع با توجه به اختیاراتی که در این زمینه به وی تفویض شده و با رعایت مصلحت، مجرم را به مجازاتی که متناسب با جرم ارتکابی وی باشد محکوم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ارتکاب گناه در صورتی که برای آن از طرف شرع مقدّس حدّ تعیین نشده باشد، موجب تعزیر است، مرحوم کیدری از فقهای قرن ششم هجری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مورد گناهی صورت پذیرد یا به واجبی اخلال شود در صورتی که شارع مقدس عقوبت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نکرده باشد، تعزیر واجب است، هم چنین اگر حدّ معیّن شده ولی شرایط اجرای آن کامل نیست</w:t>
      </w:r>
      <w:r>
        <w:rPr>
          <w:rFonts w:eastAsia="IRNazanin" w:cs="IRNazanin"/>
          <w:color w:val="111111"/>
          <w:sz w:val="28"/>
          <w:szCs w:val="28"/>
          <w:rtl w:val="true"/>
          <w:lang w:bidi="fa-IR"/>
        </w:rPr>
        <w:t>»</w:t>
      </w:r>
      <w:r>
        <w:rPr>
          <w:rStyle w:val="FootnoteAnchor"/>
          <w:rtl w:val="true"/>
        </w:rPr>
        <w:footnoteReference w:id="1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قدس سره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جرم و گناهی که شارع مقدس برای مجازات آن حدّ تعیین ننموده تعزیر واجب است</w:t>
      </w:r>
      <w:r>
        <w:rPr>
          <w:rFonts w:eastAsia="IRNazanin" w:cs="IRNazanin"/>
          <w:color w:val="111111"/>
          <w:sz w:val="28"/>
          <w:szCs w:val="28"/>
          <w:rtl w:val="true"/>
          <w:lang w:bidi="fa-IR"/>
        </w:rPr>
        <w:t>».</w:t>
      </w:r>
      <w:r>
        <w:rPr>
          <w:rStyle w:val="FootnoteAnchor"/>
          <w:rtl w:val="true"/>
        </w:rPr>
        <w:footnoteReference w:id="177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بعضی دیگر وجوب اجرای تعزیر را منوط به شرایطی</w:t>
      </w:r>
      <w:r>
        <w:rPr>
          <w:rStyle w:val="FootnoteAnchor"/>
          <w:rtl w:val="true"/>
        </w:rPr>
        <w:footnoteReference w:id="1777"/>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واجبی را ترک نماید یا حرامی را مرتکب شود، به شرط این که از گناهان کبیره باشد، امام معصوم علیه السلام و یا نایب وی میتواند او را تعزیر نماید</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ascii="IRNazanin" w:hAnsi="IRNazanin" w:eastAsia="IRNazanin"/>
          <w:color w:val="111111"/>
          <w:sz w:val="28"/>
          <w:sz w:val="28"/>
          <w:szCs w:val="28"/>
          <w:rtl w:val="true"/>
          <w:lang w:bidi="fa-IR"/>
        </w:rPr>
        <w:t xml:space="preserve">به هر صورت هر چند در بین فقها در جزییات و شرایط اجرای تعزیر بحث و گفتگو است، ولی اصل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اجرای تعزیر در گناهان کبیره یا اعم از صغیره و کبیره</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اجمال مورد توافق و اتّفاق است و با استناد به ادلّه مختلف</w:t>
      </w:r>
      <w:r>
        <w:rPr>
          <w:rStyle w:val="FootnoteAnchor"/>
          <w:rtl w:val="true"/>
        </w:rPr>
        <w:footnoteReference w:id="1780"/>
      </w:r>
      <w:r>
        <w:rPr>
          <w:rFonts w:ascii="IRNazanin" w:hAnsi="IRNazanin" w:eastAsia="IRNazanin"/>
          <w:color w:val="111111"/>
          <w:sz w:val="28"/>
          <w:sz w:val="28"/>
          <w:szCs w:val="28"/>
          <w:rtl w:val="true"/>
          <w:lang w:bidi="fa-IR"/>
        </w:rPr>
        <w:t>عقلی و نقلی قابل اثبات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روایات معتبر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برای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برای کسی که از آن تجاوز نماید، مجازات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عَزَّوَجَلَّ جَعَلَ لِکُلِ شَیءٍ حَدَّاً وَ جَعَلَ عَلَی مَن تَعَدَّی حَدَّاً مِن حُدُودِ اللهِ عَزَّوَجَلَّحَدّاً</w:t>
      </w:r>
      <w:r>
        <w:rPr>
          <w:rFonts w:eastAsia="IRNazanin" w:cs="IRNazanin"/>
          <w:color w:val="111111"/>
          <w:sz w:val="28"/>
          <w:szCs w:val="28"/>
          <w:rtl w:val="true"/>
          <w:lang w:bidi="fa-IR"/>
        </w:rPr>
        <w:t>...»</w:t>
      </w:r>
      <w:r>
        <w:rPr>
          <w:rStyle w:val="FootnoteAnchor"/>
          <w:rtl w:val="true"/>
        </w:rPr>
        <w:footnoteReference w:id="17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که در این روایت و روایات قبل و بعد از آن وجود دارد، دلیل است</w:t>
      </w:r>
      <w:r>
        <w:rPr>
          <w:rStyle w:val="FootnoteAnchor"/>
          <w:rtl w:val="true"/>
        </w:rPr>
        <w:footnoteReference w:id="1782"/>
      </w:r>
      <w:r>
        <w:rPr>
          <w:rFonts w:ascii="IRNazanin" w:hAnsi="IRNazanin" w:eastAsia="IRNazanin"/>
          <w:color w:val="111111"/>
          <w:sz w:val="28"/>
          <w:sz w:val="28"/>
          <w:szCs w:val="28"/>
          <w:rtl w:val="true"/>
          <w:lang w:bidi="fa-IR"/>
        </w:rPr>
        <w:t>بر این که مقصود از حدّ در جمله اول روایت، حکم و قانون شرعی است و منظور از تعدّی از حدّ در جمله دوم مخالفت با قوانین الهی است، از این رو کلیه گناهان اعم از کبیره و صغیره را شامل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بعضی از فقها معتقدند تعزیر در ایجاد مفسده نیز جایز و در مواردی لازم است، هرچند فعل ارتکابی حرمت شرعی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جوانی با بدن نیمه عریان در انظار زنان نامحرم حاضر شود، بعضی از فقها معتقدند بر زن حرام است به بدن چنین مردی نگاه کند، ولی بر مرد واجب نیست خود را بپوشاند</w:t>
      </w:r>
      <w:r>
        <w:rPr>
          <w:rFonts w:eastAsia="IRNazanin" w:cs="IRNazanin"/>
          <w:color w:val="111111"/>
          <w:sz w:val="28"/>
          <w:szCs w:val="28"/>
          <w:rtl w:val="true"/>
          <w:lang w:bidi="fa-IR"/>
        </w:rPr>
        <w:t>.</w:t>
      </w:r>
      <w:r>
        <w:rPr>
          <w:rStyle w:val="FootnoteAnchor"/>
          <w:rtl w:val="true"/>
        </w:rPr>
        <w:footnoteReference w:id="178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عمل این شخص کمک به گناه است، واجب است خودرا بپوشاند</w:t>
      </w:r>
      <w:r>
        <w:rPr>
          <w:rFonts w:eastAsia="IRNazanin" w:cs="IRNazanin"/>
          <w:color w:val="111111"/>
          <w:sz w:val="28"/>
          <w:szCs w:val="28"/>
          <w:rtl w:val="true"/>
          <w:lang w:bidi="fa-IR"/>
        </w:rPr>
        <w:t>».</w:t>
      </w:r>
      <w:r>
        <w:rPr>
          <w:rStyle w:val="FootnoteAnchor"/>
          <w:rtl w:val="true"/>
        </w:rPr>
        <w:footnoteReference w:id="1784"/>
      </w:r>
      <w:r>
        <w:rPr>
          <w:rFonts w:ascii="IRNazanin" w:hAnsi="IRNazanin" w:eastAsia="IRNazanin"/>
          <w:color w:val="111111"/>
          <w:sz w:val="28"/>
          <w:sz w:val="28"/>
          <w:szCs w:val="28"/>
          <w:rtl w:val="true"/>
          <w:lang w:bidi="fa-IR"/>
        </w:rPr>
        <w:t>حال به نظر کسانی که معتقدند این کار حرام نیست، امّا موجب مفسده است، به ویژه اگر این روش رایج و عمومی گردد در چنین حالتی اگر مرتکبین این گونه‌اعمال بر انجام آن اصرار داشته باشند، به نظر برخی از فقها حاکم شرع میتواند آنهارا تعزیر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در این باره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 تابع مفسده‌ای است که پیدا میشود، اگر چه فعل ارتکابی معصیت نباشد، مانند تعزیر کودکان و دیوانگان جهت اصلاح آنها، البته برخی از اصحاب در این زمینه واژه تأدیب را به کار برده‌اند</w:t>
      </w:r>
      <w:r>
        <w:rPr>
          <w:rFonts w:eastAsia="IRNazanin" w:cs="IRNazanin"/>
          <w:color w:val="111111"/>
          <w:sz w:val="28"/>
          <w:szCs w:val="28"/>
          <w:rtl w:val="true"/>
          <w:lang w:bidi="fa-IR"/>
        </w:rPr>
        <w:t>».</w:t>
      </w:r>
      <w:r>
        <w:rPr>
          <w:rStyle w:val="FootnoteAnchor"/>
          <w:rtl w:val="true"/>
        </w:rPr>
        <w:footnoteReference w:id="1785"/>
      </w:r>
      <w:r>
        <w:rPr>
          <w:rFonts w:ascii="IRNazanin" w:hAnsi="IRNazanin" w:eastAsia="IRNazanin"/>
          <w:color w:val="111111"/>
          <w:sz w:val="28"/>
          <w:sz w:val="28"/>
          <w:szCs w:val="28"/>
          <w:rtl w:val="true"/>
          <w:lang w:bidi="fa-IR"/>
        </w:rPr>
        <w:t>این جمله صراحت دارد در این که تعزیر در ارتکاب مفسده حتی اگر فعل ارتکابی معصیت نباشد، جایز است، زیرا انجام اموری که برای افراد بالغ و عاقل معصیت است برای اطفال و دیوانگان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صاحب ریاض در توجیه جواز تعزیر اطفال ممیّز و مجانین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جواز تعزیر نسبت به کودک و مجنون به خاطر جلوگیری از فساد و قطع ریشه‌های آن است و اصل در تشریع حدود و تعزیرات همین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فساد</w:t>
      </w:r>
      <w:r>
        <w:rPr>
          <w:rFonts w:eastAsia="IRNazanin" w:cs="IRNazanin"/>
          <w:color w:val="111111"/>
          <w:sz w:val="28"/>
          <w:szCs w:val="28"/>
          <w:rtl w:val="true"/>
          <w:lang w:bidi="fa-IR"/>
        </w:rPr>
        <w:t>)</w:t>
      </w:r>
      <w:r>
        <w:rPr>
          <w:rStyle w:val="FootnoteAnchor"/>
          <w:rtl w:val="true"/>
        </w:rPr>
        <w:footnoteReference w:id="178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مدّعا را میتوان با تقریر دیگری نیز بیان نمود با این توضیح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و جامعه اسلامی از آلودگی و فساد، از واجبات بزرگ و از اهمیّت خاصی برخوردار است</w:t>
      </w:r>
      <w:r>
        <w:rPr>
          <w:rStyle w:val="FootnoteAnchor"/>
          <w:rtl w:val="true"/>
        </w:rPr>
        <w:footnoteReference w:id="1787"/>
      </w:r>
      <w:r>
        <w:rPr>
          <w:rFonts w:ascii="IRNazanin" w:hAnsi="IRNazanin" w:eastAsia="IRNazanin"/>
          <w:color w:val="111111"/>
          <w:sz w:val="28"/>
          <w:sz w:val="28"/>
          <w:szCs w:val="28"/>
          <w:rtl w:val="true"/>
          <w:lang w:bidi="fa-IR"/>
        </w:rPr>
        <w:t xml:space="preserve">، حال اگر انجام اموری موجب فساد در جامعه باشد و برای جلوگیری از آن راهی جز تعزیر مرتکب وجود نداشته باشد به حکم عقل حاکم میتواند مرتکب چنین افعالی را تعزیر نماید، زیرا فرض بر این است که این گونه تعزیرات مقدمه انحصاری اقامه واجبی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نظام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تردیدی در اهمیّت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عقلی را میتوان با بعضی از ادلّه نقلی نیز استحکام بخشید از جمله در روایتی امام رضا علیه السلام دلائل نصب امام را توضیح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امام را قیّم مردم قرار داد تا آنها را از انجام فساد باز دارد و احکام الهی را به اجرا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 عَلَیهِم قَیِّمٌ یَمنَعُهُم مِنَ الفَسَادِ</w:t>
      </w:r>
      <w:r>
        <w:rPr>
          <w:rFonts w:eastAsia="IRNazanin" w:cs="IRNazanin"/>
          <w:color w:val="111111"/>
          <w:sz w:val="28"/>
          <w:szCs w:val="28"/>
          <w:rtl w:val="true"/>
          <w:lang w:bidi="fa-IR"/>
        </w:rPr>
        <w:t>».</w:t>
      </w:r>
      <w:r>
        <w:rPr>
          <w:rStyle w:val="FootnoteAnchor"/>
          <w:rtl w:val="true"/>
        </w:rPr>
        <w:footnoteReference w:id="1788"/>
      </w:r>
      <w:r>
        <w:rPr>
          <w:rFonts w:ascii="IRNazanin" w:hAnsi="IRNazanin" w:eastAsia="IRNazanin"/>
          <w:color w:val="111111"/>
          <w:sz w:val="28"/>
          <w:sz w:val="28"/>
          <w:szCs w:val="28"/>
          <w:rtl w:val="true"/>
          <w:lang w:bidi="fa-IR"/>
        </w:rPr>
        <w:t>کوتاه سخن این که ادلّه جواز تعزیر مرتکب فعل حرام یا ایجاد مفسده که به بعضی از آنها اشاره شد، به طور قطع شامل مرتکبین جنایات علیه کودک به</w:t>
      </w:r>
      <w:bookmarkStart w:id="801" w:name="pg13713_164703"/>
    </w:p>
    <w:p>
      <w:pPr>
        <w:pStyle w:val="BookText"/>
        <w:rPr/>
      </w:pPr>
      <w:bookmarkEnd w:id="801"/>
      <w:r>
        <w:rPr>
          <w:rFonts w:ascii="IRNazanin" w:hAnsi="IRNazanin" w:eastAsia="IRNazanin"/>
          <w:color w:val="111111"/>
          <w:sz w:val="28"/>
          <w:sz w:val="28"/>
          <w:szCs w:val="28"/>
          <w:rtl w:val="true"/>
          <w:lang w:bidi="fa-IR"/>
        </w:rPr>
        <w:t>شیوه‌های مختلف آن که در این گفتار مورد تحقیق قرار گرفت، میباشد و به استناد این ادلّه حاکم شرع باید آنان را تعزیر نماید، به همین جهت جرایم مزبور در قانون مجازات اسلامی جرم شناخته شده و برای آن تعیین کیفر گردیده است که در ادامه به آن اشاره میشود</w:t>
      </w:r>
      <w:r>
        <w:rPr>
          <w:rFonts w:eastAsia="IRNazanin" w:cs="IRNazanin"/>
          <w:color w:val="111111"/>
          <w:sz w:val="28"/>
          <w:szCs w:val="28"/>
          <w:rtl w:val="true"/>
          <w:lang w:bidi="fa-IR"/>
        </w:rPr>
        <w:t>.</w:t>
      </w:r>
    </w:p>
    <w:p>
      <w:pPr>
        <w:pStyle w:val="Heading4"/>
        <w:numPr>
          <w:ilvl w:val="3"/>
          <w:numId w:val="1"/>
        </w:numPr>
        <w:rPr/>
      </w:pPr>
      <w:bookmarkStart w:id="802" w:name="__RefHeading___Toc1259900_1468164448"/>
      <w:bookmarkStart w:id="803" w:name="_Toc295"/>
      <w:bookmarkEnd w:id="802"/>
      <w:r>
        <w:rPr/>
        <w:t>8</w:t>
      </w:r>
      <w:r>
        <w:rPr>
          <w:rtl w:val="true"/>
        </w:rPr>
        <w:t xml:space="preserve">- </w:t>
      </w:r>
      <w:r>
        <w:rPr>
          <w:rtl w:val="true"/>
        </w:rPr>
        <w:t>مجازات جنایات علیه کودک در قوانین داخلی</w:t>
      </w:r>
      <w:bookmarkEnd w:id="80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رها کردن طفل</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شخصاً یا به دستوردیگری طفل یا شخصی را که قادر به محافظت خود نمیباشد در محلی که خالی از سکنه است رها نماید به حبس از شش ماه تا دو سال و جزای نقدی از سه میلیون تا دوازده میلیون ریال محکوم خواهد شد و اگر در آبادی و جایی که دارای سکنه باشد رها کند تا نصف مجازات مذکور محکوم خواهد شد و چنان‌چه این اقدام سبب وارد آمدن صدمه یاآسیب و یا فوت شود، رهاکننده، علاوه بر مجازات فوق حسب مورد به قصاص یا دیه یاارش نیز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ماه تا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جزای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ازسه میلیون تا دوازده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قسمت اوّل ماده مزبور در مورد رها کردن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یا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والدین یا اشخاص بیگانه در اماکن خالی از سکنه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وصف که این رهایی هیچ صدمه و آسیبی به اطفال رها شده وارد نیاورد، و مجازات دوّم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ماه تا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جزای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و نیم میلیون تا شش 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تخییری مربوط به قسمت وسط ماده مزبور میباشد یعنی رها کردن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یا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والدین یا اشخاص بیگانه در اماکن آباد و دارای سکنه با این قید که این رهایی هیچ صدمه و آسیبی به اطفال رها شده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مجازات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از شش ماه تا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جزای نقدی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میلیون تا دوازده 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به‌انضمام قصاص یا دیه یا ارش در مورد رها کردن اطفال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یا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والدین یا اشخاص بیگانه</w:t>
      </w:r>
    </w:p>
    <w:p>
      <w:pPr>
        <w:pStyle w:val="BookText"/>
        <w:rPr/>
      </w:pPr>
      <w:r>
        <w:rPr>
          <w:rFonts w:ascii="IRNazanin" w:hAnsi="IRNazanin" w:eastAsia="IRNazanin"/>
          <w:color w:val="111111"/>
          <w:sz w:val="28"/>
          <w:sz w:val="28"/>
          <w:szCs w:val="28"/>
          <w:rtl w:val="true"/>
          <w:lang w:bidi="fa-IR"/>
        </w:rPr>
        <w:t xml:space="preserve">در اماکن خالی از سکنه تعیین گردیده است با این توضیح که اگر رها کردن سبب وارد آمدن صدمه یا آسیب به اطفال رها شده بشود و رهاکننده در اقدام خود تعمّد داشته باشد مجازات حبس یا جزای نقدی مذکور در این قسمت به انضمام کیفر قصاص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شرایط قصاص اطراف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خواهد شد و در صورتی که رها کردن سبب وارد آمدن صدمه یا آسیب به اطفال رها شده بشود، ولی رهاکننده در اقدام خود تعمّد نداشته باشد و در عین حال صدمه و آسیب وارده به گونه‌ای باشد که دیه به آن تعلق بگیرد مجازات حبس یا جزای نقدی مقرّر در قسمت اخیر همراه با دیه تعیین خواهد شد و در فرض اخیر اگر صدمه و آسیب وارده به نوعی باشد که دیه به آن تعلّق نگیرد، مجازات حبس یا جزای نقدی موصوف همراه با ارش منظور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سوء استفاده از کودکان در تکدّی گری</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که هم اکنون مستند قانونی این بزه محسوب میشود،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طفل صغیر یا غیر رشیدی را وسیله تکدّی قرار دهد یا افرادی را به این امر بگمارد به سه ماه تا دو سال حبس و استرداد کلیه اموالی که از طریق مذکور به دست آورده است، محکوم خواهد شد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بر اساس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اصلاح ماده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مصوب</w:t>
      </w:r>
      <w:r>
        <w:rPr>
          <w:rStyle w:val="FootnoteAnchor"/>
        </w:rPr>
        <w:footnoteReference w:id="1789"/>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اطفال در تکدّی گری توسط والدین یکی از مصادیق عدم مواظبت یا انحطاط</w:t>
      </w:r>
      <w:bookmarkStart w:id="804" w:name="pg13713_164705"/>
    </w:p>
    <w:p>
      <w:pPr>
        <w:pStyle w:val="BookText"/>
        <w:rPr/>
      </w:pPr>
      <w:bookmarkEnd w:id="804"/>
      <w:r>
        <w:rPr>
          <w:rFonts w:ascii="IRNazanin" w:hAnsi="IRNazanin" w:eastAsia="IRNazanin"/>
          <w:color w:val="111111"/>
          <w:sz w:val="28"/>
          <w:sz w:val="28"/>
          <w:szCs w:val="28"/>
          <w:rtl w:val="true"/>
          <w:lang w:bidi="fa-IR"/>
        </w:rPr>
        <w:t xml:space="preserve">اخلاقی والدین تلقی گردیده است که در صورت تحقق آن، مطابق صدر ماده موصوف، دادگاه اجازه یافته تا بر مبنای تقاضای اقربای طفل یا قیّم وی یا رئیس حوزه قضایی تصمیم مقتضی در خصوص طفل اتخاذ نماید که یکی از تصمیمات متخذه توسط دادگاه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حضانت از والدین مرتکب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معتاد کردن کودکان</w:t>
      </w:r>
    </w:p>
    <w:p>
      <w:pPr>
        <w:pStyle w:val="BookText"/>
        <w:rPr/>
      </w:pPr>
      <w:r>
        <w:rPr>
          <w:rFonts w:ascii="IRNazanin" w:hAnsi="IRNazanin" w:eastAsia="IRNazanin"/>
          <w:color w:val="111111"/>
          <w:sz w:val="28"/>
          <w:sz w:val="28"/>
          <w:szCs w:val="28"/>
          <w:rtl w:val="true"/>
          <w:lang w:bidi="fa-IR"/>
        </w:rPr>
        <w:t xml:space="preserve">در این خصوص 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مبارزه با مواد مخدّر مصوب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مجمع‌تشخیص مصلحت مقرّر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محرز شود که شخص با انگیزه و به قصد معتاد کردن دیگری باعث اعتیاد وی به مواد مخدّر مذکور در 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برای بار اوّل به پنج تا ده سال و برای بار دوّم به ده تا بیست سال حبس و در صورت تکرار به اعدام محکوم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در صدر این ماده، عام بوده و از این جهت شامل اطفال نیز میگردد و حتّی میتوان گفت اطفال بارزترین مصداق بزه دیده ماده مزبور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تفسیر فوق میتوان گفت که اگر شخصی با انگیزه و به قصد معتاد کردن طفل باعث اعتیاد وی به هروئین، مورفین، کراک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برای بار اوّل به پنج تا ده سال حبس و برای بار دوّم به ده تا بیست سال و در صورت تکرار به اعدام محکوم میشود، خواه مرتکب بیگانه باشد و یا والدین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مطابق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قانون اصلاح ماده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مصوّب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ذکر شد اعتیاد زیان آور والدین به مواد مخدّر یکی از مصادیق عدم مواظبت یا انحطاط اخلاقی والدین تلقّی گردیده که در صورت تحقّق آن مطابق صدر همین ماده، دادگاه میتواند به اعمال سلب حضانت در قالب اقدام تأمینی سالب حق نسبت به والدین اقدام نماید</w:t>
      </w:r>
      <w:r>
        <w:rPr>
          <w:rFonts w:eastAsia="IRNazanin" w:cs="IRNazanin"/>
          <w:color w:val="111111"/>
          <w:sz w:val="28"/>
          <w:szCs w:val="28"/>
          <w:rtl w:val="true"/>
          <w:lang w:bidi="fa-IR"/>
        </w:rPr>
        <w:t>.</w:t>
      </w:r>
      <w:r>
        <w:rPr>
          <w:rStyle w:val="FootnoteAnchor"/>
          <w:rtl w:val="true"/>
        </w:rPr>
        <w:footnoteReference w:id="1790"/>
      </w:r>
    </w:p>
    <w:p>
      <w:pPr>
        <w:pStyle w:val="Heading4"/>
        <w:numPr>
          <w:ilvl w:val="3"/>
          <w:numId w:val="1"/>
        </w:numPr>
        <w:rPr/>
      </w:pPr>
      <w:bookmarkStart w:id="805" w:name="__RefHeading___Toc1259902_1468164448"/>
      <w:bookmarkStart w:id="806" w:name="_Toc296"/>
      <w:bookmarkEnd w:id="805"/>
      <w:r>
        <w:rPr/>
        <w:t>9</w:t>
      </w:r>
      <w:r>
        <w:rPr>
          <w:rtl w:val="true"/>
        </w:rPr>
        <w:t xml:space="preserve">- </w:t>
      </w:r>
      <w:r>
        <w:rPr>
          <w:rtl w:val="true"/>
        </w:rPr>
        <w:t>حمایت بین‌المللی از کودکان در برابر جرایم مواد مخدّر</w:t>
      </w:r>
      <w:bookmarkEnd w:id="80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تأثیر مخرّب اعتیاد و پیامدهای فاسد و آثار بسیار منفی آن بر کودکان و نوجوانان، نویسندگان کنوانسیون حقوق کودک نیز از این مهم غفلت ننموده و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را به شرح این مهم اختصاص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کشورهای طرف کنوانسیون تمام اقدامات لازم از جمله اقدامات قانونی، اجرایی، اجتماعی، آموزشی را جهت حمایت از کودکان در برابر استفاده غیر قانونی از مواد مخدّر یا مواد محرّک همان گونه که در معاهدات بین‌المللی مربوطه تعریف شده و جلوگیری از استفاده کودکان در تولید غیر قانونی و قاچاق این گونه مواد به عمل خواهند آورد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بین‌المللی که در ماده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مزبور تجلّی یافته است، جامع و کامل به نظر میرسد و شامل اقدامات پیشگیرانه فردی و اجتماعی و نیز جلوگیری و حفاظت از کودکان در عدم ابتلای آنان به اعتیاد در اشکال مختلف آن میباشد، ولی اشاره‌ای به نحوه برخورد با مرتکبین این جنایت و ضمانت‌های اجرایی ندارد</w:t>
      </w:r>
      <w:r>
        <w:rPr>
          <w:rFonts w:eastAsia="IRNazanin" w:cs="IRNazanin"/>
          <w:color w:val="111111"/>
          <w:sz w:val="28"/>
          <w:szCs w:val="28"/>
          <w:rtl w:val="true"/>
          <w:lang w:bidi="fa-IR"/>
        </w:rPr>
        <w:t>.</w:t>
      </w:r>
      <w:bookmarkStart w:id="807" w:name="pg13713_164707"/>
    </w:p>
    <w:p>
      <w:pPr>
        <w:pStyle w:val="Heading2"/>
        <w:numPr>
          <w:ilvl w:val="1"/>
          <w:numId w:val="1"/>
        </w:numPr>
        <w:rPr/>
      </w:pPr>
      <w:bookmarkStart w:id="808" w:name="__RefHeading___Toc1259904_1468164448"/>
      <w:bookmarkStart w:id="809" w:name="_Toc297"/>
      <w:bookmarkEnd w:id="807"/>
      <w:bookmarkEnd w:id="808"/>
      <w:r>
        <w:rPr>
          <w:rtl w:val="true"/>
        </w:rPr>
        <w:t>فصل شانزدهم</w:t>
      </w:r>
      <w:r>
        <w:rPr>
          <w:rtl w:val="true"/>
        </w:rPr>
        <w:t xml:space="preserve">: </w:t>
      </w:r>
      <w:r>
        <w:rPr>
          <w:rtl w:val="true"/>
        </w:rPr>
        <w:t>بزهکاری کودکان و تأدیب آنها</w:t>
      </w:r>
      <w:bookmarkEnd w:id="80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0" w:name="__RefHeading___Toc1259906_1468164448"/>
      <w:bookmarkStart w:id="811" w:name="_Toc298"/>
      <w:bookmarkEnd w:id="810"/>
      <w:r>
        <w:rPr>
          <w:rtl w:val="true"/>
        </w:rPr>
        <w:t>اشاره</w:t>
      </w:r>
      <w:bookmarkStart w:id="812" w:name="pg13713_164709"/>
      <w:bookmarkEnd w:id="811"/>
    </w:p>
    <w:p>
      <w:pPr>
        <w:pStyle w:val="Heading3"/>
        <w:numPr>
          <w:ilvl w:val="2"/>
          <w:numId w:val="1"/>
        </w:numPr>
        <w:rPr/>
      </w:pPr>
      <w:bookmarkStart w:id="813" w:name="__RefHeading___Toc1259908_1468164448"/>
      <w:bookmarkStart w:id="814" w:name="_Toc299"/>
      <w:bookmarkEnd w:id="812"/>
      <w:bookmarkEnd w:id="813"/>
      <w:r>
        <w:rPr>
          <w:rtl w:val="true"/>
        </w:rPr>
        <w:t>گفتار اوّل</w:t>
      </w:r>
      <w:r>
        <w:rPr>
          <w:rtl w:val="true"/>
        </w:rPr>
        <w:t xml:space="preserve">: </w:t>
      </w:r>
      <w:r>
        <w:rPr>
          <w:rtl w:val="true"/>
        </w:rPr>
        <w:t>بزهکاری و مسئولیت کودک</w:t>
      </w:r>
      <w:bookmarkEnd w:id="814"/>
    </w:p>
    <w:p>
      <w:pPr>
        <w:pStyle w:val="Heading4"/>
        <w:numPr>
          <w:ilvl w:val="3"/>
          <w:numId w:val="1"/>
        </w:numPr>
        <w:rPr/>
      </w:pPr>
      <w:bookmarkStart w:id="815" w:name="__RefHeading___Toc1259910_1468164448"/>
      <w:bookmarkStart w:id="816" w:name="_Toc300"/>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در دین اسلام، حقوق کودک بزه کار در بالاترین سطح رعایت شده است، به‌گونه‌ای که عمل به دستورات آن در این زمینه، اصلاح کودک و سالم‌سازی جامعه،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فصل حاضر این ادّعا را به روشنی ثابت میکند</w:t>
      </w:r>
      <w:r>
        <w:rPr>
          <w:rFonts w:eastAsia="IRNazanin" w:cs="IRNazanin"/>
          <w:color w:val="111111"/>
          <w:sz w:val="28"/>
          <w:szCs w:val="28"/>
          <w:rtl w:val="true"/>
          <w:lang w:bidi="fa-IR"/>
        </w:rPr>
        <w:t>.</w:t>
      </w:r>
    </w:p>
    <w:p>
      <w:pPr>
        <w:pStyle w:val="Heading4"/>
        <w:numPr>
          <w:ilvl w:val="3"/>
          <w:numId w:val="1"/>
        </w:numPr>
        <w:rPr/>
      </w:pPr>
      <w:bookmarkStart w:id="817" w:name="__RefHeading___Toc1259912_1468164448"/>
      <w:bookmarkStart w:id="818" w:name="_Toc301"/>
      <w:bookmarkEnd w:id="817"/>
      <w:r>
        <w:rPr/>
        <w:t>1</w:t>
      </w:r>
      <w:r>
        <w:rPr>
          <w:rtl w:val="true"/>
        </w:rPr>
        <w:t xml:space="preserve">- </w:t>
      </w:r>
      <w:r>
        <w:rPr>
          <w:rtl w:val="true"/>
        </w:rPr>
        <w:t>مفهوم بزهکاری اطفال</w:t>
      </w:r>
      <w:bookmarkEnd w:id="81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بزهکار واژه حقوقی است و در فرهنگ اصطلاحات جزایی آن را به معنی مجرم و کسی که مرتکب جرم میشود، معنی کرده‌اند</w:t>
      </w:r>
      <w:r>
        <w:rPr>
          <w:rFonts w:eastAsia="IRNazanin" w:cs="IRNazanin"/>
          <w:color w:val="111111"/>
          <w:sz w:val="28"/>
          <w:szCs w:val="28"/>
          <w:rtl w:val="true"/>
          <w:lang w:bidi="fa-IR"/>
        </w:rPr>
        <w:t>.</w:t>
      </w:r>
      <w:r>
        <w:rPr>
          <w:rStyle w:val="FootnoteAnchor"/>
          <w:rtl w:val="true"/>
        </w:rPr>
        <w:footnoteReference w:id="1791"/>
      </w:r>
      <w:r>
        <w:rPr>
          <w:rFonts w:ascii="IRNazanin" w:hAnsi="IRNazanin" w:eastAsia="IRNazanin"/>
          <w:color w:val="111111"/>
          <w:sz w:val="28"/>
          <w:sz w:val="28"/>
          <w:szCs w:val="28"/>
          <w:rtl w:val="true"/>
          <w:lang w:bidi="fa-IR"/>
        </w:rPr>
        <w:t>در فرهنگ مذهبی و فقهی نیز همین معنی از آن اراده میشود و به گفته بعضی از صاحب نظران در مسائل حقوقی، این اصطلاح غالباً معادل جرم و به ویژه در ارتباط با جرایم ارتکابی از سوی اطفال و نوجوانان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بزهکاری مفهومی است جزایی و به عملی اطلاق میگردد که قانون آن را مجرمانه میداند، پس بزهکاری اطفال پدیده‌ای اجتماعی و شامل مجموعه جرایم به وسیله کودکان و نوجوانان میباشد</w:t>
      </w:r>
      <w:r>
        <w:rPr>
          <w:rFonts w:eastAsia="IRNazanin" w:cs="IRNazanin"/>
          <w:color w:val="111111"/>
          <w:sz w:val="28"/>
          <w:szCs w:val="28"/>
          <w:rtl w:val="true"/>
          <w:lang w:bidi="fa-IR"/>
        </w:rPr>
        <w:t>.</w:t>
      </w:r>
      <w:r>
        <w:rPr>
          <w:rStyle w:val="FootnoteAnchor"/>
          <w:rtl w:val="true"/>
        </w:rPr>
        <w:footnoteReference w:id="1792"/>
      </w:r>
      <w:bookmarkStart w:id="819" w:name="pg13713_164710"/>
    </w:p>
    <w:p>
      <w:pPr>
        <w:pStyle w:val="BookText"/>
        <w:rPr/>
      </w:pPr>
      <w:bookmarkEnd w:id="819"/>
      <w:r>
        <w:rPr>
          <w:rFonts w:ascii="IRNazanin" w:hAnsi="IRNazanin" w:eastAsia="IRNazanin"/>
          <w:color w:val="111111"/>
          <w:sz w:val="28"/>
          <w:sz w:val="28"/>
          <w:szCs w:val="28"/>
          <w:rtl w:val="true"/>
          <w:lang w:bidi="fa-IR"/>
        </w:rPr>
        <w:t>البتّه این واژه در معنای غیر حقوقی شامل رفتارهایی از قبیل مدرسه‌گریزی، فرارازکنترل والدین، و غیره استفاده میگردد، در حالی که در یک فرد بالغ چنین افعالی‌مجرمانه تلقّی نمیشود</w:t>
      </w:r>
      <w:r>
        <w:rPr>
          <w:rFonts w:eastAsia="IRNazanin" w:cs="IRNazanin"/>
          <w:color w:val="111111"/>
          <w:sz w:val="28"/>
          <w:szCs w:val="28"/>
          <w:rtl w:val="true"/>
          <w:lang w:bidi="fa-IR"/>
        </w:rPr>
        <w:t>.</w:t>
      </w:r>
      <w:r>
        <w:rPr>
          <w:rStyle w:val="FootnoteAnchor"/>
          <w:rtl w:val="true"/>
        </w:rPr>
        <w:footnoteReference w:id="1793"/>
      </w:r>
    </w:p>
    <w:p>
      <w:pPr>
        <w:pStyle w:val="Heading4"/>
        <w:numPr>
          <w:ilvl w:val="3"/>
          <w:numId w:val="1"/>
        </w:numPr>
        <w:rPr/>
      </w:pPr>
      <w:bookmarkStart w:id="820" w:name="__RefHeading___Toc1259914_1468164448"/>
      <w:bookmarkStart w:id="821" w:name="_Toc302"/>
      <w:bookmarkEnd w:id="820"/>
      <w:r>
        <w:rPr/>
        <w:t>2</w:t>
      </w:r>
      <w:r>
        <w:rPr>
          <w:rtl w:val="true"/>
        </w:rPr>
        <w:t xml:space="preserve">- </w:t>
      </w:r>
      <w:r>
        <w:rPr>
          <w:rtl w:val="true"/>
        </w:rPr>
        <w:t>گسترش بزهکاری در بین کودکان</w:t>
      </w:r>
      <w:bookmarkEnd w:id="821"/>
    </w:p>
    <w:p>
      <w:pPr>
        <w:pStyle w:val="BookText"/>
        <w:rPr/>
      </w:pPr>
      <w:r>
        <w:rPr>
          <w:rFonts w:ascii="IRNazanin" w:hAnsi="IRNazanin" w:eastAsia="IRNazanin"/>
          <w:color w:val="111111"/>
          <w:sz w:val="28"/>
          <w:sz w:val="28"/>
          <w:szCs w:val="28"/>
          <w:rtl w:val="true"/>
          <w:lang w:bidi="fa-IR"/>
        </w:rPr>
        <w:t>امروزه پدیده بزهکاری اطفال و نوجوانان یکی از مشکلات بزرگ جوامع کنونی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معضل در سال‌های گذشته ویژه کشورهای پیشرفته صنعتی بوده، هم‌اکنون، این پدیده با توسعه صنعت و انتقال عوارض آن و گسترش شهرنشینی در دنیا، جهانی شده است</w:t>
      </w:r>
      <w:r>
        <w:rPr>
          <w:rFonts w:eastAsia="IRNazanin" w:cs="IRNazanin"/>
          <w:color w:val="111111"/>
          <w:sz w:val="28"/>
          <w:szCs w:val="28"/>
          <w:rtl w:val="true"/>
          <w:lang w:bidi="fa-IR"/>
        </w:rPr>
        <w:t>.</w:t>
      </w:r>
      <w:r>
        <w:rPr>
          <w:rStyle w:val="FootnoteAnchor"/>
          <w:rtl w:val="true"/>
        </w:rPr>
        <w:footnoteReference w:id="1794"/>
      </w:r>
    </w:p>
    <w:p>
      <w:pPr>
        <w:pStyle w:val="BookText"/>
        <w:rPr/>
      </w:pPr>
      <w:r>
        <w:rPr>
          <w:rFonts w:ascii="IRNazanin" w:hAnsi="IRNazanin" w:eastAsia="IRNazanin"/>
          <w:color w:val="111111"/>
          <w:sz w:val="28"/>
          <w:sz w:val="28"/>
          <w:szCs w:val="28"/>
          <w:rtl w:val="true"/>
          <w:lang w:bidi="fa-IR"/>
        </w:rPr>
        <w:t>آمارهای انتشار یافته نشان میدهد که به رغم بهبود وضع زندگی و معیشتی، و ازدیاد سریع مؤسسات و خدمات اجتماعی در اکثر کشورهای جهان، جرایم ارتکابی اطفال و نوجوانان با سرعت و آهنگ بیشتری افزایش مییابد</w:t>
      </w:r>
      <w:r>
        <w:rPr>
          <w:rFonts w:eastAsia="IRNazanin" w:cs="IRNazanin"/>
          <w:color w:val="111111"/>
          <w:sz w:val="28"/>
          <w:szCs w:val="28"/>
          <w:rtl w:val="true"/>
          <w:lang w:bidi="fa-IR"/>
        </w:rPr>
        <w:t>.</w:t>
      </w:r>
      <w:r>
        <w:rPr>
          <w:rStyle w:val="FootnoteAnchor"/>
          <w:rtl w:val="true"/>
        </w:rPr>
        <w:footnoteReference w:id="1795"/>
      </w:r>
    </w:p>
    <w:p>
      <w:pPr>
        <w:pStyle w:val="BookText"/>
        <w:rPr/>
      </w:pPr>
      <w:r>
        <w:rPr>
          <w:rFonts w:ascii="IRNazanin" w:hAnsi="IRNazanin" w:eastAsia="IRNazanin"/>
          <w:color w:val="111111"/>
          <w:sz w:val="28"/>
          <w:sz w:val="28"/>
          <w:szCs w:val="28"/>
          <w:rtl w:val="true"/>
          <w:lang w:bidi="fa-IR"/>
        </w:rPr>
        <w:t>به گفته یکی از پژوهشگران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بزهکاری اطفال پیچیده و جهانی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آماری نشان میدهند که تقریباً در تمام دنیا به استثنای ایالات متّحده نرخ بزهکاری اطفال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یافته است در اروپای غربی که یکی از مناطق معدودی است که داده‌های آماری آن موجود است، دستگیری کودکان بزه کار و بزهکاران کم سن و سال از نیمة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سال‌های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بزهکاری کودکان در بسیاری ازکشورهای اروپای شرقی و کشورهای مشترک المنافع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یافته است</w:t>
      </w:r>
      <w:r>
        <w:rPr>
          <w:rFonts w:eastAsia="IRNazanin" w:cs="IRNazanin"/>
          <w:color w:val="111111"/>
          <w:sz w:val="28"/>
          <w:szCs w:val="28"/>
          <w:rtl w:val="true"/>
          <w:lang w:bidi="fa-IR"/>
        </w:rPr>
        <w:t>.</w:t>
      </w:r>
      <w:r>
        <w:rPr>
          <w:rStyle w:val="FootnoteAnchor"/>
          <w:rtl w:val="true"/>
        </w:rPr>
        <w:footnoteReference w:id="1796"/>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ما نیز مانند بسیاری از جوامع در حال توسعه، به ویژه با پیشرفت صنعت و هجوم فرهنگ غرب شاهد ازدیاد کمّی و کیفی پدیده بزهکاری اطفال گردیده است</w:t>
      </w:r>
      <w:r>
        <w:rPr>
          <w:rFonts w:eastAsia="IRNazanin" w:cs="IRNazanin"/>
          <w:color w:val="111111"/>
          <w:sz w:val="28"/>
          <w:szCs w:val="28"/>
          <w:rtl w:val="true"/>
          <w:lang w:bidi="fa-IR"/>
        </w:rPr>
        <w:t>.</w:t>
      </w:r>
      <w:r>
        <w:rPr>
          <w:rStyle w:val="FootnoteAnchor"/>
          <w:rtl w:val="true"/>
        </w:rPr>
        <w:footnoteReference w:id="1797"/>
      </w:r>
      <w:bookmarkStart w:id="822" w:name="pg13713_164711"/>
    </w:p>
    <w:p>
      <w:pPr>
        <w:pStyle w:val="Heading4"/>
        <w:numPr>
          <w:ilvl w:val="3"/>
          <w:numId w:val="1"/>
        </w:numPr>
        <w:rPr/>
      </w:pPr>
      <w:bookmarkStart w:id="823" w:name="__RefHeading___Toc1259916_1468164448"/>
      <w:bookmarkStart w:id="824" w:name="_Toc303"/>
      <w:bookmarkEnd w:id="822"/>
      <w:bookmarkEnd w:id="823"/>
      <w:r>
        <w:rPr/>
        <w:t>3</w:t>
      </w:r>
      <w:r>
        <w:rPr>
          <w:rtl w:val="true"/>
        </w:rPr>
        <w:t xml:space="preserve">- </w:t>
      </w:r>
      <w:r>
        <w:rPr>
          <w:rtl w:val="true"/>
        </w:rPr>
        <w:t>علل افزایش بزهکاری در بین کودکان و نوجوانان</w:t>
      </w:r>
      <w:bookmarkEnd w:id="824"/>
    </w:p>
    <w:p>
      <w:pPr>
        <w:pStyle w:val="BookText"/>
        <w:rPr/>
      </w:pPr>
      <w:r>
        <w:rPr>
          <w:rFonts w:ascii="IRNazanin" w:hAnsi="IRNazanin" w:eastAsia="IRNazanin"/>
          <w:color w:val="111111"/>
          <w:sz w:val="28"/>
          <w:sz w:val="28"/>
          <w:szCs w:val="28"/>
          <w:rtl w:val="true"/>
          <w:lang w:bidi="fa-IR"/>
        </w:rPr>
        <w:t>پژوهش‌گران افزایش بزهکاری و خشونت در بین نوجوانان را ناشی از علل گوناگون دانسته‌اند،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 را از ویژگیهای جوامع متمدّن دانسته و معتقدند که بشر به همان سرعتی که به سوی ترقّی و تکامل صنعتی و مادّی پیش میرود، از معنویت دور شده و در نتیجه به تبهکاری و قانون‌شکنی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ازدیاد جرایم را محصول سستی اعتقادات دینی و مذهبی دانسته و معتقدند که علم، ایمان و عمل صالح موجبات رشد انسان را فراهم میسازد وآفاتی نظیر خود پرستی، حبّ دنیا، یا دنیا زدگی، غفلت، تکبّر و خودبرتر بینی سبب میگردد که انسان از رشد و کمال باز ماند و در نتیجه به طرف بزهکاری سوق داده شود</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فقر، افزایش موادّ مخدّر و خشونت حاکم بر خانواده و جامعه را، از جمله علل افزایش بزهکاری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زاییده نابرابریهای اجتماعی و اقتصادی است و موجب می‌گردد بیشترین میزان خشونت از آن جوامعی باشد که بالاترین نابرابریهای اجتماعی و اقتصادی را دارا هستند</w:t>
      </w:r>
      <w:r>
        <w:rPr>
          <w:rFonts w:eastAsia="IRNazanin" w:cs="IRNazanin"/>
          <w:color w:val="111111"/>
          <w:sz w:val="28"/>
          <w:szCs w:val="28"/>
          <w:rtl w:val="true"/>
          <w:lang w:bidi="fa-IR"/>
        </w:rPr>
        <w:t>.</w:t>
      </w:r>
      <w:r>
        <w:rPr>
          <w:rStyle w:val="FootnoteAnchor"/>
          <w:rtl w:val="true"/>
        </w:rPr>
        <w:footnoteReference w:id="17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نابسامان اقتصادی نیز در گسترش بزهکاری نوجوانان نقش دارد، میزان بزهکاری ممکن است تحت تأثیر وضعیت اقتصادی کشور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فرصت‌های اقتصادی مشروع و قانونی ممکن است فرد را به سوی خشونت سوق دهد</w:t>
      </w:r>
      <w:r>
        <w:rPr>
          <w:rFonts w:eastAsia="IRNazanin" w:cs="IRNazanin"/>
          <w:color w:val="111111"/>
          <w:sz w:val="28"/>
          <w:szCs w:val="28"/>
          <w:rtl w:val="true"/>
          <w:lang w:bidi="fa-IR"/>
        </w:rPr>
        <w:t>.</w:t>
      </w:r>
      <w:r>
        <w:rPr>
          <w:rStyle w:val="FootnoteAnchor"/>
          <w:rtl w:val="true"/>
        </w:rPr>
        <w:footnoteReference w:id="1800"/>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خانوادگی، شامل از هم پاشیدگی خانواده، انحراف و بزهکاری والدین یا یکی از اعضای خانواده، سوء رفتار و بیتوجّهی والدین نسبت به فرزندان، یکی دیگر از عوامل بزهکاری کودکان ونوجوانان دانسته شده است</w:t>
      </w:r>
      <w:r>
        <w:rPr>
          <w:rFonts w:eastAsia="IRNazanin" w:cs="IRNazanin"/>
          <w:color w:val="111111"/>
          <w:sz w:val="28"/>
          <w:szCs w:val="28"/>
          <w:rtl w:val="true"/>
          <w:lang w:bidi="fa-IR"/>
        </w:rPr>
        <w:t>.</w:t>
      </w:r>
      <w:bookmarkStart w:id="825" w:name="pg13713_164712"/>
    </w:p>
    <w:p>
      <w:pPr>
        <w:pStyle w:val="BookText"/>
        <w:rPr/>
      </w:pPr>
      <w:bookmarkEnd w:id="825"/>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آموزشی، مانند عدم امکان استفاده از امکانات تحصیلی، ضعف و ناتوانی در تحصیل، تحصیل در مدارس با کمترین امکانات، و ترک تحصیل از عواملی است که میتواند موجب بزهکاری کودکان و نوجوانان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هم یکی دیگر از علل افزایش بزهکاری نوجوانان مهاجرت افراد و افزایش جمعیت نامتجانس در شهرهاست</w:t>
      </w:r>
      <w:r>
        <w:rPr>
          <w:rFonts w:eastAsia="IRNazanin" w:cs="IRNazanin"/>
          <w:color w:val="111111"/>
          <w:sz w:val="28"/>
          <w:szCs w:val="28"/>
          <w:rtl w:val="true"/>
          <w:lang w:bidi="fa-IR"/>
        </w:rPr>
        <w:t>.</w:t>
      </w:r>
      <w:r>
        <w:rPr>
          <w:rStyle w:val="FootnoteAnchor"/>
          <w:rtl w:val="true"/>
        </w:rPr>
        <w:footnoteReference w:id="180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این باورند که جنگ از علل اساسی ازدیاد جرایم ارتکابی اطفال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جنگ جهانی دوم باعث گردید که در کلیه کشورهای درگیر اعم از این که فاتح جنگ بوده یا مغلوب دشمن شده‌اند، تعداد جرایم اطفال و نوجوانان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خانه به دوشی، کار اجباری در پایگاه‌های دشمن، و فاصله عظیم بین توسعه مادّیات و کمبود معنویات، باعث تضادّ فکری اطفال و خانواده آنان شده و اعتراضات اطفال ناشی از این تضادها به عناوین مختلف با رفتار ضد اجتماعی، از قبیل جرایم مختلف، اخلال در نظم و آرامش اجتماعی، حالت بیقیدی، سرکشی، پرخاشگری، ترک خانواده، اعتیاد و غیره را موجب گردید</w:t>
      </w:r>
      <w:r>
        <w:rPr>
          <w:rFonts w:eastAsia="IRNazanin" w:cs="IRNazanin"/>
          <w:color w:val="111111"/>
          <w:sz w:val="28"/>
          <w:szCs w:val="28"/>
          <w:rtl w:val="true"/>
          <w:lang w:bidi="fa-IR"/>
        </w:rPr>
        <w:t>.</w:t>
      </w:r>
      <w:r>
        <w:rPr>
          <w:rStyle w:val="FootnoteAnchor"/>
          <w:rtl w:val="true"/>
        </w:rPr>
        <w:footnoteReference w:id="1802"/>
      </w:r>
    </w:p>
    <w:p>
      <w:pPr>
        <w:pStyle w:val="Heading4"/>
        <w:numPr>
          <w:ilvl w:val="3"/>
          <w:numId w:val="1"/>
        </w:numPr>
        <w:rPr/>
      </w:pPr>
      <w:bookmarkStart w:id="826" w:name="__RefHeading___Toc1259918_1468164448"/>
      <w:bookmarkStart w:id="827" w:name="_Toc304"/>
      <w:bookmarkEnd w:id="826"/>
      <w:r>
        <w:rPr/>
        <w:t>4</w:t>
      </w:r>
      <w:r>
        <w:rPr>
          <w:rtl w:val="true"/>
        </w:rPr>
        <w:t xml:space="preserve">- </w:t>
      </w:r>
      <w:r>
        <w:rPr>
          <w:rtl w:val="true"/>
        </w:rPr>
        <w:t>میزان تأثیر هر یک از علل ذکر شده</w:t>
      </w:r>
      <w:bookmarkEnd w:id="827"/>
    </w:p>
    <w:p>
      <w:pPr>
        <w:pStyle w:val="BookText"/>
        <w:rPr/>
      </w:pPr>
      <w:r>
        <w:rPr>
          <w:rFonts w:ascii="IRNazanin" w:hAnsi="IRNazanin" w:eastAsia="IRNazanin"/>
          <w:color w:val="111111"/>
          <w:sz w:val="28"/>
          <w:sz w:val="28"/>
          <w:szCs w:val="28"/>
          <w:rtl w:val="true"/>
          <w:lang w:bidi="fa-IR"/>
        </w:rPr>
        <w:t>عواملی که ذکر شد هر یک به سهم خود مؤثر در بزهکاری کودکان میباشد، ولی به نظر میرسدً محیط خانواده در جامعه امروز و برخورد بزرگترها با کودکان، بیشترین تأثیر را در این خصوص موجب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اطفال به دلیل شرایط جسمی و حساسیت روحی آسیب‌پذیرترین اقشار جامعه از جرایم خشونت‌آمیز میباشند، اثر خشونت در اطفال به دو صورت غیر مستقیم و مستقیم خودنمایی میکند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غیر مستقیم ناشی از جوّ متشنج در خانواده و برخوردهای فیزیکی بین والدین یا همسالان و افراد بزرگسال از یک طرف و تماشای فیلم‌های مروّج خشونت از طریق تلویزیون و اینترنت از طرف دیگر بر روح و روان اطفال اثر منفی و زیان بار قابل توجّهی</w:t>
      </w:r>
      <w:bookmarkStart w:id="828" w:name="pg13713_164713"/>
    </w:p>
    <w:p>
      <w:pPr>
        <w:pStyle w:val="BookText"/>
        <w:rPr/>
      </w:pPr>
      <w:bookmarkEnd w:id="82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در اکثر جوامع نشان‌گر این امر است که کودکانی که در معرض چنین وضعیتی قرار دارند به علّت کاهش قباحت عمل و تقلیل حس همدردی با قربانیان خشونت وآموزه‌های جدید خشونت یا تقلید از روش‌های اعمال خشونت، از همان دوران اول زندگی مبادرت به ضرب و جرح و حتّی قتل میکنند یا در دوران‌های بعدی زندگی خود، با سرمشق قرار دادن آموزه‌های خشونت، افرادی پرخاشگر و مهاجم خواهند شد یا این که به کودکان افسرده، گوشه‌گیر و ترسو مبدّل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مستقیم زیان دیدگی از خشونت در محیط خانواده، مربوط به کودکانی است که پدر و مادر یا یکی از آنان پرخاشگر و خشونت‌گر بوده، و فرزندان خود را با تنبیه‌های سخت بدنی مورد ایذا و آزار قرار میدهند یا در خانواده توسط افراد از جمله برادر یا خواهر یا در محیط کار توسط سایر کارگران و یا کارفرما و حتّی دوستان و همکاران، چنین رفتاری با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کودکان با چنین سابقه و تجربه‌ای در دوران نوجوانی و جوانی افراد متعادلی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خاطره تلخ از آن دوران ضمن تلاش برای پاسخ‌گویی زور با زور، اشخاصی کینه‌جو، پرخاشگر، عصبی و زورگو شده و درواقع قربانی بیعدالتی خانوادگی و یا اجتماعی میشوند و خود نیز به بیعدالتی و بزهکاری روی میآورند</w:t>
      </w:r>
      <w:r>
        <w:rPr>
          <w:rFonts w:eastAsia="IRNazanin" w:cs="IRNazanin"/>
          <w:color w:val="111111"/>
          <w:sz w:val="28"/>
          <w:szCs w:val="28"/>
          <w:rtl w:val="true"/>
          <w:lang w:bidi="fa-IR"/>
        </w:rPr>
        <w:t>.</w:t>
      </w:r>
      <w:r>
        <w:rPr>
          <w:rStyle w:val="FootnoteAnchor"/>
          <w:rtl w:val="true"/>
        </w:rPr>
        <w:footnoteReference w:id="1803"/>
      </w:r>
    </w:p>
    <w:p>
      <w:pPr>
        <w:pStyle w:val="Heading4"/>
        <w:numPr>
          <w:ilvl w:val="3"/>
          <w:numId w:val="1"/>
        </w:numPr>
        <w:rPr/>
      </w:pPr>
      <w:bookmarkStart w:id="829" w:name="__RefHeading___Toc1259920_1468164448"/>
      <w:bookmarkStart w:id="830" w:name="_Toc305"/>
      <w:bookmarkEnd w:id="829"/>
      <w:r>
        <w:rPr/>
        <w:t>5</w:t>
      </w:r>
      <w:r>
        <w:rPr>
          <w:rtl w:val="true"/>
        </w:rPr>
        <w:t xml:space="preserve">- </w:t>
      </w:r>
      <w:r>
        <w:rPr>
          <w:rtl w:val="true"/>
        </w:rPr>
        <w:t>مسئولیت کودک و ارتکاب بزه</w:t>
      </w:r>
      <w:bookmarkEnd w:id="8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r>
        <w:rPr>
          <w:rStyle w:val="FootnoteAnchor"/>
          <w:rtl w:val="true"/>
        </w:rPr>
        <w:footnoteReference w:id="1804"/>
      </w:r>
      <w:r>
        <w:rPr>
          <w:rFonts w:ascii="IRNazanin" w:hAnsi="IRNazanin" w:eastAsia="IRNazanin"/>
          <w:color w:val="111111"/>
          <w:sz w:val="28"/>
          <w:sz w:val="28"/>
          <w:szCs w:val="28"/>
          <w:rtl w:val="true"/>
          <w:lang w:bidi="fa-IR"/>
        </w:rPr>
        <w:t>مدنی کودک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مسئولیت مدنی کودک بحث از این است که هرگاه کودکی، اعم از ممیّز و غیرممیّز، با انجام عمل عمدی یا سهوی، زیانی به دیگری وارد کند آیا مسئول جبران آن‌میباشد یا خیر؟</w:t>
      </w:r>
    </w:p>
    <w:p>
      <w:pPr>
        <w:pStyle w:val="BookText"/>
        <w:rPr/>
      </w:pPr>
      <w:r>
        <w:rPr>
          <w:rFonts w:ascii="IRNazanin" w:hAnsi="IRNazanin" w:eastAsia="IRNazanin"/>
          <w:color w:val="111111"/>
          <w:sz w:val="28"/>
          <w:sz w:val="28"/>
          <w:szCs w:val="28"/>
          <w:rtl w:val="true"/>
          <w:lang w:bidi="fa-IR"/>
        </w:rPr>
        <w:t>فقها معتقدند در احکام وضعی مانند، ارث و ضمان ناشی از غصب و اتلاف، بلوغ‌و عقل شرط نیست</w:t>
      </w:r>
      <w:r>
        <w:rPr>
          <w:rFonts w:eastAsia="IRNazanin" w:cs="IRNazanin"/>
          <w:color w:val="111111"/>
          <w:sz w:val="28"/>
          <w:szCs w:val="28"/>
          <w:rtl w:val="true"/>
          <w:lang w:bidi="fa-IR"/>
        </w:rPr>
        <w:t>.</w:t>
      </w:r>
      <w:r>
        <w:rPr>
          <w:rStyle w:val="FootnoteAnchor"/>
          <w:rtl w:val="true"/>
        </w:rPr>
        <w:footnoteReference w:id="1805"/>
      </w:r>
      <w:r>
        <w:rPr>
          <w:rFonts w:ascii="IRNazanin" w:hAnsi="IRNazanin" w:eastAsia="IRNazanin"/>
          <w:color w:val="111111"/>
          <w:sz w:val="28"/>
          <w:sz w:val="28"/>
          <w:szCs w:val="28"/>
          <w:rtl w:val="true"/>
          <w:lang w:bidi="fa-IR"/>
        </w:rPr>
        <w:t>به عبارت دیگر، حجر صغیر در اسباب فعلیّه مؤثر نیست و تنها به اسباب قولیّه یعنی عقود و ایقاعات منحصر است، بنابراین در فقه، مسئولیت مدنی کودک بدون تفکیک بین اتلاف و تسبیب مورد قبول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مسأله و ادلّه آن در جلد اول کتاب در مباحث کلّیات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برخی از احکام وضعی به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کیفری</w:t>
      </w:r>
      <w:r>
        <w:rPr>
          <w:rStyle w:val="FootnoteAnchor"/>
          <w:rtl w:val="true"/>
        </w:rPr>
        <w:footnoteReference w:id="1807"/>
      </w:r>
      <w:r>
        <w:rPr>
          <w:rFonts w:ascii="IRNazanin" w:hAnsi="IRNazanin" w:eastAsia="IRNazanin"/>
          <w:color w:val="111111"/>
          <w:sz w:val="28"/>
          <w:sz w:val="28"/>
          <w:szCs w:val="28"/>
          <w:rtl w:val="true"/>
          <w:lang w:bidi="fa-IR"/>
        </w:rPr>
        <w:t>کودک</w:t>
      </w:r>
    </w:p>
    <w:p>
      <w:pPr>
        <w:pStyle w:val="BookText"/>
        <w:rPr/>
      </w:pPr>
      <w:r>
        <w:rPr>
          <w:rFonts w:ascii="IRNazanin" w:hAnsi="IRNazanin" w:eastAsia="IRNazanin"/>
          <w:color w:val="111111"/>
          <w:sz w:val="28"/>
          <w:sz w:val="28"/>
          <w:szCs w:val="28"/>
          <w:rtl w:val="true"/>
          <w:lang w:bidi="fa-IR"/>
        </w:rPr>
        <w:t>فقها امامیه کودک را اعم از ممیّز و غیر ممیّز، فاقد مسئولیت کیفری میدانند، بنابراین مجازات‌هایی که برای افراد بالغ مقرّر شده بر کودک تحمیل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مجازات بر چند رکن اساسی یعنی بلوغ، عقل، علم و قصد و اختیار،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احکام کیفری نسبت به کودکان و نوجوانان متناسب با تغییر مراحلی که کودک از هنگام تولّد تا زمان بلوغ پشت‌سر میگذارد،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روز ولادت تا زمانی که به سن رشد و بلوغ میرسد سه مرحله را طی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فقدان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در این مرحله غیر ممیّز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مرحله‌از تولّد آغاز میگردد و اغلب کودکان با رسیدن به سن هفت سالگی این مرحله رابه پایان میرسانند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ادراک ضعیف 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در این مرحله ممیّز مینامند یعنی به طور اجمالی توانایی دارد سود و زیان خود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به‌طور معمول از هفت سالگی آغاز و تا رسیدن به سن بلوغ ادامه مییابد</w:t>
      </w:r>
      <w:r>
        <w:rPr>
          <w:rFonts w:eastAsia="IRNazanin" w:cs="IRNazanin"/>
          <w:color w:val="111111"/>
          <w:sz w:val="28"/>
          <w:szCs w:val="28"/>
          <w:rtl w:val="true"/>
          <w:lang w:bidi="fa-IR"/>
        </w:rPr>
        <w:t>.</w:t>
      </w:r>
      <w:bookmarkStart w:id="831" w:name="pg13713_164715"/>
    </w:p>
    <w:p>
      <w:pPr>
        <w:pStyle w:val="BookText"/>
        <w:rPr/>
      </w:pPr>
      <w:bookmarkEnd w:id="83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ادراک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مرحله بالغ و رشید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انسان‌درمرحله سوّم با وجود شرایط مقرّر در فقه مشمول انواع مجازات‌های کیفری‌قرار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در مرحله اوّل مسئولیت کیفری ندارد و هیچ یک از انواع مجازات، اعم از حدود، قصاص و تعزیرات بر او اجرا نمیشود</w:t>
      </w:r>
      <w:r>
        <w:rPr>
          <w:rStyle w:val="FootnoteAnchor"/>
          <w:rtl w:val="true"/>
        </w:rPr>
        <w:footnoteReference w:id="1808"/>
      </w:r>
      <w:r>
        <w:rPr>
          <w:rFonts w:ascii="IRNazanin" w:hAnsi="IRNazanin" w:eastAsia="IRNazanin"/>
          <w:color w:val="111111"/>
          <w:sz w:val="28"/>
          <w:sz w:val="28"/>
          <w:szCs w:val="28"/>
          <w:rtl w:val="true"/>
          <w:lang w:bidi="fa-IR"/>
        </w:rPr>
        <w:t>و تأدیب نمیگردد، زیرا در این مرحله قادر به تشخیص امور نیست و به اهدافی که در اجرای مجازات‌ها مدّ نظر است،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راجع به کودکی که دزدی کرده بود سؤال‌کردم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سال یا کم‌تر دارد مجازات از او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لَهُ سَبْعُ سِنِینَ اوْ اقَلُّ رُفِعَ عَنْهُ</w:t>
      </w:r>
      <w:r>
        <w:rPr>
          <w:rFonts w:eastAsia="IRNazanin" w:cs="IRNazanin"/>
          <w:color w:val="111111"/>
          <w:sz w:val="28"/>
          <w:szCs w:val="28"/>
          <w:rtl w:val="true"/>
          <w:lang w:bidi="fa-IR"/>
        </w:rPr>
        <w:t>».</w:t>
      </w:r>
      <w:r>
        <w:rPr>
          <w:rStyle w:val="FootnoteAnchor"/>
          <w:rtl w:val="true"/>
        </w:rPr>
        <w:footnoteReference w:id="1809"/>
      </w:r>
      <w:r>
        <w:rPr>
          <w:rFonts w:ascii="IRNazanin" w:hAnsi="IRNazanin" w:eastAsia="IRNazanin"/>
          <w:color w:val="111111"/>
          <w:sz w:val="28"/>
          <w:sz w:val="28"/>
          <w:szCs w:val="28"/>
          <w:rtl w:val="true"/>
          <w:lang w:bidi="fa-IR"/>
        </w:rPr>
        <w:t>پرسش این جاست که آیا مجازات‌های کیفری بر کودک ممیّز که در مرحله دوم قرار دارد اجرا میشود؟ در ادامه به تحقیق در این‌باره میپردازیم</w:t>
      </w:r>
      <w:r>
        <w:rPr>
          <w:rFonts w:eastAsia="IRNazanin" w:cs="IRNazanin"/>
          <w:color w:val="111111"/>
          <w:sz w:val="28"/>
          <w:szCs w:val="28"/>
          <w:rtl w:val="true"/>
          <w:lang w:bidi="fa-IR"/>
        </w:rPr>
        <w:t>.</w:t>
      </w:r>
    </w:p>
    <w:p>
      <w:pPr>
        <w:pStyle w:val="Heading4"/>
        <w:numPr>
          <w:ilvl w:val="3"/>
          <w:numId w:val="1"/>
        </w:numPr>
        <w:rPr/>
      </w:pPr>
      <w:bookmarkStart w:id="832" w:name="__RefHeading___Toc1259922_1468164448"/>
      <w:bookmarkStart w:id="833" w:name="_Toc306"/>
      <w:bookmarkEnd w:id="832"/>
      <w:r>
        <w:rPr/>
        <w:t>6</w:t>
      </w:r>
      <w:r>
        <w:rPr>
          <w:rtl w:val="true"/>
        </w:rPr>
        <w:t xml:space="preserve">- </w:t>
      </w:r>
      <w:r>
        <w:rPr>
          <w:rtl w:val="true"/>
        </w:rPr>
        <w:t>عدم جواز اجرای حدود بر کودک</w:t>
      </w:r>
      <w:bookmarkEnd w:id="833"/>
    </w:p>
    <w:p>
      <w:pPr>
        <w:pStyle w:val="BookText"/>
        <w:rPr/>
      </w:pPr>
      <w:r>
        <w:rPr>
          <w:rFonts w:ascii="IRNazanin" w:hAnsi="IRNazanin" w:eastAsia="IRNazanin"/>
          <w:color w:val="111111"/>
          <w:sz w:val="28"/>
          <w:sz w:val="28"/>
          <w:szCs w:val="28"/>
          <w:rtl w:val="true"/>
          <w:lang w:bidi="fa-IR"/>
        </w:rPr>
        <w:t>حدّ در لغت به معنی منع و فاصله بین دو شیء است</w:t>
      </w:r>
      <w:r>
        <w:rPr>
          <w:rFonts w:eastAsia="IRNazanin" w:cs="IRNazanin"/>
          <w:color w:val="111111"/>
          <w:sz w:val="28"/>
          <w:szCs w:val="28"/>
          <w:rtl w:val="true"/>
          <w:lang w:bidi="fa-IR"/>
        </w:rPr>
        <w:t>.</w:t>
      </w:r>
      <w:r>
        <w:rPr>
          <w:rStyle w:val="FootnoteAnchor"/>
          <w:rtl w:val="true"/>
        </w:rPr>
        <w:footnoteReference w:id="1810"/>
      </w:r>
      <w:r>
        <w:rPr>
          <w:rFonts w:ascii="IRNazanin" w:hAnsi="IRNazanin" w:eastAsia="IRNazanin"/>
          <w:color w:val="111111"/>
          <w:sz w:val="28"/>
          <w:sz w:val="28"/>
          <w:szCs w:val="28"/>
          <w:rtl w:val="true"/>
          <w:lang w:bidi="fa-IR"/>
        </w:rPr>
        <w:t>و در اصطلاح فقها عبارت از مجازاتی است که نوع، میزان و کمّیت و کیفیت آن توسط شارع مقدس تعیین گردیده است</w:t>
      </w:r>
      <w:r>
        <w:rPr>
          <w:rFonts w:eastAsia="IRNazanin" w:cs="IRNazanin"/>
          <w:color w:val="111111"/>
          <w:sz w:val="28"/>
          <w:szCs w:val="28"/>
          <w:rtl w:val="true"/>
          <w:lang w:bidi="fa-IR"/>
        </w:rPr>
        <w:t>.</w:t>
      </w:r>
      <w:r>
        <w:rPr>
          <w:rStyle w:val="FootnoteAnchor"/>
          <w:rtl w:val="true"/>
        </w:rPr>
        <w:footnoteReference w:id="1811"/>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کودک ممیّز باشد، مشمول کیفر حدود قرار نمیگیرد و اجرای مجازات بر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توافق فقها است و در مباحث مختلف حدود و قصاص به آن تصریح نموده‌اند، به عنوان نمونه، شیخ مفید در بحث حدّ لواط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عمل شنیع را دو کودک مرتکب شدند، مشمول حدّ لواط که بر افراد بالغ اجرا میشود، قرار</w:t>
      </w:r>
    </w:p>
    <w:p>
      <w:pPr>
        <w:pStyle w:val="BookText"/>
        <w:rPr/>
      </w:pPr>
      <w:r>
        <w:rPr>
          <w:rFonts w:ascii="IRNazanin" w:hAnsi="IRNazanin" w:eastAsia="IRNazanin"/>
          <w:color w:val="111111"/>
          <w:sz w:val="28"/>
          <w:sz w:val="28"/>
          <w:szCs w:val="28"/>
          <w:rtl w:val="true"/>
          <w:lang w:bidi="fa-IR"/>
        </w:rPr>
        <w:t>نمیگیرند و فقط تأدیب میشوند</w:t>
      </w:r>
      <w:r>
        <w:rPr>
          <w:rFonts w:eastAsia="IRNazanin" w:cs="IRNazanin"/>
          <w:color w:val="111111"/>
          <w:sz w:val="28"/>
          <w:szCs w:val="28"/>
          <w:rtl w:val="true"/>
          <w:lang w:bidi="fa-IR"/>
        </w:rPr>
        <w:t>.</w:t>
      </w:r>
      <w:r>
        <w:rPr>
          <w:rStyle w:val="FootnoteAnchor"/>
          <w:rtl w:val="true"/>
        </w:rPr>
        <w:footnoteReference w:id="1812"/>
      </w:r>
      <w:r>
        <w:rPr>
          <w:rFonts w:ascii="IRNazanin" w:hAnsi="IRNazanin" w:eastAsia="IRNazanin"/>
          <w:color w:val="111111"/>
          <w:sz w:val="28"/>
          <w:sz w:val="28"/>
          <w:szCs w:val="28"/>
          <w:rtl w:val="true"/>
          <w:lang w:bidi="fa-IR"/>
        </w:rPr>
        <w:t>شبیه این عبارت را دیگر فقها ذکر نموده‌اند</w:t>
      </w:r>
      <w:r>
        <w:rPr>
          <w:rFonts w:eastAsia="IRNazanin" w:cs="IRNazanin"/>
          <w:color w:val="111111"/>
          <w:sz w:val="28"/>
          <w:szCs w:val="28"/>
          <w:rtl w:val="true"/>
          <w:lang w:bidi="fa-IR"/>
        </w:rPr>
        <w:t>.</w:t>
      </w:r>
      <w:r>
        <w:rPr>
          <w:rStyle w:val="FootnoteAnchor"/>
          <w:rtl w:val="true"/>
        </w:rPr>
        <w:footnoteReference w:id="1813"/>
      </w:r>
      <w:r>
        <w:rPr>
          <w:rFonts w:ascii="IRNazanin" w:hAnsi="IRNazanin" w:eastAsia="IRNazanin"/>
          <w:color w:val="111111"/>
          <w:sz w:val="28"/>
          <w:sz w:val="28"/>
          <w:szCs w:val="28"/>
          <w:rtl w:val="true"/>
          <w:lang w:bidi="fa-IR"/>
        </w:rPr>
        <w:t>امام‌خمینی قدس سره در بحث از اجرای حد زنا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اجرای حد بر زانی و زانیه، بلوغ و عقل است، از این رو پسر و دختری که به حد بلوغ نرسیده‌اند و نیز مجنون در صورت ارتکاب زنا مشمول اجرای حدّ قرار نمیگیرند</w:t>
      </w:r>
      <w:r>
        <w:rPr>
          <w:rFonts w:eastAsia="IRNazanin" w:cs="IRNazanin"/>
          <w:color w:val="111111"/>
          <w:sz w:val="28"/>
          <w:szCs w:val="28"/>
          <w:rtl w:val="true"/>
          <w:lang w:bidi="fa-IR"/>
        </w:rPr>
        <w:t>.</w:t>
      </w:r>
      <w:r>
        <w:rPr>
          <w:rStyle w:val="FootnoteAnchor"/>
          <w:rtl w:val="true"/>
        </w:rPr>
        <w:footnoteReference w:id="1814"/>
      </w:r>
      <w:r>
        <w:rPr>
          <w:rFonts w:ascii="IRNazanin" w:hAnsi="IRNazanin" w:eastAsia="IRNazanin"/>
          <w:color w:val="111111"/>
          <w:sz w:val="28"/>
          <w:sz w:val="28"/>
          <w:szCs w:val="28"/>
          <w:rtl w:val="true"/>
          <w:lang w:bidi="fa-IR"/>
        </w:rPr>
        <w:t>نزدیک به این مضمون را آیت الله فاضل لنکرانی در تفصیل الشریعه</w:t>
      </w:r>
      <w:r>
        <w:rPr>
          <w:rStyle w:val="FootnoteAnchor"/>
          <w:rtl w:val="true"/>
        </w:rPr>
        <w:footnoteReference w:id="181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عدم جواز اجرای حدود بر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جواز، به این معنی که در اجرای حد بر کودک بی گمان تردید پیدا می‌شود و چون دلیلی برای اجرای آن وجود ندارد، عدم جواز آن اثبات‌میگردد</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w:t>
      </w:r>
      <w:r>
        <w:rPr>
          <w:rStyle w:val="FootnoteAnchor"/>
          <w:rtl w:val="true"/>
        </w:rPr>
        <w:footnoteReference w:id="1817"/>
      </w:r>
      <w:r>
        <w:rPr>
          <w:rFonts w:ascii="IRNazanin" w:hAnsi="IRNazanin" w:eastAsia="IRNazanin"/>
          <w:color w:val="111111"/>
          <w:sz w:val="28"/>
          <w:sz w:val="28"/>
          <w:szCs w:val="28"/>
          <w:rtl w:val="true"/>
          <w:lang w:bidi="fa-IR"/>
        </w:rPr>
        <w:t>که در بین فقها معروف و مشهور است و به مفاد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حدیث، قلم تکلیف، الزام و مجازات از کودک تا زمانی که به سن بلوغ نرسیده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فرع تکلیف میباشد و مفروض این است کودک تا زمانی که به حد بلوغ نرسیده دارای تکلیف نیست، بنابراین مشمول اجرای حد قرار نمیگیرد</w:t>
      </w:r>
      <w:r>
        <w:rPr>
          <w:rFonts w:eastAsia="IRNazanin" w:cs="IRNazanin"/>
          <w:color w:val="111111"/>
          <w:sz w:val="28"/>
          <w:szCs w:val="28"/>
          <w:rtl w:val="true"/>
          <w:lang w:bidi="fa-IR"/>
        </w:rPr>
        <w:t>.</w:t>
      </w:r>
      <w:r>
        <w:rPr>
          <w:rStyle w:val="FootnoteAnchor"/>
          <w:rtl w:val="true"/>
        </w:rPr>
        <w:footnoteReference w:id="1818"/>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حد استفاضه از جمله در حدیث صحیح امام صادق علیه السلام از جدّ بزرگوارش امیر المؤمنین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کودک تا زمانی که به حدّ بلوغ نرسیده است، اجرای حدّ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عَلَی الصَّبِیِّ حَتَّی یُدْرِکَ</w:t>
      </w:r>
      <w:r>
        <w:rPr>
          <w:rFonts w:eastAsia="IRNazanin" w:cs="IRNazanin"/>
          <w:color w:val="111111"/>
          <w:sz w:val="28"/>
          <w:szCs w:val="28"/>
          <w:rtl w:val="true"/>
          <w:lang w:bidi="fa-IR"/>
        </w:rPr>
        <w:t>»</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bookmarkStart w:id="834" w:name="pg13713_164717"/>
    </w:p>
    <w:p>
      <w:pPr>
        <w:pStyle w:val="BookText"/>
        <w:rPr/>
      </w:pPr>
      <w:bookmarkEnd w:id="834"/>
      <w:r>
        <w:rPr>
          <w:rFonts w:ascii="IRNazanin" w:hAnsi="IRNazanin" w:eastAsia="IRNazanin"/>
          <w:color w:val="111111"/>
          <w:sz w:val="28"/>
          <w:sz w:val="28"/>
          <w:szCs w:val="28"/>
          <w:rtl w:val="true"/>
          <w:lang w:bidi="fa-IR"/>
        </w:rPr>
        <w:t>در روایت دیگری امام باقر علیه السلام در جواب این سؤال که چه زمانی بر دختر اجرای حدّ میگردد،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حدّ بلوغ نرسیده است، مشمول اجرای کیفر حدود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بر افراد مکلّف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وَامَّاالْحُدوُدُ الْکَامِلَةُ الَّتِی یُؤخَذُ بِهَا الرِّجَالُ فَلاَ</w:t>
      </w:r>
      <w:r>
        <w:rPr>
          <w:rFonts w:eastAsia="Amiri" w:cs="Amiri" w:ascii="Amiri" w:hAnsi="Amiri"/>
          <w:color w:val="111111"/>
          <w:sz w:val="28"/>
          <w:szCs w:val="28"/>
          <w:rtl w:val="true"/>
          <w:lang w:bidi="ar-SA"/>
        </w:rPr>
        <w:t>».</w:t>
      </w:r>
      <w:r>
        <w:rPr>
          <w:rStyle w:val="FootnoteAnchor"/>
          <w:rtl w:val="true"/>
        </w:rPr>
        <w:footnoteReference w:id="1820"/>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فقیهان در این‌باره ادّعای اجماع نموده‌اند</w:t>
      </w:r>
      <w:r>
        <w:rPr>
          <w:rFonts w:eastAsia="IRNazanin" w:cs="IRNazanin"/>
          <w:color w:val="111111"/>
          <w:sz w:val="28"/>
          <w:szCs w:val="28"/>
          <w:rtl w:val="true"/>
          <w:lang w:bidi="fa-IR"/>
        </w:rPr>
        <w:t>.</w:t>
      </w:r>
    </w:p>
    <w:p>
      <w:pPr>
        <w:pStyle w:val="BookText"/>
        <w:rPr/>
      </w:pPr>
      <w:r>
        <w:rPr>
          <w:rStyle w:val="FootnoteAnchor"/>
          <w:rtl w:val="true"/>
        </w:rPr>
        <w:footnoteReference w:id="1821"/>
      </w:r>
    </w:p>
    <w:p>
      <w:pPr>
        <w:pStyle w:val="Heading4"/>
        <w:numPr>
          <w:ilvl w:val="3"/>
          <w:numId w:val="1"/>
        </w:numPr>
        <w:rPr/>
      </w:pPr>
      <w:bookmarkStart w:id="835" w:name="__RefHeading___Toc1259924_1468164448"/>
      <w:bookmarkStart w:id="836" w:name="_Toc307"/>
      <w:bookmarkEnd w:id="835"/>
      <w:r>
        <w:rPr/>
        <w:t>7</w:t>
      </w:r>
      <w:r>
        <w:rPr>
          <w:rtl w:val="true"/>
        </w:rPr>
        <w:t xml:space="preserve">- </w:t>
      </w:r>
      <w:r>
        <w:rPr>
          <w:rtl w:val="true"/>
        </w:rPr>
        <w:t>عدم جواز اجرای تعزیر بر کودک</w:t>
      </w:r>
      <w:bookmarkEnd w:id="836"/>
    </w:p>
    <w:p>
      <w:pPr>
        <w:pStyle w:val="BookText"/>
        <w:rPr/>
      </w:pPr>
      <w:r>
        <w:rPr>
          <w:rFonts w:ascii="IRNazanin" w:hAnsi="IRNazanin" w:eastAsia="IRNazanin"/>
          <w:color w:val="111111"/>
          <w:sz w:val="28"/>
          <w:sz w:val="28"/>
          <w:szCs w:val="28"/>
          <w:rtl w:val="true"/>
          <w:lang w:bidi="fa-IR"/>
        </w:rPr>
        <w:t>تعزیر در لغت در معانی مختلف از جمله، ردع و منع، زدن کم‌تر از حد، ضرب شدید، سرزنش و ملامت، اعانت و یاری نمودن به کار رفته است</w:t>
      </w:r>
      <w:r>
        <w:rPr>
          <w:rFonts w:eastAsia="IRNazanin" w:cs="IRNazanin"/>
          <w:color w:val="111111"/>
          <w:sz w:val="28"/>
          <w:szCs w:val="28"/>
          <w:rtl w:val="true"/>
          <w:lang w:bidi="fa-IR"/>
        </w:rPr>
        <w:t>.</w:t>
      </w:r>
      <w:r>
        <w:rPr>
          <w:rStyle w:val="FootnoteAnchor"/>
          <w:rtl w:val="true"/>
        </w:rPr>
        <w:footnoteReference w:id="1822"/>
      </w:r>
      <w:r>
        <w:rPr>
          <w:rFonts w:ascii="IRNazanin" w:hAnsi="IRNazanin" w:eastAsia="IRNazanin"/>
          <w:color w:val="111111"/>
          <w:sz w:val="28"/>
          <w:sz w:val="28"/>
          <w:szCs w:val="28"/>
          <w:rtl w:val="true"/>
          <w:lang w:bidi="fa-IR"/>
        </w:rPr>
        <w:t>مقصود از تعزیر در اصطلاح فقها مجازاتی است که شارع مقدّس اندازه و مقدار آن را تعیین ننموده و به نظر حاکم شرع واگذار شده است</w:t>
      </w:r>
      <w:r>
        <w:rPr>
          <w:rStyle w:val="FootnoteAnchor"/>
          <w:rtl w:val="true"/>
        </w:rPr>
        <w:footnoteReference w:id="1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مجازات تعزیری، با حدود، تفاوت‌هایی</w:t>
      </w:r>
      <w:r>
        <w:rPr>
          <w:rStyle w:val="FootnoteAnchor"/>
          <w:rtl w:val="true"/>
        </w:rPr>
        <w:footnoteReference w:id="1824"/>
      </w:r>
      <w:r>
        <w:rPr>
          <w:rFonts w:ascii="IRNazanin" w:hAnsi="IRNazanin" w:eastAsia="IRNazanin"/>
          <w:color w:val="111111"/>
          <w:sz w:val="28"/>
          <w:sz w:val="28"/>
          <w:szCs w:val="28"/>
          <w:rtl w:val="true"/>
          <w:lang w:bidi="fa-IR"/>
        </w:rPr>
        <w:t>دارد، ولی در این‌که هر دو مجازات محسوب میشوند و باید بعد از آن‌که جرمِ مجرم با ادلّه شرعی اثبات گردید، بروی اعمال گردد، مشترک میباشند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فقها در بیان موارد اجرای تعزیر اذعان نموده‌اند که تعزیر مجازات کسانی است که مرتکب حرام شوند یا واجبی را ترک نمایند، در این صورت بر امام لازم است به کم‌تر از حد، آنان را تعزیر نماید</w:t>
      </w:r>
      <w:r>
        <w:rPr>
          <w:rFonts w:eastAsia="IRNazanin" w:cs="IRNazanin"/>
          <w:color w:val="111111"/>
          <w:sz w:val="28"/>
          <w:szCs w:val="28"/>
          <w:rtl w:val="true"/>
          <w:lang w:bidi="fa-IR"/>
        </w:rPr>
        <w:t>.</w:t>
      </w:r>
      <w:r>
        <w:rPr>
          <w:rStyle w:val="FootnoteAnchor"/>
          <w:rtl w:val="true"/>
        </w:rPr>
        <w:footnoteReference w:id="1825"/>
      </w:r>
      <w:bookmarkStart w:id="837" w:name="pg13713_164718"/>
    </w:p>
    <w:p>
      <w:pPr>
        <w:pStyle w:val="BookText"/>
        <w:rPr/>
      </w:pPr>
      <w:bookmarkEnd w:id="837"/>
      <w:r>
        <w:rPr>
          <w:rFonts w:ascii="IRNazanin" w:hAnsi="IRNazanin" w:eastAsia="IRNazanin"/>
          <w:color w:val="111111"/>
          <w:sz w:val="28"/>
          <w:sz w:val="28"/>
          <w:szCs w:val="28"/>
          <w:rtl w:val="true"/>
          <w:lang w:bidi="fa-IR"/>
        </w:rPr>
        <w:t>بدیهی است در تعلق تکلیف، بلوغ و عقل، شرط است و از آن جا که حرام و واجب مربوط به مکلفین میباشد و کودک تا زمانی که به حدّ بلوغ نرسیده دارای تکلیف الزام‌آور نیست، بنابراین مشمول مجازات تعزیری قرار نمیگیرد</w:t>
      </w:r>
      <w:r>
        <w:rPr>
          <w:rFonts w:eastAsia="IRNazanin" w:cs="IRNazanin"/>
          <w:color w:val="111111"/>
          <w:sz w:val="28"/>
          <w:szCs w:val="28"/>
          <w:rtl w:val="true"/>
          <w:lang w:bidi="fa-IR"/>
        </w:rPr>
        <w:t>.</w:t>
      </w:r>
    </w:p>
    <w:p>
      <w:pPr>
        <w:pStyle w:val="Heading4"/>
        <w:numPr>
          <w:ilvl w:val="3"/>
          <w:numId w:val="1"/>
        </w:numPr>
        <w:rPr/>
      </w:pPr>
      <w:bookmarkStart w:id="838" w:name="__RefHeading___Toc1259926_1468164448"/>
      <w:bookmarkStart w:id="839" w:name="_Toc308"/>
      <w:bookmarkEnd w:id="838"/>
      <w:r>
        <w:rPr/>
        <w:t>8</w:t>
      </w:r>
      <w:r>
        <w:rPr>
          <w:rtl w:val="true"/>
        </w:rPr>
        <w:t xml:space="preserve">- </w:t>
      </w:r>
      <w:r>
        <w:rPr>
          <w:rtl w:val="true"/>
        </w:rPr>
        <w:t>مسئولیت کیفری کودک در قانون مجازات اسلامی</w:t>
      </w:r>
      <w:bookmarkEnd w:id="839"/>
    </w:p>
    <w:p>
      <w:pPr>
        <w:pStyle w:val="BookText"/>
        <w:rPr/>
      </w:pPr>
      <w:r>
        <w:rPr>
          <w:rFonts w:ascii="IRNazanin" w:hAnsi="IRNazanin" w:eastAsia="IRNazanin"/>
          <w:color w:val="111111"/>
          <w:sz w:val="28"/>
          <w:sz w:val="28"/>
          <w:szCs w:val="28"/>
          <w:rtl w:val="true"/>
          <w:lang w:bidi="fa-IR"/>
        </w:rPr>
        <w:t xml:space="preserve">بر اساس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اطفال در صورت ارتکاب جرم مبرّای از مسئولیّت کیفری هستند و در تبصره همین ماده آمده است که منظور از طفل کسی است که به حدّ بلوغ شرعی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کسی به حدّ بلوغ شرعی برسد، دارای مسئولیت کیفری است و در صورت ارتکاب هر نوع بزهکاری به مانند فرد بزرگسال با وی رفتار خواهد شد، زیرا فرض بر این است که هر فردی که به سن بلوغ شرعی برسد، از جهت قوای عقلی کامل است و قادر به تمیز خیر از شر میباشد و در نتیجه میباید عواقب اعمال خود را بپذیرد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قانون‌گذار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به‌طور عام و مطلق به کار برده و بر اساس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فعل یا ترک فعلی که در قانون برای آن مجازات تعیین شده باشد، جرم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براساس 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هرگاه کودکی که به حدّ بلوغ نرسیده باشد، مرتکب جرم شود از مجازات کیفری مبرّا است و نمیتوان او را به مجازات عمل ارتکابی محکوم نمود، منتها بر این اصل کلی استثنائاتی وارد شده که در مباحث بعدی به آن اشاره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مسئولیت کیفری کودکان در برخی دیگر از مواد قانون مجازات اسلامی نیز مورد تأکید قرار گرفته است یا از مفهوم آن استفاده میشود از جمله ماده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حدّ زنا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در صورتی موجب حدّ میباشد که زانی یا زانیه، بالغ و عاقل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 بلوغ شرط اجرای حدّ است و بدون آن مجازات حدّ نیست</w:t>
      </w:r>
      <w:r>
        <w:rPr>
          <w:rFonts w:eastAsia="IRNazanin" w:cs="IRNazanin"/>
          <w:color w:val="111111"/>
          <w:sz w:val="28"/>
          <w:szCs w:val="28"/>
          <w:rtl w:val="true"/>
          <w:lang w:bidi="fa-IR"/>
        </w:rPr>
        <w:t>.</w:t>
      </w:r>
      <w:bookmarkStart w:id="840" w:name="pg13713_164719"/>
    </w:p>
    <w:p>
      <w:pPr>
        <w:pStyle w:val="Heading3"/>
        <w:numPr>
          <w:ilvl w:val="2"/>
          <w:numId w:val="1"/>
        </w:numPr>
        <w:rPr/>
      </w:pPr>
      <w:bookmarkStart w:id="841" w:name="__RefHeading___Toc1259928_1468164448"/>
      <w:bookmarkStart w:id="842" w:name="_Toc309"/>
      <w:bookmarkEnd w:id="840"/>
      <w:bookmarkEnd w:id="841"/>
      <w:r>
        <w:rPr>
          <w:rtl w:val="true"/>
        </w:rPr>
        <w:t>گفتار دوّم</w:t>
      </w:r>
      <w:r>
        <w:rPr>
          <w:rtl w:val="true"/>
        </w:rPr>
        <w:t xml:space="preserve">: </w:t>
      </w:r>
      <w:r>
        <w:rPr>
          <w:rtl w:val="true"/>
        </w:rPr>
        <w:t>تأدیب و تنبیه کودک</w:t>
      </w:r>
      <w:bookmarkEnd w:id="842"/>
    </w:p>
    <w:p>
      <w:pPr>
        <w:pStyle w:val="Heading4"/>
        <w:numPr>
          <w:ilvl w:val="3"/>
          <w:numId w:val="1"/>
        </w:numPr>
        <w:rPr/>
      </w:pPr>
      <w:bookmarkStart w:id="843" w:name="__RefHeading___Toc1259930_1468164448"/>
      <w:bookmarkStart w:id="844" w:name="_Toc310"/>
      <w:bookmarkEnd w:id="843"/>
      <w:r>
        <w:rPr/>
        <w:t>1</w:t>
      </w:r>
      <w:r>
        <w:rPr>
          <w:rtl w:val="true"/>
        </w:rPr>
        <w:t xml:space="preserve">- </w:t>
      </w:r>
      <w:r>
        <w:rPr>
          <w:rtl w:val="true"/>
        </w:rPr>
        <w:t>مفهوم تأدیب و تنبیه در لغت و اصطلاح</w:t>
      </w:r>
      <w:bookmarkEnd w:id="844"/>
    </w:p>
    <w:p>
      <w:pPr>
        <w:pStyle w:val="BookText"/>
        <w:rPr/>
      </w:pPr>
      <w:r>
        <w:rPr>
          <w:rFonts w:ascii="IRNazanin" w:hAnsi="IRNazanin" w:eastAsia="IRNazanin"/>
          <w:color w:val="111111"/>
          <w:sz w:val="28"/>
          <w:sz w:val="28"/>
          <w:szCs w:val="28"/>
          <w:rtl w:val="true"/>
          <w:lang w:bidi="fa-IR"/>
        </w:rPr>
        <w:t>تأدیب در لغت به معنی تعلیم، ریاضت نفس و کسب محاسن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معنی مجازات نمودن به جهت ارتکاب فعل ناپسند نیز به کار میرود</w:t>
      </w:r>
      <w:r>
        <w:rPr>
          <w:rStyle w:val="FootnoteAnchor"/>
          <w:rtl w:val="true"/>
        </w:rPr>
        <w:footnoteReference w:id="1826"/>
      </w:r>
      <w:r>
        <w:rPr>
          <w:rFonts w:ascii="IRNazanin" w:hAnsi="IRNazanin" w:eastAsia="IRNazanin"/>
          <w:color w:val="111111"/>
          <w:sz w:val="28"/>
          <w:sz w:val="28"/>
          <w:szCs w:val="28"/>
          <w:rtl w:val="true"/>
          <w:lang w:bidi="fa-IR"/>
        </w:rPr>
        <w:t>و در اصطلاح فقها مقصود از تأدیب همان تعزیر است، یعنی مجازات کم‌تر از حدّ، لیکن همان‌گونه که توضیح داده شد، کودکان همانند بزرگسالان مشمول مجازات تعزیر قرار نمیگیرند، به همین جهت در روایات و عبارات فقها در ارتباط با تعزیر کودکان از لفظ تأدیب استفاده شده که مقصود از آن مجازاتی خفیف و سبک‌تر از تعزیر بزرگسالان میباشد، به گونه‌ای که کودک را از انجام مجدّد فعل ناپسند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 مرتکب عمل شنیع لواط شود، فاعل باشد یا مفعول، تأدیب میگردد و تأدیب در این‌گونه موارد به معنی تعزیر است</w:t>
      </w:r>
      <w:r>
        <w:rPr>
          <w:rFonts w:eastAsia="IRNazanin" w:cs="IRNazanin"/>
          <w:color w:val="111111"/>
          <w:sz w:val="28"/>
          <w:szCs w:val="28"/>
          <w:rtl w:val="true"/>
          <w:lang w:bidi="fa-IR"/>
        </w:rPr>
        <w:t>».</w:t>
      </w:r>
      <w:r>
        <w:rPr>
          <w:rStyle w:val="FootnoteAnchor"/>
          <w:rtl w:val="true"/>
        </w:rPr>
        <w:footnoteReference w:id="1827"/>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تنبیه در لغت به معنی هشیارکردن، تذکرّ، بیدار کردن و توجّه دادن است</w:t>
      </w:r>
      <w:r>
        <w:rPr>
          <w:rFonts w:eastAsia="IRNazanin" w:cs="IRNazanin"/>
          <w:color w:val="111111"/>
          <w:sz w:val="28"/>
          <w:szCs w:val="28"/>
          <w:rtl w:val="true"/>
          <w:lang w:bidi="fa-IR"/>
        </w:rPr>
        <w:t>.</w:t>
      </w:r>
      <w:r>
        <w:rPr>
          <w:rStyle w:val="FootnoteAnchor"/>
          <w:rtl w:val="true"/>
        </w:rPr>
        <w:footnoteReference w:id="1828"/>
      </w:r>
      <w:r>
        <w:rPr>
          <w:rFonts w:ascii="IRNazanin" w:hAnsi="IRNazanin" w:eastAsia="IRNazanin"/>
          <w:color w:val="111111"/>
          <w:sz w:val="28"/>
          <w:sz w:val="28"/>
          <w:szCs w:val="28"/>
          <w:rtl w:val="true"/>
          <w:lang w:bidi="fa-IR"/>
        </w:rPr>
        <w:t>و نیزبه‌معنی توبیخ، گوشمالی دادن، توبیخ همراه با کتک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معنی کیفر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گاهی تنبیه به معنی تأدیب و نوعی مجازات به کار میرود و مترادف یکدیگر میباشند</w:t>
      </w:r>
      <w:r>
        <w:rPr>
          <w:rFonts w:eastAsia="IRNazanin" w:cs="IRNazanin"/>
          <w:color w:val="111111"/>
          <w:sz w:val="28"/>
          <w:szCs w:val="28"/>
          <w:rtl w:val="true"/>
          <w:lang w:bidi="fa-IR"/>
        </w:rPr>
        <w:t>.</w:t>
      </w:r>
      <w:bookmarkStart w:id="845" w:name="pg13713_164720"/>
    </w:p>
    <w:p>
      <w:pPr>
        <w:pStyle w:val="BookText"/>
        <w:rPr/>
      </w:pPr>
      <w:bookmarkEnd w:id="845"/>
      <w:r>
        <w:rPr>
          <w:rFonts w:ascii="IRNazanin" w:hAnsi="IRNazanin" w:eastAsia="IRNazanin"/>
          <w:color w:val="111111"/>
          <w:sz w:val="28"/>
          <w:sz w:val="28"/>
          <w:szCs w:val="28"/>
          <w:rtl w:val="true"/>
          <w:lang w:bidi="fa-IR"/>
        </w:rPr>
        <w:t>در اصطلاح حقوق جزا، تأدیب عبارت است از واکنش مخصوص کیفری، در مقابل اعمال مجرمانه طفل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از آن نوعی مجازات خفیف میباشد</w:t>
      </w:r>
      <w:r>
        <w:rPr>
          <w:rFonts w:eastAsia="IRNazanin" w:cs="IRNazanin"/>
          <w:color w:val="111111"/>
          <w:sz w:val="28"/>
          <w:szCs w:val="28"/>
          <w:rtl w:val="true"/>
          <w:lang w:bidi="fa-IR"/>
        </w:rPr>
        <w:t>.</w:t>
      </w:r>
      <w:r>
        <w:rPr>
          <w:rStyle w:val="FootnoteAnchor"/>
          <w:rtl w:val="true"/>
        </w:rPr>
        <w:footnoteReference w:id="1829"/>
      </w:r>
      <w:r>
        <w:rPr>
          <w:rFonts w:ascii="IRNazanin" w:hAnsi="IRNazanin" w:eastAsia="IRNazanin"/>
          <w:color w:val="111111"/>
          <w:sz w:val="28"/>
          <w:sz w:val="28"/>
          <w:szCs w:val="28"/>
          <w:rtl w:val="true"/>
          <w:lang w:bidi="fa-IR"/>
        </w:rPr>
        <w:t>همچنین تنبیه به معنی کیفر انضباطی کودک و مجنون است</w:t>
      </w:r>
      <w:r>
        <w:rPr>
          <w:rFonts w:eastAsia="IRNazanin" w:cs="IRNazanin"/>
          <w:color w:val="111111"/>
          <w:sz w:val="28"/>
          <w:szCs w:val="28"/>
          <w:rtl w:val="true"/>
          <w:lang w:bidi="fa-IR"/>
        </w:rPr>
        <w:t>.</w:t>
      </w:r>
      <w:r>
        <w:rPr>
          <w:rStyle w:val="FootnoteAnchor"/>
          <w:rtl w:val="true"/>
        </w:rPr>
        <w:footnoteReference w:id="1830"/>
      </w:r>
    </w:p>
    <w:p>
      <w:pPr>
        <w:pStyle w:val="Heading4"/>
        <w:numPr>
          <w:ilvl w:val="3"/>
          <w:numId w:val="1"/>
        </w:numPr>
        <w:rPr/>
      </w:pPr>
      <w:bookmarkStart w:id="846" w:name="__RefHeading___Toc1259932_1468164448"/>
      <w:bookmarkStart w:id="847" w:name="_Toc311"/>
      <w:bookmarkEnd w:id="846"/>
      <w:r>
        <w:rPr/>
        <w:t>2</w:t>
      </w:r>
      <w:r>
        <w:rPr>
          <w:rtl w:val="true"/>
        </w:rPr>
        <w:t xml:space="preserve">- </w:t>
      </w:r>
      <w:r>
        <w:rPr>
          <w:rtl w:val="true"/>
        </w:rPr>
        <w:t>جواز تأدیب کودک</w:t>
      </w:r>
      <w:bookmarkEnd w:id="847"/>
    </w:p>
    <w:p>
      <w:pPr>
        <w:pStyle w:val="BookText"/>
        <w:rPr/>
      </w:pPr>
      <w:r>
        <w:rPr>
          <w:rFonts w:ascii="IRNazanin" w:hAnsi="IRNazanin" w:eastAsia="IRNazanin"/>
          <w:color w:val="111111"/>
          <w:sz w:val="28"/>
          <w:sz w:val="28"/>
          <w:szCs w:val="28"/>
          <w:rtl w:val="true"/>
          <w:lang w:bidi="fa-IR"/>
        </w:rPr>
        <w:t>به طور کلی تأدیب کودک ممیّز در موارد زیر مورد توافق فقها اعم از شیعه و اهل‌سنت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ارتکاب جرایمی که اگر فرد بالغ عاقل مرتکب شود، موجب حدّ یا تعزیر میباشد، این قسم از تأدیب که از آن به عنوان تعزیر یاد میشود، وظیفه حاکم شرع و دادگاه صالح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تربیت کودک و نیز به جهت ارتکاب خطا و امور خلاف اخلاق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جهت انجام مراسم دینی، تأدیب در دو قسم اخیر وظیفه پدر و مادر کودک و گاه معلّم میباشد، توضیح بیش‌تر در این‌باره در مباحث بعد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جواز تنبیه کودک</w:t>
      </w:r>
    </w:p>
    <w:p>
      <w:pPr>
        <w:pStyle w:val="BookText"/>
        <w:rPr/>
      </w:pPr>
      <w:r>
        <w:rPr>
          <w:rFonts w:ascii="IRNazanin" w:hAnsi="IRNazanin" w:eastAsia="IRNazanin"/>
          <w:color w:val="111111"/>
          <w:sz w:val="28"/>
          <w:sz w:val="28"/>
          <w:szCs w:val="28"/>
          <w:rtl w:val="true"/>
          <w:lang w:bidi="fa-IR"/>
        </w:rPr>
        <w:t>قبل از بیان ادلّه جواز تأدیب کودک ذکر دو نکته لازم و ضروری مینماید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تأدیب کودک جایز نیست، چون خداوند متعال انسان را آزاد آفریده و کسی بر دیگری تسلّطی ندارد، مگر آن‌که خداوند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تنبیه و زدن دیگری، اذیت و ظلم به اوست و این اعمال در شرع مقدّس اسلام نهی شده است، به‌طوری که برخی از روایات آن را جنگ با خدا و کفر میداند، روای میگوید از امام صادق علیه السلام در مورد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 فِیهِ بِإِلْحادٍ بِظُلْمٍ نُذِقْهُ مِنْ عَذابٍ أَلِیمٍ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اراده کند در زمین دست به ظلم و ستم بیالاید ما از عذاب دردناک به او</w:t>
      </w:r>
    </w:p>
    <w:p>
      <w:pPr>
        <w:pStyle w:val="BookText"/>
        <w:rPr/>
      </w:pPr>
      <w:r>
        <w:rPr>
          <w:rFonts w:ascii="IRNazanin" w:hAnsi="IRNazanin" w:eastAsia="IRNazanin"/>
          <w:color w:val="111111"/>
          <w:sz w:val="28"/>
          <w:sz w:val="28"/>
          <w:szCs w:val="28"/>
          <w:rtl w:val="true"/>
          <w:lang w:bidi="fa-IR"/>
        </w:rPr>
        <w:t xml:space="preserve">میچشانیم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ظلمی الحاد است و زدن خادمی که گناه نکرده از این نوع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ظُلْمٍ الْحَادٌ وَضَرْبُ الْخَادِمِ فِی غَیْرِ ذَنْبٍ مِنْ ذَلِکَ الإِلْحَادِ</w:t>
      </w:r>
      <w:r>
        <w:rPr>
          <w:rFonts w:eastAsia="IRNazanin" w:cs="IRNazanin"/>
          <w:color w:val="111111"/>
          <w:sz w:val="28"/>
          <w:szCs w:val="28"/>
          <w:rtl w:val="true"/>
          <w:lang w:bidi="fa-IR"/>
        </w:rPr>
        <w:t>»</w:t>
      </w:r>
      <w:r>
        <w:rPr>
          <w:rStyle w:val="FootnoteAnchor"/>
          <w:rtl w:val="true"/>
        </w:rPr>
        <w:footnoteReference w:id="1831"/>
      </w:r>
      <w:r>
        <w:rPr>
          <w:rFonts w:ascii="IRNazanin" w:hAnsi="IRNazanin" w:eastAsia="IRNazanin"/>
          <w:color w:val="111111"/>
          <w:sz w:val="28"/>
          <w:sz w:val="28"/>
          <w:szCs w:val="28"/>
          <w:rtl w:val="true"/>
          <w:lang w:bidi="fa-IR"/>
        </w:rPr>
        <w:t>بنابراین اگر نتوانیم از ادلّه فقهی جواز تأدیب کودک را استفاده کنیم، اصل عدم جواز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مواردی که شک در جواز داریم، باید به اصل عدم جواز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جواز کیفر مجرم در باب تعزیرات استفاده میشود که مجازات باید متناسب با میزان عقل و شعور مرتکب جرم باشد، این ویژگی را میتوان به عنوان یک اصل از ادلّه مجازات‌های تعزیری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مذاق شرع در باب تعزیرات مقتضی این معنا است، بنابراین به حکم این اصل باید تأدیب و تنبیه کودک متناسب با عقل، شعور، و درک وی، و نیز قوّه جسمی او باشد و فراتر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تأدیب کودک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استناد برخی از روایات مانند حدیث رفع قلم</w:t>
      </w:r>
      <w:r>
        <w:rPr>
          <w:rStyle w:val="FootnoteAnchor"/>
          <w:rtl w:val="true"/>
        </w:rPr>
        <w:footnoteReference w:id="1832"/>
      </w:r>
      <w:r>
        <w:rPr>
          <w:rFonts w:ascii="IRNazanin" w:hAnsi="IRNazanin" w:eastAsia="IRNazanin"/>
          <w:color w:val="111111"/>
          <w:sz w:val="28"/>
          <w:sz w:val="28"/>
          <w:szCs w:val="28"/>
          <w:rtl w:val="true"/>
          <w:lang w:bidi="fa-IR"/>
        </w:rPr>
        <w:t>که مفاد آن مورد قبول فقها است، و بر طبق آن فتوا داده‌اند، کودک و مجنون مسئولیت کیفری ندارند و به طور قطعً همانند اشخاص بالغ و عاقل تعقیب و مجازات نمیشوند، از سوی دیگر به استناد روایاتی که در حدّ استفاضه، بلکه متواتر میباشد، تأدیب کودک و مجنون در صورت ارتکاب جرم با شرایط خاص تجویز شده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دو دسته از روایات ایجاب میکند که تأدیب کودک ممیز در مواردی که مرتکب خلاف شود، با وجود شرایطی که در فقه مقرّر شده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حکم عقل نیز برای اصلاح و تربیت کودک و نیز برای حفظ نظم و رعایت اصول اخلاقی در جامعه، هم‌چنین به جهت این‌که کودک به ارتکاب جرایم عادت نکند، تأدیب وی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کودکان به ویژه آنان که تا رسیدن به سن بلوغ فاصله چندانی ندارند، در ارتکاب جرایم آزاد باشند و تأدیب نشوند مشکلاتی برای خود و دیگران در</w:t>
      </w:r>
      <w:bookmarkStart w:id="848" w:name="pg13713_164722"/>
    </w:p>
    <w:p>
      <w:pPr>
        <w:pStyle w:val="BookText"/>
        <w:rPr/>
      </w:pPr>
      <w:bookmarkEnd w:id="848"/>
      <w:r>
        <w:rPr>
          <w:rFonts w:ascii="IRNazanin" w:hAnsi="IRNazanin" w:eastAsia="IRNazanin"/>
          <w:color w:val="111111"/>
          <w:sz w:val="28"/>
          <w:sz w:val="28"/>
          <w:szCs w:val="28"/>
          <w:rtl w:val="true"/>
          <w:lang w:bidi="fa-IR"/>
        </w:rPr>
        <w:t>جامعه ایجاد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آن‌که تأدیب کودکان در جهت مصلحت و اصلاح‌آنان است و این تأدیب خود از مصادیق کمک به برّ و تقوی و عین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 </w:t>
      </w:r>
      <w:r>
        <w:rPr>
          <w:rStyle w:val="FootnoteAnchor"/>
          <w:rtl w:val="true"/>
        </w:rPr>
        <w:footnoteReference w:id="1833"/>
      </w:r>
      <w:r>
        <w:rPr>
          <w:rFonts w:ascii="IRNazanin" w:hAnsi="IRNazanin" w:eastAsia="IRNazanin"/>
          <w:color w:val="111111"/>
          <w:sz w:val="28"/>
          <w:sz w:val="28"/>
          <w:szCs w:val="28"/>
          <w:rtl w:val="true"/>
          <w:lang w:bidi="fa-IR"/>
        </w:rPr>
        <w:t>از آن جا که حکمت جواز تأدیب کودکان رعایت مصلحت آنان است، بنابراین باید به آن مقدار که مقصود حاصل شود اکتفا نمود</w:t>
      </w:r>
      <w:r>
        <w:rPr>
          <w:rFonts w:eastAsia="IRNazanin" w:cs="IRNazanin"/>
          <w:color w:val="111111"/>
          <w:sz w:val="28"/>
          <w:szCs w:val="28"/>
          <w:rtl w:val="true"/>
          <w:lang w:bidi="fa-IR"/>
        </w:rPr>
        <w:t>.</w:t>
      </w:r>
      <w:r>
        <w:rPr>
          <w:rStyle w:val="FootnoteAnchor"/>
          <w:rtl w:val="true"/>
        </w:rPr>
        <w:footnoteReference w:id="1834"/>
      </w:r>
    </w:p>
    <w:p>
      <w:pPr>
        <w:pStyle w:val="Heading4"/>
        <w:numPr>
          <w:ilvl w:val="3"/>
          <w:numId w:val="1"/>
        </w:numPr>
        <w:rPr/>
      </w:pPr>
      <w:bookmarkStart w:id="849" w:name="__RefHeading___Toc1259934_1468164448"/>
      <w:bookmarkStart w:id="850" w:name="_Toc312"/>
      <w:bookmarkEnd w:id="849"/>
      <w:r>
        <w:rPr/>
        <w:t>3</w:t>
      </w:r>
      <w:r>
        <w:rPr>
          <w:rtl w:val="true"/>
        </w:rPr>
        <w:t xml:space="preserve">- </w:t>
      </w:r>
      <w:r>
        <w:rPr>
          <w:rtl w:val="true"/>
        </w:rPr>
        <w:t>نمونه‌هایی از تأدیب کودکان در روایات</w:t>
      </w:r>
      <w:bookmarkEnd w:id="850"/>
    </w:p>
    <w:p>
      <w:pPr>
        <w:pStyle w:val="BookText"/>
        <w:rPr/>
      </w:pPr>
      <w:r>
        <w:rPr>
          <w:rFonts w:ascii="IRNazanin" w:hAnsi="IRNazanin" w:eastAsia="IRNazanin"/>
          <w:color w:val="111111"/>
          <w:sz w:val="28"/>
          <w:sz w:val="28"/>
          <w:szCs w:val="28"/>
          <w:rtl w:val="true"/>
          <w:lang w:bidi="fa-IR"/>
        </w:rPr>
        <w:t>در روایات بسیاری تأدیب کودکان به جهت ارتکاب برخی از جرایم تجویز شده است و فقها بر طبق آن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زنا</w:t>
      </w:r>
    </w:p>
    <w:p>
      <w:pPr>
        <w:pStyle w:val="BookText"/>
        <w:rPr/>
      </w:pPr>
      <w:r>
        <w:rPr>
          <w:rFonts w:ascii="IRNazanin" w:hAnsi="IRNazanin" w:eastAsia="IRNazanin"/>
          <w:color w:val="111111"/>
          <w:sz w:val="28"/>
          <w:sz w:val="28"/>
          <w:szCs w:val="28"/>
          <w:rtl w:val="true"/>
          <w:lang w:bidi="fa-IR"/>
        </w:rPr>
        <w:t>مرحوم شیخ طوسی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کودکی که به حدّ بلوغ نرسیده با زنی زنا نماید، زن به کیفر رجم محکوم نمیشود، بلکه مستحّق حدّ دیگر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ضربه شلاّق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لازم است کودک نیز تأدیب گردد</w:t>
      </w:r>
      <w:r>
        <w:rPr>
          <w:rFonts w:eastAsia="IRNazanin" w:cs="IRNazanin"/>
          <w:color w:val="111111"/>
          <w:sz w:val="28"/>
          <w:szCs w:val="28"/>
          <w:rtl w:val="true"/>
          <w:lang w:bidi="fa-IR"/>
        </w:rPr>
        <w:t>.</w:t>
      </w:r>
      <w:r>
        <w:rPr>
          <w:rStyle w:val="FootnoteAnchor"/>
          <w:rtl w:val="true"/>
        </w:rPr>
        <w:footnoteReference w:id="1835"/>
      </w:r>
      <w:r>
        <w:rPr>
          <w:rFonts w:ascii="IRNazanin" w:hAnsi="IRNazanin" w:eastAsia="IRNazanin"/>
          <w:color w:val="111111"/>
          <w:sz w:val="28"/>
          <w:sz w:val="28"/>
          <w:szCs w:val="28"/>
          <w:rtl w:val="true"/>
          <w:lang w:bidi="fa-IR"/>
        </w:rPr>
        <w:t>همین نکته در عبارات دیگر فقها نیز دیده میشود</w:t>
      </w:r>
      <w:r>
        <w:rPr>
          <w:rFonts w:eastAsia="IRNazanin" w:cs="IRNazanin"/>
          <w:color w:val="111111"/>
          <w:sz w:val="28"/>
          <w:szCs w:val="28"/>
          <w:rtl w:val="true"/>
          <w:lang w:bidi="fa-IR"/>
        </w:rPr>
        <w:t>.</w:t>
      </w:r>
      <w:r>
        <w:rPr>
          <w:rStyle w:val="FootnoteAnchor"/>
          <w:rtl w:val="true"/>
        </w:rPr>
        <w:footnoteReference w:id="1836"/>
      </w:r>
      <w:r>
        <w:rPr>
          <w:rFonts w:ascii="IRNazanin" w:hAnsi="IRNazanin" w:eastAsia="IRNazanin"/>
          <w:color w:val="111111"/>
          <w:sz w:val="28"/>
          <w:sz w:val="28"/>
          <w:szCs w:val="28"/>
          <w:rtl w:val="true"/>
          <w:lang w:bidi="fa-IR"/>
        </w:rPr>
        <w:t>مستند این فتوا روایات است از جمله، در روایت صحیح ابو بصیر از امام صادق علیه السلام نقل میکند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به سن ده سالگی یا بیش‌تر رسیده با زنی زنا نماید، بر زن اجرای حدّ میگردد و کودک نیز به کم‌تر از حدّ تأدیب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الغُلاَمُ دُونَ الحَّدِ وَتُجْلَدُ الْمَرْأَةُ الحَدَّ کَامِلاً</w:t>
      </w:r>
      <w:r>
        <w:rPr>
          <w:rFonts w:eastAsia="IRNazanin" w:cs="IRNazanin"/>
          <w:color w:val="111111"/>
          <w:sz w:val="28"/>
          <w:szCs w:val="28"/>
          <w:rtl w:val="true"/>
          <w:lang w:bidi="fa-IR"/>
        </w:rPr>
        <w:t>»</w:t>
      </w:r>
      <w:r>
        <w:rPr>
          <w:rStyle w:val="FootnoteAnchor"/>
          <w:rtl w:val="true"/>
        </w:rPr>
        <w:footnoteReference w:id="1837"/>
      </w:r>
      <w:r>
        <w:rPr>
          <w:rFonts w:ascii="IRNazanin" w:hAnsi="IRNazanin" w:eastAsia="IRNazanin"/>
          <w:color w:val="111111"/>
          <w:sz w:val="28"/>
          <w:sz w:val="28"/>
          <w:szCs w:val="28"/>
          <w:rtl w:val="true"/>
          <w:lang w:bidi="fa-IR"/>
        </w:rPr>
        <w:t>و روایات دیگر</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لواط</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با کودکی لواط کند، بر مرد حدّ لواط اجرا میشود و کودک نیز در صورتی که در مقابل مرد تمکین نماید و ارتکاب این عمل شنیع به عنف نباشد، تأدیب</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دو کودک با یکدیگر لواط کنند هر دو تأدیب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توافق فقها</w:t>
      </w:r>
      <w:r>
        <w:rPr>
          <w:rStyle w:val="FootnoteAnchor"/>
          <w:rtl w:val="true"/>
        </w:rPr>
        <w:footnoteReference w:id="183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صادق علیه السلام نقل نموده است که مرد و زنی را به نزد امیر المؤمنین علیه السلام آوردند، زن مدّعی بود شوهرش با فرزندش که از شوهر قبلی وی بوده لواط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و شهادت شهود بر علیه مرد، به حکم امیر المؤمنین علیه السلام بر مرد اجرای حدّ شد و او را با شمشیر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دستور فرمود کودک را نیز به کم‌تر از حدّ تأدیب نمایند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بالغ بودی حکم به قتل تو میدادم و هم اکنون تأدیب مینمایم، چرا که در مقابل این مرد تمکین نمودی تا با تو این عمل شنیع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الْغُلاَمَ دَوُنَ الحَدِّ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کُنْتَ مُدْرِکَاً لَقَتَلْتُکَ لإِمْکَانِکَ ایَّاهُ مِنْ نَفْسِکَ بِثَقْبِکَ</w:t>
      </w:r>
      <w:r>
        <w:rPr>
          <w:rFonts w:eastAsia="IRNazanin" w:cs="IRNazanin"/>
          <w:color w:val="111111"/>
          <w:sz w:val="28"/>
          <w:szCs w:val="28"/>
          <w:rtl w:val="true"/>
          <w:lang w:bidi="fa-IR"/>
        </w:rPr>
        <w:t>»</w:t>
      </w:r>
      <w:r>
        <w:rPr>
          <w:rStyle w:val="FootnoteAnchor"/>
          <w:rtl w:val="true"/>
        </w:rPr>
        <w:footnoteReference w:id="1840"/>
      </w:r>
      <w:r>
        <w:rPr>
          <w:rFonts w:ascii="IRNazanin" w:hAnsi="IRNazanin" w:eastAsia="IRNazanin"/>
          <w:color w:val="111111"/>
          <w:sz w:val="28"/>
          <w:sz w:val="28"/>
          <w:szCs w:val="28"/>
          <w:rtl w:val="true"/>
          <w:lang w:bidi="fa-IR"/>
        </w:rPr>
        <w:t>روایات دیگری</w:t>
      </w:r>
      <w:r>
        <w:rPr>
          <w:rStyle w:val="FootnoteAnchor"/>
          <w:rtl w:val="true"/>
        </w:rPr>
        <w:footnoteReference w:id="1841"/>
      </w:r>
      <w:r>
        <w:rPr>
          <w:rFonts w:ascii="IRNazanin" w:hAnsi="IRNazanin" w:eastAsia="IRNazanin"/>
          <w:color w:val="111111"/>
          <w:sz w:val="28"/>
          <w:sz w:val="28"/>
          <w:szCs w:val="28"/>
          <w:rtl w:val="true"/>
          <w:lang w:bidi="fa-IR"/>
        </w:rPr>
        <w:t>نیز با این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قانون مجازات اسلامی تعزیر کودک در ارتکاب لواط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مزبور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مرد بالغ و عاقل، با نابالغی لواط کند فاعل کشته میشود و مفعول اگر مکره نباشد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نابالغی، نابالغ دیگر را وطی کند تا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تعزیر میشوند، مگر آن که یکی از آنها مکرَه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قذف</w:t>
      </w:r>
      <w:r>
        <w:rPr>
          <w:rStyle w:val="FootnoteAnchor"/>
          <w:rtl w:val="true"/>
        </w:rPr>
        <w:footnoteReference w:id="184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اجماع فقها در اجرای حدّ قذف بر قاذف بلوغ و عقل شرط است،</w:t>
      </w:r>
      <w:r>
        <w:rPr>
          <w:rFonts w:eastAsia="IRNazanin" w:cs="IRNazanin"/>
          <w:color w:val="111111"/>
          <w:sz w:val="28"/>
          <w:szCs w:val="28"/>
          <w:rtl w:val="true"/>
          <w:lang w:bidi="fa-IR"/>
        </w:rPr>
        <w:t>.</w:t>
      </w:r>
      <w:r>
        <w:rPr>
          <w:rStyle w:val="FootnoteAnchor"/>
          <w:rtl w:val="true"/>
        </w:rPr>
        <w:footnoteReference w:id="1843"/>
      </w:r>
      <w:r>
        <w:rPr>
          <w:rFonts w:ascii="IRNazanin" w:hAnsi="IRNazanin" w:eastAsia="IRNazanin"/>
          <w:color w:val="111111"/>
          <w:sz w:val="28"/>
          <w:sz w:val="28"/>
          <w:szCs w:val="28"/>
          <w:rtl w:val="true"/>
          <w:lang w:bidi="fa-IR"/>
        </w:rPr>
        <w:t>بنابراین‌اگر کودک فرد بالغی را قذف نماید یا دو کودک یکدیگر را قذف نمایند، مشمول اجرای حدّ قذف قرار نمیگیرند، بلکه تأدیب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نیز مورد توافق فقها است</w:t>
      </w:r>
      <w:r>
        <w:rPr>
          <w:rFonts w:eastAsia="IRNazanin" w:cs="IRNazanin"/>
          <w:color w:val="111111"/>
          <w:sz w:val="28"/>
          <w:szCs w:val="28"/>
          <w:rtl w:val="true"/>
          <w:lang w:bidi="fa-IR"/>
        </w:rPr>
        <w:t>.</w:t>
      </w:r>
      <w:r>
        <w:rPr>
          <w:rStyle w:val="FootnoteAnchor"/>
          <w:rtl w:val="true"/>
        </w:rPr>
        <w:footnoteReference w:id="1844"/>
      </w:r>
      <w:r>
        <w:rPr>
          <w:rFonts w:ascii="IRNazanin" w:hAnsi="IRNazanin" w:eastAsia="IRNazanin"/>
          <w:color w:val="111111"/>
          <w:sz w:val="28"/>
          <w:sz w:val="28"/>
          <w:szCs w:val="28"/>
          <w:rtl w:val="true"/>
          <w:lang w:bidi="fa-IR"/>
        </w:rPr>
        <w:t>و دلیل آن</w:t>
      </w:r>
    </w:p>
    <w:p>
      <w:pPr>
        <w:pStyle w:val="BookText"/>
        <w:rPr/>
      </w:pPr>
      <w:r>
        <w:rPr>
          <w:rFonts w:ascii="IRNazanin" w:hAnsi="IRNazanin" w:eastAsia="IRNazanin"/>
          <w:color w:val="111111"/>
          <w:sz w:val="28"/>
          <w:sz w:val="28"/>
          <w:szCs w:val="28"/>
          <w:rtl w:val="true"/>
          <w:lang w:bidi="fa-IR"/>
        </w:rPr>
        <w:t>دیدگاهی است که برگرفته از روایات است مبنی بر این‌که کودک و مجنون مشمول اجرای حد قرار نمیگیرند، بلکه به آن‌چه حاکم مصلحت بداند تعزیر میگردند، تا بعد از آن مسلمانان را دشنام ندهند و به آنان آزار نرسانند و موجب فساد در جامعه نشوند</w:t>
      </w:r>
      <w:r>
        <w:rPr>
          <w:rFonts w:eastAsia="IRNazanin" w:cs="IRNazanin"/>
          <w:color w:val="111111"/>
          <w:sz w:val="28"/>
          <w:szCs w:val="28"/>
          <w:rtl w:val="true"/>
          <w:lang w:bidi="fa-IR"/>
        </w:rPr>
        <w:t>.</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از امیر المؤمنین علیه السلام روایتی نقل شده که خلاصه‌اش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دیگری به نزد آن حضرت شکایت برد که او به مادر من دشنام داده حضرت بعد از تحقیق، به کسی که دشنام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میزنم تا بعد از این مسلمانان را دشنام ندهی و آنها را آزار نرسانی و سپس مرد دشنام دهنده را کتک زد</w:t>
      </w:r>
      <w:r>
        <w:rPr>
          <w:rFonts w:eastAsia="IRNazanin" w:cs="IRNazanin"/>
          <w:color w:val="111111"/>
          <w:sz w:val="28"/>
          <w:szCs w:val="28"/>
          <w:rtl w:val="true"/>
          <w:lang w:bidi="fa-IR"/>
        </w:rPr>
        <w:t>.</w:t>
      </w:r>
      <w:r>
        <w:rPr>
          <w:rStyle w:val="FootnoteAnchor"/>
          <w:rtl w:val="true"/>
        </w:rPr>
        <w:footnoteReference w:id="1846"/>
      </w:r>
      <w:r>
        <w:rPr>
          <w:rFonts w:ascii="IRNazanin" w:hAnsi="IRNazanin" w:eastAsia="IRNazanin"/>
          <w:color w:val="111111"/>
          <w:sz w:val="28"/>
          <w:sz w:val="28"/>
          <w:szCs w:val="28"/>
          <w:rtl w:val="true"/>
          <w:lang w:bidi="fa-IR"/>
        </w:rPr>
        <w:t>تعلیلی که در این روایت ذکر شده، یعنی جلوگیری از دشنام و آزار مسلمانان شامل کودک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او به دیگران دشنام دهد، باید تأدیب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در بعضی از روایات به طور خاص تأدیب کودک در فرض مزبور تجویز شده است، از جمله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بالغ اگر دیگری را قذف نماید، تأدیب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غَیْرِ الْبَالِغِ حَدُّ الاَدَبِ</w:t>
      </w:r>
      <w:r>
        <w:rPr>
          <w:rFonts w:eastAsia="IRNazanin" w:cs="IRNazanin"/>
          <w:color w:val="111111"/>
          <w:sz w:val="28"/>
          <w:szCs w:val="28"/>
          <w:rtl w:val="true"/>
          <w:lang w:bidi="fa-IR"/>
        </w:rPr>
        <w:t>».</w:t>
      </w:r>
      <w:r>
        <w:rPr>
          <w:rStyle w:val="FootnoteAnchor"/>
          <w:rtl w:val="true"/>
        </w:rPr>
        <w:footnoteReference w:id="1847"/>
      </w:r>
      <w:r>
        <w:rPr>
          <w:rFonts w:ascii="IRNazanin" w:hAnsi="IRNazanin" w:eastAsia="IRNazanin"/>
          <w:color w:val="111111"/>
          <w:sz w:val="28"/>
          <w:sz w:val="28"/>
          <w:szCs w:val="28"/>
          <w:rtl w:val="true"/>
          <w:lang w:bidi="fa-IR"/>
        </w:rPr>
        <w:t xml:space="preserve">در قانون مجازات اسلامی نیز تعزیر کودک در ارتکاب قذف تجویز شده است، ماده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نابالغ ممیّز، کسی را قذف کند به نظر حاکم تأدیب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سرقت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فقها اختلافی نیست در این‌که در اجرای حدّ سرقت بر سارق، بلوغ و عقل در وی شرط است</w:t>
      </w:r>
      <w:r>
        <w:rPr>
          <w:rStyle w:val="FootnoteAnchor"/>
          <w:rtl w:val="true"/>
        </w:rPr>
        <w:footnoteReference w:id="1848"/>
      </w:r>
      <w:r>
        <w:rPr>
          <w:rFonts w:ascii="IRNazanin" w:hAnsi="IRNazanin" w:eastAsia="IRNazanin"/>
          <w:color w:val="111111"/>
          <w:sz w:val="28"/>
          <w:sz w:val="28"/>
          <w:szCs w:val="28"/>
          <w:rtl w:val="true"/>
          <w:lang w:bidi="fa-IR"/>
        </w:rPr>
        <w:t>، بنابراین اگرکودک مرتکب سرقت شود، مشمول حدّ سرقت قرار نمیگیرد، بلکه تأدیب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کیفیّت و نوع تأدیب او نظریات مختلفی ابراز شده است</w:t>
      </w:r>
      <w:r>
        <w:rPr>
          <w:rFonts w:eastAsia="IRNazanin" w:cs="IRNazanin"/>
          <w:color w:val="111111"/>
          <w:sz w:val="28"/>
          <w:szCs w:val="28"/>
          <w:rtl w:val="true"/>
          <w:lang w:bidi="fa-IR"/>
        </w:rPr>
        <w:t>.</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آن‌چه‌درمیان آنان مشهور است و بسیاری از آنها از گذشتگان تا معاصرین آن را پذیرفته‌اند این است که به هر اندازه حاکم شرع مصلحت بداند، تأدیب میشود هرچند به تکرار مرتکب سرقت گردد</w:t>
      </w:r>
      <w:r>
        <w:rPr>
          <w:rFonts w:eastAsia="IRNazanin" w:cs="IRNazanin"/>
          <w:color w:val="111111"/>
          <w:sz w:val="28"/>
          <w:szCs w:val="28"/>
          <w:rtl w:val="true"/>
          <w:lang w:bidi="fa-IR"/>
        </w:rPr>
        <w:t>.</w:t>
      </w:r>
      <w:r>
        <w:rPr>
          <w:rStyle w:val="FootnoteAnchor"/>
          <w:rtl w:val="true"/>
        </w:rPr>
        <w:footnoteReference w:id="1850"/>
      </w:r>
      <w:r>
        <w:rPr>
          <w:rFonts w:ascii="IRNazanin" w:hAnsi="IRNazanin" w:eastAsia="IRNazanin"/>
          <w:color w:val="111111"/>
          <w:sz w:val="28"/>
          <w:sz w:val="28"/>
          <w:szCs w:val="28"/>
          <w:rtl w:val="true"/>
          <w:lang w:bidi="fa-IR"/>
        </w:rPr>
        <w:t>منشأ اختلاف دیدگاه فقها روایاتی است که با مضامین مختلف در مورد سرقت کودک صادر شده است،</w:t>
      </w:r>
      <w:r>
        <w:rPr>
          <w:rStyle w:val="FootnoteAnchor"/>
          <w:rtl w:val="true"/>
        </w:rPr>
        <w:footnoteReference w:id="1851"/>
      </w:r>
      <w:r>
        <w:rPr>
          <w:rFonts w:ascii="IRNazanin" w:hAnsi="IRNazanin" w:eastAsia="IRNazanin"/>
          <w:color w:val="111111"/>
          <w:sz w:val="28"/>
          <w:sz w:val="28"/>
          <w:szCs w:val="28"/>
          <w:rtl w:val="true"/>
          <w:lang w:bidi="fa-IR"/>
        </w:rPr>
        <w:t>از این رو بعضی معتقدند به دلیل عدم امکان جمع بین آنها، باید حمل شود بر این‌که حاکم شرع به هر صورت مصلحت بداند کودک را تأدیب نماید تا بار دیگر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من کودک در ارتکاب سرقت به اندازه‌ای که حاکم شرع مصلحت بداند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زیرا به اخباری که در شیوه اجرای حد سرقت بر وی وارد شده است به دلیل وجود اختلاف فراوان و جدّی در مضمون نمیتوان اطمینان نمود، بنابراین آن‌چه برخی از فقها مانند شیخ طوسی مبنی بر اجرای حد بر کودک در صورت تکرار سرقت فرموده است، پذیرفته نیست، چرا که از اخبار صادره چنین حکمی با اطمینان استفاده نمیشود و اجرای حد با وجود احتمال خلاف ساقط میگردد</w:t>
      </w:r>
      <w:r>
        <w:rPr>
          <w:rFonts w:eastAsia="IRNazanin" w:cs="IRNazanin"/>
          <w:color w:val="111111"/>
          <w:sz w:val="28"/>
          <w:szCs w:val="28"/>
          <w:rtl w:val="true"/>
          <w:lang w:bidi="fa-IR"/>
        </w:rPr>
        <w:t>.</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همچنین آیت الله فاضل لنکرانی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اختلاف مضامین در روایات نمیتوان به آنها عمل نمود</w:t>
      </w:r>
      <w:r>
        <w:rPr>
          <w:rFonts w:eastAsia="IRNazanin" w:cs="IRNazanin"/>
          <w:color w:val="111111"/>
          <w:sz w:val="28"/>
          <w:szCs w:val="28"/>
          <w:rtl w:val="true"/>
          <w:lang w:bidi="fa-IR"/>
        </w:rPr>
        <w:t>»</w:t>
      </w:r>
      <w:r>
        <w:rPr>
          <w:rStyle w:val="FootnoteAnchor"/>
          <w:rtl w:val="true"/>
        </w:rPr>
        <w:footnoteReference w:id="1853"/>
      </w:r>
      <w:r>
        <w:rPr>
          <w:rFonts w:ascii="IRNazanin" w:hAnsi="IRNazanin" w:eastAsia="IRNazanin"/>
          <w:color w:val="111111"/>
          <w:sz w:val="28"/>
          <w:sz w:val="28"/>
          <w:szCs w:val="28"/>
          <w:rtl w:val="true"/>
          <w:lang w:bidi="fa-IR"/>
        </w:rPr>
        <w:t>البتّه بعضی از فقها به گونه‌ای دیگر بین روایات جمع نموده و نتیجه‌گیری کرده‌اند که تفصیل و تحقیق در این‌باره مجال بیشتری میطلبد</w:t>
      </w:r>
      <w:r>
        <w:rPr>
          <w:rFonts w:eastAsia="IRNazanin" w:cs="IRNazanin"/>
          <w:color w:val="111111"/>
          <w:sz w:val="28"/>
          <w:szCs w:val="28"/>
          <w:rtl w:val="true"/>
          <w:lang w:bidi="fa-IR"/>
        </w:rPr>
        <w:t>.</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 xml:space="preserve">طبق ماده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نیز سرقت در صورتی موجب حدّ میشود که سارق به حدّ بلوغ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اجرای حدّ شرب خمر نیز مانند دیگر حدود، بلوغ، عقل، اختیار و علم به حکم شرط است، بنابراین اگر کودک شرب خمر نماید، مشمول اجرای حدّ قرار نمیگیرد،</w:t>
      </w:r>
    </w:p>
    <w:p>
      <w:pPr>
        <w:pStyle w:val="BookText"/>
        <w:rPr/>
      </w:pPr>
      <w:r>
        <w:rPr>
          <w:rFonts w:ascii="IRNazanin" w:hAnsi="IRNazanin" w:eastAsia="IRNazanin"/>
          <w:color w:val="111111"/>
          <w:sz w:val="28"/>
          <w:sz w:val="28"/>
          <w:szCs w:val="28"/>
          <w:rtl w:val="true"/>
          <w:lang w:bidi="fa-IR"/>
        </w:rPr>
        <w:t>لیکن باید تأدیب گردد</w:t>
      </w:r>
      <w:r>
        <w:rPr>
          <w:rStyle w:val="FootnoteAnchor"/>
          <w:rtl w:val="true"/>
        </w:rPr>
        <w:footnoteReference w:id="1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این‌باره ادّعای عدم خلاف نموده‌اند</w:t>
      </w:r>
      <w:r>
        <w:rPr>
          <w:rStyle w:val="FootnoteAnchor"/>
          <w:rtl w:val="true"/>
        </w:rPr>
        <w:footnoteReference w:id="1856"/>
      </w:r>
      <w:r>
        <w:rPr>
          <w:rFonts w:ascii="IRNazanin" w:hAnsi="IRNazanin" w:eastAsia="IRNazanin"/>
          <w:color w:val="111111"/>
          <w:sz w:val="28"/>
          <w:sz w:val="28"/>
          <w:szCs w:val="28"/>
          <w:rtl w:val="true"/>
          <w:lang w:bidi="fa-IR"/>
        </w:rPr>
        <w:t>دلیل این حکم روایاتی است که به‌طور عام بر جواز تعزیر و تأدیب دلالت دارد از جمله در روایت صحیح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از امیر المؤمنین علیه السلام به ما رسیده آمده است که آن حضرت در اجرای حدود گاهی از نصف تازیانه استفاده مینمود، حتی اگر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یا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مستحق تأدیب میبود به نزد آن حضرت میآوردند، اجرای حدود الهی را در مورد آنان تعطیل نمینمود، به ایشان عرض شد، چگونه آنان را میزد؟ فرمود نصف از تازیانه یا ثلث آن را میگرفت و به تناسب سن کودک او را تأدیب مینمود و حدّی از حدود الهی را تعطیل نمیگذاشت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یَضْرِبُ؟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یَأخُذُ السَّوْطَ بِیَدِهِ مِنْ وَسَطِهِ اوْ مِنْ ثُلُثِهِ ثُمَّ یَضْرِبُ بِهِ عَلَی قَدْرِ اسْنَانِهِم وَلا یُبْطِلُ حَدّاً مِنْ حُدودِ اللهِ عَزَّوَجَلَّ</w:t>
      </w:r>
      <w:r>
        <w:rPr>
          <w:rFonts w:eastAsia="IRNazanin" w:cs="IRNazanin"/>
          <w:color w:val="111111"/>
          <w:sz w:val="28"/>
          <w:szCs w:val="28"/>
          <w:rtl w:val="true"/>
          <w:lang w:bidi="fa-IR"/>
        </w:rPr>
        <w:t>»</w:t>
      </w:r>
      <w:r>
        <w:rPr>
          <w:rStyle w:val="FootnoteAnchor"/>
          <w:rtl w:val="true"/>
        </w:rPr>
        <w:footnoteReference w:id="1857"/>
      </w:r>
      <w:r>
        <w:rPr>
          <w:rFonts w:ascii="IRNazanin" w:hAnsi="IRNazanin" w:eastAsia="IRNazanin"/>
          <w:color w:val="111111"/>
          <w:sz w:val="28"/>
          <w:sz w:val="28"/>
          <w:szCs w:val="28"/>
          <w:rtl w:val="true"/>
          <w:lang w:bidi="fa-IR"/>
        </w:rPr>
        <w:t>البته‌مقصوداز حدود در این روایت تعزیر و تأدیب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w:t>
      </w:r>
      <w:r>
        <w:rPr>
          <w:rStyle w:val="FootnoteAnchor"/>
          <w:rtl w:val="true"/>
        </w:rPr>
        <w:footnoteReference w:id="185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دیدگاه مشهور فقها اگر کودک منکر اسلام شود یا عملی که ارتداد با آن تحقق مییابد انجام دهد، حکم به کفر وی نمیگردد و نیز مشمول احکام ارتداد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حکم به ارتداد، بلوغ، عقل و قصد شرط است، بنابراین</w:t>
      </w:r>
    </w:p>
    <w:p>
      <w:pPr>
        <w:pStyle w:val="BookText"/>
        <w:rPr/>
      </w:pPr>
      <w:r>
        <w:rPr>
          <w:rFonts w:ascii="IRNazanin" w:hAnsi="IRNazanin" w:eastAsia="IRNazanin"/>
          <w:color w:val="111111"/>
          <w:sz w:val="28"/>
          <w:sz w:val="28"/>
          <w:szCs w:val="28"/>
          <w:rtl w:val="true"/>
          <w:lang w:bidi="fa-IR"/>
        </w:rPr>
        <w:t>حکم به ارتداد کودک نمیگردد</w:t>
      </w:r>
      <w:r>
        <w:rPr>
          <w:rFonts w:eastAsia="IRNazanin" w:cs="IRNazanin"/>
          <w:color w:val="111111"/>
          <w:sz w:val="28"/>
          <w:szCs w:val="28"/>
          <w:rtl w:val="true"/>
          <w:lang w:bidi="fa-IR"/>
        </w:rPr>
        <w:t>».</w:t>
      </w:r>
      <w:r>
        <w:rPr>
          <w:rStyle w:val="FootnoteAnchor"/>
          <w:rtl w:val="true"/>
        </w:rPr>
        <w:footnoteReference w:id="1859"/>
      </w:r>
      <w:r>
        <w:rPr>
          <w:rFonts w:ascii="IRNazanin" w:hAnsi="IRNazanin" w:eastAsia="IRNazanin"/>
          <w:color w:val="111111"/>
          <w:sz w:val="28"/>
          <w:sz w:val="28"/>
          <w:szCs w:val="28"/>
          <w:rtl w:val="true"/>
          <w:lang w:bidi="fa-IR"/>
        </w:rPr>
        <w:t>این مضمون در عبارات بسیاری دیگر از فقها</w:t>
      </w:r>
      <w:r>
        <w:rPr>
          <w:rStyle w:val="FootnoteAnchor"/>
          <w:rtl w:val="true"/>
        </w:rPr>
        <w:footnoteReference w:id="1860"/>
      </w:r>
      <w:r>
        <w:rPr>
          <w:rFonts w:ascii="IRNazanin" w:hAnsi="IRNazanin" w:eastAsia="IRNazanin"/>
          <w:color w:val="111111"/>
          <w:sz w:val="28"/>
          <w:sz w:val="28"/>
          <w:szCs w:val="28"/>
          <w:rtl w:val="true"/>
          <w:lang w:bidi="fa-IR"/>
        </w:rPr>
        <w:t>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علاوه بر اصل</w:t>
      </w:r>
      <w:r>
        <w:rPr>
          <w:rStyle w:val="FootnoteAnchor"/>
          <w:rtl w:val="true"/>
        </w:rPr>
        <w:footnoteReference w:id="1861"/>
      </w:r>
      <w:r>
        <w:rPr>
          <w:rFonts w:ascii="IRNazanin" w:hAnsi="IRNazanin" w:eastAsia="IRNazanin"/>
          <w:color w:val="111111"/>
          <w:sz w:val="28"/>
          <w:sz w:val="28"/>
          <w:szCs w:val="28"/>
          <w:rtl w:val="true"/>
          <w:lang w:bidi="fa-IR"/>
        </w:rPr>
        <w:t>و اجماع، حدیث رفع قلم</w:t>
      </w:r>
      <w:r>
        <w:rPr>
          <w:rStyle w:val="FootnoteAnchor"/>
          <w:rtl w:val="true"/>
        </w:rPr>
        <w:footnoteReference w:id="1862"/>
      </w:r>
      <w:r>
        <w:rPr>
          <w:rFonts w:ascii="IRNazanin" w:hAnsi="IRNazanin" w:eastAsia="IRNazanin"/>
          <w:color w:val="111111"/>
          <w:sz w:val="28"/>
          <w:sz w:val="28"/>
          <w:szCs w:val="28"/>
          <w:rtl w:val="true"/>
          <w:lang w:bidi="fa-IR"/>
        </w:rPr>
        <w:t>است، چرا که این حدیث شریف دلالت دارد بر این‌که احکام الزامی تکلیفی از کودک برداشته شده و مشمول احکام کیفری قرار نمیگیرد، بنابراین به گفتار و افعال وی ترتیب اثر داده نمیشود، البته دیدگاه‌های دیگری نیز در این مسأله مطرح شده است</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به هر صورت تأدیب کودک به جهت ارتداد مورد توافق فقها است</w:t>
      </w:r>
      <w:r>
        <w:rPr>
          <w:rStyle w:val="FootnoteAnchor"/>
          <w:rtl w:val="true"/>
        </w:rPr>
        <w:footnoteReference w:id="1864"/>
      </w:r>
      <w:r>
        <w:rPr>
          <w:rFonts w:ascii="IRNazanin" w:hAnsi="IRNazanin" w:eastAsia="IRNazanin"/>
          <w:color w:val="111111"/>
          <w:sz w:val="28"/>
          <w:sz w:val="28"/>
          <w:szCs w:val="28"/>
          <w:rtl w:val="true"/>
          <w:lang w:bidi="fa-IR"/>
        </w:rPr>
        <w:t>و دلیل آن عموم بعضی از روایات است مانند روایتی که امام صادق علیه السلام از کتاب امیر المؤمنین علیه السلام نقل‌فرموده‌اند</w:t>
      </w:r>
      <w:r>
        <w:rPr>
          <w:rStyle w:val="FootnoteAnchor"/>
          <w:rtl w:val="true"/>
        </w:rPr>
        <w:footnoteReference w:id="1865"/>
      </w:r>
      <w:r>
        <w:rPr>
          <w:rFonts w:ascii="IRNazanin" w:hAnsi="IRNazanin" w:eastAsia="IRNazanin"/>
          <w:color w:val="111111"/>
          <w:sz w:val="28"/>
          <w:sz w:val="28"/>
          <w:szCs w:val="28"/>
          <w:rtl w:val="true"/>
          <w:lang w:bidi="fa-IR"/>
        </w:rPr>
        <w:t>و در بحث تأدیب کودک برای شرب خمر گذشت و روایات دیگر</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نزدیکی با چهارپایان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حیوانی نزدیکی کند، حاکم شرع او را به آن‌چه صلاح میداند تعزیر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اگر حیوان حلال گوشت باشد، گوشت و نتایجی که از آن حیوان بعد از وطی پیدا میشود، نیز حرام میگردد و واجب است حیوان ذبح شود و سپس او را بسوزانند و اگر حیوان مال دیگری باشد باید متجاوز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را به صاحب آن بپردازد، و احکام دیگری که با توجه به اختلاف حیوانات در این مسأله بیان گردیده است</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دانست احکامی که در جماع نمودن انسان با حیوان وجود دارد،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احکامی که بلوغ، عقل و اختیار، در آنها شرط نیست، مانند حرام شدن گوشت حیوان، غرامت قیمت حیوان که باید واطی بپردازد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احکام همان‌گونه که بسیاری از فقها تصریح نموده‌اند بر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اعم از این که صغیر باشد یا کبیر، مجنون باشد یا عاقل بار میگردد و کودک را نیز شامل میگردد</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دوم احکامی است که به استناد روایات</w:t>
      </w:r>
      <w:r>
        <w:rPr>
          <w:rStyle w:val="FootnoteAnchor"/>
          <w:rtl w:val="true"/>
        </w:rPr>
        <w:footnoteReference w:id="1869"/>
      </w:r>
      <w:r>
        <w:rPr>
          <w:rFonts w:ascii="IRNazanin" w:hAnsi="IRNazanin" w:eastAsia="IRNazanin"/>
          <w:color w:val="111111"/>
          <w:sz w:val="28"/>
          <w:sz w:val="28"/>
          <w:szCs w:val="28"/>
          <w:rtl w:val="true"/>
          <w:lang w:bidi="fa-IR"/>
        </w:rPr>
        <w:t>وارد شده، تنها اختصاص به فاعلِ بالغ و عاقل دارد وکودک را شامل نمیگردد، مانند تعزیر به کم‌تر از حدّ زنا و لواط،</w:t>
      </w:r>
      <w:r>
        <w:rPr>
          <w:rStyle w:val="FootnoteAnchor"/>
          <w:rtl w:val="true"/>
        </w:rPr>
        <w:footnoteReference w:id="1870"/>
      </w:r>
      <w:r>
        <w:rPr>
          <w:rFonts w:ascii="IRNazanin" w:hAnsi="IRNazanin" w:eastAsia="IRNazanin"/>
          <w:color w:val="111111"/>
          <w:sz w:val="28"/>
          <w:sz w:val="28"/>
          <w:szCs w:val="28"/>
          <w:rtl w:val="true"/>
          <w:lang w:bidi="fa-IR"/>
        </w:rPr>
        <w:t>ولی در هر صورت با ارتکاب عمل مزبور، کودک باید تأدیب گردد</w:t>
      </w:r>
      <w:r>
        <w:rPr>
          <w:rStyle w:val="FootnoteAnchor"/>
          <w:rtl w:val="true"/>
        </w:rPr>
        <w:footnoteReference w:id="1871"/>
      </w:r>
      <w:r>
        <w:rPr>
          <w:rFonts w:ascii="IRNazanin" w:hAnsi="IRNazanin" w:eastAsia="IRNazanin"/>
          <w:color w:val="111111"/>
          <w:sz w:val="28"/>
          <w:sz w:val="28"/>
          <w:szCs w:val="28"/>
          <w:rtl w:val="true"/>
          <w:lang w:bidi="fa-IR"/>
        </w:rPr>
        <w:t>و دلیل جواز آن، اصلاح وی و جلوگیری از شیوع فساد در جامعه است و این که کودک در آینده به چنین اعمالی دست نزند</w:t>
      </w:r>
      <w:r>
        <w:rPr>
          <w:rFonts w:eastAsia="IRNazanin" w:cs="IRNazanin"/>
          <w:color w:val="111111"/>
          <w:sz w:val="28"/>
          <w:szCs w:val="28"/>
          <w:rtl w:val="true"/>
          <w:lang w:bidi="fa-IR"/>
        </w:rPr>
        <w:t>.</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تربیت و فراگیری علم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کودکان مکتبی نوشته‌های خود را نزد امیر المؤمنین علیه السلام آوردند تا بهترینِ آنها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قضاوت است و ظلم در آن مثل ظلم در قضاوت میماند، به معلّم خود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سه ضربه شلاق برای تأدیب به شما بزند قصاص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اَبْلِغُوا مُعَلِّمَکُمْ انْ ضَرَبَکُمْ فَوْقَ ثَلاَثِ ضَرَبَاتٍ فِی الأَدَبِ اقْتُصَّ مِنْهُ</w:t>
      </w:r>
      <w:r>
        <w:rPr>
          <w:rFonts w:eastAsia="IRNazanin" w:cs="IRNazanin"/>
          <w:color w:val="111111"/>
          <w:sz w:val="28"/>
          <w:szCs w:val="28"/>
          <w:rtl w:val="true"/>
          <w:lang w:bidi="fa-IR"/>
        </w:rPr>
        <w:t>»</w:t>
      </w:r>
      <w:r>
        <w:rPr>
          <w:rStyle w:val="FootnoteAnchor"/>
          <w:rtl w:val="true"/>
        </w:rPr>
        <w:footnoteReference w:id="18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روایت استفاده میشود تأدیب کودک به جهت فراگیری علم جایز است و بحث در مقدار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فقها</w:t>
      </w:r>
      <w:r>
        <w:rPr>
          <w:rStyle w:val="FootnoteAnchor"/>
          <w:rtl w:val="true"/>
        </w:rPr>
        <w:footnoteReference w:id="1874"/>
      </w:r>
      <w:r>
        <w:rPr>
          <w:rFonts w:ascii="IRNazanin" w:hAnsi="IRNazanin" w:eastAsia="IRNazanin"/>
          <w:color w:val="111111"/>
          <w:sz w:val="28"/>
          <w:sz w:val="28"/>
          <w:szCs w:val="28"/>
          <w:rtl w:val="true"/>
          <w:lang w:bidi="fa-IR"/>
        </w:rPr>
        <w:t>نیز جواز آن را مفروغ‌عنه دانسته‌اند</w:t>
      </w:r>
      <w:r>
        <w:rPr>
          <w:rFonts w:eastAsia="IRNazanin" w:cs="IRNazanin"/>
          <w:color w:val="111111"/>
          <w:sz w:val="28"/>
          <w:szCs w:val="28"/>
          <w:rtl w:val="true"/>
          <w:lang w:bidi="fa-IR"/>
        </w:rPr>
        <w:t>.</w:t>
      </w:r>
      <w:bookmarkStart w:id="851" w:name="pg13713_164729"/>
    </w:p>
    <w:p>
      <w:pPr>
        <w:pStyle w:val="BookText"/>
        <w:rPr/>
      </w:pPr>
      <w:bookmarkEnd w:id="851"/>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عادت نمودن به عبادت</w:t>
      </w:r>
    </w:p>
    <w:p>
      <w:pPr>
        <w:pStyle w:val="BookText"/>
        <w:rPr/>
      </w:pPr>
      <w:r>
        <w:rPr>
          <w:rFonts w:ascii="IRNazanin" w:hAnsi="IRNazanin" w:eastAsia="IRNazanin"/>
          <w:color w:val="111111"/>
          <w:sz w:val="28"/>
          <w:sz w:val="28"/>
          <w:szCs w:val="28"/>
          <w:rtl w:val="true"/>
          <w:lang w:bidi="fa-IR"/>
        </w:rPr>
        <w:t>از امام باقر و صادق علیهما السلام نقل شده است که کودک را تا سن هفت سالگی به حال خود واگذارید بعد از هفت سالگی وضو و نماز را به وی بیاموزید و از او درخواست کنید نماز بخواند و تا نه سالگی با مدارا با او رفتار شود، بعد از آن او را به خواندن نماز امر نمایید و اگر کوتاهی کرد و نیاز شد، تأدیب کنید، پس هرگاه مسائل وضو و نماز را بیاموزد، خداوند متعال پدر و مادر وی را مورد بخشش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یُتْرَکُ حَتَّی یَتِمَّ لَهُ تِسْعُ سِنِینُ فَاِذَا تَمَّت لَهُ عُلِّمَ الْوُضُوءَ وَضُرِبَ عَلیهِ وَاُمِرَ بِالصَّلاَةِ وَضُرِبَ علَیهَا فَإِذَا تَعَلَّمُ الْوُضُوءَ وَالصَّلاَةَ غَفَرَ اللهُ عَزَّوَجَلَّ لَهُ وَلِوَالِدَیْهِ انْ شَاءَ اللهُ</w:t>
      </w:r>
      <w:r>
        <w:rPr>
          <w:rFonts w:eastAsia="IRNazanin" w:cs="IRNazanin"/>
          <w:color w:val="111111"/>
          <w:sz w:val="28"/>
          <w:szCs w:val="28"/>
          <w:rtl w:val="true"/>
          <w:lang w:bidi="fa-IR"/>
        </w:rPr>
        <w:t>».</w:t>
      </w:r>
      <w:r>
        <w:rPr>
          <w:rStyle w:val="FootnoteAnchor"/>
          <w:rtl w:val="true"/>
        </w:rPr>
        <w:footnoteReference w:id="1875"/>
      </w:r>
    </w:p>
    <w:p>
      <w:pPr>
        <w:pStyle w:val="Heading4"/>
        <w:numPr>
          <w:ilvl w:val="3"/>
          <w:numId w:val="1"/>
        </w:numPr>
        <w:rPr/>
      </w:pPr>
      <w:bookmarkStart w:id="852" w:name="__RefHeading___Toc1259936_1468164448"/>
      <w:bookmarkStart w:id="853" w:name="_Toc313"/>
      <w:bookmarkEnd w:id="852"/>
      <w:r>
        <w:rPr/>
        <w:t>4</w:t>
      </w:r>
      <w:r>
        <w:rPr>
          <w:rtl w:val="true"/>
        </w:rPr>
        <w:t xml:space="preserve">- </w:t>
      </w:r>
      <w:r>
        <w:rPr>
          <w:rtl w:val="true"/>
        </w:rPr>
        <w:t>حمایت از کودکان بزه‌کار در اسناد بین‌المللی</w:t>
      </w:r>
      <w:bookmarkEnd w:id="853"/>
    </w:p>
    <w:p>
      <w:pPr>
        <w:pStyle w:val="BookText"/>
        <w:rPr/>
      </w:pP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کنوانسیون حقوق کودک به حقوق کیفری کودکان بزه‌کار توجه شده و دولت‌ها را به تضمین حقوقی که کودک متهم یا مجرم در دوران رسیدگی به محکومیت دارد، ترغیب و در پاره‌ای از موارد ملزم نموده است مطابق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مزبور دولت‌ها باید تلاش خود را به حفظ کرامت انسانی و فراهم نمودن محیط مساعد برای بازگشت بزه کار به جامعه و عادیسازی این روند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مشروح به اموری تذکّر داده شده که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کودکی نباید به خاطر اعمالی که در زمان ارتکاب توسط قانون ملی یا بین‌المللی منع شده، متهم یا مجرم به نقض قانون کیفری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کودکی که متهم یا محکوم به نقض قوانین کیفری شود، دست‌کم دارای تأمین‌های زیر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بیگناه شناخته شدن تا زمانی که جرم طبق قانون ثابت نشده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اطلاع مستقیم و سریع از اتهامات وارد شده علیه وی و در صورت لزوم از طریق والدین و قیّم‌های قانونی و حق داشتن مشاوره حقوقی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شدن موضوع در اسرع وقت توسط مقام یا ارگان قضایی بیطرف و مستقل و طی یک دادرسی عادلانه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مجبور نبودن به دادن شهادت یا اظهار تقصیر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دسترسی به مقام یا ارگان قضایی ذیصلاح بیطرف و مستقل بالاتر در صورت مجرم شناخته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استفاده رایگان از مترجم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محرمانه بودن کامل موضوع در طول تمام مراحل دادرسی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مزبور خواسته شده اموری رعایت شود از جمله، تعیین حداقل سنّی که پایین‌تر از آن کودکان را نتوان دارای قابلیت نقض قوانین جزایی محسوب کرد و نیز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شده است که برای تضمین این‌که با کودکان به روشی متناسب با رفاه آنان و متناسب با شرایط و جرم آنان رفتار شود، باید امکانات گوناگون از قبیل مقرّرات مراقبت، راهنمایی و تمهیدات دیگری که جای مراقبت در مؤسّسات را بگیرند، فراهم باشد</w:t>
      </w:r>
      <w:r>
        <w:rPr>
          <w:rFonts w:eastAsia="IRNazanin" w:cs="IRNazanin"/>
          <w:color w:val="111111"/>
          <w:sz w:val="28"/>
          <w:szCs w:val="28"/>
          <w:rtl w:val="true"/>
          <w:lang w:bidi="fa-IR"/>
        </w:rPr>
        <w:t>.</w:t>
      </w:r>
      <w:bookmarkStart w:id="854" w:name="pg13713_164731"/>
    </w:p>
    <w:p>
      <w:pPr>
        <w:pStyle w:val="Heading3"/>
        <w:numPr>
          <w:ilvl w:val="2"/>
          <w:numId w:val="1"/>
        </w:numPr>
        <w:rPr/>
      </w:pPr>
      <w:bookmarkStart w:id="855" w:name="__RefHeading___Toc1259938_1468164448"/>
      <w:bookmarkStart w:id="856" w:name="_Toc314"/>
      <w:bookmarkEnd w:id="854"/>
      <w:bookmarkEnd w:id="855"/>
      <w:r>
        <w:rPr>
          <w:rtl w:val="true"/>
        </w:rPr>
        <w:t>گفتار سوّم</w:t>
      </w:r>
      <w:r>
        <w:rPr>
          <w:rtl w:val="true"/>
        </w:rPr>
        <w:t xml:space="preserve">: </w:t>
      </w:r>
      <w:r>
        <w:rPr>
          <w:rtl w:val="true"/>
        </w:rPr>
        <w:t>ولایت بر تأدیب</w:t>
      </w:r>
      <w:bookmarkEnd w:id="856"/>
    </w:p>
    <w:p>
      <w:pPr>
        <w:pStyle w:val="Heading4"/>
        <w:numPr>
          <w:ilvl w:val="3"/>
          <w:numId w:val="1"/>
        </w:numPr>
        <w:rPr/>
      </w:pPr>
      <w:bookmarkStart w:id="857" w:name="__RefHeading___Toc1259940_1468164448"/>
      <w:bookmarkStart w:id="858" w:name="_Toc315"/>
      <w:bookmarkEnd w:id="857"/>
      <w:r>
        <w:rPr/>
        <w:t>1</w:t>
      </w:r>
      <w:r>
        <w:rPr>
          <w:rtl w:val="true"/>
        </w:rPr>
        <w:t xml:space="preserve">- </w:t>
      </w:r>
      <w:r>
        <w:rPr>
          <w:rtl w:val="true"/>
        </w:rPr>
        <w:t>ولایت امام و حاکم شرع</w:t>
      </w:r>
      <w:bookmarkEnd w:id="858"/>
    </w:p>
    <w:p>
      <w:pPr>
        <w:pStyle w:val="BookText"/>
        <w:rPr/>
      </w:pPr>
      <w:r>
        <w:rPr>
          <w:rFonts w:ascii="IRNazanin" w:hAnsi="IRNazanin" w:eastAsia="IRNazanin"/>
          <w:color w:val="111111"/>
          <w:sz w:val="28"/>
          <w:sz w:val="28"/>
          <w:szCs w:val="28"/>
          <w:rtl w:val="true"/>
          <w:lang w:bidi="fa-IR"/>
        </w:rPr>
        <w:t>به استناد ادلّه قطعی امام معصوم علیه السلام دارای ولایت مطلقه است و پرتو ولایتش امور مختلف، از جمله ولایت بر تأدیب کودکان بزه کار را نیز فرا میگیرد</w:t>
      </w:r>
      <w:r>
        <w:rPr>
          <w:rFonts w:eastAsia="IRNazanin" w:cs="IRNazanin"/>
          <w:color w:val="111111"/>
          <w:sz w:val="28"/>
          <w:szCs w:val="28"/>
          <w:rtl w:val="true"/>
          <w:lang w:bidi="fa-IR"/>
        </w:rPr>
        <w:t>.</w:t>
      </w:r>
      <w:r>
        <w:rPr>
          <w:rStyle w:val="FootnoteAnchor"/>
          <w:rtl w:val="true"/>
        </w:rPr>
        <w:footnoteReference w:id="1876"/>
      </w:r>
      <w:r>
        <w:rPr>
          <w:rFonts w:ascii="IRNazanin" w:hAnsi="IRNazanin" w:eastAsia="IRNazanin"/>
          <w:color w:val="111111"/>
          <w:sz w:val="28"/>
          <w:sz w:val="28"/>
          <w:szCs w:val="28"/>
          <w:rtl w:val="true"/>
          <w:lang w:bidi="fa-IR"/>
        </w:rPr>
        <w:t>این حکم مورد توافق فقها است و جای هیچ تردید و ابهامی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فقیه‌عادل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تأدیب کودک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دلیل این‌که فقها آن را مسلّم میدانسته‌اند، بدین مسأله نپرداخته‌اند، لیکن از لابلای عبارات ایشان در بحث‌های مختلف از جمله در جواز تأدیب کودک و مجنون این مطلب به خوبی استفاده میشود،</w:t>
      </w:r>
      <w:r>
        <w:rPr>
          <w:rStyle w:val="FootnoteAnchor"/>
          <w:rtl w:val="true"/>
        </w:rPr>
        <w:footnoteReference w:id="1877"/>
      </w:r>
      <w:r>
        <w:rPr>
          <w:rFonts w:ascii="IRNazanin" w:hAnsi="IRNazanin" w:eastAsia="IRNazanin"/>
          <w:color w:val="111111"/>
          <w:sz w:val="28"/>
          <w:sz w:val="28"/>
          <w:szCs w:val="28"/>
          <w:rtl w:val="true"/>
          <w:lang w:bidi="fa-IR"/>
        </w:rPr>
        <w:t>بعضی هم به‌طور خاص این بحث را مطرح نموده‌اند</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ascii="IRNazanin" w:hAnsi="IRNazanin" w:eastAsia="IRNazanin"/>
          <w:color w:val="111111"/>
          <w:sz w:val="28"/>
          <w:sz w:val="28"/>
          <w:szCs w:val="28"/>
          <w:rtl w:val="true"/>
          <w:lang w:bidi="fa-IR"/>
        </w:rPr>
        <w:t>ادلّة اثبات ولایت حاکم بر تأدیب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مفاد روایات</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در حدّ استفاضه، بلکه به تواتر معنوی، دلالت بر جواز تأدیب کودک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قبل نمونه‌هایی از این روایات را ذکر نمودیم و از آن جا که بیان نشده چه کسی موظف به اجرای تأدیب است، از آنها استفاده میشود قدر متیقن برای اجرای این حکم</w:t>
      </w:r>
    </w:p>
    <w:p>
      <w:pPr>
        <w:pStyle w:val="BookText"/>
        <w:rPr/>
      </w:pPr>
      <w:r>
        <w:rPr>
          <w:rFonts w:ascii="IRNazanin" w:hAnsi="IRNazanin" w:eastAsia="IRNazanin"/>
          <w:color w:val="111111"/>
          <w:sz w:val="28"/>
          <w:sz w:val="28"/>
          <w:szCs w:val="28"/>
          <w:rtl w:val="true"/>
          <w:lang w:bidi="fa-IR"/>
        </w:rPr>
        <w:t>کسی است که در مورد او اطمینان بیشتری وجود دارد و او فقیه جامع شرایط است و نیز دادگاه صالح که تحت نظارت فقیه جامع شرایط انجام وظیفه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تنفیح مناط</w:t>
      </w:r>
    </w:p>
    <w:p>
      <w:pPr>
        <w:pStyle w:val="BookText"/>
        <w:rPr/>
      </w:pPr>
      <w:r>
        <w:rPr>
          <w:rFonts w:ascii="IRNazanin" w:hAnsi="IRNazanin" w:eastAsia="IRNazanin"/>
          <w:color w:val="111111"/>
          <w:sz w:val="28"/>
          <w:sz w:val="28"/>
          <w:szCs w:val="28"/>
          <w:rtl w:val="true"/>
          <w:lang w:bidi="fa-IR"/>
        </w:rPr>
        <w:t>از بعضی از روایات</w:t>
      </w:r>
      <w:r>
        <w:rPr>
          <w:rStyle w:val="FootnoteAnchor"/>
          <w:rtl w:val="true"/>
        </w:rPr>
        <w:footnoteReference w:id="1879"/>
      </w:r>
      <w:r>
        <w:rPr>
          <w:rFonts w:ascii="IRNazanin" w:hAnsi="IRNazanin" w:eastAsia="IRNazanin"/>
          <w:color w:val="111111"/>
          <w:sz w:val="28"/>
          <w:sz w:val="28"/>
          <w:szCs w:val="28"/>
          <w:rtl w:val="true"/>
          <w:lang w:bidi="fa-IR"/>
        </w:rPr>
        <w:t>استفاده میشود که حضرت رسول اکرم صلی الله علیه و آله و امیر المؤمنین علیه السلام کودک و مجنون را به جهت ارتکاب فحشا و جرم تأدیب مینمودند و بر انجام آن ولایت داشته‌اند، با قبول این‌که این وظیفه را به عنوان حاکم دارا بودند، به حکم تنقیح مناط برای حاکم شرع جامع شرایط نیز اثبات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p>
    <w:p>
      <w:pPr>
        <w:pStyle w:val="BookText"/>
        <w:rPr/>
      </w:pPr>
      <w:r>
        <w:rPr>
          <w:rFonts w:ascii="IRNazanin" w:hAnsi="IRNazanin" w:eastAsia="IRNazanin"/>
          <w:color w:val="111111"/>
          <w:sz w:val="28"/>
          <w:sz w:val="28"/>
          <w:szCs w:val="28"/>
          <w:rtl w:val="true"/>
          <w:lang w:bidi="fa-IR"/>
        </w:rPr>
        <w:t>در روایت معتبری، راوی میگوید از امام صادق علیه السلام سؤال کردم آیا اقامه حدود از وظایف سلطان است یا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اقامه حدود را کسی به عهده دارد که به صدور حکم اقدام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اِقامَةُ الْحُدوُدِ الَی مَنْ الَیْهِ الْحُکْمُ</w:t>
      </w:r>
      <w:r>
        <w:rPr>
          <w:rFonts w:eastAsia="IRNazanin" w:cs="IRNazanin"/>
          <w:color w:val="111111"/>
          <w:sz w:val="28"/>
          <w:szCs w:val="28"/>
          <w:rtl w:val="true"/>
          <w:lang w:bidi="fa-IR"/>
        </w:rPr>
        <w:t>»</w:t>
      </w:r>
      <w:r>
        <w:rPr>
          <w:rStyle w:val="FootnoteAnchor"/>
          <w:rtl w:val="true"/>
        </w:rPr>
        <w:footnoteReference w:id="1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تأدیب از مصادیق حدود باشد، این روایت به صراحت بر ولایت حاکم نسبت به آن دلالت دارد و اگر از مصادیق حدود نباشد به حکم اولویت بر این مسأله دلالت میکند، زیرا ولایت بر اجرای حدود که از هر جهت دارای اهمیت بیشتری است به حاکم داده شده به اولویت قطعی در تأدیب باید این مسئولیت را به عهده داشته باشد، چرا که حد، تعزیر و تأدیب از این جهت که اجرای آنها در جهت مصلحت فرد و جامعه میباشد، مشترکند، اگر چه هر کدام، شرایط مخصوص به خود را نیز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صدور حکم تأدیب در ارتکاب جنایات با حاکم است اجرای آن نیز باید توسط وی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فساد و امور خلاف مصالح عمومی</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حاکم و دولت اسلامی، قطع ریشه‌های فساد و حرکت در جهت مصالح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خواسته، نیاز به انجام اموری است، از جمله این‌که اگر</w:t>
      </w:r>
    </w:p>
    <w:p>
      <w:pPr>
        <w:pStyle w:val="BookText"/>
        <w:rPr/>
      </w:pPr>
      <w:r>
        <w:rPr>
          <w:rFonts w:ascii="IRNazanin" w:hAnsi="IRNazanin" w:eastAsia="IRNazanin"/>
          <w:color w:val="111111"/>
          <w:sz w:val="28"/>
          <w:sz w:val="28"/>
          <w:szCs w:val="28"/>
          <w:rtl w:val="true"/>
          <w:lang w:bidi="fa-IR"/>
        </w:rPr>
        <w:t xml:space="preserve">افرادی واجد شرایط اجرای حدود و تعزیرات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کودک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فحشا، فساد و اعمال خلاف مصالح عمومی شدند، باید تأدیب گردند</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معروف و دفع منکر</w:t>
      </w:r>
    </w:p>
    <w:p>
      <w:pPr>
        <w:pStyle w:val="BookText"/>
        <w:rPr/>
      </w:pPr>
      <w:r>
        <w:rPr>
          <w:rFonts w:ascii="IRNazanin" w:hAnsi="IRNazanin" w:eastAsia="IRNazanin"/>
          <w:color w:val="111111"/>
          <w:sz w:val="28"/>
          <w:sz w:val="28"/>
          <w:szCs w:val="28"/>
          <w:rtl w:val="true"/>
          <w:lang w:bidi="fa-IR"/>
        </w:rPr>
        <w:t>امر به معروف و نهی از منکر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بعضی از مراتب آن که نیاز به ضرب و تأدیب است در بین فقها در این باره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اجازه حاکم شرع را برای ضرب و تأدیب لازم میدانند؛</w:t>
      </w:r>
      <w:r>
        <w:rPr>
          <w:rStyle w:val="FootnoteAnchor"/>
          <w:rtl w:val="true"/>
        </w:rPr>
        <w:footnoteReference w:id="1882"/>
      </w:r>
      <w:r>
        <w:rPr>
          <w:rFonts w:ascii="IRNazanin" w:hAnsi="IRNazanin" w:eastAsia="IRNazanin"/>
          <w:color w:val="111111"/>
          <w:sz w:val="28"/>
          <w:sz w:val="28"/>
          <w:szCs w:val="28"/>
          <w:rtl w:val="true"/>
          <w:lang w:bidi="fa-IR"/>
        </w:rPr>
        <w:t>برخی دیگر لازم نمیدانند</w:t>
      </w:r>
      <w:r>
        <w:rPr>
          <w:rStyle w:val="FootnoteAnchor"/>
          <w:rtl w:val="true"/>
        </w:rPr>
        <w:footnoteReference w:id="1883"/>
      </w:r>
      <w:r>
        <w:rPr>
          <w:rFonts w:ascii="IRNazanin" w:hAnsi="IRNazanin" w:eastAsia="IRNazanin"/>
          <w:color w:val="111111"/>
          <w:sz w:val="28"/>
          <w:sz w:val="28"/>
          <w:szCs w:val="28"/>
          <w:rtl w:val="true"/>
          <w:lang w:bidi="fa-IR"/>
        </w:rPr>
        <w:t>و در هر صورت برای شخص حاکم شرع و کسی که به امر و اجازه او به این وظیفه عمل مینماید، ولایت بر تأدیب کودک و مجنون، از باب امر به معروف و نهی از منکر،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این واجب را به چند قسم تقسیم نموده‌اند</w:t>
      </w:r>
      <w:r>
        <w:rPr>
          <w:rFonts w:eastAsia="IRNazanin" w:cs="IRNazanin"/>
          <w:color w:val="111111"/>
          <w:sz w:val="28"/>
          <w:szCs w:val="28"/>
          <w:rtl w:val="true"/>
          <w:lang w:bidi="fa-IR"/>
        </w:rPr>
        <w:t>:</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قسمی از آن اختصاص به واجبات و محرّمات دارد و قسمی دیگر در مستحبّات و مکروهات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اخیر شامل افعال کودک و مجنون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نوجوانی نماز نخواند، با این که نماز خواندن در حق او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که عبادات کودک ممیّز استحباب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شرع برای وادار ساختن او به این مهم ولایت دارد و همین‌طور برای بازداشتن او از انجام امور خلاف مصالح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بودن تأدیب کودک</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 جرایم و انجام امور خلاف مصالح عمومی در شکل فراگیر آن، هرچندتحت عنوان واجب و حرام قرار نگیرد، از اموری است که در هر صورت بایداز آن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انجام آن را از امور حسبه دانسته‌اند که بیگمان حاکم شرع بر آن ولایت دارد</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ascii="IRNazanin" w:hAnsi="IRNazanin" w:eastAsia="IRNazanin"/>
          <w:color w:val="111111"/>
          <w:sz w:val="28"/>
          <w:sz w:val="28"/>
          <w:szCs w:val="28"/>
          <w:rtl w:val="true"/>
          <w:lang w:bidi="fa-IR"/>
        </w:rPr>
        <w:t>بی تردید شارع راضی نیست که بعضی از امور در جامعه انجام شود و بعضی دیگر 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فحشا و منکر و تخلف از رسوم صحیح اجتماعی، هرچند به وسیله کودک و مجنون انجام شود، به ویژه اگر همگانی و فراگیر باشد،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افرادی که ولایت بر انجام آن دارند، به ویژه در موردی که پدر و جدّ پدری به این وظیفه اقدام ننمایند، حاکم جامع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که برخی از فقها در لزوم اجرای حدود ذکر نموده‌اند، شامل تأدیب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تعطیل و عدم اجرای حدود موجب ارتکاب‌محرّمات و انتشار مفاسد است و این امر چیزی است که شارع به آن راضی نیست و باید ترک شود</w:t>
      </w:r>
      <w:r>
        <w:rPr>
          <w:rFonts w:eastAsia="IRNazanin" w:cs="IRNazanin"/>
          <w:color w:val="111111"/>
          <w:sz w:val="28"/>
          <w:szCs w:val="28"/>
          <w:rtl w:val="true"/>
          <w:lang w:bidi="fa-IR"/>
        </w:rPr>
        <w:t>».</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بنابراین اگر ارتکاب فحشا و ترک عادات و رسوم صحیح به وسیله نوجوانان موجب‌فساد اجتماعی گردد، حاکم شرع از باب حسبه، بر تأدیب مرتکبین و جلوگیری از آن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سئوالی که ممکن است در این بحث مطرح گردد، این است که آیا ولایت بر تأدیب دارای مراتب است و ولایت پدر و جدّ پدری مقدّم بر ولایت حاکم است؟</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اطلاق و تعمیم موجود در ادلّه‌ای که ذکر شد، حاکم به طور مطلق بر تأدیب کودک ولایت دارد و مشروط به فقدان پدر نیست و هر دو ولایت در عرض یکدیگر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ولایت پدر و جدّ پدری بر تزویج صغار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برای ولایت حاکم بر تأدیب، مقتضی و دلیل وجود دارد و در مقابل مانع یا دلیلی که آن را مشروط به زمانی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روایتی که از پیغمبر اکرم صلی الله علیه و آله نقل‌شده با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وَلِیُّ مَنْ لاولیَّ لَهُ</w:t>
      </w:r>
      <w:r>
        <w:rPr>
          <w:rFonts w:eastAsia="IRNazanin" w:cs="IRNazanin"/>
          <w:color w:val="111111"/>
          <w:sz w:val="28"/>
          <w:szCs w:val="28"/>
          <w:rtl w:val="true"/>
          <w:lang w:bidi="fa-IR"/>
        </w:rPr>
        <w:t>»</w:t>
      </w:r>
      <w:r>
        <w:rPr>
          <w:rStyle w:val="FootnoteAnchor"/>
          <w:rtl w:val="true"/>
        </w:rPr>
        <w:footnoteReference w:id="1887"/>
      </w:r>
      <w:r>
        <w:rPr>
          <w:rFonts w:ascii="IRNazanin" w:hAnsi="IRNazanin" w:eastAsia="IRNazanin"/>
          <w:color w:val="111111"/>
          <w:sz w:val="28"/>
          <w:sz w:val="28"/>
          <w:szCs w:val="28"/>
          <w:rtl w:val="true"/>
          <w:lang w:bidi="fa-IR"/>
        </w:rPr>
        <w:t>حاکم بر کسی که ولی ندارد، ولایت‌دارد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این روایت استفاده میشود که ولایت حاکم مشروط به فقدان پدر است، زیرا تا زمانی که کودک پدر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نمیکند</w:t>
      </w:r>
      <w:r>
        <w:rPr>
          <w:rFonts w:eastAsia="IRNazanin" w:cs="IRNazanin"/>
          <w:color w:val="111111"/>
          <w:sz w:val="28"/>
          <w:szCs w:val="28"/>
          <w:rtl w:val="true"/>
          <w:lang w:bidi="fa-IR"/>
        </w:rPr>
        <w:t>.</w:t>
      </w:r>
      <w:bookmarkStart w:id="859" w:name="pg13713_164735"/>
    </w:p>
    <w:p>
      <w:pPr>
        <w:pStyle w:val="BookText"/>
        <w:rPr/>
      </w:pPr>
      <w:bookmarkEnd w:id="859"/>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روایت از طریق اهل سنّت نقل شده و از جهت سند دارای اعتبار نیست و ثانیاً بر فرض که شهرت آن ضعف سند را جبران نماید</w:t>
      </w:r>
      <w:r>
        <w:rPr>
          <w:rStyle w:val="FootnoteAnchor"/>
          <w:rtl w:val="true"/>
        </w:rPr>
        <w:footnoteReference w:id="1888"/>
      </w:r>
      <w:r>
        <w:rPr>
          <w:rFonts w:ascii="IRNazanin" w:hAnsi="IRNazanin" w:eastAsia="IRNazanin"/>
          <w:color w:val="111111"/>
          <w:sz w:val="28"/>
          <w:sz w:val="28"/>
          <w:szCs w:val="28"/>
          <w:rtl w:val="true"/>
          <w:lang w:bidi="fa-IR"/>
        </w:rPr>
        <w:t>، سیاق این روایت مربوط به ولایت بر نکاح و مال است، زیرا در دو مورد ذکر شده به استناد ادلّه قطعی با وجود پدر و جد پدری، حاکم دارای ولایت نیست، از این رو این روایت ربطی به ولایت حاکم بر اقامه حدود و تعزیر و تأدیب ندارد</w:t>
      </w:r>
      <w:r>
        <w:rPr>
          <w:rFonts w:eastAsia="IRNazanin" w:cs="IRNazanin"/>
          <w:color w:val="111111"/>
          <w:sz w:val="28"/>
          <w:szCs w:val="28"/>
          <w:rtl w:val="true"/>
          <w:lang w:bidi="fa-IR"/>
        </w:rPr>
        <w:t>.</w:t>
      </w:r>
      <w:r>
        <w:rPr>
          <w:rStyle w:val="FootnoteAnchor"/>
          <w:rtl w:val="true"/>
        </w:rPr>
        <w:footnoteReference w:id="1889"/>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مفاد ادلّه‌ای که ذکر شد حاکم شرع ولایت دارد، کودک ممیّز را به جهت ارتکاب معاصی و جرایم از قبیل زنا، سرقت، لواط و به طورکلّی امور کیفری تأدیب نماید و تحقیق و اثبات این امور فقط با نظر قاضی و دادگاه صالح امکان پذیر است</w:t>
      </w:r>
      <w:r>
        <w:rPr>
          <w:rFonts w:eastAsia="IRNazanin" w:cs="IRNazanin"/>
          <w:color w:val="111111"/>
          <w:sz w:val="28"/>
          <w:szCs w:val="28"/>
          <w:rtl w:val="true"/>
          <w:lang w:bidi="fa-IR"/>
        </w:rPr>
        <w:t>.</w:t>
      </w:r>
    </w:p>
    <w:p>
      <w:pPr>
        <w:pStyle w:val="Heading4"/>
        <w:numPr>
          <w:ilvl w:val="3"/>
          <w:numId w:val="1"/>
        </w:numPr>
        <w:rPr/>
      </w:pPr>
      <w:bookmarkStart w:id="860" w:name="__RefHeading___Toc1259942_1468164448"/>
      <w:bookmarkStart w:id="861" w:name="_Toc316"/>
      <w:bookmarkEnd w:id="860"/>
      <w:r>
        <w:rPr/>
        <w:t>2</w:t>
      </w:r>
      <w:r>
        <w:rPr>
          <w:rtl w:val="true"/>
        </w:rPr>
        <w:t xml:space="preserve">- </w:t>
      </w:r>
      <w:r>
        <w:rPr>
          <w:rtl w:val="true"/>
        </w:rPr>
        <w:t>ولایت پدر و جدّ پدری بر تأدیب کودک و ادلّه آن</w:t>
      </w:r>
      <w:bookmarkEnd w:id="861"/>
    </w:p>
    <w:p>
      <w:pPr>
        <w:pStyle w:val="BookText"/>
        <w:rPr/>
      </w:pPr>
      <w:r>
        <w:rPr>
          <w:rFonts w:ascii="IRNazanin" w:hAnsi="IRNazanin" w:eastAsia="IRNazanin"/>
          <w:color w:val="111111"/>
          <w:sz w:val="28"/>
          <w:sz w:val="28"/>
          <w:szCs w:val="28"/>
          <w:rtl w:val="true"/>
          <w:lang w:bidi="fa-IR"/>
        </w:rPr>
        <w:t>بیتردید پدر و جدّ پدری بر تأدیب کودک ممیّز ولایت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خلال مباحث مختلف به این حکم تصریح نموده و آن را امری مسلّم دانسته‌اند</w:t>
      </w:r>
      <w:r>
        <w:rPr>
          <w:rFonts w:eastAsia="IRNazanin" w:cs="IRNazanin"/>
          <w:color w:val="111111"/>
          <w:sz w:val="28"/>
          <w:szCs w:val="28"/>
          <w:rtl w:val="true"/>
          <w:lang w:bidi="fa-IR"/>
        </w:rPr>
        <w:t>.</w:t>
      </w:r>
      <w:r>
        <w:rPr>
          <w:rStyle w:val="FootnoteAnchor"/>
          <w:rtl w:val="true"/>
        </w:rPr>
        <w:footnoteReference w:id="1890"/>
      </w:r>
      <w:r>
        <w:rPr>
          <w:rFonts w:ascii="IRNazanin" w:hAnsi="IRNazanin" w:eastAsia="IRNazanin"/>
          <w:color w:val="111111"/>
          <w:sz w:val="28"/>
          <w:sz w:val="28"/>
          <w:szCs w:val="28"/>
          <w:rtl w:val="true"/>
          <w:lang w:bidi="fa-IR"/>
        </w:rPr>
        <w:t>ادلّه‌ای که میتواند در این حکم مستند قرار گیرد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تأدیب در قرآن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 خود و خانواده خویش را از آتش دوزخ محافظت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 عَلَیْها مَلائِکَةٌ غِلاظٌ شِدادٌ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محافظت، نگهداری و منع است</w:t>
      </w:r>
      <w:r>
        <w:rPr>
          <w:rStyle w:val="FootnoteAnchor"/>
          <w:rtl w:val="true"/>
        </w:rPr>
        <w:footnoteReference w:id="1891"/>
      </w:r>
      <w:r>
        <w:rPr>
          <w:rFonts w:ascii="IRNazanin" w:hAnsi="IRNazanin" w:eastAsia="IRNazanin"/>
          <w:color w:val="111111"/>
          <w:sz w:val="28"/>
          <w:sz w:val="28"/>
          <w:szCs w:val="28"/>
          <w:rtl w:val="true"/>
          <w:lang w:bidi="fa-IR"/>
        </w:rPr>
        <w:t xml:space="preserve">و با عنایت به اطلاق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قطع فرزندان را شامل میگردد،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واجب است خود، خانواده و فرزندان خویش را از هر عملی که</w:t>
      </w:r>
    </w:p>
    <w:p>
      <w:pPr>
        <w:pStyle w:val="BookText"/>
        <w:rPr/>
      </w:pPr>
      <w:r>
        <w:rPr>
          <w:rFonts w:ascii="IRNazanin" w:hAnsi="IRNazanin" w:eastAsia="IRNazanin"/>
          <w:color w:val="111111"/>
          <w:sz w:val="28"/>
          <w:sz w:val="28"/>
          <w:szCs w:val="28"/>
          <w:rtl w:val="true"/>
          <w:lang w:bidi="fa-IR"/>
        </w:rPr>
        <w:t>موجب عذاب الهی است،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از عذاب به این است که آنها را به انجام واجبات و کارهای شایسته و دوری از معاصی، امر و نهی نمایند</w:t>
      </w:r>
      <w:r>
        <w:rPr>
          <w:rFonts w:eastAsia="IRNazanin" w:cs="IRNazanin"/>
          <w:color w:val="111111"/>
          <w:sz w:val="28"/>
          <w:szCs w:val="28"/>
          <w:rtl w:val="true"/>
          <w:lang w:bidi="fa-IR"/>
        </w:rPr>
        <w:t>.</w:t>
      </w:r>
      <w:r>
        <w:rPr>
          <w:rStyle w:val="FootnoteAnchor"/>
          <w:rtl w:val="true"/>
        </w:rPr>
        <w:footnoteReference w:id="1892"/>
      </w:r>
      <w:r>
        <w:rPr>
          <w:rFonts w:ascii="IRNazanin" w:hAnsi="IRNazanin" w:eastAsia="IRNazanin"/>
          <w:color w:val="111111"/>
          <w:sz w:val="28"/>
          <w:sz w:val="28"/>
          <w:szCs w:val="28"/>
          <w:rtl w:val="true"/>
          <w:lang w:bidi="fa-IR"/>
        </w:rPr>
        <w:t>بدیهی است عمل به این وظیفه متوقف بر تأدیب است، زیرا امر و نهی تنها در قالب موعظه و نصیحت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دلایل مختلف این گونه امور تأثیر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مواردی که اولیای اطفال اطمینان دارند که فقط تنبیه و تأدیب، فرزندان را از انجام عملی که موجب عذاب الهی است باز میدارد، با استفاده از اطلاق آیه میتوان حکم نمود که باید به انجام آن اقدام نمایند، چرا که در این صورت تنها وسیله نگهداری و محافظت اطفال تأدیب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برخی از مفسّرین در تفسیر آیه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شخص، خودش و خانواده و فرزندان خویش را تأدیب نماید و یکی از موارد تأدیب ضرب و عقوبت است</w:t>
      </w:r>
      <w:r>
        <w:rPr>
          <w:rFonts w:eastAsia="IRNazanin" w:cs="IRNazanin"/>
          <w:color w:val="111111"/>
          <w:sz w:val="28"/>
          <w:szCs w:val="28"/>
          <w:rtl w:val="true"/>
          <w:lang w:bidi="fa-IR"/>
        </w:rPr>
        <w:t>».</w:t>
      </w:r>
      <w:r>
        <w:rPr>
          <w:rStyle w:val="FootnoteAnchor"/>
          <w:rtl w:val="true"/>
        </w:rPr>
        <w:footnoteReference w:id="1893"/>
      </w:r>
      <w:r>
        <w:rPr>
          <w:rFonts w:ascii="IRNazanin" w:hAnsi="IRNazanin" w:eastAsia="IRNazanin"/>
          <w:color w:val="111111"/>
          <w:sz w:val="28"/>
          <w:sz w:val="28"/>
          <w:szCs w:val="28"/>
          <w:rtl w:val="true"/>
          <w:lang w:bidi="fa-IR"/>
        </w:rPr>
        <w:t>برخی دیگر در ذیل همین آیه به روایاتی استناد نموده‌اند که از پیغمبر اکرم صلی الله علیه و آله نقل شده مبنی بر این که اگر کودک به سن ده سالگی رسیده و در انجام نماز کوتاهی مینماید او را با زدن تأدیب نمایید</w:t>
      </w:r>
      <w:r>
        <w:rPr>
          <w:rFonts w:eastAsia="IRNazanin" w:cs="IRNazanin"/>
          <w:color w:val="111111"/>
          <w:sz w:val="28"/>
          <w:szCs w:val="28"/>
          <w:rtl w:val="true"/>
          <w:lang w:bidi="fa-IR"/>
        </w:rPr>
        <w:t>.</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مفاد روایات</w:t>
      </w:r>
    </w:p>
    <w:p>
      <w:pPr>
        <w:pStyle w:val="BookText"/>
        <w:rPr/>
      </w:pPr>
      <w:r>
        <w:rPr>
          <w:rFonts w:ascii="IRNazanin" w:hAnsi="IRNazanin" w:eastAsia="IRNazanin"/>
          <w:color w:val="111111"/>
          <w:sz w:val="28"/>
          <w:sz w:val="28"/>
          <w:szCs w:val="28"/>
          <w:rtl w:val="true"/>
          <w:lang w:bidi="fa-IR"/>
        </w:rPr>
        <w:t>روایاتی که بر ولایت پدر و جدّ پدری بر تأدیب کودک دلالت دارد به چند دسته تقسیم میشود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به‌طور مطلق دلالت بر تأدیب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تا سن هفت سالگی آزاد بگذارید، آن‌گاه به مدّت هفت سال او را تربیت و تأدیب نمایید و در هفت سال سوّم همراه و مشاور خود قرار دهید، در این صورت باید به نیکی و رستگاری گرایش داشته باشد وگرنه امید خیری در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ابْنَکَ یَلْعَبُ سَبْعَ سِنِینَ وَیُؤَدَّبُ سَبْعَ سِنِینَ وَالْزَمْهُ نَفْسُکَ سَبْعَ سِنِینَ فَاِنْ ا فْلَحَ وَإِلاّ فَلاَ خَیْرَ فِیهِ</w:t>
      </w:r>
      <w:r>
        <w:rPr>
          <w:rFonts w:eastAsia="IRNazanin" w:cs="IRNazanin"/>
          <w:color w:val="111111"/>
          <w:sz w:val="28"/>
          <w:szCs w:val="28"/>
          <w:rtl w:val="true"/>
          <w:lang w:bidi="fa-IR"/>
        </w:rPr>
        <w:t>»</w:t>
      </w:r>
      <w:r>
        <w:rPr>
          <w:rStyle w:val="FootnoteAnchor"/>
          <w:rtl w:val="true"/>
        </w:rPr>
        <w:footnoteReference w:id="1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با عبارات مختلف در روایات دیگری</w:t>
      </w:r>
      <w:r>
        <w:rPr>
          <w:rStyle w:val="FootnoteAnchor"/>
          <w:rtl w:val="true"/>
        </w:rPr>
        <w:footnoteReference w:id="1896"/>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امر به تأدیب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معتبر امام صادق علیه السلام ازامیر المؤمنین علیه السلام نقل نموده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 را در مورد آن‌چه فرزند خودت تأدیب مینمایی، تأدیب کن و هر اندازه کتک میزنی کتک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الْیَتِیمَ مِمَّا تُؤَدِّبُ مِنْهُ وَلَدَکَ وَاضْرِبْهُ مِمَّا تَضْرِبُ مِنْهُ وَلَدَکَ</w:t>
      </w:r>
      <w:r>
        <w:rPr>
          <w:rFonts w:eastAsia="IRNazanin" w:cs="IRNazanin"/>
          <w:color w:val="111111"/>
          <w:sz w:val="28"/>
          <w:szCs w:val="28"/>
          <w:rtl w:val="true"/>
          <w:lang w:bidi="fa-IR"/>
        </w:rPr>
        <w:t>»</w:t>
      </w:r>
      <w:r>
        <w:rPr>
          <w:rStyle w:val="FootnoteAnchor"/>
          <w:rtl w:val="true"/>
        </w:rPr>
        <w:footnoteReference w:id="1897"/>
      </w:r>
      <w:r>
        <w:rPr>
          <w:rFonts w:ascii="IRNazanin" w:hAnsi="IRNazanin" w:eastAsia="IRNazanin"/>
          <w:color w:val="111111"/>
          <w:sz w:val="28"/>
          <w:sz w:val="28"/>
          <w:szCs w:val="28"/>
          <w:rtl w:val="true"/>
          <w:lang w:bidi="fa-IR"/>
        </w:rPr>
        <w:t>در این روایت ولایت بر تأدیب فرزند مسلّم دانسته شده است و جواز تأدیب یتیم متفرّع بر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آن‌ها به جهت اطاعت از خداوند امر به تأدیب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چنین وارد شده است، هنگامی که آیه ششم سوره تحریم در مورد حفاظت از اهل و خانواده نازل شد، بعضی از مردم به محضر رسول خدا صلی الله علیه و آله شرفیاب شدند و به ایشان عرض کردند؟ چگونه اهل و فرزندان خویش را از عذاب الهی محافظت نماییم؟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کار خیر مبادرت نمایید و به خانواده و فرزندان تذکّر دهید و آنها را به اطاعت خداوند تأدیب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الْخَیْرَ وَذَکَّرَوُا بِهِ اهْلِیْکُمْ وَأَدَّبوُهُم عَلَی طَاعَةِ اللهِ</w:t>
      </w:r>
      <w:r>
        <w:rPr>
          <w:rFonts w:eastAsia="IRNazanin" w:cs="IRNazanin"/>
          <w:color w:val="111111"/>
          <w:sz w:val="28"/>
          <w:szCs w:val="28"/>
          <w:rtl w:val="true"/>
          <w:lang w:bidi="fa-IR"/>
        </w:rPr>
        <w:t>».</w:t>
      </w:r>
      <w:r>
        <w:rPr>
          <w:rStyle w:val="FootnoteAnchor"/>
          <w:rtl w:val="true"/>
        </w:rPr>
        <w:footnoteReference w:id="1898"/>
      </w: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تأدیب فرزند را از وظایف پدر و در زمره حقوقی که پدر ملزم به رعایت آن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 این است که برای او نام زیبا انتخاب کند و به نیکی ادب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الْوَلَدِ عَلَی الْوالِدِ انْ یُحَسِّنَ اسْمَهُ وَیُحَسِّنَ ادَبَهُ</w:t>
      </w:r>
      <w:r>
        <w:rPr>
          <w:rFonts w:eastAsia="Amiri" w:cs="Amiri" w:ascii="Amiri" w:hAnsi="Amiri"/>
          <w:color w:val="111111"/>
          <w:sz w:val="28"/>
          <w:szCs w:val="28"/>
          <w:rtl w:val="true"/>
          <w:lang w:bidi="ar-SA"/>
        </w:rPr>
        <w:t>»</w:t>
      </w:r>
      <w:r>
        <w:rPr>
          <w:rStyle w:val="FootnoteAnchor"/>
          <w:rtl w:val="true"/>
        </w:rPr>
        <w:footnoteReference w:id="18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بر تنبیه و تأدیب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درکلمات امام‌سجاد علیه السلام میخوانیم که به درگاه الهی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بر تربیت، تأدیب و نیکی به فرزندان یاری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واَعِنّی عَلَیَ تَرْبِیَتِهِم وَتَأدِیبِهِم وَبِرِّهِمْ</w:t>
      </w:r>
      <w:r>
        <w:rPr>
          <w:rFonts w:eastAsia="IRNazanin" w:cs="IRNazanin"/>
          <w:color w:val="111111"/>
          <w:sz w:val="28"/>
          <w:szCs w:val="28"/>
          <w:rtl w:val="true"/>
          <w:lang w:bidi="fa-IR"/>
        </w:rPr>
        <w:t>».</w:t>
      </w:r>
      <w:r>
        <w:rPr>
          <w:rStyle w:val="FootnoteAnchor"/>
          <w:rtl w:val="true"/>
        </w:rPr>
        <w:footnoteReference w:id="190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فقها بر این باورند که سیره مستمره و روش گذشتگان از دیر زمان حاکی از ولایت پدر بر تأدیب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عبارات برخی از آنها استفاده میشود که</w:t>
      </w:r>
    </w:p>
    <w:p>
      <w:pPr>
        <w:pStyle w:val="BookText"/>
        <w:rPr/>
      </w:pPr>
      <w:r>
        <w:rPr>
          <w:rFonts w:ascii="IRNazanin" w:hAnsi="IRNazanin" w:eastAsia="IRNazanin"/>
          <w:color w:val="111111"/>
          <w:sz w:val="28"/>
          <w:sz w:val="28"/>
          <w:szCs w:val="28"/>
          <w:rtl w:val="true"/>
          <w:lang w:bidi="fa-IR"/>
        </w:rPr>
        <w:t>این سیره وجود داشته است، اعم از این که فرزند، صغیر باشد یا کبیر</w:t>
      </w:r>
      <w:r>
        <w:rPr>
          <w:rStyle w:val="FootnoteAnchor"/>
          <w:rtl w:val="true"/>
        </w:rPr>
        <w:footnoteReference w:id="1901"/>
      </w:r>
      <w:r>
        <w:rPr>
          <w:rFonts w:ascii="IRNazanin" w:hAnsi="IRNazanin" w:eastAsia="IRNazanin"/>
          <w:color w:val="111111"/>
          <w:sz w:val="28"/>
          <w:sz w:val="28"/>
          <w:szCs w:val="28"/>
          <w:rtl w:val="true"/>
          <w:lang w:bidi="fa-IR"/>
        </w:rPr>
        <w:t>و برخی دیگر آن را مقیّد به قبل از بلوغ فرزند دانسته‌اند</w:t>
      </w:r>
      <w:r>
        <w:rPr>
          <w:rFonts w:eastAsia="IRNazanin" w:cs="IRNazanin"/>
          <w:color w:val="111111"/>
          <w:sz w:val="28"/>
          <w:szCs w:val="28"/>
          <w:rtl w:val="true"/>
          <w:lang w:bidi="fa-IR"/>
        </w:rPr>
        <w:t>.</w:t>
      </w:r>
      <w:r>
        <w:rPr>
          <w:rStyle w:val="FootnoteAnchor"/>
          <w:rtl w:val="true"/>
        </w:rPr>
        <w:footnoteReference w:id="1902"/>
      </w:r>
      <w:r>
        <w:rPr>
          <w:rFonts w:ascii="IRNazanin" w:hAnsi="IRNazanin" w:eastAsia="IRNazanin"/>
          <w:color w:val="111111"/>
          <w:sz w:val="28"/>
          <w:sz w:val="28"/>
          <w:szCs w:val="28"/>
          <w:rtl w:val="true"/>
          <w:lang w:bidi="fa-IR"/>
        </w:rPr>
        <w:t>به هر صورت شارع مقدس این سیره را مردود ندانسته، بلکه آن را تأیید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پدر برای اجرای حدود بر فرزند</w:t>
      </w:r>
    </w:p>
    <w:p>
      <w:pPr>
        <w:pStyle w:val="BookText"/>
        <w:rPr/>
      </w:pPr>
      <w:r>
        <w:rPr>
          <w:rFonts w:ascii="IRNazanin" w:hAnsi="IRNazanin" w:eastAsia="IRNazanin"/>
          <w:color w:val="111111"/>
          <w:sz w:val="28"/>
          <w:sz w:val="28"/>
          <w:szCs w:val="28"/>
          <w:rtl w:val="true"/>
          <w:lang w:bidi="fa-IR"/>
        </w:rPr>
        <w:t>شیخ طوسی معتقد است، در هر زمان حکومت در اختیار حکّام ستمگر باشد و قدرت در اختیار فقهای عادل نباشد، پدر میتواند بر فرزند خود به شرط این‌که ایمن از ضرر باشد، اجرای حدود بنماید</w:t>
      </w:r>
      <w:r>
        <w:rPr>
          <w:rFonts w:eastAsia="IRNazanin" w:cs="IRNazanin"/>
          <w:color w:val="111111"/>
          <w:sz w:val="28"/>
          <w:szCs w:val="28"/>
          <w:rtl w:val="true"/>
          <w:lang w:bidi="fa-IR"/>
        </w:rPr>
        <w:t>.</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برخی دیگر از فقها نیز همین نظر را پذیرفته‌اند</w:t>
      </w:r>
      <w:r>
        <w:rPr>
          <w:rFonts w:eastAsia="IRNazanin" w:cs="IRNazanin"/>
          <w:color w:val="111111"/>
          <w:sz w:val="28"/>
          <w:szCs w:val="28"/>
          <w:rtl w:val="true"/>
          <w:lang w:bidi="fa-IR"/>
        </w:rPr>
        <w:t>.</w:t>
      </w:r>
      <w:r>
        <w:rPr>
          <w:rStyle w:val="FootnoteAnchor"/>
          <w:rtl w:val="true"/>
        </w:rPr>
        <w:footnoteReference w:id="1904"/>
      </w:r>
      <w:r>
        <w:rPr>
          <w:rFonts w:ascii="IRNazanin" w:hAnsi="IRNazanin" w:eastAsia="IRNazanin"/>
          <w:color w:val="111111"/>
          <w:sz w:val="28"/>
          <w:sz w:val="28"/>
          <w:szCs w:val="28"/>
          <w:rtl w:val="true"/>
          <w:lang w:bidi="fa-IR"/>
        </w:rPr>
        <w:t>هم چنین شهید اوّل با توسعه بیشتری قائل به این نظر شده است و اجرای حدّ به وسیله پدر بر فرزند را بدون هیچ شرطی جایز میداند</w:t>
      </w:r>
      <w:r>
        <w:rPr>
          <w:rFonts w:eastAsia="IRNazanin" w:cs="IRNazanin"/>
          <w:color w:val="111111"/>
          <w:sz w:val="28"/>
          <w:szCs w:val="28"/>
          <w:rtl w:val="true"/>
          <w:lang w:bidi="fa-IR"/>
        </w:rPr>
        <w:t>.</w:t>
      </w:r>
      <w:r>
        <w:rPr>
          <w:rStyle w:val="FootnoteAnchor"/>
          <w:rtl w:val="true"/>
        </w:rPr>
        <w:footnoteReference w:id="1905"/>
      </w:r>
      <w:r>
        <w:rPr>
          <w:rFonts w:ascii="IRNazanin" w:hAnsi="IRNazanin" w:eastAsia="IRNazanin"/>
          <w:color w:val="111111"/>
          <w:sz w:val="28"/>
          <w:sz w:val="28"/>
          <w:szCs w:val="28"/>
          <w:rtl w:val="true"/>
          <w:lang w:bidi="fa-IR"/>
        </w:rPr>
        <w:t xml:space="preserve">بر اساس دیدگاه این دسته از فقها که در جای خود قابل بحث است، چنان‌چه تأدیب جزء حدود باشد، به همان ملاکی که پدر ولایت بر اقامة حدود دارد، ولایت بر تأدیب نیز برای وی ثابت است و اگر از حدود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هم چنین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به‌طریق اولی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بودن تأدیب اولاد</w:t>
      </w:r>
    </w:p>
    <w:p>
      <w:pPr>
        <w:pStyle w:val="BookText"/>
        <w:rPr/>
      </w:pPr>
      <w:r>
        <w:rPr>
          <w:rFonts w:ascii="IRNazanin" w:hAnsi="IRNazanin" w:eastAsia="IRNazanin"/>
          <w:color w:val="111111"/>
          <w:sz w:val="28"/>
          <w:sz w:val="28"/>
          <w:szCs w:val="28"/>
          <w:rtl w:val="true"/>
          <w:lang w:bidi="fa-IR"/>
        </w:rPr>
        <w:t>دایره قاعده احسان که فقها در ابواب مختلف فقه به آن استناد مینمایند</w:t>
      </w:r>
      <w:r>
        <w:rPr>
          <w:rStyle w:val="FootnoteAnchor"/>
          <w:rtl w:val="true"/>
        </w:rPr>
        <w:footnoteReference w:id="1906"/>
      </w:r>
      <w:r>
        <w:rPr>
          <w:rFonts w:ascii="IRNazanin" w:hAnsi="IRNazanin" w:eastAsia="IRNazanin"/>
          <w:color w:val="111111"/>
          <w:sz w:val="28"/>
          <w:sz w:val="28"/>
          <w:szCs w:val="28"/>
          <w:rtl w:val="true"/>
          <w:lang w:bidi="fa-IR"/>
        </w:rPr>
        <w:t>تأدیب کودک ممیّز به وسیله پدر را نیز شامل میگردد و با استناد به آن ولایت وی بر تأدیب اثبات میشود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تأدیب اولاد به‌طور مطلق و تنبیه بدنی و ایراد ضرب بر آنها در مواقع ضروری و مواردی که اولیای آن‌ها اطمینان به تأثیر مثبت آن دارند، از مصادیق روشن احسان به آنهاست، زیرا سبب میشود تا فرزند از آلودگی پاک شود و در جهت کسب سعادت و</w:t>
      </w:r>
      <w:bookmarkStart w:id="862" w:name="pg13713_164739"/>
    </w:p>
    <w:p>
      <w:pPr>
        <w:pStyle w:val="BookText"/>
        <w:rPr/>
      </w:pPr>
      <w:bookmarkEnd w:id="862"/>
      <w:r>
        <w:rPr>
          <w:rFonts w:ascii="IRNazanin" w:hAnsi="IRNazanin" w:eastAsia="IRNazanin"/>
          <w:color w:val="111111"/>
          <w:sz w:val="28"/>
          <w:sz w:val="28"/>
          <w:szCs w:val="28"/>
          <w:rtl w:val="true"/>
          <w:lang w:bidi="fa-IR"/>
        </w:rPr>
        <w:t>خوشبختی به وی کمک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اطلاق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آن را اثبات مینماید</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بودن تأدیب</w:t>
      </w:r>
    </w:p>
    <w:p>
      <w:pPr>
        <w:pStyle w:val="BookText"/>
        <w:rPr/>
      </w:pPr>
      <w:r>
        <w:rPr>
          <w:rFonts w:ascii="IRNazanin" w:hAnsi="IRNazanin" w:eastAsia="IRNazanin"/>
          <w:color w:val="111111"/>
          <w:sz w:val="28"/>
          <w:sz w:val="28"/>
          <w:szCs w:val="28"/>
          <w:rtl w:val="true"/>
          <w:lang w:bidi="fa-IR"/>
        </w:rPr>
        <w:t xml:space="preserve">اثبات ولایت برای پدر با استناد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پدر بودن نیست، از این رو او و دیگران در جهت عمل به این وظیفه، مسئولیت مشترک دارند و تنها حاکم نسبت به دیگران،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نوع ولایت و مسئولیت دخالت در امور صغار که برای پدر ثابت باشد، برای جدّ پدری 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 در بحث از ولایت بر تزویج</w:t>
      </w:r>
      <w:r>
        <w:rPr>
          <w:rStyle w:val="FootnoteAnchor"/>
          <w:rtl w:val="true"/>
        </w:rPr>
        <w:footnoteReference w:id="1908"/>
      </w:r>
      <w:r>
        <w:rPr>
          <w:rFonts w:ascii="IRNazanin" w:hAnsi="IRNazanin" w:eastAsia="IRNazanin"/>
          <w:color w:val="111111"/>
          <w:sz w:val="28"/>
          <w:sz w:val="28"/>
          <w:szCs w:val="28"/>
          <w:rtl w:val="true"/>
          <w:lang w:bidi="fa-IR"/>
        </w:rPr>
        <w:t>و اموال</w:t>
      </w:r>
      <w:r>
        <w:rPr>
          <w:rStyle w:val="FootnoteAnchor"/>
          <w:rtl w:val="true"/>
        </w:rPr>
        <w:footnoteReference w:id="1909"/>
      </w:r>
      <w:r>
        <w:rPr>
          <w:rFonts w:ascii="IRNazanin" w:hAnsi="IRNazanin" w:eastAsia="IRNazanin"/>
          <w:color w:val="111111"/>
          <w:sz w:val="28"/>
          <w:sz w:val="28"/>
          <w:szCs w:val="28"/>
          <w:rtl w:val="true"/>
          <w:lang w:bidi="fa-IR"/>
        </w:rPr>
        <w:t>و اجرای‌حدود</w:t>
      </w:r>
      <w:r>
        <w:rPr>
          <w:rStyle w:val="FootnoteAnchor"/>
          <w:rtl w:val="true"/>
        </w:rPr>
        <w:footnoteReference w:id="1910"/>
      </w:r>
      <w:r>
        <w:rPr>
          <w:rFonts w:ascii="IRNazanin" w:hAnsi="IRNazanin" w:eastAsia="IRNazanin"/>
          <w:color w:val="111111"/>
          <w:sz w:val="28"/>
          <w:sz w:val="28"/>
          <w:szCs w:val="28"/>
          <w:rtl w:val="true"/>
          <w:lang w:bidi="fa-IR"/>
        </w:rPr>
        <w:t>ولایت پدر و جدّ پدری را به طور عام مطرح نموده‌اند و برخی از آنها در این‌باره ادّعای اجماع دارند</w:t>
      </w:r>
      <w:r>
        <w:rPr>
          <w:rFonts w:eastAsia="IRNazanin" w:cs="IRNazanin"/>
          <w:color w:val="111111"/>
          <w:sz w:val="28"/>
          <w:szCs w:val="28"/>
          <w:rtl w:val="true"/>
          <w:lang w:bidi="fa-IR"/>
        </w:rPr>
        <w:t>.</w:t>
      </w:r>
      <w:r>
        <w:rPr>
          <w:rStyle w:val="FootnoteAnchor"/>
          <w:rtl w:val="true"/>
        </w:rPr>
        <w:footnoteReference w:id="1911"/>
      </w:r>
    </w:p>
    <w:p>
      <w:pPr>
        <w:pStyle w:val="Heading4"/>
        <w:numPr>
          <w:ilvl w:val="3"/>
          <w:numId w:val="1"/>
        </w:numPr>
        <w:rPr/>
      </w:pPr>
      <w:bookmarkStart w:id="863" w:name="__RefHeading___Toc1259944_1468164448"/>
      <w:bookmarkStart w:id="864" w:name="_Toc317"/>
      <w:bookmarkEnd w:id="863"/>
      <w:r>
        <w:rPr/>
        <w:t>3</w:t>
      </w:r>
      <w:r>
        <w:rPr>
          <w:rtl w:val="true"/>
        </w:rPr>
        <w:t xml:space="preserve">- </w:t>
      </w:r>
      <w:r>
        <w:rPr>
          <w:rtl w:val="true"/>
        </w:rPr>
        <w:t>ولایت وصی بر تأدیب کودک</w:t>
      </w:r>
      <w:bookmarkEnd w:id="86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گفتار فقها در مسأله وصیت به ولایت و غیر آن چنین استفاده میشود که در هر مورد که پدر و جدّ پدری نسبت به صغار ولایت داشته باشند، میتوانند وصی خود را در آن مورد نایب خودش قرار دهند، مشروط به این که به مصلحت صغار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مورد بحث نیز چون تأدیب کودک ممیّز و جلوگیری از ارتکاب فحشا و منکرات توسط او به طور قطع به مصلحت وی میباشد و پدر در این مورد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وصیّت پدر، وصی به نیابت از او دارای ولایت میگردد و میتواند در صورت نیاز کودک ممیّز را تأدیب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وصیّت</w:t>
      </w:r>
      <w:r>
        <w:rPr>
          <w:rStyle w:val="FootnoteAnchor"/>
          <w:rtl w:val="true"/>
        </w:rPr>
        <w:footnoteReference w:id="1912"/>
      </w:r>
      <w:r>
        <w:rPr>
          <w:rFonts w:ascii="IRNazanin" w:hAnsi="IRNazanin" w:eastAsia="IRNazanin"/>
          <w:color w:val="111111"/>
          <w:sz w:val="28"/>
          <w:sz w:val="28"/>
          <w:szCs w:val="28"/>
          <w:rtl w:val="true"/>
          <w:lang w:bidi="fa-IR"/>
        </w:rPr>
        <w:t>این مورد را شامل میشود و با قبول وصیت، توسطوصی، ولایت وی بر تأدیب اثبات میگردد و بعد از فوت ولی، میتواند به اجرای‌آن بپردازد</w:t>
      </w:r>
      <w:r>
        <w:rPr>
          <w:rFonts w:eastAsia="IRNazanin" w:cs="IRNazanin"/>
          <w:color w:val="111111"/>
          <w:sz w:val="28"/>
          <w:szCs w:val="28"/>
          <w:rtl w:val="true"/>
          <w:lang w:bidi="fa-IR"/>
        </w:rPr>
        <w:t>.</w:t>
      </w:r>
      <w:bookmarkStart w:id="865" w:name="pg13713_164740"/>
    </w:p>
    <w:p>
      <w:pPr>
        <w:pStyle w:val="BookText"/>
        <w:rPr/>
      </w:pPr>
      <w:bookmarkEnd w:id="865"/>
      <w:r>
        <w:rPr>
          <w:rFonts w:ascii="IRNazanin" w:hAnsi="IRNazanin" w:eastAsia="IRNazanin"/>
          <w:color w:val="111111"/>
          <w:sz w:val="28"/>
          <w:sz w:val="28"/>
          <w:szCs w:val="28"/>
          <w:rtl w:val="true"/>
          <w:lang w:bidi="fa-IR"/>
        </w:rPr>
        <w:t>افزون بر این با فرض این‌که وصیّت به ولایت بر تأدیب، صحیح و نافذ است، عمل به آن واجب میشود و متخلّف مشمول حرمت تغییر وصیّت میگردد، زیرا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بعد از شنیدن وصیّت آن را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برخلاف حقیقت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آن بر کسانی است که وصیّت را تغییر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فَإِنَّما إِثْمُهُ عَلَی الَّذِینَ یُبَدِّلُونَهُ</w:t>
      </w:r>
      <w:r>
        <w:rPr>
          <w:rFonts w:eastAsia="IRNazanin" w:cs="IRNazanin"/>
          <w:color w:val="111111"/>
          <w:sz w:val="28"/>
          <w:szCs w:val="28"/>
          <w:rtl w:val="true"/>
          <w:lang w:bidi="fa-IR"/>
        </w:rPr>
        <w:t>...) .</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این آیه دلیل است بر این‌که تغییر وصیّت به هیچ صورت جایز نیست، مگر این‌که وصیّت در جهت مخالفت فرمان الهی باشد، اعم از این‌که به وسیله فعل جانشین، وصیّت تغییر داده شود یا این‌که به مفاد وصیّت عمل نگردد</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ascii="IRNazanin" w:hAnsi="IRNazanin" w:eastAsia="IRNazanin"/>
          <w:color w:val="111111"/>
          <w:sz w:val="28"/>
          <w:sz w:val="28"/>
          <w:szCs w:val="28"/>
          <w:rtl w:val="true"/>
          <w:lang w:bidi="fa-IR"/>
        </w:rPr>
        <w:t>اگر تغییر وصیّت حرام باشد، عمل بر طبق آن واجب است و قبل از آن باید وصی، حق دخالت و ولایت بر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آیه بر یک اصل کلّی دلالت دارد و آن این‌که مورد وصیّت و چیزی که وصیّت به آن تعلّق میگیرد، هرچه باشد باید طبق آن عمل شود و تغییر در آن جایز نیست، مگر این‌که به صراحت در جهت خلاف فرمان الهی باشد، در این صورت به حکم ادلّه دیگر نباید به آن عمل شود</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ascii="IRNazanin" w:hAnsi="IRNazanin" w:eastAsia="IRNazanin"/>
          <w:color w:val="111111"/>
          <w:sz w:val="28"/>
          <w:sz w:val="28"/>
          <w:szCs w:val="28"/>
          <w:rtl w:val="true"/>
          <w:lang w:bidi="fa-IR"/>
        </w:rPr>
        <w:t>در مسأله مورد بحث چون دلیلی بر استثنای آن از این قاعده کلی وجود ندارد، با وصیّت پدر، ولایت وصی بر تأدیب کودک ممیّز، به حکم این قاعده اثبات میگردد</w:t>
      </w:r>
      <w:r>
        <w:rPr>
          <w:rFonts w:eastAsia="IRNazanin" w:cs="IRNazanin"/>
          <w:color w:val="111111"/>
          <w:sz w:val="28"/>
          <w:szCs w:val="28"/>
          <w:rtl w:val="true"/>
          <w:lang w:bidi="fa-IR"/>
        </w:rPr>
        <w:t>.</w:t>
      </w:r>
    </w:p>
    <w:p>
      <w:pPr>
        <w:pStyle w:val="Heading4"/>
        <w:numPr>
          <w:ilvl w:val="3"/>
          <w:numId w:val="1"/>
        </w:numPr>
        <w:rPr/>
      </w:pPr>
      <w:bookmarkStart w:id="866" w:name="__RefHeading___Toc1259946_1468164448"/>
      <w:bookmarkStart w:id="867" w:name="_Toc318"/>
      <w:bookmarkEnd w:id="866"/>
      <w:r>
        <w:rPr/>
        <w:t>4</w:t>
      </w:r>
      <w:r>
        <w:rPr>
          <w:rtl w:val="true"/>
        </w:rPr>
        <w:t xml:space="preserve">- </w:t>
      </w:r>
      <w:r>
        <w:rPr>
          <w:rtl w:val="true"/>
        </w:rPr>
        <w:t>ولایت وکیل بر تأدیب کودک</w:t>
      </w:r>
      <w:bookmarkEnd w:id="86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 جایز است پدر، جدّ پدری، وصی آنها و حاکم شرع در اموری که ولایت دارند فرد یا افرادی را وکیل خود قرار دهند</w:t>
      </w:r>
      <w:r>
        <w:rPr>
          <w:rFonts w:eastAsia="IRNazanin" w:cs="IRNazanin"/>
          <w:color w:val="111111"/>
          <w:sz w:val="28"/>
          <w:szCs w:val="28"/>
          <w:rtl w:val="true"/>
          <w:lang w:bidi="fa-IR"/>
        </w:rPr>
        <w:t>.</w:t>
      </w:r>
      <w:r>
        <w:rPr>
          <w:rStyle w:val="FootnoteAnchor"/>
          <w:rtl w:val="true"/>
        </w:rPr>
        <w:footnoteReference w:id="1916"/>
      </w:r>
      <w:r>
        <w:rPr>
          <w:rFonts w:ascii="IRNazanin" w:hAnsi="IRNazanin" w:eastAsia="IRNazanin"/>
          <w:color w:val="111111"/>
          <w:sz w:val="28"/>
          <w:sz w:val="28"/>
          <w:szCs w:val="28"/>
          <w:rtl w:val="true"/>
          <w:lang w:bidi="fa-IR"/>
        </w:rPr>
        <w:t>در این صورت وکیل همانند موکّل، د رمورد وکالت دارای ولایت میگردد، ولایت در تأدیب کودک نیز مشمول این اصل</w:t>
      </w:r>
      <w:bookmarkStart w:id="868" w:name="pg13713_164741"/>
    </w:p>
    <w:p>
      <w:pPr>
        <w:pStyle w:val="BookText"/>
        <w:rPr/>
      </w:pPr>
      <w:bookmarkEnd w:id="868"/>
      <w:r>
        <w:rPr>
          <w:rFonts w:ascii="IRNazanin" w:hAnsi="IRNazanin" w:eastAsia="IRNazanin"/>
          <w:color w:val="111111"/>
          <w:sz w:val="28"/>
          <w:sz w:val="28"/>
          <w:szCs w:val="28"/>
          <w:rtl w:val="true"/>
          <w:lang w:bidi="fa-IR"/>
        </w:rPr>
        <w:t>کلّی است، زیرا هیچ دلیلی بر عدم وکالت نسبت به آن وجود ندارد، بلکه سیره وادلّه قطعی بر جواز آن ثابت است</w:t>
      </w:r>
      <w:r>
        <w:rPr>
          <w:rFonts w:eastAsia="IRNazanin" w:cs="IRNazanin"/>
          <w:color w:val="111111"/>
          <w:sz w:val="28"/>
          <w:szCs w:val="28"/>
          <w:rtl w:val="true"/>
          <w:lang w:bidi="fa-IR"/>
        </w:rPr>
        <w:t>.</w:t>
      </w:r>
      <w:r>
        <w:rPr>
          <w:rStyle w:val="FootnoteAnchor"/>
          <w:rtl w:val="true"/>
        </w:rPr>
        <w:footnoteReference w:id="1917"/>
      </w:r>
    </w:p>
    <w:p>
      <w:pPr>
        <w:pStyle w:val="Heading4"/>
        <w:numPr>
          <w:ilvl w:val="3"/>
          <w:numId w:val="1"/>
        </w:numPr>
        <w:rPr/>
      </w:pPr>
      <w:bookmarkStart w:id="869" w:name="__RefHeading___Toc1259948_1468164448"/>
      <w:bookmarkStart w:id="870" w:name="_Toc319"/>
      <w:bookmarkEnd w:id="869"/>
      <w:r>
        <w:rPr/>
        <w:t>5</w:t>
      </w:r>
      <w:r>
        <w:rPr>
          <w:rtl w:val="true"/>
        </w:rPr>
        <w:t xml:space="preserve">- </w:t>
      </w:r>
      <w:r>
        <w:rPr>
          <w:rtl w:val="true"/>
        </w:rPr>
        <w:t>ولایت معلّم بر تأدیب شاگرد</w:t>
      </w:r>
      <w:bookmarkEnd w:id="870"/>
    </w:p>
    <w:p>
      <w:pPr>
        <w:pStyle w:val="BookText"/>
        <w:rPr/>
      </w:pPr>
      <w:r>
        <w:rPr>
          <w:rFonts w:ascii="IRNazanin" w:hAnsi="IRNazanin" w:eastAsia="IRNazanin"/>
          <w:color w:val="111111"/>
          <w:sz w:val="28"/>
          <w:sz w:val="28"/>
          <w:szCs w:val="28"/>
          <w:rtl w:val="true"/>
          <w:lang w:bidi="fa-IR"/>
        </w:rPr>
        <w:t>برخی از فقها به‌طور ضمنی</w:t>
      </w:r>
      <w:r>
        <w:rPr>
          <w:rStyle w:val="FootnoteAnchor"/>
          <w:rtl w:val="true"/>
        </w:rPr>
        <w:footnoteReference w:id="1918"/>
      </w:r>
      <w:r>
        <w:rPr>
          <w:rFonts w:ascii="IRNazanin" w:hAnsi="IRNazanin" w:eastAsia="IRNazanin"/>
          <w:color w:val="111111"/>
          <w:sz w:val="28"/>
          <w:sz w:val="28"/>
          <w:szCs w:val="28"/>
          <w:rtl w:val="true"/>
          <w:lang w:bidi="fa-IR"/>
        </w:rPr>
        <w:t>و بعضی به طور صریح این مسأله را عنوان نموده‌اند</w:t>
      </w:r>
      <w:r>
        <w:rPr>
          <w:rFonts w:eastAsia="IRNazanin" w:cs="IRNazanin"/>
          <w:color w:val="111111"/>
          <w:sz w:val="28"/>
          <w:szCs w:val="28"/>
          <w:rtl w:val="true"/>
          <w:lang w:bidi="fa-IR"/>
        </w:rPr>
        <w:t>.</w:t>
      </w:r>
      <w:r>
        <w:rPr>
          <w:rStyle w:val="FootnoteAnchor"/>
          <w:rtl w:val="true"/>
        </w:rPr>
        <w:footnoteReference w:id="1919"/>
      </w:r>
      <w:r>
        <w:rPr>
          <w:rFonts w:ascii="IRNazanin" w:hAnsi="IRNazanin" w:eastAsia="IRNazanin"/>
          <w:color w:val="111111"/>
          <w:sz w:val="28"/>
          <w:sz w:val="28"/>
          <w:szCs w:val="28"/>
          <w:rtl w:val="true"/>
          <w:lang w:bidi="fa-IR"/>
        </w:rPr>
        <w:t>شیخ طوسی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اجماع فقها جایز است معلّم صبی را تأدیب نماید</w:t>
      </w:r>
      <w:r>
        <w:rPr>
          <w:rFonts w:eastAsia="IRNazanin" w:cs="IRNazanin"/>
          <w:color w:val="111111"/>
          <w:sz w:val="28"/>
          <w:szCs w:val="28"/>
          <w:rtl w:val="true"/>
          <w:lang w:bidi="fa-IR"/>
        </w:rPr>
        <w:t>».</w:t>
      </w:r>
      <w:r>
        <w:rPr>
          <w:rStyle w:val="FootnoteAnchor"/>
          <w:rtl w:val="true"/>
        </w:rPr>
        <w:footnoteReference w:id="1920"/>
      </w:r>
    </w:p>
    <w:p>
      <w:pPr>
        <w:pStyle w:val="BookText"/>
        <w:rPr/>
      </w:pPr>
      <w:r>
        <w:rPr>
          <w:rFonts w:ascii="IRNazanin" w:hAnsi="IRNazanin" w:eastAsia="IRNazanin"/>
          <w:color w:val="111111"/>
          <w:sz w:val="28"/>
          <w:sz w:val="28"/>
          <w:szCs w:val="28"/>
          <w:rtl w:val="true"/>
          <w:lang w:bidi="fa-IR"/>
        </w:rPr>
        <w:t>ادلّه‌ای که میتواند مستند این حکم قرار گیرد،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شیخ طوسی ادّعا نموده است</w:t>
      </w:r>
      <w:r>
        <w:rPr>
          <w:rFonts w:eastAsia="IRNazanin" w:cs="IRNazanin"/>
          <w:color w:val="111111"/>
          <w:sz w:val="28"/>
          <w:szCs w:val="28"/>
          <w:rtl w:val="true"/>
          <w:lang w:bidi="fa-IR"/>
        </w:rPr>
        <w:t>.</w:t>
      </w:r>
      <w:r>
        <w:rPr>
          <w:rStyle w:val="FootnoteAnchor"/>
          <w:rtl w:val="true"/>
        </w:rPr>
        <w:footnoteReference w:id="1921"/>
      </w:r>
      <w:r>
        <w:rPr>
          <w:rFonts w:ascii="IRNazanin" w:hAnsi="IRNazanin" w:eastAsia="IRNazanin"/>
          <w:color w:val="111111"/>
          <w:sz w:val="28"/>
          <w:sz w:val="28"/>
          <w:szCs w:val="28"/>
          <w:rtl w:val="true"/>
          <w:lang w:bidi="fa-IR"/>
        </w:rPr>
        <w:t xml:space="preserve">و عمومیّت قاعده احسان، زیرا تأدیب طفل و جلوگیری او از ارتکاب فحشا، احسان و کمک به وی در جهت کسب نیکیها به حساب میآید و اطلاق آیات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شامل میگردد</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ascii="IRNazanin" w:hAnsi="IRNazanin" w:eastAsia="IRNazanin"/>
          <w:color w:val="111111"/>
          <w:sz w:val="28"/>
          <w:sz w:val="28"/>
          <w:szCs w:val="28"/>
          <w:rtl w:val="true"/>
          <w:lang w:bidi="fa-IR"/>
        </w:rPr>
        <w:t>هم چنین در روایت معتبر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جدّش امیر المؤمنین علیه السلام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اَبْلِغُوا مُعَلِّمَکُمْ انْ ضَرَبَکُمْ فَوْقَ ثَلاَثِ ضَرَبَاتٍ فِی الأَدَبِ اقْتُصَّ مِنْهُ</w:t>
      </w:r>
      <w:r>
        <w:rPr>
          <w:rFonts w:eastAsia="IRNazanin" w:cs="IRNazanin"/>
          <w:color w:val="111111"/>
          <w:sz w:val="28"/>
          <w:szCs w:val="28"/>
          <w:rtl w:val="true"/>
          <w:lang w:bidi="fa-IR"/>
        </w:rPr>
        <w:t>».</w:t>
      </w:r>
      <w:r>
        <w:rPr>
          <w:rStyle w:val="FootnoteAnchor"/>
          <w:rtl w:val="true"/>
        </w:rPr>
        <w:footnoteReference w:id="1923"/>
      </w:r>
      <w:r>
        <w:rPr>
          <w:rFonts w:ascii="IRNazanin" w:hAnsi="IRNazanin" w:eastAsia="IRNazanin"/>
          <w:color w:val="111111"/>
          <w:sz w:val="28"/>
          <w:sz w:val="28"/>
          <w:szCs w:val="28"/>
          <w:rtl w:val="true"/>
          <w:lang w:bidi="fa-IR"/>
        </w:rPr>
        <w:t>به‌معلّمین ابلاغ نمایید که اگر در تأدیب اطفال بیش از سه ضربه شلاّق بزنند، قصاص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علیه السلام جواز تأدیب صبیان به وسیلة معلّم را مسلّم دانسته و تنها در مقدار آن اظهار نظر فرموده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مسأله که آیا لازم است معلّم از پدر و جدّ برای تأدیب کودک اجازه بگیرد یا خیر، دو تحلیل فقهی وجود دارد؛ از جهت ظهور و اطلاق روایتی که مستند این</w:t>
      </w:r>
      <w:bookmarkStart w:id="871" w:name="pg13713_164742"/>
    </w:p>
    <w:p>
      <w:pPr>
        <w:pStyle w:val="BookText"/>
        <w:rPr/>
      </w:pPr>
      <w:bookmarkEnd w:id="871"/>
      <w:r>
        <w:rPr>
          <w:rFonts w:ascii="IRNazanin" w:hAnsi="IRNazanin" w:eastAsia="IRNazanin"/>
          <w:color w:val="111111"/>
          <w:sz w:val="28"/>
          <w:sz w:val="28"/>
          <w:szCs w:val="28"/>
          <w:rtl w:val="true"/>
          <w:lang w:bidi="fa-IR"/>
        </w:rPr>
        <w:t>حکم است، اذن پدر لازم نیست؛ زیرا اطلاق آن شامل میشود موردی که معلّم از طرف پدر مأذون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وجه دیگری که قویتر به نظر میرسد این است که ولایت بر تأدیب بر خلاف اصل است، بنابراین باید به موردی که نسبت به آن یقین و اطمینان وجود دارد منحصر شود و آن جایی است که پدر کودک به معلّم اذن تأدیب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اجماع و قاعده احسان نیز همین است، زیرا نمیتوان ادّعا کرد تأدیب کودک و زدن او حتّی اگر پدرش نهی نموده باشد احسان به وی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احتمال کافی است، تا محدوة دلیل، منحصر به موردی قرار دهیم که پدر کودک اجازه تأدیب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محمدرضا گلپایگانی 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در تأدیب استقلال ندارد و به اذن ولی نیاز دارد، زیرا اگر چه ممکن است، معلّم از تأدیب قصد خیر و اصلاح کودک را در نظر داشته باشد، ولی چه بسا پدر این‌گونه نیندیشد و راضی نباشد که فرزندش را کتک بزنند تا علم بیاموزد</w:t>
      </w:r>
      <w:r>
        <w:rPr>
          <w:rFonts w:eastAsia="IRNazanin" w:cs="IRNazanin"/>
          <w:color w:val="111111"/>
          <w:sz w:val="28"/>
          <w:szCs w:val="28"/>
          <w:rtl w:val="true"/>
          <w:lang w:bidi="fa-IR"/>
        </w:rPr>
        <w:t>».</w:t>
      </w:r>
      <w:r>
        <w:rPr>
          <w:rStyle w:val="FootnoteAnchor"/>
          <w:rtl w:val="true"/>
        </w:rPr>
        <w:footnoteReference w:id="1924"/>
      </w:r>
    </w:p>
    <w:p>
      <w:pPr>
        <w:pStyle w:val="BookText"/>
        <w:rPr/>
      </w:pPr>
      <w:r>
        <w:rPr>
          <w:rFonts w:ascii="IRNazanin" w:hAnsi="IRNazanin" w:eastAsia="IRNazanin"/>
          <w:color w:val="111111"/>
          <w:sz w:val="28"/>
          <w:sz w:val="28"/>
          <w:szCs w:val="28"/>
          <w:rtl w:val="true"/>
          <w:lang w:bidi="fa-IR"/>
        </w:rPr>
        <w:t>از توضیحاتی که داده شد، روشن گردید که، جواز تأدیب کودک به وسیله معلّم منحصر به مورد فراگیری علم و تخلّف از ضوابط و مقررّات مدرسه است و در غیر این مورد حق دخالت ندارد و در هرکجا تردید پیدا شود حکم به عدم جواز میگردد</w:t>
      </w:r>
      <w:r>
        <w:rPr>
          <w:rFonts w:eastAsia="IRNazanin" w:cs="IRNazanin"/>
          <w:color w:val="111111"/>
          <w:sz w:val="28"/>
          <w:szCs w:val="28"/>
          <w:rtl w:val="true"/>
          <w:lang w:bidi="fa-IR"/>
        </w:rPr>
        <w:t>.</w:t>
      </w:r>
      <w:r>
        <w:rPr>
          <w:rStyle w:val="FootnoteAnchor"/>
          <w:rtl w:val="true"/>
        </w:rPr>
        <w:footnoteReference w:id="1925"/>
      </w:r>
      <w:r>
        <w:rPr>
          <w:rFonts w:ascii="IRNazanin" w:hAnsi="IRNazanin" w:eastAsia="IRNazanin"/>
          <w:color w:val="111111"/>
          <w:sz w:val="28"/>
          <w:sz w:val="28"/>
          <w:szCs w:val="28"/>
          <w:rtl w:val="true"/>
          <w:lang w:bidi="fa-IR"/>
        </w:rPr>
        <w:t>هم چنین به استناد ادلّه فقهی، ولایت مؤمنان عادل بر تأدیب کودک با رعایت شرایط مربوط ثابت است که توضیح وتحقیق در این‌باره مجال بیشتری را میطلبد</w:t>
      </w:r>
      <w:r>
        <w:rPr>
          <w:rFonts w:eastAsia="IRNazanin" w:cs="IRNazanin"/>
          <w:color w:val="111111"/>
          <w:sz w:val="28"/>
          <w:szCs w:val="28"/>
          <w:rtl w:val="true"/>
          <w:lang w:bidi="fa-IR"/>
        </w:rPr>
        <w:t>.</w:t>
      </w:r>
    </w:p>
    <w:p>
      <w:pPr>
        <w:pStyle w:val="Heading4"/>
        <w:numPr>
          <w:ilvl w:val="3"/>
          <w:numId w:val="1"/>
        </w:numPr>
        <w:rPr/>
      </w:pPr>
      <w:bookmarkStart w:id="872" w:name="__RefHeading___Toc1259950_1468164448"/>
      <w:bookmarkStart w:id="873" w:name="_Toc320"/>
      <w:bookmarkEnd w:id="872"/>
      <w:r>
        <w:rPr/>
        <w:t>6</w:t>
      </w:r>
      <w:r>
        <w:rPr>
          <w:rtl w:val="true"/>
        </w:rPr>
        <w:t xml:space="preserve">- </w:t>
      </w:r>
      <w:r>
        <w:rPr>
          <w:rtl w:val="true"/>
        </w:rPr>
        <w:t>تأدیب کودک به وسیله دادگاه اطفال</w:t>
      </w:r>
      <w:bookmarkEnd w:id="87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روزگاران گذشته کودکان را مانند افراد بالغ مجازات میکردند، ولی قوانین جزایی جدید که بر پایه فرض مسئولیت بیان شده است، کودک را به خاطر فاقد بودن قدرت شعور و تمیز کامل، معاف از مجازات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بزهکاری کودکان دارای اهمیت بسیاری است هر چند که آنان فاقد مسئولیت جزایی و معاف از مجازات</w:t>
      </w:r>
    </w:p>
    <w:p>
      <w:pPr>
        <w:pStyle w:val="BookText"/>
        <w:rPr/>
      </w:pP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1926"/>
      </w:r>
      <w:r>
        <w:rPr>
          <w:rFonts w:ascii="IRNazanin" w:hAnsi="IRNazanin" w:eastAsia="IRNazanin"/>
          <w:color w:val="111111"/>
          <w:sz w:val="28"/>
          <w:sz w:val="28"/>
          <w:szCs w:val="28"/>
          <w:rtl w:val="true"/>
          <w:lang w:bidi="fa-IR"/>
        </w:rPr>
        <w:t>واتخاذ بعضی از تدابیر تأمینی و تربیتی و حتی اجرای بعضی از مجازات‌های ملایم در مورد آنان ضرورت دارد</w:t>
      </w:r>
      <w:r>
        <w:rPr>
          <w:rFonts w:eastAsia="IRNazanin" w:cs="IRNazanin"/>
          <w:color w:val="111111"/>
          <w:sz w:val="28"/>
          <w:szCs w:val="28"/>
          <w:rtl w:val="true"/>
          <w:lang w:bidi="fa-IR"/>
        </w:rPr>
        <w:t>.</w:t>
      </w:r>
      <w:r>
        <w:rPr>
          <w:rStyle w:val="FootnoteAnchor"/>
          <w:rtl w:val="true"/>
        </w:rPr>
        <w:footnoteReference w:id="1927"/>
      </w:r>
      <w:r>
        <w:rPr>
          <w:rFonts w:ascii="IRNazanin" w:hAnsi="IRNazanin" w:eastAsia="IRNazanin"/>
          <w:color w:val="111111"/>
          <w:sz w:val="28"/>
          <w:sz w:val="28"/>
          <w:szCs w:val="28"/>
          <w:rtl w:val="true"/>
          <w:lang w:bidi="fa-IR"/>
        </w:rPr>
        <w:t>به همین جهت از قرن هفدهم میلادی به بعد در اکثر کشورها برای بهبود وضع کودکان بزه کار اقدامات مؤثری انجام شد، در قوانین کیفری حدود سنی تعیین شد و مجازات کودکان خفیف‌تر از بزرگسالان مقرّر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با ورود به قرن بیستم و پیشرفت علم و صنعت که به دلایل مختلف، از جمله از هم گسیختگی نظام خانواده، منجر به بزه‌کاری کودکان و نوجوانان شد، حساسیت بیشتری پیدا کرد و افکار عمومی با تشویش و نگرانی که در این رابطه وجود داشت، آماده پذیرش تحولات و تجدید نظر در قوانین کیفری مربوط به اطفال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برخی از کشورها در قوانین کیفری سنّ مسئولیت کیفری کودکان تعیین گردید و مؤسساتی برای تأدیب و اصلاح آنها تحت عنوان حمایت از اطفال و دادگاه‌های اطفال تأسیس شد که تا این زمان به کار خود ادامه میدهد</w:t>
      </w:r>
      <w:r>
        <w:rPr>
          <w:rFonts w:eastAsia="IRNazanin" w:cs="IRNazanin"/>
          <w:color w:val="111111"/>
          <w:sz w:val="28"/>
          <w:szCs w:val="28"/>
          <w:rtl w:val="true"/>
          <w:lang w:bidi="fa-IR"/>
        </w:rPr>
        <w:t>.</w:t>
      </w:r>
      <w:r>
        <w:rPr>
          <w:rStyle w:val="FootnoteAnchor"/>
          <w:rtl w:val="true"/>
        </w:rPr>
        <w:footnoteReference w:id="1928"/>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دادگاه اطفال که با ویژگیهای خاص خود با تشکیلات قضایی بزرگسالان متفاوت است، به بزه‌کاری کودک رسیدگی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در دادگاه اطفال، قاضی به عنوان ریاست دادگاه تنها فرد تصمیم گیرنده درمورد طفل نیست، بلکه نظر کارشناسان قضایی درتغییر روند پرونده نقشی مهم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رسیدگی به پرونده با حضور روان‌شناسان، پزشکان، متخصّصان علوم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لحاظ شخصیّت خاص و وضعیت ویژه کودک، قاضی اطفال باید علاوه بر علم حقوق به علوم دیگر از جمله علوم اجتماعی، جامعه‌شناسی، روان‌شناسی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تمام اعضای دادگاه، از قاضی تا کارشناس با هدف کمک به کودک بزه کار و نیز اصلاح و درمان وی، به پرونده او رسیدگی میکنند و این خود مشخّصه‌ای است که دادگاه اطفال از دادگاه بزرگسالان متمایز میسازد و علاوه بر آن نشانگر اهداف عالی و والای دادگاه ویژه اطفال میباشد</w:t>
      </w:r>
      <w:r>
        <w:rPr>
          <w:rFonts w:eastAsia="IRNazanin" w:cs="IRNazanin"/>
          <w:color w:val="111111"/>
          <w:sz w:val="28"/>
          <w:szCs w:val="28"/>
          <w:rtl w:val="true"/>
          <w:lang w:bidi="fa-IR"/>
        </w:rPr>
        <w:t>.</w:t>
      </w:r>
      <w:r>
        <w:rPr>
          <w:rStyle w:val="FootnoteAnchor"/>
          <w:rtl w:val="true"/>
        </w:rPr>
        <w:footnoteReference w:id="1929"/>
      </w:r>
      <w:bookmarkStart w:id="874" w:name="pg13713_164744"/>
    </w:p>
    <w:p>
      <w:pPr>
        <w:pStyle w:val="Heading4"/>
        <w:numPr>
          <w:ilvl w:val="3"/>
          <w:numId w:val="1"/>
        </w:numPr>
        <w:rPr/>
      </w:pPr>
      <w:bookmarkStart w:id="875" w:name="__RefHeading___Toc1259952_1468164448"/>
      <w:bookmarkStart w:id="876" w:name="_Toc321"/>
      <w:bookmarkEnd w:id="874"/>
      <w:bookmarkEnd w:id="875"/>
      <w:r>
        <w:rPr/>
        <w:t>7</w:t>
      </w:r>
      <w:r>
        <w:rPr>
          <w:rtl w:val="true"/>
        </w:rPr>
        <w:t xml:space="preserve">- </w:t>
      </w:r>
      <w:r>
        <w:rPr>
          <w:rtl w:val="true"/>
        </w:rPr>
        <w:t>دادگاه اطفال در ایران</w:t>
      </w:r>
      <w:bookmarkEnd w:id="876"/>
    </w:p>
    <w:p>
      <w:pPr>
        <w:pStyle w:val="BookText"/>
        <w:rPr/>
      </w:pPr>
      <w:r>
        <w:rPr>
          <w:rFonts w:ascii="IRNazanin" w:hAnsi="IRNazanin" w:eastAsia="IRNazanin"/>
          <w:color w:val="111111"/>
          <w:sz w:val="28"/>
          <w:sz w:val="28"/>
          <w:szCs w:val="28"/>
          <w:rtl w:val="true"/>
          <w:lang w:bidi="fa-IR"/>
        </w:rPr>
        <w:t xml:space="preserve">در ایران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تشکیل دادگاه اطفال بزه کار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ده تبصره به تصویب رسید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دادگاه اطفال شروع به کار نمود</w:t>
      </w:r>
      <w:r>
        <w:rPr>
          <w:rFonts w:eastAsia="IRNazanin" w:cs="IRNazanin"/>
          <w:color w:val="111111"/>
          <w:sz w:val="28"/>
          <w:szCs w:val="28"/>
          <w:rtl w:val="true"/>
          <w:lang w:bidi="fa-IR"/>
        </w:rPr>
        <w:t>.</w:t>
      </w:r>
      <w:r>
        <w:rPr>
          <w:rStyle w:val="FootnoteAnchor"/>
          <w:rtl w:val="true"/>
        </w:rPr>
        <w:footnoteReference w:id="1930"/>
      </w:r>
      <w:r>
        <w:rPr>
          <w:rFonts w:ascii="IRNazanin" w:hAnsi="IRNazanin" w:eastAsia="IRNazanin"/>
          <w:color w:val="111111"/>
          <w:sz w:val="28"/>
          <w:sz w:val="28"/>
          <w:szCs w:val="28"/>
          <w:rtl w:val="true"/>
          <w:lang w:bidi="fa-IR"/>
        </w:rPr>
        <w:t>روند تأدیب اطفال بزه کار در قوانین جزایی پس از پیروزی انقلاب نیز ادامه یافت و در تصویب قوانین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قانونی تشکیل دادگاه‌های عمومی مصوّب شورای انقلاب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جرایم اطفال در دادگاه جزا به ترتیب مقرّر در قانون تشکیل دادگاه اطفال بزه‌کار،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 تصویب آئین‌نامه دادرسی دادگاه‌های عمومی و انقلاب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موادی از آن در ارتباط با رسیدگی به جرایم اطفال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کودکان بزه کار مورد توجّه بیشتری قرار گرفت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پیشنهاد قوه قضاییه، هیأت وزیران در تاریخ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لایحه‌ای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لایحه رسیدگی به جرایم اطفال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لایحه وظایف دادگاه اطفال و شرایط و نحوه رسیدگی به جرایم آنان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موضوع در ادامه به بعضی از مواد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حوزه قضایی شهرستان یک یا چند شعبه دادگاه اطفال و نوجوان بر حسب نیاز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کلیه جرایم اشخاص کم‌تر از هیجده سال تمام، در دادگاه اطفال رسیدگی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مشاوران دادگاه‌های اطفال و نوجوانان از بین متخصّصان علوم روانشناسی و تربیتی مددکاران اجتماعی و دانشگاهیان و فرهنگیان آشنا به مسائل روانشناسی و تربیتی کودکان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شاغل و بازنشسته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و نحوه رسیدگی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اقدامات اعم از تعقیب، تحقیق و رسیدگی به جرایم اطفال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رأساً توسط دادگاه اطفال به عمل میآید و دادگاه مذکور کلیه وظایفی را که بر طبق قانون به عهده ظابطان دادگستری و دادسرا است،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تنظیم این ماده آن است که اطفال در صورت ارتکاب جرم در حدّ امکان کم‌تر با مجرمان بزرگسال در یک مکان نگهداری شوند و در ضمن کلیه تحقیقات توسط قضات صورت پذیرد، تا دقّت بیشتری به عمل آید و از صدمات روحی و روانی بر کودک بزه کار جلوگیری به عمل‌آید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رسیدگی به جرایم اطفال علنی نخواهد بود و در دادگاه فقط اولیا و سرپرست قانونی طفل و وکیل مدافع و شهود، در صورتی که دادگاه حضور آنان را لازم بداند، حاضر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مذکور در این خصوص مقرّر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جریان رسیدگی یا افشای هویّت و مشخصات متهم به وسیله مطبوعات یا سایر رسانه‌های گروهی یا به هر طریق دیگر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تصمیمات دادگاه در ارتباط با کودکانی که مرتکب جرم شده‌اند را چنین بیان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و نوجوانانی که سن آنها بیش از نه سال تا پانزده سال تمام خورشیدی است، در صورت ارتکاب جرم حسب مورد، دادگاه یکی از تصمیمات زیر را اتّخاذ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والدین یا به اولیا و یا سرپرست قانونی با اخذ تعهّد به تأدیب و تربیت و مواظبت درحسن اخلاق طفل و نوجوان، در این صورت هرگاه دادگاه مصلحت بداند میتواند بر حسب مورد از اشخاص مذکور تعهّد به انجام اموری از قبیل موارد ذیل و اعلام نتیجه به دادگاه در مهلت مقرّر را أخذ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طفل و یا نوجوان به مددکار اجتماعی یا روانشناسی و دیگر متخصّصان و همکاری با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فرستادن طفل و یا نوجوان به یک موسسه آموزشی و فرهنگی به منظور تحصیل و یا حرفه‌آموزی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اقدامات لازم جهت درمان و یا ترک اعتیاد طفل یا نوجوان تحت نظر پزشک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معاشرت طفل یا نوجوان با اشخاصی که دادگاه ارتباط با آنها را مضر تشخیص دهد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رفت و آمد طفل و یا نوجوان به محل‌های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اشخاص حقیقی یا حقوقی دیگری که دادگاه به مصلحت طفل و یا نوجوان بداند، با الزام به دستورهای مذکور در بند فوق در موارد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صلاحیت والدین، اولیا یا سرپرست قانونی طفل یا نوجوان و یا عدم دسترسی‌به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امکان الزام والدین، اولیا یا سرپرست قانونی به تأدیب، تربیت و مواظبت در حسن اخلاق طفل و یا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نصیحت به وسیله قاضی دادگاه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اخطار، تذکّر و تعهّد به عدم تکرار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کتبی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در کانون اصلاح و تربیتی از سه ماه تا یک سال در مورد جرایمی که مجازات قانونی آن سه سال و یا بیش از سه سال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ماده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تصمیمات مذکور در بندهای د و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 خصوص اطفال و نوجوانان بیش از دوازده سال و تا پانزده سال قابل اجرا خواهد بود</w:t>
      </w:r>
      <w:r>
        <w:rPr>
          <w:rFonts w:eastAsia="IRNazanin" w:cs="IRNazanin"/>
          <w:color w:val="111111"/>
          <w:sz w:val="28"/>
          <w:szCs w:val="28"/>
          <w:rtl w:val="true"/>
          <w:lang w:bidi="fa-IR"/>
        </w:rPr>
        <w:t>».</w:t>
      </w:r>
      <w:bookmarkStart w:id="877" w:name="pg13713_164747"/>
    </w:p>
    <w:p>
      <w:pPr>
        <w:pStyle w:val="Heading3"/>
        <w:numPr>
          <w:ilvl w:val="2"/>
          <w:numId w:val="1"/>
        </w:numPr>
        <w:rPr/>
      </w:pPr>
      <w:bookmarkStart w:id="878" w:name="__RefHeading___Toc1259954_1468164448"/>
      <w:bookmarkStart w:id="879" w:name="_Toc322"/>
      <w:bookmarkEnd w:id="877"/>
      <w:bookmarkEnd w:id="878"/>
      <w:r>
        <w:rPr>
          <w:rtl w:val="true"/>
        </w:rPr>
        <w:t>گفتار چهارم</w:t>
      </w:r>
      <w:r>
        <w:rPr>
          <w:rtl w:val="true"/>
        </w:rPr>
        <w:t xml:space="preserve">: </w:t>
      </w:r>
      <w:r>
        <w:rPr>
          <w:rtl w:val="true"/>
        </w:rPr>
        <w:t>مقدار تأدیب</w:t>
      </w:r>
      <w:bookmarkEnd w:id="879"/>
    </w:p>
    <w:p>
      <w:pPr>
        <w:pStyle w:val="Heading4"/>
        <w:numPr>
          <w:ilvl w:val="3"/>
          <w:numId w:val="1"/>
        </w:numPr>
        <w:rPr/>
      </w:pPr>
      <w:bookmarkStart w:id="880" w:name="__RefHeading___Toc1259956_1468164448"/>
      <w:bookmarkStart w:id="881" w:name="_Toc323"/>
      <w:bookmarkEnd w:id="880"/>
      <w:r>
        <w:rPr/>
        <w:t>1</w:t>
      </w:r>
      <w:r>
        <w:rPr>
          <w:rtl w:val="true"/>
        </w:rPr>
        <w:t xml:space="preserve">- </w:t>
      </w:r>
      <w:r>
        <w:rPr>
          <w:rtl w:val="true"/>
        </w:rPr>
        <w:t>طرح موضوع</w:t>
      </w:r>
      <w:bookmarkEnd w:id="881"/>
    </w:p>
    <w:p>
      <w:pPr>
        <w:pStyle w:val="BookText"/>
        <w:rPr/>
      </w:pPr>
      <w:r>
        <w:rPr>
          <w:rFonts w:ascii="IRNazanin" w:hAnsi="IRNazanin" w:eastAsia="IRNazanin"/>
          <w:color w:val="111111"/>
          <w:sz w:val="28"/>
          <w:sz w:val="28"/>
          <w:szCs w:val="28"/>
          <w:rtl w:val="true"/>
          <w:lang w:bidi="fa-IR"/>
        </w:rPr>
        <w:t>با عنایت به ادلّه فقهی که در جای خود به اثبات رسیده است،</w:t>
      </w:r>
      <w:r>
        <w:rPr>
          <w:rStyle w:val="FootnoteAnchor"/>
          <w:rtl w:val="true"/>
        </w:rPr>
        <w:footnoteReference w:id="1931"/>
      </w:r>
      <w:r>
        <w:rPr>
          <w:rFonts w:ascii="IRNazanin" w:hAnsi="IRNazanin" w:eastAsia="IRNazanin"/>
          <w:color w:val="111111"/>
          <w:sz w:val="28"/>
          <w:sz w:val="28"/>
          <w:szCs w:val="28"/>
          <w:rtl w:val="true"/>
          <w:lang w:bidi="fa-IR"/>
        </w:rPr>
        <w:t>برای امام و حاکم شرع جایز و در بعضی از موارد واجب است تا با انواع عقوبت‌ها مجرم را مجازات و تعزیر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مجرم اختصاص به نوعی خاص از مجازات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بسیاری از روایات و عبارات فقها، تعزیر فقط بر ضرب کم‌تر از حدّ، اطلاق شده است، لیکن این بدین دلیل است که مصداق روشن تعزیر در زمان صدور روایات، ضرب بوده است و نیز به این جهت است که اجرای آن نسبت به دیگر مصادیق در بسیاری از موارد از جهات مختلف اولویت دارد وگرنه هیچ دلیلی مبنی بر این‌که تعزیر منحصر به مصداق خاصّی از مجازات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حاکم شرع با حفظ شرایط لازم، مثل رعایت تناسب جرم و مجازات و در نظر گرفتن مصالح مجرم و جامعه اسلامی، به هرصورت که صلاح بداند مجرم را با توبیخ، سرزنش، ضرب، حبس، جریمه مالی، تخریب اماکن فساد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و از انجام گناه منع کند و از تکرار آن به وسیله او و دیگر افراد جامعه جلوگیری به عمل آورد</w:t>
      </w:r>
      <w:r>
        <w:rPr>
          <w:rFonts w:eastAsia="IRNazanin" w:cs="IRNazanin"/>
          <w:color w:val="111111"/>
          <w:sz w:val="28"/>
          <w:szCs w:val="28"/>
          <w:rtl w:val="true"/>
          <w:lang w:bidi="fa-IR"/>
        </w:rPr>
        <w:t>.</w:t>
      </w:r>
      <w:r>
        <w:rPr>
          <w:rStyle w:val="FootnoteAnchor"/>
          <w:rtl w:val="true"/>
        </w:rPr>
        <w:footnoteReference w:id="193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عنایت به این‌که تأدیب کودک نیز نوعی مجازات تعزیری است که باید خفیف‌تر، سبک‌تر و آسان‌تر، از تعزیر افراد بزرگسال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در تعزیر رعایت آن لازم</w:t>
      </w:r>
      <w:bookmarkStart w:id="882" w:name="pg13713_164748"/>
    </w:p>
    <w:p>
      <w:pPr>
        <w:pStyle w:val="BookText"/>
        <w:rPr/>
      </w:pPr>
      <w:bookmarkEnd w:id="882"/>
      <w:r>
        <w:rPr>
          <w:rFonts w:ascii="IRNazanin" w:hAnsi="IRNazanin" w:eastAsia="IRNazanin"/>
          <w:color w:val="111111"/>
          <w:sz w:val="28"/>
          <w:sz w:val="28"/>
          <w:szCs w:val="28"/>
          <w:rtl w:val="true"/>
          <w:lang w:bidi="fa-IR"/>
        </w:rPr>
        <w:t>است، در تأدیب کودک نیز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رعایت تناسب بین بزه ارتکابی و تأدیبی که اعمال آن بر کودک ممکن و مفید است، مثل سرزنش، توبیخ، نگهداری در اماکن معیّن، محروم سازی و از این قبیل امور به گونه‌ای که مصلحت کودک بزه کار از جهات مختلف مورد توجّه قرار گیرد</w:t>
      </w:r>
      <w:r>
        <w:rPr>
          <w:rFonts w:eastAsia="IRNazanin" w:cs="IRNazanin"/>
          <w:color w:val="111111"/>
          <w:sz w:val="28"/>
          <w:szCs w:val="28"/>
          <w:rtl w:val="true"/>
          <w:lang w:bidi="fa-IR"/>
        </w:rPr>
        <w:t>.</w:t>
      </w:r>
    </w:p>
    <w:p>
      <w:pPr>
        <w:pStyle w:val="Heading4"/>
        <w:numPr>
          <w:ilvl w:val="3"/>
          <w:numId w:val="1"/>
        </w:numPr>
        <w:rPr/>
      </w:pPr>
      <w:bookmarkStart w:id="883" w:name="__RefHeading___Toc1259958_1468164448"/>
      <w:bookmarkStart w:id="884" w:name="_Toc324"/>
      <w:bookmarkEnd w:id="883"/>
      <w:r>
        <w:rPr/>
        <w:t>2</w:t>
      </w:r>
      <w:r>
        <w:rPr>
          <w:rtl w:val="true"/>
        </w:rPr>
        <w:t xml:space="preserve">- </w:t>
      </w:r>
      <w:r>
        <w:rPr>
          <w:rtl w:val="true"/>
        </w:rPr>
        <w:t>مقدار تأدیب با ضرب</w:t>
      </w:r>
      <w:bookmarkEnd w:id="884"/>
    </w:p>
    <w:p>
      <w:pPr>
        <w:pStyle w:val="BookText"/>
        <w:rPr/>
      </w:pPr>
      <w:r>
        <w:rPr>
          <w:rFonts w:ascii="IRNazanin" w:hAnsi="IRNazanin" w:eastAsia="IRNazanin"/>
          <w:color w:val="111111"/>
          <w:sz w:val="28"/>
          <w:sz w:val="28"/>
          <w:szCs w:val="28"/>
          <w:rtl w:val="true"/>
          <w:lang w:bidi="fa-IR"/>
        </w:rPr>
        <w:t>این پرسش مطرح است در موردی که جایز است کودک بزه کار باضرب تأدیب شود، مقدار آن چه اندازه میباشد؟ در این‌باره چند نظر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شش ضربه</w:t>
      </w:r>
    </w:p>
    <w:p>
      <w:pPr>
        <w:pStyle w:val="BookText"/>
        <w:rPr/>
      </w:pPr>
      <w:r>
        <w:rPr>
          <w:rFonts w:ascii="IRNazanin" w:hAnsi="IRNazanin" w:eastAsia="IRNazanin"/>
          <w:color w:val="111111"/>
          <w:sz w:val="28"/>
          <w:sz w:val="28"/>
          <w:szCs w:val="28"/>
          <w:rtl w:val="true"/>
          <w:lang w:bidi="fa-IR"/>
        </w:rPr>
        <w:t>برخی از فقها</w:t>
      </w:r>
      <w:r>
        <w:rPr>
          <w:rStyle w:val="FootnoteAnchor"/>
          <w:rtl w:val="true"/>
        </w:rPr>
        <w:footnoteReference w:id="1933"/>
      </w:r>
      <w:r>
        <w:rPr>
          <w:rFonts w:ascii="IRNazanin" w:hAnsi="IRNazanin" w:eastAsia="IRNazanin"/>
          <w:color w:val="111111"/>
          <w:sz w:val="28"/>
          <w:sz w:val="28"/>
          <w:szCs w:val="28"/>
          <w:rtl w:val="true"/>
          <w:lang w:bidi="fa-IR"/>
        </w:rPr>
        <w:t>از جمله شیخ طوسی</w:t>
      </w:r>
      <w:r>
        <w:rPr>
          <w:rStyle w:val="FootnoteAnchor"/>
          <w:rtl w:val="true"/>
        </w:rPr>
        <w:footnoteReference w:id="1934"/>
      </w:r>
      <w:r>
        <w:rPr>
          <w:rFonts w:ascii="IRNazanin" w:hAnsi="IRNazanin" w:eastAsia="IRNazanin"/>
          <w:color w:val="111111"/>
          <w:sz w:val="28"/>
          <w:sz w:val="28"/>
          <w:szCs w:val="28"/>
          <w:rtl w:val="true"/>
          <w:lang w:bidi="fa-IR"/>
        </w:rPr>
        <w:t>و بعضی از اعلام فقهای معاصر</w:t>
      </w:r>
      <w:r>
        <w:rPr>
          <w:rStyle w:val="FootnoteAnchor"/>
          <w:rtl w:val="true"/>
        </w:rPr>
        <w:footnoteReference w:id="1935"/>
      </w:r>
      <w:r>
        <w:rPr>
          <w:rFonts w:ascii="IRNazanin" w:hAnsi="IRNazanin" w:eastAsia="IRNazanin"/>
          <w:color w:val="111111"/>
          <w:sz w:val="28"/>
          <w:sz w:val="28"/>
          <w:szCs w:val="28"/>
          <w:rtl w:val="true"/>
          <w:lang w:bidi="fa-IR"/>
        </w:rPr>
        <w:t>معتقدند نباید مقدار تأدیب از پنج تا شش ضربه شلاّق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این مقدار را مقتضای احتیاط دانسته‌اند</w:t>
      </w:r>
      <w:r>
        <w:rPr>
          <w:rFonts w:eastAsia="IRNazanin" w:cs="IRNazanin"/>
          <w:color w:val="111111"/>
          <w:sz w:val="28"/>
          <w:szCs w:val="28"/>
          <w:rtl w:val="true"/>
          <w:lang w:bidi="fa-IR"/>
        </w:rPr>
        <w:t>.</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مستند این دیدگاه روایت معتبری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درموردمقدار تأدیب کودک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شش ضربه و لازم است با آن بامدارایی رفتار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اوْ سِتَّةٌ وَارفُق</w:t>
      </w:r>
      <w:r>
        <w:rPr>
          <w:rFonts w:eastAsia="IRNazanin" w:cs="IRNazanin"/>
          <w:color w:val="111111"/>
          <w:sz w:val="28"/>
          <w:szCs w:val="28"/>
          <w:rtl w:val="true"/>
          <w:lang w:bidi="fa-IR"/>
        </w:rPr>
        <w:t>»</w:t>
      </w:r>
      <w:r>
        <w:rPr>
          <w:rStyle w:val="FootnoteAnchor"/>
          <w:rtl w:val="true"/>
        </w:rPr>
        <w:footnoteReference w:id="1937"/>
      </w:r>
      <w:r>
        <w:rPr>
          <w:rFonts w:ascii="IRNazanin" w:hAnsi="IRNazanin" w:eastAsia="IRNazanin"/>
          <w:color w:val="111111"/>
          <w:sz w:val="28"/>
          <w:sz w:val="28"/>
          <w:szCs w:val="28"/>
          <w:rtl w:val="true"/>
          <w:lang w:bidi="fa-IR"/>
        </w:rPr>
        <w:t>شبیه این مضمون در روایت معتبر دیگری نیزآمده است</w:t>
      </w:r>
      <w:r>
        <w:rPr>
          <w:rFonts w:eastAsia="IRNazanin" w:cs="IRNazanin"/>
          <w:color w:val="111111"/>
          <w:sz w:val="28"/>
          <w:szCs w:val="28"/>
          <w:rtl w:val="true"/>
          <w:lang w:bidi="fa-IR"/>
        </w:rPr>
        <w:t>.</w:t>
      </w:r>
      <w:r>
        <w:rPr>
          <w:rStyle w:val="FootnoteAnchor"/>
          <w:rtl w:val="true"/>
        </w:rPr>
        <w:footnoteReference w:id="1938"/>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که مقدار تأدیب را بیش‌تر از پنج ضربه جایز میداند، قرینه است بر این‌که تعیین مقدار ضرب در روایاتی که مستند این دیدگاه قرار گرفته است، از باب تطبیق و بیان مصداق است، نه این‌که جنبه انحصاری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بیش از ده ضربه</w:t>
      </w:r>
    </w:p>
    <w:p>
      <w:pPr>
        <w:pStyle w:val="BookText"/>
        <w:rPr/>
      </w:pPr>
      <w:r>
        <w:rPr>
          <w:rFonts w:ascii="IRNazanin" w:hAnsi="IRNazanin" w:eastAsia="IRNazanin"/>
          <w:color w:val="111111"/>
          <w:sz w:val="28"/>
          <w:sz w:val="28"/>
          <w:szCs w:val="28"/>
          <w:rtl w:val="true"/>
          <w:lang w:bidi="fa-IR"/>
        </w:rPr>
        <w:t>برخی دیگر از فقها معتقدند که مقدار تأدیب نباید بیش از ده تازیانه باشد</w:t>
      </w:r>
      <w:r>
        <w:rPr>
          <w:rFonts w:eastAsia="IRNazanin" w:cs="IRNazanin"/>
          <w:color w:val="111111"/>
          <w:sz w:val="28"/>
          <w:szCs w:val="28"/>
          <w:rtl w:val="true"/>
          <w:lang w:bidi="fa-IR"/>
        </w:rPr>
        <w:t>.</w:t>
      </w:r>
      <w:r>
        <w:rPr>
          <w:rStyle w:val="FootnoteAnchor"/>
          <w:rtl w:val="true"/>
        </w:rPr>
        <w:footnoteReference w:id="1939"/>
      </w:r>
      <w:r>
        <w:rPr>
          <w:rFonts w:ascii="IRNazanin" w:hAnsi="IRNazanin" w:eastAsia="IRNazanin"/>
          <w:color w:val="111111"/>
          <w:sz w:val="28"/>
          <w:sz w:val="28"/>
          <w:szCs w:val="28"/>
          <w:rtl w:val="true"/>
          <w:lang w:bidi="fa-IR"/>
        </w:rPr>
        <w:t>بعضی‌دیگر بیش از ده تازیانه را مکروه دانسته‌اند</w:t>
      </w:r>
      <w:r>
        <w:rPr>
          <w:rFonts w:eastAsia="IRNazanin" w:cs="IRNazanin"/>
          <w:color w:val="111111"/>
          <w:sz w:val="28"/>
          <w:szCs w:val="28"/>
          <w:rtl w:val="true"/>
          <w:lang w:bidi="fa-IR"/>
        </w:rPr>
        <w:t>.</w:t>
      </w:r>
      <w:r>
        <w:rPr>
          <w:rStyle w:val="FootnoteAnchor"/>
          <w:rtl w:val="true"/>
        </w:rPr>
        <w:footnoteReference w:id="1940"/>
      </w:r>
      <w:r>
        <w:rPr>
          <w:rFonts w:ascii="IRNazanin" w:hAnsi="IRNazanin" w:eastAsia="IRNazanin"/>
          <w:color w:val="111111"/>
          <w:sz w:val="28"/>
          <w:sz w:val="28"/>
          <w:szCs w:val="28"/>
          <w:rtl w:val="true"/>
          <w:lang w:bidi="fa-IR"/>
        </w:rPr>
        <w:t>ظاهراً دلیل این دیدگاه روایتی است که شیخ صدوق از پیغمبر اکرم صلی الله علیه و آله نقل نموده است که بر هیچ حاکمی که به خداوند متعال و روز قیامت معتقد باشد، جایز نیست بیش از ده ضربه شلاّق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لِوَالٍ یُؤْمِنْ بِاللهِ وَالْیَوْمٍ الاَخِرِ انْ یَجْلِدَ اکْثَرَ مِنْ عَشَرَةَ اسْوَاطٍ الاّ فِی حَدٍّ</w:t>
      </w:r>
      <w:r>
        <w:rPr>
          <w:rFonts w:eastAsia="IRNazanin" w:cs="IRNazanin"/>
          <w:color w:val="111111"/>
          <w:sz w:val="28"/>
          <w:szCs w:val="28"/>
          <w:rtl w:val="true"/>
          <w:lang w:bidi="fa-IR"/>
        </w:rPr>
        <w:t>».</w:t>
      </w:r>
      <w:r>
        <w:rPr>
          <w:rStyle w:val="FootnoteAnchor"/>
          <w:rtl w:val="true"/>
        </w:rPr>
        <w:footnoteReference w:id="1941"/>
      </w:r>
      <w:r>
        <w:rPr>
          <w:rFonts w:ascii="IRNazanin" w:hAnsi="IRNazanin" w:eastAsia="IRNazanin"/>
          <w:color w:val="111111"/>
          <w:sz w:val="28"/>
          <w:sz w:val="28"/>
          <w:szCs w:val="28"/>
          <w:rtl w:val="true"/>
          <w:lang w:bidi="fa-IR"/>
        </w:rPr>
        <w:t xml:space="preserve">این روایت هرچند از جهت سند مرسل است، ولی طبق نظر کسانی که معتقدند اگردر موردی شیخ صدوق روایت مرسله را صریحاً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صلی الله علیه و آله یا امام علیه السلام نسبت‌دهد، به منزله مسند است و دارای اعتبار سندی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به همین مضمون از امام رضا علیه السلام نقل شده است</w:t>
      </w:r>
      <w:r>
        <w:rPr>
          <w:rFonts w:eastAsia="IRNazanin" w:cs="IRNazanin"/>
          <w:color w:val="111111"/>
          <w:sz w:val="28"/>
          <w:szCs w:val="28"/>
          <w:rtl w:val="true"/>
          <w:lang w:bidi="fa-IR"/>
        </w:rPr>
        <w:t>.</w:t>
      </w:r>
    </w:p>
    <w:p>
      <w:pPr>
        <w:pStyle w:val="BookText"/>
        <w:rPr/>
      </w:pPr>
      <w:r>
        <w:rPr>
          <w:rStyle w:val="FootnoteAnchor"/>
          <w:rtl w:val="true"/>
        </w:rPr>
        <w:footnoteReference w:id="1942"/>
      </w:r>
      <w:r>
        <w:rPr>
          <w:rFonts w:ascii="IRNazanin" w:hAnsi="IRNazanin" w:eastAsia="IRNazanin"/>
          <w:color w:val="111111"/>
          <w:sz w:val="28"/>
          <w:sz w:val="28"/>
          <w:szCs w:val="28"/>
          <w:rtl w:val="true"/>
          <w:lang w:bidi="fa-IR"/>
        </w:rPr>
        <w:t xml:space="preserve">آن‌چه در جواب از نظر اول ذکر شد، در مورد این دیدگاه جاری است، علاوه بر این طبق نظر آن دسته از فقها که مبنای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اعتبار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راقبول ندارند، هر دو روایت از نظر سند ضعیف‌اند و نمی‌توانند مستند نظریه دوّم‌قرار گیرند، هم‌چنین نمیتوانند کراهت تأدیب به بیش از ده ضربه شلاّق رااثبات نمایند</w:t>
      </w:r>
      <w:r>
        <w:rPr>
          <w:rFonts w:eastAsia="IRNazanin" w:cs="IRNazanin"/>
          <w:color w:val="111111"/>
          <w:sz w:val="28"/>
          <w:szCs w:val="28"/>
          <w:rtl w:val="true"/>
          <w:lang w:bidi="fa-IR"/>
        </w:rPr>
        <w:t>.</w:t>
      </w:r>
      <w:r>
        <w:rPr>
          <w:rStyle w:val="FootnoteAnchor"/>
          <w:rtl w:val="true"/>
        </w:rPr>
        <w:footnoteReference w:id="1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دید تأدیب‌گر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سوم که در بین فقها مشهور است و از سایر دیدگاه‌ها قویتر میباشد این‌است که تعیین مقدار تأدیب به نظر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در مقام ایراد بر کلام علاّمه حلّی که معتقد است تأدیب به بیش از ده ضربه شلاّق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مدّعا بیدلیل است، زیرا تعیین مقدار تأدیب وابسته به نظر حاکم و مؤدّب است و تنها در این صورت</w:t>
      </w:r>
    </w:p>
    <w:p>
      <w:pPr>
        <w:pStyle w:val="BookText"/>
        <w:rPr/>
      </w:pPr>
      <w:r>
        <w:rPr>
          <w:rFonts w:ascii="IRNazanin" w:hAnsi="IRNazanin" w:eastAsia="IRNazanin"/>
          <w:color w:val="111111"/>
          <w:sz w:val="28"/>
          <w:sz w:val="28"/>
          <w:szCs w:val="28"/>
          <w:rtl w:val="true"/>
          <w:lang w:bidi="fa-IR"/>
        </w:rPr>
        <w:t>هدفی که از تشریع آن مدّ نظر بوده است به دست میآید</w:t>
      </w:r>
      <w:r>
        <w:rPr>
          <w:rFonts w:eastAsia="IRNazanin" w:cs="IRNazanin"/>
          <w:color w:val="111111"/>
          <w:sz w:val="28"/>
          <w:szCs w:val="28"/>
          <w:rtl w:val="true"/>
          <w:lang w:bidi="fa-IR"/>
        </w:rPr>
        <w:t>.</w:t>
      </w:r>
      <w:r>
        <w:rPr>
          <w:rStyle w:val="FootnoteAnchor"/>
          <w:rtl w:val="true"/>
        </w:rPr>
        <w:footnoteReference w:id="1944"/>
      </w:r>
      <w:r>
        <w:rPr>
          <w:rFonts w:ascii="IRNazanin" w:hAnsi="IRNazanin" w:eastAsia="IRNazanin"/>
          <w:color w:val="111111"/>
          <w:sz w:val="28"/>
          <w:sz w:val="28"/>
          <w:szCs w:val="28"/>
          <w:rtl w:val="true"/>
          <w:lang w:bidi="fa-IR"/>
        </w:rPr>
        <w:t>شبیه این تعبیر در عبارات دیگر فقها اعم از گذشتگان</w:t>
      </w:r>
      <w:r>
        <w:rPr>
          <w:rStyle w:val="FootnoteAnchor"/>
          <w:rtl w:val="true"/>
        </w:rPr>
        <w:footnoteReference w:id="1945"/>
      </w:r>
      <w:r>
        <w:rPr>
          <w:rFonts w:ascii="IRNazanin" w:hAnsi="IRNazanin" w:eastAsia="IRNazanin"/>
          <w:color w:val="111111"/>
          <w:sz w:val="28"/>
          <w:sz w:val="28"/>
          <w:szCs w:val="28"/>
          <w:rtl w:val="true"/>
          <w:lang w:bidi="fa-IR"/>
        </w:rPr>
        <w:t>تا معاصرین</w:t>
      </w:r>
      <w:r>
        <w:rPr>
          <w:rStyle w:val="FootnoteAnchor"/>
          <w:rtl w:val="true"/>
        </w:rPr>
        <w:footnoteReference w:id="1946"/>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نظریه اخیر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معتبر،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مرتکب جرم میشود و من او را میزنم، آیا این کار جایز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میزنی؟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تعجّب فرمود صد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حدّ زنا؟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مقدار باید بزنم؟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عرض کردم در این صورت از من حرف شنوی ندارد و مشکلاتی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سؤال و جواب ادامه یافت تا آن‌که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ضربه بزنید، سپس در حالی که غضبناک به نظر میرسید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جرمی که مرتکب شده میدانی بر او اجرای حدّ نما و از حدود الهی خارج مشو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 انْ کُنْتَ تَدْرِی حَدَّ مَا اجْرَمَ فَاَقِم الحَدَّ فِیهِ وَلاَ تَعَدَّ حُدُودَ اللهِ</w:t>
      </w:r>
      <w:r>
        <w:rPr>
          <w:rFonts w:eastAsia="IRNazanin" w:cs="IRNazanin"/>
          <w:color w:val="111111"/>
          <w:sz w:val="28"/>
          <w:szCs w:val="28"/>
          <w:rtl w:val="true"/>
          <w:lang w:bidi="fa-IR"/>
        </w:rPr>
        <w:t>»</w:t>
      </w:r>
      <w:r>
        <w:rPr>
          <w:rStyle w:val="FootnoteAnchor"/>
          <w:rtl w:val="true"/>
        </w:rPr>
        <w:footnoteReference w:id="1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حدّ در کلام امام علیه السلام تأدیب به معنای مورد بحث میباشد که تعیین مقدار آن به مؤدّب واگذار شده است، زیرا حدّ به معنی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مجازاتی که کمّیت و کیفیّت آن از طرف شارع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کودک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معنی کلام امام علیه السلام این است، اگر به مصالحی که در تأدیب کودک باید بدان توجّه شود و به مقدار تأدیب علم یا اطمینان دارای اقدام نما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چون متولیان تأدیب کودک در وقت اجرای آن باید به مصالح مختلف وی توجّه داشته باشند، اگر با ملاحظه آن امور، اطمینان پیدا شود که کودک باید چه مقدار تأدیب گردد، اقدام میشود، در عین حال باید جانب احتیاط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لنکرانی در برداشت از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جمله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إن‌کُنتَ تَدرِی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امر تأدیب به شخص مودّب واگذار شده است و تا اندازه‌ای که در جهت مصلحت طفل باشد، میتواند تأدیب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مقتضای احتیاط این است، که از پنج تا شش ضربه تجاوز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تأدیب صبی در امور متعارف بایدکمتر از تعزیر افراد بالغ به جهت ارتکاب حرام باشد</w:t>
      </w:r>
      <w:r>
        <w:rPr>
          <w:rFonts w:eastAsia="IRNazanin" w:cs="IRNazanin"/>
          <w:color w:val="111111"/>
          <w:sz w:val="28"/>
          <w:szCs w:val="28"/>
          <w:rtl w:val="true"/>
          <w:lang w:bidi="fa-IR"/>
        </w:rPr>
        <w:t>.</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تأدیب کودک باید کم‌تر از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امام‌صادق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مرتکب زنا شود به کم‌تر از حدّ تأدیب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یُجَلِدُ الغُلامَ دُونَ الحَدِّ</w:t>
      </w:r>
      <w:r>
        <w:rPr>
          <w:rFonts w:eastAsia="IRNazanin" w:cs="IRNazanin"/>
          <w:color w:val="111111"/>
          <w:sz w:val="28"/>
          <w:szCs w:val="28"/>
          <w:rtl w:val="true"/>
          <w:lang w:bidi="fa-IR"/>
        </w:rPr>
        <w:t>».</w:t>
      </w:r>
      <w:r>
        <w:rPr>
          <w:rStyle w:val="FootnoteAnchor"/>
          <w:rtl w:val="true"/>
        </w:rPr>
        <w:footnoteReference w:id="1949"/>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دلالت دارد، تعزیر به حاکم واگذار شده تا با رعایت مصلحت و احتیاط به انجام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تعزیر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حاکم مصلحت بداند، او باید با ملاحظه تناسب بین جرم و مجازات و توانایی مجرم اقدام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قَدْرِ مَا یَرَی الْوَالِیُ مِنَ ذَنْبِ الرَّجُلِ وَقُوَّةِ بَدَنِهِ</w:t>
      </w:r>
      <w:r>
        <w:rPr>
          <w:rFonts w:eastAsia="Amiri" w:cs="Amiri" w:ascii="Amiri" w:hAnsi="Amiri"/>
          <w:color w:val="111111"/>
          <w:sz w:val="28"/>
          <w:szCs w:val="28"/>
          <w:rtl w:val="true"/>
          <w:lang w:bidi="ar-SA"/>
        </w:rPr>
        <w:t>»</w:t>
      </w:r>
      <w:r>
        <w:rPr>
          <w:rStyle w:val="FootnoteAnchor"/>
          <w:rtl w:val="true"/>
        </w:rPr>
        <w:footnoteReference w:id="1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جمع‌بین‌این دو دسته از روایات این است تعیین مقدار تأدیب به اختیار مودّب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تأدیب به معنای مورد بحث ماهیتاً نوعی از تعزیر است که به جهت اصلاح کودکان بزه کار و حفظ مصالح آنها و جلوگیری ازارتکاب معاصی و فحشا و وادار نمودن آنها به عادات و رسوم صحیح تشریع شده است</w:t>
      </w:r>
      <w:r>
        <w:rPr>
          <w:rFonts w:eastAsia="IRNazanin" w:cs="IRNazanin"/>
          <w:color w:val="111111"/>
          <w:sz w:val="28"/>
          <w:szCs w:val="28"/>
          <w:rtl w:val="true"/>
          <w:lang w:bidi="fa-IR"/>
        </w:rPr>
        <w:t>.</w:t>
      </w:r>
      <w:r>
        <w:rPr>
          <w:rStyle w:val="FootnoteAnchor"/>
          <w:rtl w:val="true"/>
        </w:rPr>
        <w:footnoteReference w:id="195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حاکم در امور مختلف مربوط به تعزیر از جمله در تعیین مقدار آن دارای اختیار است و باید بر طبق مصلحت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اقتضا دارد، چنان‌که حاکم تشخیص دهد بیش از مقداری که در روایات تعیین گردیده است، تأدیب صورت گیرد، جایز باشد وگرنه آن‌چه از تشریع تأدیب مقصود بوده است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تأدیب به بیش از مقدار تعیین شده در روایات، درصورتی جایز است که مودّب علم داشته</w:t>
      </w:r>
      <w:bookmarkStart w:id="885" w:name="pg13713_164752"/>
    </w:p>
    <w:p>
      <w:pPr>
        <w:pStyle w:val="BookText"/>
        <w:rPr/>
      </w:pPr>
      <w:bookmarkEnd w:id="885"/>
      <w:r>
        <w:rPr>
          <w:rFonts w:ascii="IRNazanin" w:hAnsi="IRNazanin" w:eastAsia="IRNazanin"/>
          <w:color w:val="111111"/>
          <w:sz w:val="28"/>
          <w:sz w:val="28"/>
          <w:szCs w:val="28"/>
          <w:rtl w:val="true"/>
          <w:lang w:bidi="fa-IR"/>
        </w:rPr>
        <w:t>باشد با این مقدار تأدیب تحقق نمییابد، لیکن در صورتی که مردّد باشد، نمیتواند به بیش از این مقدار تأدیب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توضیحاتی که داده شد روشن گردید که اختلاف روایات در تعیین مقدار باید بر مناسبات، حالات، و ظروف مختلفی که با عنایت و توجّه به آنها روایات صادر شده است،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ملاک کلّی این است که هر مقدار که هدف و مقصود از تأدیب متوقّف بر آن است،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به مقدار حدّ شرعی نرسد، هم‌چنین به بیش‌تر از آن‌چه تأدیب با آن انجام میشود، نباشد</w:t>
      </w:r>
      <w:r>
        <w:rPr>
          <w:rFonts w:eastAsia="IRNazanin" w:cs="IRNazanin"/>
          <w:color w:val="111111"/>
          <w:sz w:val="28"/>
          <w:szCs w:val="28"/>
          <w:rtl w:val="true"/>
          <w:lang w:bidi="fa-IR"/>
        </w:rPr>
        <w:t>.</w:t>
      </w:r>
      <w:r>
        <w:rPr>
          <w:rStyle w:val="FootnoteAnchor"/>
          <w:rtl w:val="true"/>
        </w:rPr>
        <w:footnoteReference w:id="1952"/>
      </w:r>
    </w:p>
    <w:p>
      <w:pPr>
        <w:pStyle w:val="Heading4"/>
        <w:numPr>
          <w:ilvl w:val="3"/>
          <w:numId w:val="1"/>
        </w:numPr>
        <w:rPr/>
      </w:pPr>
      <w:bookmarkStart w:id="886" w:name="__RefHeading___Toc1259960_1468164448"/>
      <w:bookmarkStart w:id="887" w:name="_Toc325"/>
      <w:bookmarkEnd w:id="886"/>
      <w:r>
        <w:rPr/>
        <w:t>3</w:t>
      </w:r>
      <w:r>
        <w:rPr>
          <w:rtl w:val="true"/>
        </w:rPr>
        <w:t xml:space="preserve">- </w:t>
      </w:r>
      <w:r>
        <w:rPr>
          <w:rtl w:val="true"/>
        </w:rPr>
        <w:t>یادآوریهای مهم</w:t>
      </w:r>
      <w:bookmarkEnd w:id="8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دیدگاهی که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مقدار تأدیب به اندازه‌ای است که تأدیب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ارتکاب گناهان و معاصی شرعی دارد، اعم از گناهانی که دارای حدود مصطلح میباشند یا گناهان کبیره‌ای که ارتکاب آنها توسط فرد بالغ موجب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تأدیب در امور اخلاقی و عرفی که تأدیب در آنها مرسوم میباشد، به مقتضای روایاتی</w:t>
      </w:r>
      <w:r>
        <w:rPr>
          <w:rStyle w:val="FootnoteAnchor"/>
          <w:rtl w:val="true"/>
        </w:rPr>
        <w:footnoteReference w:id="1953"/>
      </w:r>
      <w:r>
        <w:rPr>
          <w:rFonts w:ascii="IRNazanin" w:hAnsi="IRNazanin" w:eastAsia="IRNazanin"/>
          <w:color w:val="111111"/>
          <w:sz w:val="28"/>
          <w:sz w:val="28"/>
          <w:szCs w:val="28"/>
          <w:rtl w:val="true"/>
          <w:lang w:bidi="fa-IR"/>
        </w:rPr>
        <w:t>که ذکر شد، نباید از پنج تا شش ضربه بیش‌تر باشد و دلیلی بر جایز بودن بیش‌تر از این مقدار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تأدیب به وسیله ضرب، آخرین مرحله از مراحل تأدیب است، به این معنی که اگر تأدیب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وسیله دیگری غیر از ضرب نتواند کودک بزه کار را اصلاح کند و از انجام معاصی باز دارد، جایز است با رعایت شرایط و با در نظر گرفتن مصالح کودک در این‌باره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بعضی از فقها ترک تأدیب را مکروه دانسته‌اند</w:t>
      </w:r>
      <w:r>
        <w:rPr>
          <w:rStyle w:val="FootnoteAnchor"/>
          <w:rtl w:val="true"/>
        </w:rPr>
        <w:footnoteReference w:id="1954"/>
      </w:r>
      <w:r>
        <w:rPr>
          <w:rFonts w:ascii="IRNazanin" w:hAnsi="IRNazanin" w:eastAsia="IRNazanin"/>
          <w:color w:val="111111"/>
          <w:sz w:val="28"/>
          <w:sz w:val="28"/>
          <w:szCs w:val="28"/>
          <w:rtl w:val="true"/>
          <w:lang w:bidi="fa-IR"/>
        </w:rPr>
        <w:t>و بعضی دیگر آن را واجب میدانند</w:t>
      </w:r>
      <w:r>
        <w:rPr>
          <w:rFonts w:eastAsia="IRNazanin" w:cs="IRNazanin"/>
          <w:color w:val="111111"/>
          <w:sz w:val="28"/>
          <w:szCs w:val="28"/>
          <w:rtl w:val="true"/>
          <w:lang w:bidi="fa-IR"/>
        </w:rPr>
        <w:t>.</w:t>
      </w:r>
      <w:r>
        <w:rPr>
          <w:rStyle w:val="FootnoteAnchor"/>
          <w:rtl w:val="true"/>
        </w:rPr>
        <w:footnoteReference w:id="1955"/>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فاضل لنکرانی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شرعی در ارتکاب محرّمات شرعی وجوب تعزیر است، زیرا از این جهت فرقی بین حد و تعزیر نیست</w:t>
      </w:r>
      <w:r>
        <w:rPr>
          <w:rFonts w:eastAsia="IRNazanin" w:cs="IRNazanin"/>
          <w:color w:val="111111"/>
          <w:sz w:val="28"/>
          <w:szCs w:val="28"/>
          <w:rtl w:val="true"/>
          <w:lang w:bidi="fa-IR"/>
        </w:rPr>
        <w:t>».</w:t>
      </w:r>
      <w:r>
        <w:rPr>
          <w:rStyle w:val="FootnoteAnchor"/>
          <w:rtl w:val="true"/>
        </w:rPr>
        <w:footnoteReference w:id="1956"/>
      </w:r>
      <w:bookmarkStart w:id="888" w:name="pg13713_164753"/>
    </w:p>
    <w:p>
      <w:pPr>
        <w:pStyle w:val="BookText"/>
        <w:rPr/>
      </w:pPr>
      <w:bookmarkEnd w:id="888"/>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تأدیب به جهت ارتکاب امور خلاف اخلاقی وعرفی جواز است، نه واجب، مگر به مرحله‌ای برسد که ترک تأدیب موجب مفسده گردد</w:t>
      </w:r>
      <w:r>
        <w:rPr>
          <w:rFonts w:eastAsia="IRNazanin" w:cs="IRNazanin"/>
          <w:color w:val="111111"/>
          <w:sz w:val="28"/>
          <w:szCs w:val="28"/>
          <w:rtl w:val="true"/>
          <w:lang w:bidi="fa-IR"/>
        </w:rPr>
        <w:t>.</w:t>
      </w:r>
      <w:r>
        <w:rPr>
          <w:rStyle w:val="FootnoteAnchor"/>
          <w:rtl w:val="true"/>
        </w:rPr>
        <w:footnoteReference w:id="19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گر باید کودک را به جهت اصلاح وی تأدیب نماید، نه به خاطر انتقام و فرو نشاندن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پیغمبر اکرم صلی الله علیه و آله از ادب نمودن کودک در حالت غضب نهی فرموده است</w:t>
      </w:r>
      <w:r>
        <w:rPr>
          <w:rFonts w:eastAsia="IRNazanin" w:cs="IRNazanin"/>
          <w:color w:val="111111"/>
          <w:sz w:val="28"/>
          <w:szCs w:val="28"/>
          <w:rtl w:val="true"/>
          <w:lang w:bidi="fa-IR"/>
        </w:rPr>
        <w:t>.</w:t>
      </w:r>
      <w:r>
        <w:rPr>
          <w:rStyle w:val="FootnoteAnchor"/>
          <w:rtl w:val="true"/>
        </w:rPr>
        <w:footnoteReference w:id="1958"/>
      </w:r>
    </w:p>
    <w:p>
      <w:pPr>
        <w:pStyle w:val="Heading4"/>
        <w:numPr>
          <w:ilvl w:val="3"/>
          <w:numId w:val="1"/>
        </w:numPr>
        <w:rPr/>
      </w:pPr>
      <w:bookmarkStart w:id="889" w:name="__RefHeading___Toc1259962_1468164448"/>
      <w:bookmarkStart w:id="890" w:name="_Toc326"/>
      <w:bookmarkEnd w:id="889"/>
      <w:r>
        <w:rPr/>
        <w:t>4</w:t>
      </w:r>
      <w:r>
        <w:rPr>
          <w:rtl w:val="true"/>
        </w:rPr>
        <w:t xml:space="preserve">- </w:t>
      </w:r>
      <w:r>
        <w:rPr>
          <w:rtl w:val="true"/>
        </w:rPr>
        <w:t>مقدار تأدیب به وسیله معلّم</w:t>
      </w:r>
      <w:bookmarkEnd w:id="890"/>
    </w:p>
    <w:p>
      <w:pPr>
        <w:pStyle w:val="BookText"/>
        <w:rPr/>
      </w:pPr>
      <w:r>
        <w:rPr>
          <w:rFonts w:ascii="IRNazanin" w:hAnsi="IRNazanin" w:eastAsia="IRNazanin"/>
          <w:color w:val="111111"/>
          <w:sz w:val="28"/>
          <w:sz w:val="28"/>
          <w:szCs w:val="28"/>
          <w:rtl w:val="true"/>
          <w:lang w:bidi="fa-IR"/>
        </w:rPr>
        <w:t xml:space="preserve">در موردی که معلّم و استاد مجاز به تأدیب کودک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تقصیر در امور مربوط به تحصیل علم و کوتاهی در فراگیری آن و تخلّف از ضوابط و مقرّرات مدرسه توسط کودک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تأدیب از سه ضربه تجاوز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روایت موثقه‌ای از حضرت المؤمنین علیه السلام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معلمین ابلاغ نمایید چنان‌چه در تأدیب کودکان بیش از سه ضربه شلاّق بزنند، قصاص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اَبْلِغُوامُعَلِّمَکُمْ انْ ضَرَبَکُمْ فَوْقَ ثَلاَثِ ضَرَبَاتٍ فِی الأَدَبِ اقْتُصَّ مِنْهُ</w:t>
      </w:r>
      <w:r>
        <w:rPr>
          <w:rFonts w:eastAsia="IRNazanin" w:cs="IRNazanin"/>
          <w:color w:val="111111"/>
          <w:sz w:val="28"/>
          <w:szCs w:val="28"/>
          <w:rtl w:val="true"/>
          <w:lang w:bidi="fa-IR"/>
        </w:rPr>
        <w:t>»</w:t>
      </w:r>
      <w:r>
        <w:rPr>
          <w:rStyle w:val="FootnoteAnchor"/>
          <w:rtl w:val="true"/>
        </w:rPr>
        <w:footnoteReference w:id="1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از بزرگان فقهای معاصر از جمله آیت الله فاضل‌لنکرانی قدس سره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قرینه است بر این‌که تأدیب به بیش از این مقدار جایز نیست، زیرا عنوان تقاص در موردی به کار میرود که انجام آن جایز نباشد</w:t>
      </w:r>
      <w:r>
        <w:rPr>
          <w:rFonts w:eastAsia="IRNazanin" w:cs="IRNazanin"/>
          <w:color w:val="111111"/>
          <w:sz w:val="28"/>
          <w:szCs w:val="28"/>
          <w:rtl w:val="true"/>
          <w:lang w:bidi="fa-IR"/>
        </w:rPr>
        <w:t>.</w:t>
      </w:r>
      <w:r>
        <w:rPr>
          <w:rStyle w:val="FootnoteAnchor"/>
          <w:rtl w:val="true"/>
        </w:rPr>
        <w:footnoteReference w:id="1960"/>
      </w:r>
    </w:p>
    <w:p>
      <w:pPr>
        <w:pStyle w:val="Heading4"/>
        <w:numPr>
          <w:ilvl w:val="3"/>
          <w:numId w:val="1"/>
        </w:numPr>
        <w:rPr/>
      </w:pPr>
      <w:bookmarkStart w:id="891" w:name="__RefHeading___Toc1259964_1468164448"/>
      <w:bookmarkStart w:id="892" w:name="_Toc327"/>
      <w:bookmarkEnd w:id="891"/>
      <w:r>
        <w:rPr/>
        <w:t>5</w:t>
      </w:r>
      <w:r>
        <w:rPr>
          <w:rtl w:val="true"/>
        </w:rPr>
        <w:t xml:space="preserve">- </w:t>
      </w:r>
      <w:r>
        <w:rPr>
          <w:rtl w:val="true"/>
        </w:rPr>
        <w:t>تنبیه کودک در قانون مجازات اسلامی</w:t>
      </w:r>
      <w:bookmarkEnd w:id="892"/>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هرگاه برای تربیت اطفال بزه کار تنبیه بدنی ضرورت پیدا کند، تنبیه باید به میزان و مصلحت باشد تعیین میزان و مصلحت بر عهده دادگاه است</w:t>
      </w:r>
      <w:r>
        <w:rPr>
          <w:rFonts w:eastAsia="IRNazanin" w:cs="IRNazanin"/>
          <w:color w:val="111111"/>
          <w:sz w:val="28"/>
          <w:szCs w:val="28"/>
          <w:rtl w:val="true"/>
          <w:lang w:bidi="fa-IR"/>
        </w:rPr>
        <w:t>.</w:t>
      </w:r>
      <w:bookmarkStart w:id="893" w:name="pg13713_164754"/>
    </w:p>
    <w:p>
      <w:pPr>
        <w:pStyle w:val="Heading4"/>
        <w:numPr>
          <w:ilvl w:val="3"/>
          <w:numId w:val="1"/>
        </w:numPr>
        <w:rPr/>
      </w:pPr>
      <w:bookmarkStart w:id="894" w:name="__RefHeading___Toc1259966_1468164448"/>
      <w:bookmarkStart w:id="895" w:name="_Toc328"/>
      <w:bookmarkEnd w:id="893"/>
      <w:bookmarkEnd w:id="894"/>
      <w:r>
        <w:rPr/>
        <w:t>6</w:t>
      </w:r>
      <w:r>
        <w:rPr>
          <w:rtl w:val="true"/>
        </w:rPr>
        <w:t xml:space="preserve">- </w:t>
      </w:r>
      <w:r>
        <w:rPr>
          <w:rtl w:val="true"/>
        </w:rPr>
        <w:t>بحث اخلاقی در تأدیب</w:t>
      </w:r>
      <w:bookmarkEnd w:id="895"/>
    </w:p>
    <w:p>
      <w:pPr>
        <w:pStyle w:val="BookText"/>
        <w:rPr/>
      </w:pPr>
      <w:r>
        <w:rPr>
          <w:rFonts w:ascii="IRNazanin" w:hAnsi="IRNazanin" w:eastAsia="IRNazanin"/>
          <w:color w:val="111111"/>
          <w:sz w:val="28"/>
          <w:sz w:val="28"/>
          <w:szCs w:val="28"/>
          <w:rtl w:val="true"/>
          <w:lang w:bidi="fa-IR"/>
        </w:rPr>
        <w:t>آن‌چه ذکر شد حکم فقهی تأدیب کودک است، ولی باید توجه داشت که در این مسأله مهم تنها جواز فقهی کافی نیست، بلکه باید بررسی شود که آیا تأدیب کودک از جهت تربیتی و اخلاقی مطلوب است یا خیر؟ در این خصوص لازم است دو دسته دیگر از روایات را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روایاتی است که به رحم، شفقت، مدارا و عفو نسبت به کودک امر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پیغمبر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الصِّبْیَانَ وَارْحَمُوهُمْ</w:t>
      </w:r>
      <w:r>
        <w:rPr>
          <w:rFonts w:eastAsia="IRNazanin" w:cs="IRNazanin"/>
          <w:color w:val="111111"/>
          <w:sz w:val="28"/>
          <w:szCs w:val="28"/>
          <w:rtl w:val="true"/>
          <w:lang w:bidi="fa-IR"/>
        </w:rPr>
        <w:t>»</w:t>
      </w:r>
      <w:r>
        <w:rPr>
          <w:rStyle w:val="FootnoteAnchor"/>
          <w:rtl w:val="true"/>
        </w:rPr>
        <w:footnoteReference w:id="1961"/>
      </w:r>
      <w:r>
        <w:rPr>
          <w:rFonts w:ascii="IRNazanin" w:hAnsi="IRNazanin" w:eastAsia="IRNazanin"/>
          <w:color w:val="111111"/>
          <w:sz w:val="28"/>
          <w:sz w:val="28"/>
          <w:szCs w:val="28"/>
          <w:rtl w:val="true"/>
          <w:lang w:bidi="fa-IR"/>
        </w:rPr>
        <w:t>و نظایر این روایت که در منابع روایی ما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روایاتی است که از تندی و غضب نسبت به کودک منع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که امام موسی بن جعفر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نسبت به هیچ چیز به اندازه ناراحتی و غضب کودک و زنان غضبناک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یَغْضَبُ لِشَیءٍ کَغَضَبِهِ لِلنِّساءِ وَالصِّبْیَانِ</w:t>
      </w:r>
      <w:r>
        <w:rPr>
          <w:rFonts w:eastAsia="IRNazanin" w:cs="IRNazanin"/>
          <w:color w:val="111111"/>
          <w:sz w:val="28"/>
          <w:szCs w:val="28"/>
          <w:rtl w:val="true"/>
          <w:lang w:bidi="fa-IR"/>
        </w:rPr>
        <w:t>».</w:t>
      </w:r>
      <w:r>
        <w:rPr>
          <w:rStyle w:val="FootnoteAnchor"/>
          <w:rtl w:val="true"/>
        </w:rPr>
        <w:footnoteReference w:id="1962"/>
      </w:r>
      <w:r>
        <w:rPr>
          <w:rFonts w:ascii="IRNazanin" w:hAnsi="IRNazanin" w:eastAsia="IRNazanin"/>
          <w:color w:val="111111"/>
          <w:sz w:val="28"/>
          <w:sz w:val="28"/>
          <w:szCs w:val="28"/>
          <w:rtl w:val="true"/>
          <w:lang w:bidi="fa-IR"/>
        </w:rPr>
        <w:t>در روایت دیگر پیغمبر اکرم صلی الله علیه و آله از ادب نمودن کودکان در وقت غضب نهی فرموده‌است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63"/>
      </w:r>
      <w:r>
        <w:rPr>
          <w:rFonts w:ascii="IRNazanin" w:hAnsi="IRNazanin" w:eastAsia="IRNazanin"/>
          <w:color w:val="111111"/>
          <w:sz w:val="28"/>
          <w:sz w:val="28"/>
          <w:szCs w:val="28"/>
          <w:rtl w:val="true"/>
          <w:lang w:bidi="fa-IR"/>
        </w:rPr>
        <w:t>با توجه به این دو دسته از روایات میتوان نتیجه‌گیری کرد، که محبّت، رحمت، احترام و بخشش، همیشه مطلوب است و تندی، عتاب و غضب نسبت به کودک نه تنها مطلوب نیست، بلکه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که برخی از روایات، تنبیه کودک را جایز میدانند، در مواردی است که راه دیگری جز تنبیه برای اصلاح و تربیت کودک وجود نداشته باشد و یا کارآیی خود را نسبت به افرادی از دست داده باشد، وگرنه تا وقتی راه اصلاح و تأدیب کودک منحصر به تأدیب نباشد یا کارآیی روش تنبیه در مواردی خاص بیش‌تر و یا بهتر از روش‌های دیگر نباشد، استفاده از تنبیه جایز نخواهد بود، بلکه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964"/>
      </w:r>
      <w:r>
        <w:rPr>
          <w:rFonts w:ascii="IRNazanin" w:hAnsi="IRNazanin" w:eastAsia="IRNazanin"/>
          <w:color w:val="111111"/>
          <w:sz w:val="28"/>
          <w:sz w:val="28"/>
          <w:szCs w:val="28"/>
          <w:rtl w:val="true"/>
          <w:lang w:bidi="fa-IR"/>
        </w:rPr>
        <w:t>باید از آن روش بهتر، استفاده شود</w:t>
      </w:r>
      <w:r>
        <w:rPr>
          <w:rFonts w:eastAsia="IRNazanin" w:cs="IRNazanin"/>
          <w:color w:val="111111"/>
          <w:sz w:val="28"/>
          <w:szCs w:val="28"/>
          <w:rtl w:val="true"/>
          <w:lang w:bidi="fa-IR"/>
        </w:rPr>
        <w:t>.</w:t>
      </w:r>
      <w:bookmarkStart w:id="896" w:name="pg13713_164755"/>
    </w:p>
    <w:p>
      <w:pPr>
        <w:pStyle w:val="Heading3"/>
        <w:numPr>
          <w:ilvl w:val="2"/>
          <w:numId w:val="1"/>
        </w:numPr>
        <w:rPr/>
      </w:pPr>
      <w:bookmarkStart w:id="897" w:name="__RefHeading___Toc1259968_1468164448"/>
      <w:bookmarkStart w:id="898" w:name="_Toc329"/>
      <w:bookmarkEnd w:id="896"/>
      <w:bookmarkEnd w:id="897"/>
      <w:r>
        <w:rPr>
          <w:rtl w:val="true"/>
        </w:rPr>
        <w:t>گفتار پنجم</w:t>
      </w:r>
      <w:r>
        <w:rPr>
          <w:rtl w:val="true"/>
        </w:rPr>
        <w:t xml:space="preserve">: </w:t>
      </w:r>
      <w:r>
        <w:rPr>
          <w:rtl w:val="true"/>
        </w:rPr>
        <w:t>حکم خسارات بدنی ناشی از تأدیب</w:t>
      </w:r>
      <w:bookmarkEnd w:id="898"/>
    </w:p>
    <w:p>
      <w:pPr>
        <w:pStyle w:val="Heading4"/>
        <w:numPr>
          <w:ilvl w:val="3"/>
          <w:numId w:val="1"/>
        </w:numPr>
        <w:rPr/>
      </w:pPr>
      <w:bookmarkStart w:id="899" w:name="__RefHeading___Toc1259970_1468164448"/>
      <w:bookmarkStart w:id="900" w:name="_Toc330"/>
      <w:bookmarkEnd w:id="899"/>
      <w:r>
        <w:rPr/>
        <w:t>1</w:t>
      </w:r>
      <w:r>
        <w:rPr>
          <w:rtl w:val="true"/>
        </w:rPr>
        <w:t xml:space="preserve">- </w:t>
      </w:r>
      <w:r>
        <w:rPr>
          <w:rtl w:val="true"/>
        </w:rPr>
        <w:t>ضمان در تأدیب</w:t>
      </w:r>
      <w:bookmarkEnd w:id="900"/>
    </w:p>
    <w:p>
      <w:pPr>
        <w:pStyle w:val="BookText"/>
        <w:rPr/>
      </w:pPr>
      <w:r>
        <w:rPr>
          <w:rFonts w:ascii="IRNazanin" w:hAnsi="IRNazanin" w:eastAsia="IRNazanin"/>
          <w:color w:val="111111"/>
          <w:sz w:val="28"/>
          <w:sz w:val="28"/>
          <w:szCs w:val="28"/>
          <w:rtl w:val="true"/>
          <w:lang w:bidi="fa-IR"/>
        </w:rPr>
        <w:t>اگر عهده‌داران تأدیب کودک در اجرای آن تعدّی و تفریط نمایندو در پی آن خسارت و آسیبی به کودک وارد شود، ضامن میباشند و به قصاص یا دیه محکوم میگردند، اعم از این‌که در میزان تأدیب زیاده روی شود، مثل این‌که بیش‌تر از حد نیاز و آن‌چه شرعاً مجاز است، اجرای تأدیب نمایند، یا در کیفیت آن تعدّی نمایند، مانند آن‌که تأدیب با ضرب بر مواضع ممنوع مانند سر و صورت واقع شود یا برخلاف شرایط انجام گردد، در این‌گونه موارد چنان‌چه کودک تلف گردد یا نقص عضو و یا ضرر فاحش بر وی وارد شود تأدیب گر مسئول است و به قصاص یا پرداخت دیه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مورد توافق فقها است و اطلاق ادلّه قصاص و دیات، آن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عهده‌داران تأدیب، طبق وظیفه و با رعایت شرایط به انجام آن اقدام کنند، و تلف یا نقص و خسارت ایجاد شود، طبق دیدگاه مشهور فقها متولّی امر تأدیب ضامن است، و محکوم به پرداخت دیه میگردد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پدری کودکش را تأدیب نماید و در اثر آن از بین برود، یا امام، یا حاکم، یا امین حاکم، یا وصی، و یا معلّم، او را تأدیب نمایند، و وی تلف شود، در تمام این موارد حکم به ضمان میشود؛ زیرا تجویز تأدیب مشروط به این است که کودک بعد از تأدیب سالم بماند</w:t>
      </w:r>
      <w:r>
        <w:rPr>
          <w:rFonts w:eastAsia="IRNazanin" w:cs="IRNazanin"/>
          <w:color w:val="111111"/>
          <w:sz w:val="28"/>
          <w:szCs w:val="28"/>
          <w:rtl w:val="true"/>
          <w:lang w:bidi="fa-IR"/>
        </w:rPr>
        <w:t>.</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هم‌چنین محقق اردبیلی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ولی طفل مانند پدر، جدّ پدری حتی وصی این دو، کودک را تأدیب نمایند و منجر به تلف نفس یا نقص عضو و یا جرمی که موجب ضمان است گردد، 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جنایت انجام داده است، ضامن است، به سبب این‌که وی سبب اتلاف و ضمان شده است و جواز تأدیب به جهت اصلاح کودک منافات با ضمان ندارد</w:t>
      </w:r>
      <w:r>
        <w:rPr>
          <w:rFonts w:eastAsia="IRNazanin" w:cs="IRNazanin"/>
          <w:color w:val="111111"/>
          <w:sz w:val="28"/>
          <w:szCs w:val="28"/>
          <w:rtl w:val="true"/>
          <w:lang w:bidi="fa-IR"/>
        </w:rPr>
        <w:t>.</w:t>
      </w:r>
      <w:r>
        <w:rPr>
          <w:rStyle w:val="FootnoteAnchor"/>
          <w:rtl w:val="true"/>
        </w:rPr>
        <w:footnoteReference w:id="1966"/>
      </w:r>
      <w:r>
        <w:rPr>
          <w:rFonts w:ascii="IRNazanin" w:hAnsi="IRNazanin" w:eastAsia="IRNazanin"/>
          <w:color w:val="111111"/>
          <w:sz w:val="28"/>
          <w:sz w:val="28"/>
          <w:szCs w:val="28"/>
          <w:rtl w:val="true"/>
          <w:lang w:bidi="fa-IR"/>
        </w:rPr>
        <w:t>عبارات بسیاری دیگر از فقها شبیه به آن‌چه ذکر شد، میباشد</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ادلّه ضمان مؤدّب در تأدیب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فقها، یعنی ادّعای اجماع شده که تأدیب کننده در برابر خسارات ناشی از تأدیب ضامن است</w:t>
      </w:r>
      <w:r>
        <w:rPr>
          <w:rFonts w:eastAsia="IRNazanin" w:cs="IRNazanin"/>
          <w:color w:val="111111"/>
          <w:sz w:val="28"/>
          <w:szCs w:val="28"/>
          <w:rtl w:val="true"/>
          <w:lang w:bidi="fa-IR"/>
        </w:rPr>
        <w:t>.</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اتلاف، فقها در ابواب مختلف فقه برای اثبات ضمان، اعم از ضمان در مال یا نفس، به این قاعده استناد نموده‌اند،</w:t>
      </w:r>
      <w:r>
        <w:rPr>
          <w:rStyle w:val="FootnoteAnchor"/>
          <w:rtl w:val="true"/>
        </w:rPr>
        <w:footnoteReference w:id="1969"/>
      </w:r>
      <w:r>
        <w:rPr>
          <w:rFonts w:ascii="IRNazanin" w:hAnsi="IRNazanin" w:eastAsia="IRNazanin"/>
          <w:color w:val="111111"/>
          <w:sz w:val="28"/>
          <w:sz w:val="28"/>
          <w:szCs w:val="28"/>
          <w:rtl w:val="true"/>
          <w:lang w:bidi="fa-IR"/>
        </w:rPr>
        <w:t>آیت الله فاضل لنکرانی در این‌باره نگاشته‌اند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فرض این‌که استناد قتل در صورت تلف و ایراد ضرب و جرح، درصورت نقصان به ولی، وصی، و یا معلّم ثابت و صحیح است و در جریان این قاعده اراده و قصد اتلاف شرط نیست، همچنین شرط نیست که قتل یا نقصان با وسیله‌ای خاص تحقّق یافته باشد، بی تردید استناد به قاعده مزبور در فرض مورد بحث صحیح است</w:t>
      </w:r>
      <w:r>
        <w:rPr>
          <w:rFonts w:eastAsia="IRNazanin" w:cs="IRNazanin"/>
          <w:color w:val="111111"/>
          <w:sz w:val="28"/>
          <w:szCs w:val="28"/>
          <w:rtl w:val="true"/>
          <w:lang w:bidi="fa-IR"/>
        </w:rPr>
        <w:t>.</w:t>
      </w:r>
      <w:r>
        <w:rPr>
          <w:rStyle w:val="FootnoteAnchor"/>
          <w:rtl w:val="true"/>
        </w:rPr>
        <w:footnoteReference w:id="197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روایاتی در حدّ استفاضه، بلکه تواتر مسأله مورد بحث را شامل میباشد، مانند این که 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مسلمان به هیچ وجه بدون قصاص و دیه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یَبْطُلُ دَمُ امْرِیٍ مُسْلِمٍ</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ascii="IRNazanin" w:hAnsi="IRNazanin" w:eastAsia="IRNazanin"/>
          <w:color w:val="111111"/>
          <w:sz w:val="28"/>
          <w:sz w:val="28"/>
          <w:szCs w:val="28"/>
          <w:rtl w:val="true"/>
          <w:lang w:bidi="fa-IR"/>
        </w:rPr>
        <w:t>هم‌چنین از پیغمبر اکرم صلی الله علیه و آله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مسلمان همانند جان او دارای احترام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نباید بدون قصاص و دیه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وَحُرْمَةُ مَالِهِ کَحُرْمَةِ دَمِهِ</w:t>
      </w:r>
      <w:r>
        <w:rPr>
          <w:rFonts w:eastAsia="Amiri" w:cs="Amiri" w:ascii="Amiri" w:hAnsi="Amiri"/>
          <w:color w:val="111111"/>
          <w:sz w:val="28"/>
          <w:szCs w:val="28"/>
          <w:rtl w:val="true"/>
          <w:lang w:bidi="ar-SA"/>
        </w:rPr>
        <w:t>».</w:t>
      </w:r>
      <w:r>
        <w:rPr>
          <w:rStyle w:val="FootnoteAnchor"/>
          <w:rtl w:val="true"/>
        </w:rPr>
        <w:footnoteReference w:id="1972"/>
      </w:r>
      <w:r>
        <w:rPr>
          <w:rFonts w:ascii="IRNazanin" w:hAnsi="IRNazanin" w:eastAsia="IRNazanin"/>
          <w:color w:val="111111"/>
          <w:sz w:val="28"/>
          <w:sz w:val="28"/>
          <w:szCs w:val="28"/>
          <w:rtl w:val="true"/>
          <w:lang w:bidi="fa-IR"/>
        </w:rPr>
        <w:t>همین‌مضمون از امام باقر علیه السلام نیز نقل شده است</w:t>
      </w:r>
      <w:r>
        <w:rPr>
          <w:rStyle w:val="FootnoteAnchor"/>
          <w:rtl w:val="true"/>
        </w:rPr>
        <w:footnoteReference w:id="1973"/>
      </w:r>
      <w:r>
        <w:rPr>
          <w:rFonts w:ascii="IRNazanin" w:hAnsi="IRNazanin" w:eastAsia="IRNazanin"/>
          <w:color w:val="111111"/>
          <w:sz w:val="28"/>
          <w:sz w:val="28"/>
          <w:szCs w:val="28"/>
          <w:rtl w:val="true"/>
          <w:lang w:bidi="fa-IR"/>
        </w:rPr>
        <w:t>و روایاتی از این قبیل که در جوامع روایی ما بسیار است</w:t>
      </w:r>
      <w:r>
        <w:rPr>
          <w:rFonts w:eastAsia="IRNazanin" w:cs="IRNazanin"/>
          <w:color w:val="111111"/>
          <w:sz w:val="28"/>
          <w:szCs w:val="28"/>
          <w:rtl w:val="true"/>
          <w:lang w:bidi="fa-IR"/>
        </w:rPr>
        <w:t>.</w:t>
      </w:r>
      <w:r>
        <w:rPr>
          <w:rStyle w:val="FootnoteAnchor"/>
          <w:rtl w:val="true"/>
        </w:rPr>
        <w:footnoteReference w:id="1974"/>
      </w:r>
    </w:p>
    <w:p>
      <w:pPr>
        <w:pStyle w:val="BookText"/>
        <w:rPr/>
      </w:pPr>
      <w:r>
        <w:rPr>
          <w:rFonts w:ascii="IRNazanin" w:hAnsi="IRNazanin" w:eastAsia="IRNazanin"/>
          <w:color w:val="111111"/>
          <w:sz w:val="28"/>
          <w:sz w:val="28"/>
          <w:szCs w:val="28"/>
          <w:rtl w:val="true"/>
          <w:lang w:bidi="fa-IR"/>
        </w:rPr>
        <w:t>بی گمان اطلاق این روایات، مسأله مورد بحث را شامل میباشد و با فرض این‌که عهده‌دار تأدیب، مجاز به تأدیب بوده، و فعل او منجر به تلف و یا نقض عضو شده است، فعل وی دارای حرمت تکلیفی نیست و تنها محکوم به پرداخت دیه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فقها تصریح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تأدیب برای مؤدّب منافات با ضمان وی ندارد، زیرا آن‌چه از طرف شارع تجویز شده، تأدیب است نه اتلاف، بلکه فرض بر این است که مودّب مجاز به اتلاف نبوده است، بنابراین باید ضامن باشد</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ascii="IRNazanin" w:hAnsi="IRNazanin" w:eastAsia="IRNazanin"/>
          <w:color w:val="111111"/>
          <w:sz w:val="28"/>
          <w:sz w:val="28"/>
          <w:szCs w:val="28"/>
          <w:rtl w:val="true"/>
          <w:lang w:bidi="fa-IR"/>
        </w:rPr>
        <w:t>قریب به این مضمون را آیت الله خویی قدس سره آورده است،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مشروعیت تأدیب موجب سقوط دیه نمیگردد و منافاتی بین این دو دیده نمیشود؛ زیرا جواز تکلیفی منافات با حکم وضعی آن ندارد، بلکه جواز تکلیفی فقط موجب سقوط قصاص است</w:t>
      </w:r>
      <w:r>
        <w:rPr>
          <w:rFonts w:eastAsia="IRNazanin" w:cs="IRNazanin"/>
          <w:color w:val="111111"/>
          <w:sz w:val="28"/>
          <w:szCs w:val="28"/>
          <w:rtl w:val="true"/>
          <w:lang w:bidi="fa-IR"/>
        </w:rPr>
        <w:t>».</w:t>
      </w:r>
      <w:r>
        <w:rPr>
          <w:rStyle w:val="FootnoteAnchor"/>
          <w:rtl w:val="true"/>
        </w:rPr>
        <w:footnoteReference w:id="19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مزبور از مصادیق جرایم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یا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عمد محسوب میشود و مرتکب حسب مورد به پرداخت دیه محکوم میگردد</w:t>
      </w:r>
      <w:r>
        <w:rPr>
          <w:rFonts w:eastAsia="IRNazanin" w:cs="IRNazanin"/>
          <w:color w:val="111111"/>
          <w:sz w:val="28"/>
          <w:szCs w:val="28"/>
          <w:rtl w:val="true"/>
          <w:lang w:bidi="fa-IR"/>
        </w:rPr>
        <w:t>.</w:t>
      </w:r>
      <w:r>
        <w:rPr>
          <w:rStyle w:val="FootnoteAnchor"/>
          <w:rtl w:val="true"/>
        </w:rPr>
        <w:footnoteReference w:id="1977"/>
      </w:r>
    </w:p>
    <w:p>
      <w:pPr>
        <w:pStyle w:val="BookText"/>
        <w:rPr/>
      </w:pPr>
      <w:r>
        <w:rPr>
          <w:rFonts w:ascii="IRNazanin" w:hAnsi="IRNazanin" w:eastAsia="IRNazanin"/>
          <w:color w:val="111111"/>
          <w:sz w:val="28"/>
          <w:sz w:val="28"/>
          <w:szCs w:val="28"/>
          <w:rtl w:val="true"/>
          <w:lang w:bidi="fa-IR"/>
        </w:rPr>
        <w:t>دیدگاه عدم ضمان در مسأله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دیدگاه مشهور، برخی از فقها فرموده‌اند که در صورتیکه متولّی امر تأدیب با رعایت شرایط و بدون افراط و تفریط به وظیفه خود عمل نماید ضامن نیست،</w:t>
      </w:r>
    </w:p>
    <w:p>
      <w:pPr>
        <w:pStyle w:val="BookText"/>
        <w:rPr/>
      </w:pPr>
      <w:r>
        <w:rPr>
          <w:rFonts w:ascii="IRNazanin" w:hAnsi="IRNazanin" w:eastAsia="IRNazanin"/>
          <w:color w:val="111111"/>
          <w:sz w:val="28"/>
          <w:sz w:val="28"/>
          <w:szCs w:val="28"/>
          <w:rtl w:val="true"/>
          <w:lang w:bidi="fa-IR"/>
        </w:rPr>
        <w:t xml:space="preserve">زیرا تأدیب کودک به جهت مصلحت خود اوست و احسان به وی محسوب میگردد و بر شخصی که به قصد احسان عملی انجام داده است، نباید غرامت تحمیل گردد </w:t>
      </w:r>
      <w:r>
        <w:rPr>
          <w:rStyle w:val="FootnoteAnchor"/>
          <w:rtl w:val="true"/>
        </w:rPr>
        <w:footnoteReference w:id="1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 .</w:t>
      </w:r>
      <w:r>
        <w:rPr>
          <w:rStyle w:val="FootnoteAnchor"/>
          <w:rtl w:val="true"/>
        </w:rPr>
        <w:footnoteReference w:id="1979"/>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چنان‌چه بیان شد، تجویز تأدیب منافات با ضمان ندارد، چرا که تأدیب مشروط است به این‌که در جهت مصلحت کودک باشد و نیز بعد از اجرای آن کودک سالم باقی بماند، در غیر این صورت با عنایت به این‌که استناد تلف یا ایجاد نقصان به تأدیب گر ثابت است و در ضمان قصد و اراده شرط نیست، حکم به پرداخت دیه صحیح است</w:t>
      </w:r>
      <w:r>
        <w:rPr>
          <w:rFonts w:eastAsia="IRNazanin" w:cs="IRNazanin"/>
          <w:color w:val="111111"/>
          <w:sz w:val="28"/>
          <w:szCs w:val="28"/>
          <w:rtl w:val="true"/>
          <w:lang w:bidi="fa-IR"/>
        </w:rPr>
        <w:t>.</w:t>
      </w:r>
      <w:bookmarkStart w:id="901" w:name="pg13713_164759"/>
    </w:p>
    <w:p>
      <w:pPr>
        <w:pStyle w:val="Heading3"/>
        <w:numPr>
          <w:ilvl w:val="2"/>
          <w:numId w:val="1"/>
        </w:numPr>
        <w:rPr/>
      </w:pPr>
      <w:bookmarkStart w:id="902" w:name="__RefHeading___Toc1259972_1468164448"/>
      <w:bookmarkStart w:id="903" w:name="_Toc331"/>
      <w:bookmarkEnd w:id="901"/>
      <w:bookmarkEnd w:id="902"/>
      <w:r>
        <w:rPr>
          <w:rtl w:val="true"/>
        </w:rPr>
        <w:t>گفتار ششم</w:t>
      </w:r>
      <w:r>
        <w:rPr>
          <w:rtl w:val="true"/>
        </w:rPr>
        <w:t xml:space="preserve">: </w:t>
      </w:r>
      <w:r>
        <w:rPr>
          <w:rtl w:val="true"/>
        </w:rPr>
        <w:t>ارتکاب قتل توسط کودک یا مشارکت کودک در آن</w:t>
      </w:r>
      <w:bookmarkEnd w:id="903"/>
    </w:p>
    <w:p>
      <w:pPr>
        <w:pStyle w:val="Heading4"/>
        <w:numPr>
          <w:ilvl w:val="3"/>
          <w:numId w:val="1"/>
        </w:numPr>
        <w:rPr/>
      </w:pPr>
      <w:bookmarkStart w:id="904" w:name="__RefHeading___Toc1259974_1468164448"/>
      <w:bookmarkStart w:id="905" w:name="_Toc332"/>
      <w:bookmarkEnd w:id="904"/>
      <w:r>
        <w:rPr/>
        <w:t>1</w:t>
      </w:r>
      <w:r>
        <w:rPr>
          <w:rtl w:val="true"/>
        </w:rPr>
        <w:t xml:space="preserve">- </w:t>
      </w:r>
      <w:r>
        <w:rPr>
          <w:rtl w:val="true"/>
        </w:rPr>
        <w:t>ارتکاب قتل توسط کودک</w:t>
      </w:r>
      <w:bookmarkEnd w:id="905"/>
    </w:p>
    <w:p>
      <w:pPr>
        <w:pStyle w:val="BookText"/>
        <w:rPr/>
      </w:pPr>
      <w:r>
        <w:rPr>
          <w:rFonts w:ascii="IRNazanin" w:hAnsi="IRNazanin" w:eastAsia="IRNazanin"/>
          <w:color w:val="111111"/>
          <w:sz w:val="28"/>
          <w:sz w:val="28"/>
          <w:szCs w:val="28"/>
          <w:rtl w:val="true"/>
          <w:lang w:bidi="fa-IR"/>
        </w:rPr>
        <w:t>طبق دیدگاه مشهور که اکثریت قریب به اتّفاق فقها آن را پذیرفته‌اند، از جمله شرایط اجرای قصاص بر قاتل، بلوغ و تکلیف است، بنابراین کودک اعم از ممیّز و غیر ممیّز اگر مرتکب قتل یا قطع و یا نقص عضو دیگری شود، قصاص نمیشود، بلکه تأدیب میگردد و باید عاقله</w:t>
      </w:r>
      <w:r>
        <w:rPr>
          <w:rStyle w:val="FootnoteAnchor"/>
          <w:rtl w:val="true"/>
        </w:rPr>
        <w:footnoteReference w:id="1980"/>
      </w:r>
      <w:r>
        <w:rPr>
          <w:rFonts w:ascii="IRNazanin" w:hAnsi="IRNazanin" w:eastAsia="IRNazanin"/>
          <w:color w:val="111111"/>
          <w:sz w:val="28"/>
          <w:sz w:val="28"/>
          <w:szCs w:val="28"/>
          <w:rtl w:val="true"/>
          <w:lang w:bidi="fa-IR"/>
        </w:rPr>
        <w:t>وی دیه مقتول را بپردازند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کودک یا مجنون مرتکب قتل شوند، قصاص نمیشوند، بلکه باید دیه مقتول را عاقله آنان بپردازد</w:t>
      </w:r>
      <w:r>
        <w:rPr>
          <w:rFonts w:eastAsia="IRNazanin" w:cs="IRNazanin"/>
          <w:color w:val="111111"/>
          <w:sz w:val="28"/>
          <w:szCs w:val="28"/>
          <w:rtl w:val="true"/>
          <w:lang w:bidi="fa-IR"/>
        </w:rPr>
        <w:t>».</w:t>
      </w:r>
      <w:r>
        <w:rPr>
          <w:rStyle w:val="FootnoteAnchor"/>
          <w:rtl w:val="true"/>
        </w:rPr>
        <w:footnoteReference w:id="1981"/>
      </w:r>
      <w:r>
        <w:rPr>
          <w:rFonts w:ascii="IRNazanin" w:hAnsi="IRNazanin" w:eastAsia="IRNazanin"/>
          <w:color w:val="111111"/>
          <w:sz w:val="28"/>
          <w:sz w:val="28"/>
          <w:szCs w:val="28"/>
          <w:rtl w:val="true"/>
          <w:lang w:bidi="fa-IR"/>
        </w:rPr>
        <w:t>بسیاری دیگر از فقها از قدما</w:t>
      </w:r>
      <w:r>
        <w:rPr>
          <w:rStyle w:val="FootnoteAnchor"/>
          <w:rtl w:val="true"/>
        </w:rPr>
        <w:footnoteReference w:id="1982"/>
      </w:r>
      <w:r>
        <w:rPr>
          <w:rFonts w:ascii="IRNazanin" w:hAnsi="IRNazanin" w:eastAsia="IRNazanin"/>
          <w:color w:val="111111"/>
          <w:sz w:val="28"/>
          <w:sz w:val="28"/>
          <w:szCs w:val="28"/>
          <w:rtl w:val="true"/>
          <w:lang w:bidi="fa-IR"/>
        </w:rPr>
        <w:t>تا معاصرین</w:t>
      </w:r>
      <w:r>
        <w:rPr>
          <w:rStyle w:val="FootnoteAnchor"/>
          <w:rtl w:val="true"/>
        </w:rPr>
        <w:footnoteReference w:id="1983"/>
      </w:r>
      <w:r>
        <w:rPr>
          <w:rFonts w:ascii="IRNazanin" w:hAnsi="IRNazanin" w:eastAsia="IRNazanin"/>
          <w:color w:val="111111"/>
          <w:sz w:val="28"/>
          <w:sz w:val="28"/>
          <w:szCs w:val="28"/>
          <w:rtl w:val="true"/>
          <w:lang w:bidi="fa-IR"/>
        </w:rPr>
        <w:t>با صراحت این حکم را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 در تحریر الوسیله پس از ذکر این مطلب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سنش به ده سال و طول قامتش به پنج وجب رسیده باشد</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5"/>
      </w:r>
    </w:p>
    <w:p>
      <w:pPr>
        <w:pStyle w:val="BookText"/>
        <w:rPr/>
      </w:pPr>
      <w:r>
        <w:rPr>
          <w:rFonts w:ascii="IRNazanin" w:hAnsi="IRNazanin" w:eastAsia="IRNazanin"/>
          <w:color w:val="111111"/>
          <w:sz w:val="28"/>
          <w:sz w:val="28"/>
          <w:szCs w:val="28"/>
          <w:rtl w:val="true"/>
          <w:lang w:bidi="fa-IR"/>
        </w:rPr>
        <w:t>ادلّه‌ای که مستند حکم عدم اجرای قصاص بر کودک قرار گرفته به طور عمده همان ادلّه‌ای است که به آنها برای عدم اجرای حدود بر وی، استناد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اصل،</w:t>
      </w:r>
      <w:r>
        <w:rPr>
          <w:rStyle w:val="FootnoteAnchor"/>
          <w:rtl w:val="true"/>
        </w:rPr>
        <w:footnoteReference w:id="1986"/>
      </w:r>
      <w:r>
        <w:rPr>
          <w:rFonts w:ascii="IRNazanin" w:hAnsi="IRNazanin" w:eastAsia="IRNazanin"/>
          <w:color w:val="111111"/>
          <w:sz w:val="28"/>
          <w:sz w:val="28"/>
          <w:szCs w:val="28"/>
          <w:rtl w:val="true"/>
          <w:lang w:bidi="fa-IR"/>
        </w:rPr>
        <w:t>اجماع،</w:t>
      </w:r>
      <w:r>
        <w:rPr>
          <w:rStyle w:val="FootnoteAnchor"/>
          <w:rtl w:val="true"/>
        </w:rPr>
        <w:footnoteReference w:id="1987"/>
      </w:r>
      <w:r>
        <w:rPr>
          <w:rFonts w:ascii="IRNazanin" w:hAnsi="IRNazanin" w:eastAsia="IRNazanin"/>
          <w:color w:val="111111"/>
          <w:sz w:val="28"/>
          <w:sz w:val="28"/>
          <w:szCs w:val="28"/>
          <w:rtl w:val="true"/>
          <w:lang w:bidi="fa-IR"/>
        </w:rPr>
        <w:t>حدیث رفع قلم</w:t>
      </w:r>
      <w:r>
        <w:rPr>
          <w:rStyle w:val="FootnoteAnchor"/>
          <w:rtl w:val="true"/>
        </w:rPr>
        <w:footnoteReference w:id="1988"/>
      </w:r>
      <w:r>
        <w:rPr>
          <w:rFonts w:ascii="IRNazanin" w:hAnsi="IRNazanin" w:eastAsia="IRNazanin"/>
          <w:color w:val="111111"/>
          <w:sz w:val="28"/>
          <w:sz w:val="28"/>
          <w:szCs w:val="28"/>
          <w:rtl w:val="true"/>
          <w:lang w:bidi="fa-IR"/>
        </w:rPr>
        <w:t>و این‌که شرط اجرای قصاص بلوغ و تکلیف است</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ascii="IRNazanin" w:hAnsi="IRNazanin" w:eastAsia="IRNazanin"/>
          <w:color w:val="111111"/>
          <w:sz w:val="28"/>
          <w:sz w:val="28"/>
          <w:szCs w:val="28"/>
          <w:rtl w:val="true"/>
          <w:lang w:bidi="fa-IR"/>
        </w:rPr>
        <w:t>به علاوه در مورد قصاص روایاتی در حد استفاضه وارد شده است و از آنها استفاده میشود، فعلی که با قصد عمد از کودک صادر شود، در حکم خطا است، از جمله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و خطای کودک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عَمْدُالصَّبِیِّ وَ خَطَأُهُ وَاحِدٌ</w:t>
      </w:r>
      <w:r>
        <w:rPr>
          <w:rFonts w:eastAsia="IRNazanin" w:cs="IRNazanin"/>
          <w:color w:val="111111"/>
          <w:sz w:val="28"/>
          <w:szCs w:val="28"/>
          <w:rtl w:val="true"/>
          <w:lang w:bidi="fa-IR"/>
        </w:rPr>
        <w:t>».</w:t>
      </w:r>
      <w:r>
        <w:rPr>
          <w:rStyle w:val="FootnoteAnchor"/>
          <w:rtl w:val="true"/>
        </w:rPr>
        <w:footnoteReference w:id="1990"/>
      </w:r>
      <w:r>
        <w:rPr>
          <w:rFonts w:ascii="IRNazanin" w:hAnsi="IRNazanin" w:eastAsia="IRNazanin"/>
          <w:color w:val="111111"/>
          <w:sz w:val="28"/>
          <w:sz w:val="28"/>
          <w:szCs w:val="28"/>
          <w:rtl w:val="true"/>
          <w:lang w:bidi="fa-IR"/>
        </w:rPr>
        <w:t>هم‌چنین امیر 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کودک و مجنون به منزله خطا است که دیه آن را عاقله بر عهده میگیرد، زیرا تکلیف از آنها برداشته شده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عَمْدُهُماخَطَاٌتَحْمِلُهُ الْعَاقِلَةُ وَقَدْ رُفِعَ عَنْهُمَا الْقَلَمُ</w:t>
      </w:r>
      <w:r>
        <w:rPr>
          <w:rFonts w:eastAsia="Amiri" w:cs="Amiri" w:ascii="Amiri" w:hAnsi="Amiri"/>
          <w:color w:val="111111"/>
          <w:sz w:val="28"/>
          <w:szCs w:val="28"/>
          <w:rtl w:val="true"/>
          <w:lang w:bidi="ar-SA"/>
        </w:rPr>
        <w:t>».</w:t>
      </w:r>
      <w:r>
        <w:rPr>
          <w:rStyle w:val="FootnoteAnchor"/>
          <w:rtl w:val="true"/>
        </w:rPr>
        <w:footnoteReference w:id="1991"/>
      </w:r>
      <w:r>
        <w:rPr>
          <w:rFonts w:ascii="IRNazanin" w:hAnsi="IRNazanin" w:eastAsia="IRNazanin"/>
          <w:color w:val="111111"/>
          <w:sz w:val="28"/>
          <w:sz w:val="28"/>
          <w:szCs w:val="28"/>
          <w:rtl w:val="true"/>
          <w:lang w:bidi="fa-IR"/>
        </w:rPr>
        <w:t>محقّق بجنوردی در توضیح حدیث رفع و شیوه استفاده از روایاتی که ذکر شد،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کلام این که از حدیث رفع و ذکر صغیر، در کنار مجنون و نائم، ظاهر میشود، همان‌گونه که در مجنون و 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در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لحاط تکوینی</w:t>
      </w:r>
      <w:bookmarkStart w:id="906" w:name="pg13713_164761"/>
    </w:p>
    <w:p>
      <w:pPr>
        <w:pStyle w:val="BookText"/>
        <w:rPr/>
      </w:pPr>
      <w:bookmarkEnd w:id="906"/>
      <w:r>
        <w:rPr>
          <w:rFonts w:ascii="IRNazanin" w:hAnsi="IRNazanin" w:eastAsia="IRNazanin"/>
          <w:color w:val="111111"/>
          <w:sz w:val="28"/>
          <w:sz w:val="28"/>
          <w:szCs w:val="28"/>
          <w:rtl w:val="true"/>
          <w:lang w:bidi="fa-IR"/>
        </w:rPr>
        <w:t>قصد وجود ندارد، در کودک نیز از لحاظ تشریعی قصد وجود ندارد، پس هر فعلی که تأثیر آن منوط به انجام عمدی آن، باشد و بدون عمد اثری نخواهد داشت، اگر کودک چنین کاری را مرتکب شود، اثری بر آن مترتّب نمیباشد، حتّی اگر کودک آن را با قصد انجام داده باشد</w:t>
      </w:r>
      <w:r>
        <w:rPr>
          <w:rFonts w:eastAsia="IRNazanin" w:cs="IRNazanin"/>
          <w:color w:val="111111"/>
          <w:sz w:val="28"/>
          <w:szCs w:val="28"/>
          <w:rtl w:val="true"/>
          <w:lang w:bidi="fa-IR"/>
        </w:rPr>
        <w:t>.</w:t>
      </w:r>
      <w:r>
        <w:rPr>
          <w:rStyle w:val="FootnoteAnchor"/>
          <w:rtl w:val="true"/>
        </w:rPr>
        <w:footnoteReference w:id="1992"/>
      </w:r>
    </w:p>
    <w:p>
      <w:pPr>
        <w:pStyle w:val="Heading4"/>
        <w:numPr>
          <w:ilvl w:val="3"/>
          <w:numId w:val="1"/>
        </w:numPr>
        <w:rPr/>
      </w:pPr>
      <w:bookmarkStart w:id="907" w:name="__RefHeading___Toc1259976_1468164448"/>
      <w:bookmarkStart w:id="908" w:name="_Toc333"/>
      <w:bookmarkEnd w:id="907"/>
      <w:r>
        <w:rPr/>
        <w:t>2</w:t>
      </w:r>
      <w:r>
        <w:rPr>
          <w:rtl w:val="true"/>
        </w:rPr>
        <w:t xml:space="preserve">- </w:t>
      </w:r>
      <w:r>
        <w:rPr>
          <w:rtl w:val="true"/>
        </w:rPr>
        <w:t>اختلاف قاتل با اولیای مقتول</w:t>
      </w:r>
      <w:bookmarkEnd w:id="908"/>
    </w:p>
    <w:p>
      <w:pPr>
        <w:pStyle w:val="BookText"/>
        <w:rPr/>
      </w:pPr>
      <w:r>
        <w:rPr>
          <w:rFonts w:ascii="IRNazanin" w:hAnsi="IRNazanin" w:eastAsia="IRNazanin"/>
          <w:color w:val="111111"/>
          <w:sz w:val="28"/>
          <w:sz w:val="28"/>
          <w:szCs w:val="28"/>
          <w:rtl w:val="true"/>
          <w:lang w:bidi="fa-IR"/>
        </w:rPr>
        <w:t>اگر بین کودکی که مرتکب قتل شده و اولیای مقتول، اختلاف شود، به این ترتیب که کودک مدّعی باشد در حین ارتکاب قتل بالغ نبودم، بنابراین مشمول حکم قصاص نمیباشم و اولیای مقتول مدّعی بلوغ وی، در حین ارتکاب قتل باشند، تا مشمول حکم قصاص شود، در چنین حالتی کودک قسم میخورد و قصاص را از خود دفع مینماید، زیرا احتمال این‌که وی در وقت ارتکاب قتل بالغ نباشد، وجود دارد و از طرفی شرط اجرای قصاص بلوغ است و اصل، عدم تحقق بلوغ در حین ارتکاب قتل است</w:t>
      </w:r>
      <w:r>
        <w:rPr>
          <w:rFonts w:eastAsia="IRNazanin" w:cs="IRNazanin"/>
          <w:color w:val="111111"/>
          <w:sz w:val="28"/>
          <w:szCs w:val="28"/>
          <w:rtl w:val="true"/>
          <w:lang w:bidi="fa-IR"/>
        </w:rPr>
        <w:t>.</w:t>
      </w:r>
      <w:r>
        <w:rPr>
          <w:rStyle w:val="FootnoteAnchor"/>
          <w:rtl w:val="true"/>
        </w:rPr>
        <w:footnoteReference w:id="1993"/>
      </w:r>
      <w:r>
        <w:rPr>
          <w:rFonts w:ascii="IRNazanin" w:hAnsi="IRNazanin" w:eastAsia="IRNazanin"/>
          <w:color w:val="111111"/>
          <w:sz w:val="28"/>
          <w:sz w:val="28"/>
          <w:szCs w:val="28"/>
          <w:rtl w:val="true"/>
          <w:lang w:bidi="fa-IR"/>
        </w:rPr>
        <w:t>بعضی از فقها در این‌باره ادّعای اجماع نموده است</w:t>
      </w:r>
      <w:r>
        <w:rPr>
          <w:rFonts w:eastAsia="IRNazanin" w:cs="IRNazanin"/>
          <w:color w:val="111111"/>
          <w:sz w:val="28"/>
          <w:szCs w:val="28"/>
          <w:rtl w:val="true"/>
          <w:lang w:bidi="fa-IR"/>
        </w:rPr>
        <w:t>.</w:t>
      </w:r>
      <w:r>
        <w:rPr>
          <w:rStyle w:val="FootnoteAnchor"/>
          <w:rtl w:val="true"/>
        </w:rPr>
        <w:footnoteReference w:id="1994"/>
      </w:r>
    </w:p>
    <w:p>
      <w:pPr>
        <w:pStyle w:val="Heading4"/>
        <w:numPr>
          <w:ilvl w:val="3"/>
          <w:numId w:val="1"/>
        </w:numPr>
        <w:rPr/>
      </w:pPr>
      <w:bookmarkStart w:id="909" w:name="__RefHeading___Toc1259978_1468164448"/>
      <w:bookmarkStart w:id="910" w:name="_Toc334"/>
      <w:bookmarkEnd w:id="909"/>
      <w:r>
        <w:rPr/>
        <w:t>3</w:t>
      </w:r>
      <w:r>
        <w:rPr>
          <w:rtl w:val="true"/>
        </w:rPr>
        <w:t xml:space="preserve">- </w:t>
      </w:r>
      <w:r>
        <w:rPr>
          <w:rtl w:val="true"/>
        </w:rPr>
        <w:t>اشتراک کودک با بالغ در قتل</w:t>
      </w:r>
      <w:bookmarkEnd w:id="910"/>
    </w:p>
    <w:p>
      <w:pPr>
        <w:pStyle w:val="BookText"/>
        <w:rPr/>
      </w:pPr>
      <w:r>
        <w:rPr>
          <w:rFonts w:ascii="IRNazanin" w:hAnsi="IRNazanin" w:eastAsia="IRNazanin"/>
          <w:color w:val="111111"/>
          <w:sz w:val="28"/>
          <w:sz w:val="28"/>
          <w:szCs w:val="28"/>
          <w:rtl w:val="true"/>
          <w:lang w:bidi="fa-IR"/>
        </w:rPr>
        <w:t>اگر کودک ممیّز</w:t>
      </w:r>
      <w:r>
        <w:rPr>
          <w:rStyle w:val="FootnoteAnchor"/>
          <w:rtl w:val="true"/>
        </w:rPr>
        <w:footnoteReference w:id="1995"/>
      </w:r>
      <w:r>
        <w:rPr>
          <w:rFonts w:ascii="IRNazanin" w:hAnsi="IRNazanin" w:eastAsia="IRNazanin"/>
          <w:color w:val="111111"/>
          <w:sz w:val="28"/>
          <w:sz w:val="28"/>
          <w:szCs w:val="28"/>
          <w:rtl w:val="true"/>
          <w:lang w:bidi="fa-IR"/>
        </w:rPr>
        <w:t>با فرد بالغ به طور مشترکً مرتکب قتل شوند، به طوری که قتل به هر دو استناد داده شود، کودک قصاص نمیشود و اولیای مقتول میتوانند قاتل بالغ را قصاص نمایند، به شرط این‌که نصف دیه را از عاقله کودک بگیرند و به ورثه جانی پرداخت نمایند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کودک با بالغ به طور مشترک مرتکب قتل شوند، بالغ قصاص میشود و از طرف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نصف دیه یک انسان را به</w:t>
      </w:r>
      <w:bookmarkStart w:id="911" w:name="pg13713_164762"/>
    </w:p>
    <w:p>
      <w:pPr>
        <w:pStyle w:val="BookText"/>
        <w:rPr/>
      </w:pPr>
      <w:bookmarkEnd w:id="911"/>
      <w:r>
        <w:rPr>
          <w:rFonts w:ascii="IRNazanin" w:hAnsi="IRNazanin" w:eastAsia="IRNazanin"/>
          <w:color w:val="111111"/>
          <w:sz w:val="28"/>
          <w:sz w:val="28"/>
          <w:szCs w:val="28"/>
          <w:rtl w:val="true"/>
          <w:lang w:bidi="fa-IR"/>
        </w:rPr>
        <w:t>ورثه بالغ که مورد قصاص قرار میگیرد، پرداخت کنند</w:t>
      </w:r>
      <w:r>
        <w:rPr>
          <w:rFonts w:eastAsia="IRNazanin" w:cs="IRNazanin"/>
          <w:color w:val="111111"/>
          <w:sz w:val="28"/>
          <w:szCs w:val="28"/>
          <w:rtl w:val="true"/>
          <w:lang w:bidi="fa-IR"/>
        </w:rPr>
        <w:t>.</w:t>
      </w:r>
      <w:r>
        <w:rPr>
          <w:rStyle w:val="FootnoteAnchor"/>
          <w:rtl w:val="true"/>
        </w:rPr>
        <w:footnoteReference w:id="1996"/>
      </w:r>
      <w:r>
        <w:rPr>
          <w:rFonts w:ascii="IRNazanin" w:hAnsi="IRNazanin" w:eastAsia="IRNazanin"/>
          <w:color w:val="111111"/>
          <w:sz w:val="28"/>
          <w:sz w:val="28"/>
          <w:szCs w:val="28"/>
          <w:rtl w:val="true"/>
          <w:lang w:bidi="fa-IR"/>
        </w:rPr>
        <w:t>عبارات برخی دیگر از فقها نیز قریب به آن‌چه ذکر شد، میباشد</w:t>
      </w:r>
      <w:r>
        <w:rPr>
          <w:rFonts w:eastAsia="IRNazanin" w:cs="IRNazanin"/>
          <w:color w:val="111111"/>
          <w:sz w:val="28"/>
          <w:szCs w:val="28"/>
          <w:rtl w:val="true"/>
          <w:lang w:bidi="fa-IR"/>
        </w:rPr>
        <w:t>.</w:t>
      </w:r>
      <w:r>
        <w:rPr>
          <w:rStyle w:val="FootnoteAnchor"/>
          <w:rtl w:val="true"/>
        </w:rPr>
        <w:footnoteReference w:id="1997"/>
      </w:r>
      <w:r>
        <w:rPr>
          <w:rFonts w:ascii="IRNazanin" w:hAnsi="IRNazanin" w:eastAsia="IRNazanin"/>
          <w:color w:val="111111"/>
          <w:sz w:val="28"/>
          <w:sz w:val="28"/>
          <w:szCs w:val="28"/>
          <w:rtl w:val="true"/>
          <w:lang w:bidi="fa-IR"/>
        </w:rPr>
        <w:t>مستند این حکم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عدم قصاص، مثل حدیث رفع قلم و غیر آن، نسبت به کودک، زیرا فرض بر این است، یکی از دو نفری که مرتکب قتل شده‌اند، کودک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جواز قصاص نسبت به فرد بالغ، مانند این که در حدیث صحیح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دو مرد که مرد دیگری را کشته بودند،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مقتول میتوانند، هر دو را قصاص نمایند، به شرط آن‌که دیه کامل یک انسان بپردازند تا بین اولیای هر دو نفری که قصاص شده‌اند تقسیم شود و نیز میتوانند یکی از آنها را قصاص نمایند، البته آن کس که قصاص نشده نصف دیه یک انسان کامل به اولیای فردی که به قتل میرسد،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ارَادَ اوْلِیاءُ الْمَقْتُولِ قَتْلَهُمَا ادُّوا دِیَةً کَامِلَةً وَقَتَلوُهُمَا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ارَادُوا قَتْلَ احَدَهِمَا قَتَلوُهُ وَاَدَّی الْمَتْروُکُ نِصْفَ الدَّیَةِ الَی اهْلِ الْمَقْتُولِ</w:t>
      </w:r>
      <w:r>
        <w:rPr>
          <w:rFonts w:eastAsia="IRNazanin" w:cs="IRNazanin"/>
          <w:color w:val="111111"/>
          <w:sz w:val="28"/>
          <w:szCs w:val="28"/>
          <w:rtl w:val="true"/>
          <w:lang w:bidi="fa-IR"/>
        </w:rPr>
        <w:t>».</w:t>
      </w:r>
      <w:r>
        <w:rPr>
          <w:rStyle w:val="FootnoteAnchor"/>
          <w:rtl w:val="true"/>
        </w:rPr>
        <w:footnoteReference w:id="1998"/>
      </w:r>
      <w:r>
        <w:rPr>
          <w:rFonts w:ascii="IRNazanin" w:hAnsi="IRNazanin" w:eastAsia="IRNazanin"/>
          <w:color w:val="111111"/>
          <w:sz w:val="28"/>
          <w:sz w:val="28"/>
          <w:szCs w:val="28"/>
          <w:rtl w:val="true"/>
          <w:lang w:bidi="fa-IR"/>
        </w:rPr>
        <w:t>اطلاق این روایت مسأله مورد بحث را شامل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 دیگر</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به طور خاص بر این حکم دلالت دارد، مانند این که در روایت معتبر امام صادق علیه السلام از جدّش امیر المؤمنین علیه السلام نقل نموده که در مورد مرد و کودکی که به طور مشترک مرتکب قتل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قصاص میشود و کودک باید دیه بپردازد،</w:t>
      </w:r>
      <w:r>
        <w:rPr>
          <w:rStyle w:val="FootnoteAnchor"/>
          <w:rtl w:val="true"/>
        </w:rPr>
        <w:footnoteReference w:id="2000"/>
      </w:r>
      <w:r>
        <w:rPr>
          <w:rFonts w:ascii="IRNazanin" w:hAnsi="IRNazanin" w:eastAsia="IRNazanin"/>
          <w:color w:val="111111"/>
          <w:sz w:val="28"/>
          <w:sz w:val="28"/>
          <w:szCs w:val="28"/>
          <w:rtl w:val="true"/>
          <w:lang w:bidi="fa-IR"/>
        </w:rPr>
        <w:t>یعنی باید عاقله کودک نصف دیه یک انسان کامل را به اولیای کسی که قصاص میشود، بپردازند</w:t>
      </w:r>
      <w:r>
        <w:rPr>
          <w:rFonts w:eastAsia="IRNazanin" w:cs="IRNazanin"/>
          <w:color w:val="111111"/>
          <w:sz w:val="28"/>
          <w:szCs w:val="28"/>
          <w:rtl w:val="true"/>
          <w:lang w:bidi="fa-IR"/>
        </w:rPr>
        <w:t>.</w:t>
      </w:r>
    </w:p>
    <w:p>
      <w:pPr>
        <w:pStyle w:val="Heading4"/>
        <w:numPr>
          <w:ilvl w:val="3"/>
          <w:numId w:val="1"/>
        </w:numPr>
        <w:rPr/>
      </w:pPr>
      <w:bookmarkStart w:id="912" w:name="__RefHeading___Toc1259980_1468164448"/>
      <w:bookmarkStart w:id="913" w:name="_Toc335"/>
      <w:bookmarkEnd w:id="912"/>
      <w:r>
        <w:rPr/>
        <w:t>4</w:t>
      </w:r>
      <w:r>
        <w:rPr>
          <w:rtl w:val="true"/>
        </w:rPr>
        <w:t xml:space="preserve">- </w:t>
      </w:r>
      <w:r>
        <w:rPr>
          <w:rtl w:val="true"/>
        </w:rPr>
        <w:t>امر شدن کودک به قتل</w:t>
      </w:r>
      <w:bookmarkEnd w:id="913"/>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معتقدند، اگر شخص بالغ، کودکی را به قتل دیگری امر نماید، چنان‌چه کودک غیر ممیّز باشد، به گونه‌ای که استناد قتل به وی عرفاً صحیح نباشد و به منزله آلت</w:t>
      </w:r>
      <w:bookmarkStart w:id="914" w:name="pg13713_164763"/>
    </w:p>
    <w:p>
      <w:pPr>
        <w:pStyle w:val="BookText"/>
        <w:rPr/>
      </w:pPr>
      <w:bookmarkEnd w:id="914"/>
      <w:r>
        <w:rPr>
          <w:rFonts w:ascii="IRNazanin" w:hAnsi="IRNazanin" w:eastAsia="IRNazanin"/>
          <w:color w:val="111111"/>
          <w:sz w:val="28"/>
          <w:sz w:val="28"/>
          <w:szCs w:val="28"/>
          <w:rtl w:val="true"/>
          <w:lang w:bidi="fa-IR"/>
        </w:rPr>
        <w:t>و وسیله قتل محسوب گردد، شخصی که کودک را وادار به قتل نموده است، محکوم به قصاص میباشد</w:t>
      </w:r>
      <w:r>
        <w:rPr>
          <w:rFonts w:eastAsia="IRNazanin" w:cs="IRNazanin"/>
          <w:color w:val="111111"/>
          <w:sz w:val="28"/>
          <w:szCs w:val="28"/>
          <w:rtl w:val="true"/>
          <w:lang w:bidi="fa-IR"/>
        </w:rPr>
        <w:t>.</w:t>
      </w:r>
      <w:r>
        <w:rPr>
          <w:rStyle w:val="FootnoteAnchor"/>
          <w:rtl w:val="true"/>
        </w:rPr>
        <w:footnoteReference w:id="2001"/>
      </w:r>
      <w:r>
        <w:rPr>
          <w:rFonts w:ascii="IRNazanin" w:hAnsi="IRNazanin" w:eastAsia="IRNazanin"/>
          <w:color w:val="111111"/>
          <w:sz w:val="28"/>
          <w:sz w:val="28"/>
          <w:szCs w:val="28"/>
          <w:rtl w:val="true"/>
          <w:lang w:bidi="fa-IR"/>
        </w:rPr>
        <w:t>بعضی دیگر این احتمال را قوی دانسته‌اند</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 xml:space="preserve">برخی دیگر نیز گفته‌اند که اگر شخص عاقل، کودک غیر ممیّزی را به قتل دیگری امر نماید و او را به ارتکاب قتل اجبار و اکراه ننماید، در این صورت دیه مقتول بر عاقله کودک است، ولی چنان‌چه وی را اکراه نماید، آمر به پرداخت نصف دیه محکوم میشود و نصف باقی مانده را عاقله کودک میپردازند و در فرض مزبور چنان‌چه کودکی که امر به قتل شده ممیّز باشد و بداند ارتکاب قتل جایز نیست، حکم قصاص متوجّه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زیرا در این صورت نمیتوان قتل را به آمر استناد نمود</w:t>
      </w:r>
      <w:r>
        <w:rPr>
          <w:rFonts w:eastAsia="IRNazanin" w:cs="IRNazanin"/>
          <w:color w:val="111111"/>
          <w:sz w:val="28"/>
          <w:szCs w:val="28"/>
          <w:rtl w:val="true"/>
          <w:lang w:bidi="fa-IR"/>
        </w:rPr>
        <w:t>.</w:t>
      </w:r>
      <w:r>
        <w:rPr>
          <w:rStyle w:val="FootnoteAnchor"/>
          <w:rtl w:val="true"/>
        </w:rPr>
        <w:footnoteReference w:id="2003"/>
      </w:r>
    </w:p>
    <w:p>
      <w:pPr>
        <w:pStyle w:val="BookText"/>
        <w:rPr/>
      </w:pPr>
      <w:r>
        <w:rPr>
          <w:rFonts w:ascii="IRNazanin" w:hAnsi="IRNazanin" w:eastAsia="IRNazanin"/>
          <w:color w:val="111111"/>
          <w:sz w:val="28"/>
          <w:sz w:val="28"/>
          <w:szCs w:val="28"/>
          <w:rtl w:val="true"/>
          <w:lang w:bidi="fa-IR"/>
        </w:rPr>
        <w:t>در فرض اخیر دیدگاه سوّمی هم مطرح شده که قویتر به نظر میرسد، بدین بیان که هیچ‌کدام از آمر و مأمور قصاص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Style w:val="FootnoteAnchor"/>
          <w:rtl w:val="true"/>
        </w:rPr>
        <w:footnoteReference w:id="2004"/>
      </w:r>
      <w:r>
        <w:rPr>
          <w:rFonts w:ascii="IRNazanin" w:hAnsi="IRNazanin" w:eastAsia="IRNazanin"/>
          <w:color w:val="111111"/>
          <w:sz w:val="28"/>
          <w:sz w:val="28"/>
          <w:szCs w:val="28"/>
          <w:rtl w:val="true"/>
          <w:lang w:bidi="fa-IR"/>
        </w:rPr>
        <w:t>قدس سره و نیز آیت الله فاضل لنکرانی قدس سره</w:t>
      </w:r>
      <w:r>
        <w:rPr>
          <w:rStyle w:val="FootnoteAnchor"/>
          <w:rtl w:val="true"/>
        </w:rPr>
        <w:footnoteReference w:id="2005"/>
      </w:r>
      <w:r>
        <w:rPr>
          <w:rFonts w:ascii="IRNazanin" w:hAnsi="IRNazanin" w:eastAsia="IRNazanin"/>
          <w:color w:val="111111"/>
          <w:sz w:val="28"/>
          <w:sz w:val="28"/>
          <w:szCs w:val="28"/>
          <w:rtl w:val="true"/>
          <w:lang w:bidi="fa-IR"/>
        </w:rPr>
        <w:t>دیدگاه اخیر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مباحث دیگری نیز مطرح است، از جمله این که آمر محکوم به حبس دائم میگردد</w:t>
      </w:r>
      <w:r>
        <w:rPr>
          <w:rFonts w:eastAsia="IRNazanin" w:cs="IRNazanin"/>
          <w:color w:val="111111"/>
          <w:sz w:val="28"/>
          <w:szCs w:val="28"/>
          <w:rtl w:val="true"/>
          <w:lang w:bidi="fa-IR"/>
        </w:rPr>
        <w:t>.</w:t>
      </w:r>
      <w:r>
        <w:rPr>
          <w:rStyle w:val="FootnoteAnchor"/>
          <w:rtl w:val="true"/>
        </w:rPr>
        <w:footnoteReference w:id="2006"/>
      </w:r>
    </w:p>
    <w:p>
      <w:pPr>
        <w:pStyle w:val="Heading4"/>
        <w:numPr>
          <w:ilvl w:val="3"/>
          <w:numId w:val="1"/>
        </w:numPr>
        <w:rPr/>
      </w:pPr>
      <w:bookmarkStart w:id="915" w:name="__RefHeading___Toc1259982_1468164448"/>
      <w:bookmarkStart w:id="916" w:name="_Toc336"/>
      <w:bookmarkEnd w:id="915"/>
      <w:r>
        <w:rPr/>
        <w:t>5</w:t>
      </w:r>
      <w:r>
        <w:rPr>
          <w:rtl w:val="true"/>
        </w:rPr>
        <w:t xml:space="preserve">- </w:t>
      </w:r>
      <w:r>
        <w:rPr>
          <w:rtl w:val="true"/>
        </w:rPr>
        <w:t>اکراه کودک به قتل</w:t>
      </w:r>
      <w:bookmarkEnd w:id="91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 بالغ، کودکی را به قتل دیگری اکراه نماید، چنان‌چه کودک غیر ممیّز باشد،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قصاص میگردد، زیرا در این‌صورت استناد قتل به مُکرِه صحیح است، و به کودک غیر ممیّز استناد داده نمیشود</w:t>
      </w:r>
      <w:r>
        <w:rPr>
          <w:rFonts w:eastAsia="IRNazanin" w:cs="IRNazanin"/>
          <w:color w:val="111111"/>
          <w:sz w:val="28"/>
          <w:szCs w:val="28"/>
          <w:rtl w:val="true"/>
          <w:lang w:bidi="fa-IR"/>
        </w:rPr>
        <w:t>.</w:t>
      </w:r>
      <w:r>
        <w:rPr>
          <w:rStyle w:val="FootnoteAnchor"/>
          <w:rtl w:val="true"/>
        </w:rPr>
        <w:footnoteReference w:id="2007"/>
      </w:r>
      <w:r>
        <w:rPr>
          <w:rFonts w:ascii="IRNazanin" w:hAnsi="IRNazanin" w:eastAsia="IRNazanin"/>
          <w:color w:val="111111"/>
          <w:sz w:val="28"/>
          <w:sz w:val="28"/>
          <w:szCs w:val="28"/>
          <w:rtl w:val="true"/>
          <w:lang w:bidi="fa-IR"/>
        </w:rPr>
        <w:t>امّا در صورتی که کودک، ممیّز باشد و بداند قتل دیگری جایز نیست، هیچ‌کدام از آنها مشمول حکم قصاص نمیباشند،</w:t>
      </w:r>
      <w:bookmarkStart w:id="917" w:name="pg13713_164764"/>
    </w:p>
    <w:p>
      <w:pPr>
        <w:pStyle w:val="BookText"/>
        <w:rPr/>
      </w:pPr>
      <w:bookmarkEnd w:id="917"/>
      <w:r>
        <w:rPr>
          <w:rFonts w:ascii="IRNazanin" w:hAnsi="IRNazanin" w:eastAsia="IRNazanin"/>
          <w:color w:val="111111"/>
          <w:sz w:val="28"/>
          <w:sz w:val="28"/>
          <w:szCs w:val="28"/>
          <w:rtl w:val="true"/>
          <w:lang w:bidi="fa-IR"/>
        </w:rPr>
        <w:t>زیرا نسبت به مکرِه چون وی مباشر در قتل نیست و به او استناد داده نمیشود و نباید کودک ممیّز را به منزله آلت قتل دانست، و نسبت به کودک، زیرا غیر بالغ است و شرط لازم برای شمول حکم قصاص در مورد قاتل بلوغ و عقل وی میباشد</w:t>
      </w:r>
      <w:r>
        <w:rPr>
          <w:rFonts w:eastAsia="IRNazanin" w:cs="IRNazanin"/>
          <w:color w:val="111111"/>
          <w:sz w:val="28"/>
          <w:szCs w:val="28"/>
          <w:rtl w:val="true"/>
          <w:lang w:bidi="fa-IR"/>
        </w:rPr>
        <w:t>.</w:t>
      </w:r>
      <w:r>
        <w:rPr>
          <w:rStyle w:val="FootnoteAnchor"/>
          <w:rtl w:val="true"/>
        </w:rPr>
        <w:footnoteReference w:id="2008"/>
      </w:r>
      <w:r>
        <w:rPr>
          <w:rFonts w:ascii="IRNazanin" w:hAnsi="IRNazanin" w:eastAsia="IRNazanin"/>
          <w:color w:val="111111"/>
          <w:sz w:val="28"/>
          <w:sz w:val="28"/>
          <w:szCs w:val="28"/>
          <w:rtl w:val="true"/>
          <w:lang w:bidi="fa-IR"/>
        </w:rPr>
        <w:t>بعضی از فقها این حکم را مطابق احتیاط</w:t>
      </w:r>
      <w:r>
        <w:rPr>
          <w:rStyle w:val="FootnoteAnchor"/>
          <w:rtl w:val="true"/>
        </w:rPr>
        <w:footnoteReference w:id="2009"/>
      </w:r>
      <w:r>
        <w:rPr>
          <w:rFonts w:ascii="IRNazanin" w:hAnsi="IRNazanin" w:eastAsia="IRNazanin"/>
          <w:color w:val="111111"/>
          <w:sz w:val="28"/>
          <w:sz w:val="28"/>
          <w:szCs w:val="28"/>
          <w:rtl w:val="true"/>
          <w:lang w:bidi="fa-IR"/>
        </w:rPr>
        <w:t>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فقها در ذیل دو عنوان اخیر فروض دیگری نیز مورد بحث و بررسی قرار گرفته که تحقیق در آن مجال بیشتری میطلبد</w:t>
      </w:r>
      <w:r>
        <w:rPr>
          <w:rFonts w:eastAsia="IRNazanin" w:cs="IRNazanin"/>
          <w:color w:val="111111"/>
          <w:sz w:val="28"/>
          <w:szCs w:val="28"/>
          <w:rtl w:val="true"/>
          <w:lang w:bidi="fa-IR"/>
        </w:rPr>
        <w:t>.</w:t>
      </w:r>
      <w:r>
        <w:rPr>
          <w:rStyle w:val="FootnoteAnchor"/>
          <w:rtl w:val="true"/>
        </w:rPr>
        <w:footnoteReference w:id="2010"/>
      </w:r>
    </w:p>
    <w:p>
      <w:pPr>
        <w:pStyle w:val="Heading4"/>
        <w:numPr>
          <w:ilvl w:val="3"/>
          <w:numId w:val="1"/>
        </w:numPr>
        <w:rPr/>
      </w:pPr>
      <w:bookmarkStart w:id="918" w:name="__RefHeading___Toc1259984_1468164448"/>
      <w:bookmarkStart w:id="919" w:name="_Toc337"/>
      <w:bookmarkEnd w:id="918"/>
      <w:r>
        <w:rPr/>
        <w:t>6</w:t>
      </w:r>
      <w:r>
        <w:rPr>
          <w:rtl w:val="true"/>
        </w:rPr>
        <w:t xml:space="preserve">- </w:t>
      </w:r>
      <w:r>
        <w:rPr>
          <w:rtl w:val="true"/>
        </w:rPr>
        <w:t>دیه جنایات کودک</w:t>
      </w:r>
      <w:bookmarkEnd w:id="919"/>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جمع آن دیات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ودیت القتیل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دیه مقتول را پرداختم</w:t>
      </w:r>
      <w:r>
        <w:rPr>
          <w:rFonts w:eastAsia="IRNazanin" w:cs="IRNazanin"/>
          <w:color w:val="111111"/>
          <w:sz w:val="28"/>
          <w:szCs w:val="28"/>
          <w:rtl w:val="true"/>
          <w:lang w:bidi="fa-IR"/>
        </w:rPr>
        <w:t>.</w:t>
      </w:r>
      <w:r>
        <w:rPr>
          <w:rStyle w:val="FootnoteAnchor"/>
          <w:rtl w:val="true"/>
        </w:rPr>
        <w:footnoteReference w:id="2011"/>
      </w:r>
      <w:r>
        <w:rPr>
          <w:rFonts w:ascii="IRNazanin" w:hAnsi="IRNazanin" w:eastAsia="IRNazanin"/>
          <w:color w:val="111111"/>
          <w:sz w:val="28"/>
          <w:sz w:val="28"/>
          <w:szCs w:val="28"/>
          <w:rtl w:val="true"/>
          <w:lang w:bidi="fa-IR"/>
        </w:rPr>
        <w:t>برخی دیگر از لغویین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دیه مالی است که بدل از نفس مقتول، به اولیای او داده میشود و از باب تسمیه مصدر است</w:t>
      </w:r>
      <w:r>
        <w:rPr>
          <w:rFonts w:eastAsia="IRNazanin" w:cs="IRNazanin"/>
          <w:color w:val="111111"/>
          <w:sz w:val="28"/>
          <w:szCs w:val="28"/>
          <w:rtl w:val="true"/>
          <w:lang w:bidi="fa-IR"/>
        </w:rPr>
        <w:t>».</w:t>
      </w:r>
      <w:r>
        <w:rPr>
          <w:rStyle w:val="FootnoteAnchor"/>
          <w:rtl w:val="true"/>
        </w:rPr>
        <w:footnoteReference w:id="2012"/>
      </w:r>
      <w:r>
        <w:rPr>
          <w:rFonts w:ascii="IRNazanin" w:hAnsi="IRNazanin" w:eastAsia="IRNazanin"/>
          <w:color w:val="111111"/>
          <w:sz w:val="28"/>
          <w:sz w:val="28"/>
          <w:szCs w:val="28"/>
          <w:rtl w:val="true"/>
          <w:lang w:bidi="fa-IR"/>
        </w:rPr>
        <w:t>امّا مقصود از آن در اصطلاح فقها، مالی است که به سبب جنایت بر نفس یا اعضای بدن و یا ایراد جرح، باید پرداخت شود</w:t>
      </w:r>
      <w:r>
        <w:rPr>
          <w:rFonts w:eastAsia="IRNazanin" w:cs="IRNazanin"/>
          <w:color w:val="111111"/>
          <w:sz w:val="28"/>
          <w:szCs w:val="28"/>
          <w:rtl w:val="true"/>
          <w:lang w:bidi="fa-IR"/>
        </w:rPr>
        <w:t>.</w:t>
      </w:r>
      <w:r>
        <w:rPr>
          <w:rStyle w:val="FootnoteAnchor"/>
          <w:rtl w:val="true"/>
        </w:rPr>
        <w:footnoteReference w:id="2013"/>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کودک اگر مرتکب قتل شود قصاص نمیشود و فقط تأدیب میگردد و چون فعل عمد او به منزله خطا محسوب میگردد، بنابراین قتل انجام شده توسط او خطایی است و دیه آن بر عاقله</w:t>
      </w:r>
      <w:r>
        <w:rPr>
          <w:rStyle w:val="FootnoteAnchor"/>
          <w:rtl w:val="true"/>
        </w:rPr>
        <w:footnoteReference w:id="2014"/>
      </w:r>
      <w:r>
        <w:rPr>
          <w:rFonts w:ascii="IRNazanin" w:hAnsi="IRNazanin" w:eastAsia="IRNazanin"/>
          <w:color w:val="111111"/>
          <w:sz w:val="28"/>
          <w:sz w:val="28"/>
          <w:szCs w:val="28"/>
          <w:rtl w:val="true"/>
          <w:lang w:bidi="fa-IR"/>
        </w:rPr>
        <w:t>وی میباشد و از این جهت فرق نمیکند که کودک شخصاً مالی داشته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در صورت پرداخت، عاقله حق ندارد از اموال کودک مطالبه و استیفا نماید و به اتفاق فقها کودکان، زنان و مجانین در زمره عاقله که پرداخت دیه بر آنان واجب باشد، قرار نمیگیرند</w:t>
      </w:r>
      <w:r>
        <w:rPr>
          <w:rFonts w:eastAsia="IRNazanin" w:cs="IRNazanin"/>
          <w:color w:val="111111"/>
          <w:sz w:val="28"/>
          <w:szCs w:val="28"/>
          <w:rtl w:val="true"/>
          <w:lang w:bidi="fa-IR"/>
        </w:rPr>
        <w:t>.</w:t>
      </w:r>
      <w:r>
        <w:rPr>
          <w:rStyle w:val="FootnoteAnchor"/>
          <w:rtl w:val="true"/>
        </w:rPr>
        <w:footnoteReference w:id="2015"/>
      </w:r>
      <w:bookmarkStart w:id="920" w:name="pg13713_164765"/>
    </w:p>
    <w:p>
      <w:pPr>
        <w:pStyle w:val="BookText"/>
        <w:rPr/>
      </w:pPr>
      <w:bookmarkEnd w:id="920"/>
      <w:r>
        <w:rPr>
          <w:rFonts w:ascii="IRNazanin" w:hAnsi="IRNazanin" w:eastAsia="IRNazanin"/>
          <w:color w:val="111111"/>
          <w:sz w:val="28"/>
          <w:sz w:val="28"/>
          <w:szCs w:val="28"/>
          <w:rtl w:val="true"/>
          <w:lang w:bidi="fa-IR"/>
        </w:rPr>
        <w:t>علامه حلّی در این خصوص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عمدی کودک با خطای او مساوی است و در هر دو صورت عاقله وی مسئول پرداخت دیه میباشد، اعم از این‌که کودکی را به قتل رسانده باشد یا فرد بالغی را</w:t>
      </w:r>
      <w:r>
        <w:rPr>
          <w:rFonts w:eastAsia="IRNazanin" w:cs="IRNazanin"/>
          <w:color w:val="111111"/>
          <w:sz w:val="28"/>
          <w:szCs w:val="28"/>
          <w:rtl w:val="true"/>
          <w:lang w:bidi="fa-IR"/>
        </w:rPr>
        <w:t>.</w:t>
      </w:r>
      <w:r>
        <w:rPr>
          <w:rStyle w:val="FootnoteAnchor"/>
          <w:rtl w:val="true"/>
        </w:rPr>
        <w:footnoteReference w:id="2016"/>
      </w:r>
    </w:p>
    <w:p>
      <w:pPr>
        <w:pStyle w:val="BookText"/>
        <w:rPr/>
      </w:pPr>
      <w:r>
        <w:rPr>
          <w:rFonts w:ascii="IRNazanin" w:hAnsi="IRNazanin" w:eastAsia="IRNazanin"/>
          <w:color w:val="111111"/>
          <w:sz w:val="28"/>
          <w:sz w:val="28"/>
          <w:szCs w:val="28"/>
          <w:rtl w:val="true"/>
          <w:lang w:bidi="fa-IR"/>
        </w:rPr>
        <w:t>مستند این حکم علاوه بر اجماع که بعضی ادّعا نموده‌اند</w:t>
      </w:r>
      <w:r>
        <w:rPr>
          <w:rFonts w:eastAsia="IRNazanin" w:cs="IRNazanin"/>
          <w:color w:val="111111"/>
          <w:sz w:val="28"/>
          <w:szCs w:val="28"/>
          <w:rtl w:val="true"/>
          <w:lang w:bidi="fa-IR"/>
        </w:rPr>
        <w:t>.</w:t>
      </w:r>
      <w:r>
        <w:rPr>
          <w:rStyle w:val="FootnoteAnchor"/>
          <w:rtl w:val="true"/>
        </w:rPr>
        <w:footnoteReference w:id="2017"/>
      </w:r>
      <w:r>
        <w:rPr>
          <w:rFonts w:ascii="Amiri" w:hAnsi="Amiri" w:eastAsia="Amiri" w:cs="Amiri"/>
          <w:color w:val="111111"/>
          <w:sz w:val="28"/>
          <w:sz w:val="28"/>
          <w:szCs w:val="28"/>
          <w:rtl w:val="true"/>
          <w:lang w:bidi="ar-SA"/>
        </w:rPr>
        <w:t>روایاتی است در حدّ استفاضه مانند آن که در حدیث معتبر امام باقر علیه السلام از جدش امیرالمؤمنین علیه السلام نقل نموده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عمدی کودکان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خصوص ارتکاب جنایت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منزله خطا است و موجب تحمیل دیه بر عاقله آنان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عَلِیَّاَ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الصِّبیَانِ خَطَاٌ یُحْمَلُ عَلی الْعَاقِلَةِ</w:t>
      </w:r>
      <w:r>
        <w:rPr>
          <w:rFonts w:eastAsia="Amiri" w:cs="Amiri" w:ascii="Amiri" w:hAnsi="Amiri"/>
          <w:color w:val="111111"/>
          <w:sz w:val="28"/>
          <w:szCs w:val="28"/>
          <w:rtl w:val="true"/>
          <w:lang w:bidi="ar-SA"/>
        </w:rPr>
        <w:t>»</w:t>
      </w:r>
      <w:r>
        <w:rPr>
          <w:rStyle w:val="FootnoteAnchor"/>
          <w:rtl w:val="true"/>
        </w:rPr>
        <w:footnoteReference w:id="2018"/>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البته اگر کودک مرتکب عملی شود که در نتیجه آن زیان مالی متوجه کسی شود، خودش مسئول جبران خسارت است و از این جهت عاقله وی مسئولیّت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که بارها دراین تحقیق ذکر شده، این است که کودک مشمول بعضی از احکام وضعی، مثل ضمان خسارتی که بر دیگران وارد نموده،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چون قبل از بلوغ خود مکلّف نیست، ولی شرعی او باید از مال کودک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غیر بالغ مرتکب قتل، جرح و ضرب شود، عاقله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مورد اتلاف مال اشخاص، خود طفل ضامن است و ادای آن بر عهدة ولی طفل میباشد</w:t>
      </w:r>
      <w:r>
        <w:rPr>
          <w:rFonts w:eastAsia="IRNazanin" w:cs="IRNazanin"/>
          <w:color w:val="111111"/>
          <w:sz w:val="28"/>
          <w:szCs w:val="28"/>
          <w:rtl w:val="true"/>
          <w:lang w:bidi="fa-IR"/>
        </w:rPr>
        <w:t>».</w:t>
      </w:r>
    </w:p>
    <w:p>
      <w:pPr>
        <w:pStyle w:val="Heading4"/>
        <w:numPr>
          <w:ilvl w:val="3"/>
          <w:numId w:val="1"/>
        </w:numPr>
        <w:rPr/>
      </w:pPr>
      <w:bookmarkStart w:id="921" w:name="__RefHeading___Toc1259986_1468164448"/>
      <w:bookmarkStart w:id="922" w:name="_Toc338"/>
      <w:bookmarkEnd w:id="921"/>
      <w:r>
        <w:rPr/>
        <w:t>7</w:t>
      </w:r>
      <w:r>
        <w:rPr>
          <w:rtl w:val="true"/>
        </w:rPr>
        <w:t xml:space="preserve">- </w:t>
      </w:r>
      <w:r>
        <w:rPr>
          <w:rtl w:val="true"/>
        </w:rPr>
        <w:t>تصادم دو کودک با یکدیگر</w:t>
      </w:r>
      <w:bookmarkEnd w:id="92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دو کودک که خود یا با اذن ولی شرعی سوار بر وسیله‌ای شده‌اند، با هم تصادم کنند و از بین بروند یا مجروح شوند، عاقله هر کدام مسئول پرداخت نصف دیه دیگری است، زیرا تلف یا جراحت موجب دیه به فعل هر دو مستند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فعل خود و</w:t>
      </w:r>
      <w:bookmarkStart w:id="923" w:name="pg13713_164766"/>
    </w:p>
    <w:p>
      <w:pPr>
        <w:pStyle w:val="BookText"/>
        <w:rPr/>
      </w:pPr>
      <w:bookmarkEnd w:id="923"/>
      <w:r>
        <w:rPr>
          <w:rFonts w:ascii="IRNazanin" w:hAnsi="IRNazanin" w:eastAsia="IRNazanin"/>
          <w:color w:val="111111"/>
          <w:sz w:val="28"/>
          <w:sz w:val="28"/>
          <w:szCs w:val="28"/>
          <w:rtl w:val="true"/>
          <w:lang w:bidi="fa-IR"/>
        </w:rPr>
        <w:t>دیگری فعل غیر، یعنی در مورد قتل، نصف قتل مستند به فعل خود اوست، پس دیه هدر است و نصف دیگر بر عهده عاقله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بدون اذن ولی شرعی آنها را بر وسیله‌ای سوار نماید و تصادم کنند باید دیه هر دو را به طور کامل بپردازد</w:t>
      </w:r>
      <w:r>
        <w:rPr>
          <w:rFonts w:eastAsia="IRNazanin" w:cs="IRNazanin"/>
          <w:color w:val="111111"/>
          <w:sz w:val="28"/>
          <w:szCs w:val="28"/>
          <w:rtl w:val="true"/>
          <w:lang w:bidi="fa-IR"/>
        </w:rPr>
        <w:t>.</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فقها در این مسأله در کتب فقه استدلالی صور مختلفی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با اذن ولی سوار بر مرکب میشوند، آیا به مصلحت آنان است یا نیست؟ یا غیر از ولی که آنها را بر مرکب سوار مینماید یک نفر است و یا چند نفر</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1259988_1468164448"/>
      <w:bookmarkStart w:id="925" w:name="_Toc339"/>
      <w:bookmarkEnd w:id="924"/>
      <w:r>
        <w:rPr/>
        <w:t>8</w:t>
      </w:r>
      <w:r>
        <w:rPr>
          <w:rtl w:val="true"/>
        </w:rPr>
        <w:t xml:space="preserve">- </w:t>
      </w:r>
      <w:r>
        <w:rPr>
          <w:rtl w:val="true"/>
        </w:rPr>
        <w:t>کودک فاقد عاقله</w:t>
      </w:r>
      <w:bookmarkEnd w:id="925"/>
    </w:p>
    <w:p>
      <w:pPr>
        <w:pStyle w:val="BookText"/>
        <w:rPr/>
      </w:pPr>
      <w:r>
        <w:rPr>
          <w:rFonts w:ascii="IRNazanin" w:hAnsi="IRNazanin" w:eastAsia="IRNazanin"/>
          <w:color w:val="111111"/>
          <w:sz w:val="28"/>
          <w:sz w:val="28"/>
          <w:szCs w:val="28"/>
          <w:rtl w:val="true"/>
          <w:lang w:bidi="fa-IR"/>
        </w:rPr>
        <w:t>در این فرض که کودک عاقله ندارد، یا این‌که عاقله وی فقیر و بیمال میباشند، وتوانایی پرداخت دیه جنایات او را ندارند، این پرسش مطرح است که آیا دیه از مال کودک، در صورتی که صاحب مال باشد، پرداخت میشود و یا این‌که به عهده امام و حاکم است که باید از بیت المال پرداخت نماید؟</w:t>
      </w:r>
    </w:p>
    <w:p>
      <w:pPr>
        <w:pStyle w:val="BookText"/>
        <w:rPr/>
      </w:pPr>
      <w:r>
        <w:rPr>
          <w:rFonts w:ascii="IRNazanin" w:hAnsi="IRNazanin" w:eastAsia="IRNazanin"/>
          <w:color w:val="111111"/>
          <w:sz w:val="28"/>
          <w:sz w:val="28"/>
          <w:szCs w:val="28"/>
          <w:rtl w:val="true"/>
          <w:lang w:bidi="fa-IR"/>
        </w:rPr>
        <w:t>فقها این مسأله را در موردی که فرد بالغی مرتکب قتل خطایی شود، عنوان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دو دیدگاه مطرح شده است، و از آنجا که فعل عمدی کودک به منزله فعل خطایی افراد بالغ میباشد، مبنای مزبور در این دو دیدگاه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جمعی از فقها از جمله شیخ طوسی، شیخ مفید، محقّق حلّی، علاّمه و جمعی دیگر و بعضی از بزرگان فقهای معاصر آن را پذیرفته‌اند، این است که اگر قاتلی که مرتکب قتل خطایی شده است، صاحب اموال باشد و عاقله وی فقیر باشند، دیه از مال قاتل پرداخت میشود و چنان‌چه عاقله ندارد یا عاقله وی فقیرند و خود نیز دارای اموال نباشد، دیه مقتول از بیت المال مسلمین پرداخت میگردد</w:t>
      </w:r>
      <w:r>
        <w:rPr>
          <w:rFonts w:eastAsia="IRNazanin" w:cs="IRNazanin"/>
          <w:color w:val="111111"/>
          <w:sz w:val="28"/>
          <w:szCs w:val="28"/>
          <w:rtl w:val="true"/>
          <w:lang w:bidi="fa-IR"/>
        </w:rPr>
        <w:t>.</w:t>
      </w:r>
      <w:r>
        <w:rPr>
          <w:rStyle w:val="FootnoteAnchor"/>
          <w:rtl w:val="true"/>
        </w:rPr>
        <w:footnoteReference w:id="2022"/>
      </w:r>
    </w:p>
    <w:p>
      <w:pPr>
        <w:pStyle w:val="BookText"/>
        <w:rPr/>
      </w:pPr>
      <w:r>
        <w:rPr>
          <w:rFonts w:ascii="IRNazanin" w:hAnsi="IRNazanin" w:eastAsia="IRNazanin"/>
          <w:color w:val="111111"/>
          <w:sz w:val="28"/>
          <w:sz w:val="28"/>
          <w:szCs w:val="28"/>
          <w:rtl w:val="true"/>
          <w:lang w:bidi="fa-IR"/>
        </w:rPr>
        <w:t>ادلّه دیدگاه اوّل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ادلّه وجوب پرداخت دیه، مانند آن که در 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فرد با ایمانی را از روی خطا به قتل رساند باید یک برده آزاد کند و خون‌بهای او را به کسان او بپردازد، مگر این‌که آنها خون‌بها را به وی ببخشند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 فَتَحْرِیرُ رَقَبَةٍ مُؤْمِنَةٍ وَ دِیَةٌ مُسَلَّمَةٌ إِلی أَهْلِهِ إِلاّ أَنْ یَصَّدَّقُوا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ظاهر آیه شریفه دلالت دارد بر این‌که در قتل خطایی دیه بر ذمّه جانی است و او مکلّف به پرداخت آن به اولیای مقتول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برطبق ادلّه خاص که در محل خود به اثبات رسیده است، عاقله وی آن را از طرف او پرداخت مینمایند، ولی اگر جانی عاقله ندارد یا عاقله قادر به پرداخت نیستند، باید از مال جانی پرداخت شود</w:t>
      </w:r>
      <w:r>
        <w:rPr>
          <w:rFonts w:eastAsia="IRNazanin" w:cs="IRNazanin"/>
          <w:color w:val="111111"/>
          <w:sz w:val="28"/>
          <w:szCs w:val="28"/>
          <w:rtl w:val="true"/>
          <w:lang w:bidi="fa-IR"/>
        </w:rPr>
        <w:t>.</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اقتضا دارد که جانی نسبت به دیه مقتول مشغول الذّمه باشد و ادای آن بر وی لازم باشد</w:t>
      </w:r>
      <w:r>
        <w:rPr>
          <w:rFonts w:eastAsia="IRNazanin" w:cs="IRNazanin"/>
          <w:color w:val="111111"/>
          <w:sz w:val="28"/>
          <w:szCs w:val="28"/>
          <w:rtl w:val="true"/>
          <w:lang w:bidi="fa-IR"/>
        </w:rPr>
        <w:t>.</w:t>
      </w:r>
      <w:r>
        <w:rPr>
          <w:rStyle w:val="FootnoteAnchor"/>
          <w:rtl w:val="true"/>
        </w:rPr>
        <w:footnoteReference w:id="202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این‌باره ادّعای اجماع</w:t>
      </w:r>
      <w:r>
        <w:rPr>
          <w:rStyle w:val="FootnoteAnchor"/>
          <w:rtl w:val="true"/>
        </w:rPr>
        <w:footnoteReference w:id="2025"/>
      </w:r>
      <w:r>
        <w:rPr>
          <w:rFonts w:ascii="IRNazanin" w:hAnsi="IRNazanin" w:eastAsia="IRNazanin"/>
          <w:color w:val="111111"/>
          <w:sz w:val="28"/>
          <w:sz w:val="28"/>
          <w:szCs w:val="28"/>
          <w:rtl w:val="true"/>
          <w:lang w:bidi="fa-IR"/>
        </w:rPr>
        <w:t>نموده‌اند، البتّه این اجماع نمیتواند دلیل مستقل محسوب شود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روایاتی که در مورد جنایات اشخاص کور وارد شده است، مانند این که در حدیث صحیح حلبی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دو مرد کور که یکی از آنها به دیگری حمله‌ور شده و چشمان وی را مجروح ساخته، بعد از آن مضروب، ضارب را کشته،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یکدیگر تعدّی نموده‌اند، ولی قاتل قصاص نمیشود، زیرا او کور است و جنایت عمدی اشخاص کور به منزله خطا است</w:t>
      </w:r>
      <w:r>
        <w:rPr>
          <w:rFonts w:eastAsia="IRNazanin" w:cs="IRNazanin"/>
          <w:color w:val="111111"/>
          <w:sz w:val="28"/>
          <w:szCs w:val="28"/>
          <w:rtl w:val="true"/>
          <w:lang w:bidi="fa-IR"/>
        </w:rPr>
        <w:t>.</w:t>
      </w:r>
      <w:r>
        <w:rPr>
          <w:rStyle w:val="FootnoteAnchor"/>
          <w:rtl w:val="true"/>
        </w:rPr>
        <w:footnoteReference w:id="2026"/>
      </w:r>
      <w:r>
        <w:rPr>
          <w:rFonts w:ascii="IRNazanin" w:hAnsi="IRNazanin" w:eastAsia="IRNazanin"/>
          <w:color w:val="111111"/>
          <w:sz w:val="28"/>
          <w:sz w:val="28"/>
          <w:szCs w:val="28"/>
          <w:rtl w:val="true"/>
          <w:lang w:bidi="fa-IR"/>
        </w:rPr>
        <w:t>بنابراین باید</w:t>
      </w:r>
    </w:p>
    <w:p>
      <w:pPr>
        <w:pStyle w:val="BookText"/>
        <w:rPr/>
      </w:pPr>
      <w:r>
        <w:rPr>
          <w:rFonts w:ascii="IRNazanin" w:hAnsi="IRNazanin" w:eastAsia="IRNazanin"/>
          <w:color w:val="111111"/>
          <w:sz w:val="28"/>
          <w:sz w:val="28"/>
          <w:szCs w:val="28"/>
          <w:rtl w:val="true"/>
          <w:lang w:bidi="fa-IR"/>
        </w:rPr>
        <w:t>عاقله جانی دیه مقتول را در مدت سه سال بپردازند و اگر جانی کور، عاقله ندارد، دیه از مال خودش پرداخت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وَالاَعْمَی جِنَایَتُهُ خَطَأٌ یَلْزَمُ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یَکُنْ لِلأَعْمَی عَاقِلَةٌ لَزِمَتْهُ دِیَةٌ مَاجَنَی فِی مَالِهِ</w:t>
      </w:r>
      <w:r>
        <w:rPr>
          <w:rFonts w:eastAsia="IRNazanin" w:cs="IRNazanin"/>
          <w:color w:val="111111"/>
          <w:sz w:val="28"/>
          <w:szCs w:val="28"/>
          <w:rtl w:val="true"/>
          <w:lang w:bidi="fa-IR"/>
        </w:rPr>
        <w:t>...».</w:t>
      </w:r>
      <w:r>
        <w:rPr>
          <w:rStyle w:val="FootnoteAnchor"/>
          <w:rtl w:val="true"/>
        </w:rPr>
        <w:footnoteReference w:id="2027"/>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2028"/>
      </w:r>
    </w:p>
    <w:p>
      <w:pPr>
        <w:pStyle w:val="BookText"/>
        <w:rPr/>
      </w:pPr>
      <w:r>
        <w:rPr>
          <w:rFonts w:ascii="IRNazanin" w:hAnsi="IRNazanin" w:eastAsia="IRNazanin"/>
          <w:color w:val="111111"/>
          <w:sz w:val="28"/>
          <w:sz w:val="28"/>
          <w:szCs w:val="28"/>
          <w:rtl w:val="true"/>
          <w:lang w:bidi="fa-IR"/>
        </w:rPr>
        <w:t>ظاهر روایاتی که به آنها اشاره شد، دلالت دارد که دیه در قتل خطایی ابتدا بر عاقله تحمیل میشود و چنان‌چه عاقله نباشد، باید از مال جانی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امام علیه السلام کبرای کلّی این حکم را بر مورد سؤال تطبیق فرموده است، بنابراین حکم کلّی است و اختصاص به مورد روایت ندارد، در نتیجه حکم فرض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که کودک عاقله نداشته باشد و یا عاقله وی فقیر و بیمال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روایات استفاده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p>
    <w:p>
      <w:pPr>
        <w:pStyle w:val="BookText"/>
        <w:rPr/>
      </w:pPr>
      <w:r>
        <w:rPr>
          <w:rFonts w:ascii="IRNazanin" w:hAnsi="IRNazanin" w:eastAsia="IRNazanin"/>
          <w:color w:val="111111"/>
          <w:sz w:val="28"/>
          <w:sz w:val="28"/>
          <w:szCs w:val="28"/>
          <w:rtl w:val="true"/>
          <w:lang w:bidi="fa-IR"/>
        </w:rPr>
        <w:t>جمعی دیگر از فقها بر این عقیده‌اند که در قتل خطایی اگر جانی عاقله ندارد یا عاقله وی فقیر میباشند، بر امام علیه السلام واجب است دیه را از بیت‌المال بپرازد و بر جانی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دسته از فقها این حکم در مورد کودک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خلاف</w:t>
      </w:r>
      <w:r>
        <w:rPr>
          <w:rStyle w:val="FootnoteAnchor"/>
          <w:rtl w:val="true"/>
        </w:rPr>
        <w:footnoteReference w:id="2029"/>
      </w:r>
      <w:r>
        <w:rPr>
          <w:rFonts w:ascii="IRNazanin" w:hAnsi="IRNazanin" w:eastAsia="IRNazanin"/>
          <w:color w:val="111111"/>
          <w:sz w:val="28"/>
          <w:sz w:val="28"/>
          <w:szCs w:val="28"/>
          <w:rtl w:val="true"/>
          <w:lang w:bidi="fa-IR"/>
        </w:rPr>
        <w:t>و برخی دیگر از فقها</w:t>
      </w:r>
      <w:r>
        <w:rPr>
          <w:rStyle w:val="FootnoteAnchor"/>
          <w:rtl w:val="true"/>
        </w:rPr>
        <w:footnoteReference w:id="2030"/>
      </w:r>
      <w:r>
        <w:rPr>
          <w:rFonts w:ascii="IRNazanin" w:hAnsi="IRNazanin" w:eastAsia="IRNazanin"/>
          <w:color w:val="111111"/>
          <w:sz w:val="28"/>
          <w:sz w:val="28"/>
          <w:szCs w:val="28"/>
          <w:rtl w:val="true"/>
          <w:lang w:bidi="fa-IR"/>
        </w:rPr>
        <w:t>از جمله امام خمینی قدس سره</w:t>
      </w:r>
      <w:r>
        <w:rPr>
          <w:rStyle w:val="FootnoteAnchor"/>
          <w:rtl w:val="true"/>
        </w:rPr>
        <w:footnoteReference w:id="2031"/>
      </w:r>
      <w:r>
        <w:rPr>
          <w:rFonts w:ascii="IRNazanin" w:hAnsi="IRNazanin" w:eastAsia="IRNazanin"/>
          <w:color w:val="111111"/>
          <w:sz w:val="28"/>
          <w:sz w:val="28"/>
          <w:szCs w:val="28"/>
          <w:rtl w:val="true"/>
          <w:lang w:bidi="fa-IR"/>
        </w:rPr>
        <w:t>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مجازات اسلامی نیز نظریه دوم مورد قبول گرفته و در ماده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مقرّر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جانی دارای عاقله نباشد یا عاقله او نتواند دیه را در مدّت سه سال بپردازد، دیه از بیت‌المال پرداخت 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دلیل دیدگاه دوّم نیز بعضی از روایات است، از جمله در مورد مردی که به نحو خطا دیگری را کشته بود و قبل از آن‌که دیه مقتول را به اولیای وی بپردازد، خود نیز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صادق علیهما السلام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بر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است و چنان‌چه عاقله نداشته باشد، والی باید از بیت المال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الدِّیَةَ</w:t>
      </w:r>
      <w:bookmarkStart w:id="926" w:name="pg13713_164769"/>
    </w:p>
    <w:p>
      <w:pPr>
        <w:pStyle w:val="BookText"/>
        <w:rPr/>
      </w:pPr>
      <w:bookmarkEnd w:id="926"/>
      <w:r>
        <w:rPr>
          <w:rFonts w:ascii="Amiri" w:hAnsi="Amiri" w:eastAsia="Amiri" w:cs="Amiri"/>
          <w:color w:val="111111"/>
          <w:sz w:val="28"/>
          <w:sz w:val="28"/>
          <w:szCs w:val="28"/>
          <w:rtl w:val="true"/>
          <w:lang w:bidi="ar-SA"/>
        </w:rPr>
        <w:t>عَلَی وَرَثَتِهِ فَاِنْ لَمْ یَکُنْ لَهُ عَاقِلَةٌ فَعَلَی الْوَالِی مِنْ بَیْتِ المَالِ</w:t>
      </w:r>
      <w:r>
        <w:rPr>
          <w:rFonts w:eastAsia="Amiri" w:cs="Amiri" w:ascii="Amiri" w:hAnsi="Amiri"/>
          <w:color w:val="111111"/>
          <w:sz w:val="28"/>
          <w:szCs w:val="28"/>
          <w:rtl w:val="true"/>
          <w:lang w:bidi="ar-SA"/>
        </w:rPr>
        <w:t>»</w:t>
      </w:r>
      <w:r>
        <w:rPr>
          <w:rStyle w:val="FootnoteAnchor"/>
          <w:rtl w:val="true"/>
        </w:rPr>
        <w:footnoteReference w:id="2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وروایات‌دیگر</w:t>
      </w:r>
      <w:r>
        <w:rPr>
          <w:rFonts w:eastAsia="IRNazanin" w:cs="IRNazanin"/>
          <w:color w:val="111111"/>
          <w:sz w:val="28"/>
          <w:szCs w:val="28"/>
          <w:rtl w:val="true"/>
          <w:lang w:bidi="fa-IR"/>
        </w:rPr>
        <w:t>.</w:t>
      </w:r>
      <w:r>
        <w:rPr>
          <w:rStyle w:val="FootnoteAnchor"/>
          <w:rtl w:val="true"/>
        </w:rPr>
        <w:footnoteReference w:id="2033"/>
      </w:r>
      <w:r>
        <w:rPr>
          <w:rFonts w:ascii="IRNazanin" w:hAnsi="IRNazanin" w:eastAsia="IRNazanin"/>
          <w:color w:val="111111"/>
          <w:sz w:val="28"/>
          <w:sz w:val="28"/>
          <w:szCs w:val="28"/>
          <w:rtl w:val="true"/>
          <w:lang w:bidi="fa-IR"/>
        </w:rPr>
        <w:t>بعضی از فقها بر این دیدگاه ایراداتی</w:t>
      </w:r>
      <w:r>
        <w:rPr>
          <w:rStyle w:val="FootnoteAnchor"/>
          <w:rtl w:val="true"/>
        </w:rPr>
        <w:footnoteReference w:id="2034"/>
      </w:r>
      <w:r>
        <w:rPr>
          <w:rFonts w:ascii="IRNazanin" w:hAnsi="IRNazanin" w:eastAsia="IRNazanin"/>
          <w:color w:val="111111"/>
          <w:sz w:val="28"/>
          <w:sz w:val="28"/>
          <w:szCs w:val="28"/>
          <w:rtl w:val="true"/>
          <w:lang w:bidi="fa-IR"/>
        </w:rPr>
        <w:t>وارد نموده از جمله این‌که روایات مورد استناد آن از نظر سند ضعیف است و قابل اعتماد نمیباشد</w:t>
      </w:r>
      <w:r>
        <w:rPr>
          <w:rFonts w:eastAsia="IRNazanin" w:cs="IRNazanin"/>
          <w:color w:val="111111"/>
          <w:sz w:val="28"/>
          <w:szCs w:val="28"/>
          <w:rtl w:val="true"/>
          <w:lang w:bidi="fa-IR"/>
        </w:rPr>
        <w:t>.</w:t>
      </w:r>
      <w:r>
        <w:rPr>
          <w:rStyle w:val="FootnoteAnchor"/>
          <w:rtl w:val="true"/>
        </w:rPr>
        <w:footnoteReference w:id="2035"/>
      </w:r>
    </w:p>
    <w:p>
      <w:pPr>
        <w:pStyle w:val="Heading4"/>
        <w:numPr>
          <w:ilvl w:val="3"/>
          <w:numId w:val="1"/>
        </w:numPr>
        <w:rPr/>
      </w:pPr>
      <w:bookmarkStart w:id="927" w:name="__RefHeading___Toc1259990_1468164448"/>
      <w:bookmarkStart w:id="928" w:name="_Toc340"/>
      <w:bookmarkEnd w:id="927"/>
      <w:r>
        <w:rPr/>
        <w:t>9</w:t>
      </w:r>
      <w:r>
        <w:rPr>
          <w:rtl w:val="true"/>
        </w:rPr>
        <w:t xml:space="preserve">- </w:t>
      </w:r>
      <w:r>
        <w:rPr>
          <w:rtl w:val="true"/>
        </w:rPr>
        <w:t>حکم کفّاره قتل نسبت به کودک</w:t>
      </w:r>
      <w:bookmarkEnd w:id="928"/>
    </w:p>
    <w:p>
      <w:pPr>
        <w:pStyle w:val="BookText"/>
        <w:rPr/>
      </w:pPr>
      <w:r>
        <w:rPr>
          <w:rFonts w:ascii="IRNazanin" w:hAnsi="IRNazanin" w:eastAsia="IRNazanin"/>
          <w:color w:val="111111"/>
          <w:sz w:val="28"/>
          <w:sz w:val="28"/>
          <w:szCs w:val="28"/>
          <w:rtl w:val="true"/>
          <w:lang w:bidi="fa-IR"/>
        </w:rPr>
        <w:t xml:space="preserve">به اتّفاق فقها در ارتکاب قتل عمد، توسط فرد بالغ، علاوه بر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اولیاء مقتول با قاتل در گرفتن دیه توافق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جمع، یعنی آزاد کردن یک بنده و شصت روز روزه پیدرپی و اطعام دادن به شصت مسکین، بر قاتل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قتل خطایی کفاره مرتّبه، یعنی اموری که ذکر شد به ترتیب اولویّت اوّل تا سوم، واجب است</w:t>
      </w:r>
      <w:r>
        <w:rPr>
          <w:rFonts w:eastAsia="IRNazanin" w:cs="IRNazanin"/>
          <w:color w:val="111111"/>
          <w:sz w:val="28"/>
          <w:szCs w:val="28"/>
          <w:rtl w:val="true"/>
          <w:lang w:bidi="fa-IR"/>
        </w:rPr>
        <w:t>.</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حال آیا کودک در صورت ارتکاب قتل مشمول این حکم قرار میگیرد یا خیر؟ در این باره دو دیدگاه مطرح شده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معتقدند کودک در صورت ارتکاب قتل مشمول این حکم قرار میگیرد</w:t>
      </w:r>
      <w:r>
        <w:rPr>
          <w:rStyle w:val="FootnoteAnchor"/>
          <w:rtl w:val="true"/>
        </w:rPr>
        <w:footnoteReference w:id="2037"/>
      </w:r>
      <w:r>
        <w:rPr>
          <w:rFonts w:ascii="IRNazanin" w:hAnsi="IRNazanin" w:eastAsia="IRNazanin"/>
          <w:color w:val="111111"/>
          <w:sz w:val="28"/>
          <w:sz w:val="28"/>
          <w:szCs w:val="28"/>
          <w:rtl w:val="true"/>
          <w:lang w:bidi="fa-IR"/>
        </w:rPr>
        <w:t>و دلیل آن را اطلاق ادلّه وجوب کفّاره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ثانی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ادلّه مقتضی این است که در این حکم بین قاتل از جهت مکلّف بودن یا نبودن تفاوتی نباشد، بنابراین بر کودک و مجنون در صورتی که مسلمانی را به قتل برسانند، کفّاره واجب میشود، هرچند در غیر این مورد کفاره بر آنها واجب نیست و باید در صورت امکان از مال آنها برده آزاد شود و نیز به شصت مسکین طعام داده شود، هم‌چنان‌که دیگر حقوق مالی نیز از اموال آنها برداشته میشود</w:t>
      </w:r>
      <w:r>
        <w:rPr>
          <w:rFonts w:eastAsia="IRNazanin" w:cs="IRNazanin"/>
          <w:color w:val="111111"/>
          <w:sz w:val="28"/>
          <w:szCs w:val="28"/>
          <w:rtl w:val="true"/>
          <w:lang w:bidi="fa-IR"/>
        </w:rPr>
        <w:t>.</w:t>
      </w:r>
      <w:r>
        <w:rPr>
          <w:rStyle w:val="FootnoteAnchor"/>
          <w:rtl w:val="true"/>
        </w:rPr>
        <w:footnoteReference w:id="20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دیگری که قویتر به نظر میرسد، این‌که کودک در صورت ارتکاب قتل مشمول حکم وجوب کفّاره نمیگردد</w:t>
      </w:r>
      <w:r>
        <w:rPr>
          <w:rFonts w:eastAsia="IRNazanin" w:cs="IRNazanin"/>
          <w:color w:val="111111"/>
          <w:sz w:val="28"/>
          <w:szCs w:val="28"/>
          <w:rtl w:val="true"/>
          <w:lang w:bidi="fa-IR"/>
        </w:rPr>
        <w:t>.</w:t>
      </w:r>
      <w:r>
        <w:rPr>
          <w:rStyle w:val="FootnoteAnchor"/>
          <w:rtl w:val="true"/>
        </w:rPr>
        <w:footnoteReference w:id="2039"/>
      </w:r>
      <w:r>
        <w:rPr>
          <w:rFonts w:ascii="IRNazanin" w:hAnsi="IRNazanin" w:eastAsia="IRNazanin"/>
          <w:color w:val="111111"/>
          <w:sz w:val="28"/>
          <w:sz w:val="28"/>
          <w:szCs w:val="28"/>
          <w:rtl w:val="true"/>
          <w:lang w:bidi="fa-IR"/>
        </w:rPr>
        <w:t>شاید بتوان این نظر را به مشهور فقها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دیدگاه هم به اصل</w:t>
      </w:r>
      <w:r>
        <w:rPr>
          <w:rStyle w:val="FootnoteAnchor"/>
          <w:rtl w:val="true"/>
        </w:rPr>
        <w:footnoteReference w:id="2040"/>
      </w:r>
      <w:r>
        <w:rPr>
          <w:rFonts w:ascii="IRNazanin" w:hAnsi="IRNazanin" w:eastAsia="IRNazanin"/>
          <w:color w:val="111111"/>
          <w:sz w:val="28"/>
          <w:sz w:val="28"/>
          <w:szCs w:val="28"/>
          <w:rtl w:val="true"/>
          <w:lang w:bidi="fa-IR"/>
        </w:rPr>
        <w:t>استناد شده و هم به این‌که کفّاره تکلیف است و کودک و مجنون دارای تکلیف نمیباشند</w:t>
      </w:r>
      <w:r>
        <w:rPr>
          <w:rFonts w:eastAsia="IRNazanin" w:cs="IRNazanin"/>
          <w:color w:val="111111"/>
          <w:sz w:val="28"/>
          <w:szCs w:val="28"/>
          <w:rtl w:val="true"/>
          <w:lang w:bidi="fa-IR"/>
        </w:rPr>
        <w:t>.</w:t>
      </w:r>
      <w:r>
        <w:rPr>
          <w:rStyle w:val="FootnoteAnchor"/>
          <w:rtl w:val="true"/>
        </w:rPr>
        <w:footnoteReference w:id="2041"/>
      </w:r>
    </w:p>
    <w:p>
      <w:pPr>
        <w:pStyle w:val="BookText"/>
        <w:rPr/>
      </w:pPr>
      <w:r>
        <w:rPr>
          <w:rFonts w:ascii="IRNazanin" w:hAnsi="IRNazanin" w:eastAsia="IRNazanin"/>
          <w:color w:val="111111"/>
          <w:sz w:val="28"/>
          <w:sz w:val="28"/>
          <w:szCs w:val="28"/>
          <w:rtl w:val="true"/>
          <w:lang w:bidi="fa-IR"/>
        </w:rPr>
        <w:t>در توضیح دو دیدگاه مزبور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کفّاره قتل حکم تکلیفی است یا حکم وضعی؟ محتمل است، حکم تکلیفی باشد، زیرا شرط است با قصد قربت انجام شود، اگر چنین باشد، بر کودک و مجنون واجب نیست، زیرا این دو دارای تکلیف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این‌که وجوب کفّاره، عقوبت بر ارتکاب جنایت است، اگر این احتمال را بپذیریم بر کودک و مجنون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فقهای معاصر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کفّاره قتل، تکلیف است و نمیتوان آن را از حقوق متعلّق به مال دانست، بنابراین اطلاق ادلّه وجوب کفّاره، با ادلّه رفع قلم تکلیف از کودک، مقیّد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کودک چیزی واجب نیست و بر فرض که بپذیریم، کفّاره از حقوق مالی است و نیز بپذیریم که حدیث رفع قلم اختصاص به احکام تکلیفی ندارد و بعضی از احکام وضعی را نیز شامل میگردد، در این صورت شمول حکم کفّاره نسبت به کودک، در فرض مورد بحث منعی ندارد و خلاف امتنان نیست، هم‌چنان‌که در دیگر موارد ضمان، این‌گونه میباشد</w:t>
      </w:r>
      <w:r>
        <w:rPr>
          <w:rFonts w:eastAsia="IRNazanin" w:cs="IRNazanin"/>
          <w:color w:val="111111"/>
          <w:sz w:val="28"/>
          <w:szCs w:val="28"/>
          <w:rtl w:val="true"/>
          <w:lang w:bidi="fa-IR"/>
        </w:rPr>
        <w:t>».</w:t>
      </w:r>
      <w:r>
        <w:rPr>
          <w:rStyle w:val="FootnoteAnchor"/>
          <w:rtl w:val="true"/>
        </w:rPr>
        <w:footnoteReference w:id="2042"/>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چنان‌چه کودک را مشمول این حکم بدانیم، بر ولی شرعی او واجب است موارد کفّاره را از مال کودک، اگر صاحب اموال باشد، بپردازد، همان‌طور که بر وی واجب است دیگر حقوق مالی وی نیز مانند زکات از اموال او بپردازد</w:t>
      </w:r>
      <w:r>
        <w:rPr>
          <w:rFonts w:eastAsia="IRNazanin" w:cs="IRNazanin"/>
          <w:color w:val="111111"/>
          <w:sz w:val="28"/>
          <w:szCs w:val="28"/>
          <w:rtl w:val="true"/>
          <w:lang w:bidi="fa-IR"/>
        </w:rPr>
        <w:t>.</w:t>
      </w:r>
      <w:bookmarkStart w:id="929" w:name="pg13713_164771"/>
    </w:p>
    <w:p>
      <w:pPr>
        <w:pStyle w:val="Heading2"/>
        <w:numPr>
          <w:ilvl w:val="1"/>
          <w:numId w:val="1"/>
        </w:numPr>
        <w:rPr/>
      </w:pPr>
      <w:bookmarkStart w:id="930" w:name="__RefHeading___Toc1259992_1468164448"/>
      <w:bookmarkStart w:id="931" w:name="_Toc341"/>
      <w:bookmarkEnd w:id="929"/>
      <w:bookmarkEnd w:id="930"/>
      <w:r>
        <w:rPr>
          <w:rtl w:val="true"/>
        </w:rPr>
        <w:t>فصل هفدهم</w:t>
      </w:r>
      <w:r>
        <w:rPr>
          <w:rtl w:val="true"/>
        </w:rPr>
        <w:t xml:space="preserve">: </w:t>
      </w:r>
      <w:r>
        <w:rPr>
          <w:rtl w:val="true"/>
        </w:rPr>
        <w:t>کودکان استثنایی</w:t>
      </w:r>
      <w:bookmarkEnd w:id="931"/>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2" w:name="__RefHeading___Toc1259994_1468164448"/>
      <w:bookmarkStart w:id="933" w:name="_Toc342"/>
      <w:bookmarkEnd w:id="932"/>
      <w:r>
        <w:rPr>
          <w:rtl w:val="true"/>
        </w:rPr>
        <w:t>اشاره</w:t>
      </w:r>
      <w:bookmarkStart w:id="934" w:name="pg13713_164773"/>
      <w:bookmarkEnd w:id="933"/>
    </w:p>
    <w:p>
      <w:pPr>
        <w:pStyle w:val="Heading3"/>
        <w:numPr>
          <w:ilvl w:val="2"/>
          <w:numId w:val="1"/>
        </w:numPr>
        <w:rPr/>
      </w:pPr>
      <w:bookmarkStart w:id="935" w:name="__RefHeading___Toc1259996_1468164448"/>
      <w:bookmarkStart w:id="936" w:name="_Toc343"/>
      <w:bookmarkEnd w:id="934"/>
      <w:bookmarkEnd w:id="935"/>
      <w:r>
        <w:rPr>
          <w:rtl w:val="true"/>
        </w:rPr>
        <w:t>گفتار اول</w:t>
      </w:r>
      <w:r>
        <w:rPr>
          <w:rtl w:val="true"/>
        </w:rPr>
        <w:t xml:space="preserve">: </w:t>
      </w:r>
      <w:r>
        <w:rPr>
          <w:rtl w:val="true"/>
        </w:rPr>
        <w:t>علل و عوامل به وجود آمدن کودکان استثنایی</w:t>
      </w:r>
      <w:bookmarkEnd w:id="936"/>
    </w:p>
    <w:p>
      <w:pPr>
        <w:pStyle w:val="Heading4"/>
        <w:numPr>
          <w:ilvl w:val="3"/>
          <w:numId w:val="1"/>
        </w:numPr>
        <w:rPr/>
      </w:pPr>
      <w:bookmarkStart w:id="937" w:name="__RefHeading___Toc1259998_1468164448"/>
      <w:bookmarkStart w:id="938" w:name="_Toc344"/>
      <w:bookmarkEnd w:id="937"/>
      <w:r>
        <w:rPr/>
        <w:t>1</w:t>
      </w:r>
      <w:r>
        <w:rPr>
          <w:rtl w:val="true"/>
        </w:rPr>
        <w:t xml:space="preserve">- </w:t>
      </w:r>
      <w:r>
        <w:rPr>
          <w:rtl w:val="true"/>
        </w:rPr>
        <w:t>مفهوم کودک استثنایی</w:t>
      </w:r>
      <w:bookmarkEnd w:id="938"/>
    </w:p>
    <w:p>
      <w:pPr>
        <w:pStyle w:val="BookText"/>
        <w:rPr/>
      </w:pPr>
      <w:r>
        <w:rPr>
          <w:rFonts w:ascii="IRNazanin" w:hAnsi="IRNazanin" w:eastAsia="IRNazanin"/>
          <w:color w:val="111111"/>
          <w:sz w:val="28"/>
          <w:sz w:val="28"/>
          <w:szCs w:val="28"/>
          <w:rtl w:val="true"/>
          <w:lang w:bidi="fa-IR"/>
        </w:rPr>
        <w:t>کودک استثنایی در درجه اول یک کودک است و سپس کودکی است با تفاوت‌ها و ویژگیهای استثنایی نسبت به دیگر کودکان این ویژگیهاست که پدران و مادران و مربیّان آنها باید خود را با آن سازگار و هماهنگ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افراد انسانی از نقطه نظر خصوصیات مختلف جسمانی، ذهنی، روانی، عاطفی، سازگاری اجتماعی و غیره یکسان نبوده و نسبت به دیگران دارای تفاوت‌های خاصّی میباشند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نه تنها هر فرد نسبت به افراد دیگر از ابعاد مختلف جسمانی و ذهنی دارای تفاوت‌های ویژه‌ای است، بلکه بین توانائیها و استعدادهای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استعداد فنی و هنری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نیز تفاوت‌هایی مشهود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هر فرد نسبت به افراد دیگر استثنایی است و کلمه استثنایی به طور اعم و به معنای دقیق علمی خود، نمیتواند فقط به گروه خاصی از افراد جامعه و کودکان اطلاق شود، بنابراین کلمه</w:t>
      </w:r>
    </w:p>
    <w:p>
      <w:pPr>
        <w:pStyle w:val="BookText"/>
        <w:rPr/>
      </w:pPr>
      <w:r>
        <w:rPr>
          <w:rFonts w:ascii="IRNazanin" w:hAnsi="IRNazanin" w:eastAsia="IRNazanin"/>
          <w:color w:val="111111"/>
          <w:sz w:val="28"/>
          <w:sz w:val="28"/>
          <w:szCs w:val="28"/>
          <w:rtl w:val="true"/>
          <w:lang w:bidi="fa-IR"/>
        </w:rPr>
        <w:t>استثنایی نمایان‌گر انواع ویژگیها و تفاوت‌ها است و هر کودکی نسبت به دیگر کودکان میتواند از نظر جسمانی، روانی، اجتماعی،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استثنایی باشد، ولی مقصود از کودک استثنایی در این بخش کودکی است که دارای یکی از دو ویژگی عقب ماندگی ذهنی یا معلولیت جسمانی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عقب‌ماندگی ذهنی</w:t>
      </w:r>
    </w:p>
    <w:p>
      <w:pPr>
        <w:pStyle w:val="BookText"/>
        <w:rPr/>
      </w:pPr>
      <w:r>
        <w:rPr>
          <w:rFonts w:ascii="IRNazanin" w:hAnsi="IRNazanin" w:eastAsia="IRNazanin"/>
          <w:color w:val="111111"/>
          <w:sz w:val="28"/>
          <w:sz w:val="28"/>
          <w:szCs w:val="28"/>
          <w:rtl w:val="true"/>
          <w:lang w:bidi="fa-IR"/>
        </w:rPr>
        <w:t>عقب‌ماندگی ذهنی عبارت است از پایین بودن کنش هوش عمومی در حدّ کم‌تر از متوسط و اختلال در رفتار سازشی که در یکی از مراحل رشد و تحّول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است که عقب‌ماندگی ذهنی حالتی است از محدودیت کنش هوش عمومی در حد قابل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پایین‌تر از میانگین و توأم است با اختلال رفتار سازشی که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میپیوندد</w:t>
      </w:r>
      <w:r>
        <w:rPr>
          <w:rFonts w:eastAsia="IRNazanin" w:cs="IRNazanin"/>
          <w:color w:val="111111"/>
          <w:sz w:val="28"/>
          <w:szCs w:val="28"/>
          <w:rtl w:val="true"/>
          <w:lang w:bidi="fa-IR"/>
        </w:rPr>
        <w:t>.</w:t>
      </w:r>
      <w:r>
        <w:rPr>
          <w:rStyle w:val="FootnoteAnchor"/>
          <w:rtl w:val="true"/>
        </w:rPr>
        <w:footnoteReference w:id="2043"/>
      </w:r>
    </w:p>
    <w:p>
      <w:pPr>
        <w:pStyle w:val="BookText"/>
        <w:rPr/>
      </w:pPr>
      <w:r>
        <w:rPr>
          <w:rFonts w:ascii="IRNazanin" w:hAnsi="IRNazanin" w:eastAsia="IRNazanin"/>
          <w:color w:val="111111"/>
          <w:sz w:val="28"/>
          <w:sz w:val="28"/>
          <w:szCs w:val="28"/>
          <w:rtl w:val="true"/>
          <w:lang w:bidi="fa-IR"/>
        </w:rPr>
        <w:t>کاملاً روشن است که کودکان عقب‌مانده ذهنی از نظر آمادگی بدنی، توانایی حرکتی و مکانیک بدن نیاز به پیشرفت دارند، و وضعیت بدنی آنها معمولاً دچار ضعف است و شادابی و نشاط جسمی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گام برداشتن و راه رفتن آنان نامتعادل و ناهماهنگ است و به همین دلیل در هماهنگیهای کلی حرکات بدن ضعیف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 مقایسه‌ای همیشه دانش‌آموزان عقب‌مانده ذهنی در زمینه‌های قدرت تحمّل، چابکی، تعادل و سرعت، دویدن، انعطاف‌پذیری و زمان واکنش نسبت به دانش‌آموزان عادی امتیازهای کمتری به دست میآورند</w:t>
      </w:r>
      <w:r>
        <w:rPr>
          <w:rFonts w:eastAsia="IRNazanin" w:cs="IRNazanin"/>
          <w:color w:val="111111"/>
          <w:sz w:val="28"/>
          <w:szCs w:val="28"/>
          <w:rtl w:val="true"/>
          <w:lang w:bidi="fa-IR"/>
        </w:rPr>
        <w:t>.</w:t>
      </w:r>
      <w:r>
        <w:rPr>
          <w:rStyle w:val="FootnoteAnchor"/>
          <w:rtl w:val="true"/>
        </w:rPr>
        <w:footnoteReference w:id="204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مفصل‌بندی و تلفظ شمرده، صدای ناهنجار و گفتار ناهماهنگ از رایج‌ترین و عمومیترین اختلالات گفتار و زبان عقب‌مانده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متخصصان این گونه اختلال‌ها را نتیجه تأخیر در رشد عضلانی و عصبی میدانند که منجر به ضعف در هماهنگی عضلات و اندام گفتاری میگردد</w:t>
      </w:r>
      <w:r>
        <w:rPr>
          <w:rFonts w:eastAsia="IRNazanin" w:cs="IRNazanin"/>
          <w:color w:val="111111"/>
          <w:sz w:val="28"/>
          <w:szCs w:val="28"/>
          <w:rtl w:val="true"/>
          <w:lang w:bidi="fa-IR"/>
        </w:rPr>
        <w:t>.</w:t>
      </w:r>
      <w:r>
        <w:rPr>
          <w:rStyle w:val="FootnoteAnchor"/>
          <w:rtl w:val="true"/>
        </w:rPr>
        <w:footnoteReference w:id="2045"/>
      </w:r>
      <w:bookmarkStart w:id="939" w:name="pg13713_164775"/>
    </w:p>
    <w:p>
      <w:pPr>
        <w:pStyle w:val="BookText"/>
        <w:rPr/>
      </w:pPr>
      <w:bookmarkEnd w:id="93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جسمی</w:t>
      </w:r>
    </w:p>
    <w:p>
      <w:pPr>
        <w:pStyle w:val="BookText"/>
        <w:rPr/>
      </w:pPr>
      <w:r>
        <w:rPr>
          <w:rFonts w:ascii="IRNazanin" w:hAnsi="IRNazanin" w:eastAsia="IRNazanin"/>
          <w:color w:val="111111"/>
          <w:sz w:val="28"/>
          <w:sz w:val="28"/>
          <w:szCs w:val="28"/>
          <w:rtl w:val="true"/>
          <w:lang w:bidi="fa-IR"/>
        </w:rPr>
        <w:t>کودکان معلول جسمانی به کودکانی گفته میشود که محدودیت‌های جسمانی‌غیرحسّی یا مشکلات سلامتی آنها، خدمات ویژه‌ای را در امر یادگیری و تحصیل‌ایجاب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مقصود از کودکان دارای معلولیّت جسمی کودکانی هستند که شرایط جسمانی آنها بیش از هر چیز نگران کننده است، در حالی که ممکن است خصوصیات دیگری نظیر پریشانیهای عاطفی، ناتوانی یادگیری، اختلالات گفتاری و زبانی، عقب‌ماندگی ذهنی و حتّی نبوغ و هوش سرشار داشته باشند</w:t>
      </w:r>
      <w:r>
        <w:rPr>
          <w:rFonts w:eastAsia="IRNazanin" w:cs="IRNazanin"/>
          <w:color w:val="111111"/>
          <w:sz w:val="28"/>
          <w:szCs w:val="28"/>
          <w:rtl w:val="true"/>
          <w:lang w:bidi="fa-IR"/>
        </w:rPr>
        <w:t>.</w:t>
      </w:r>
      <w:r>
        <w:rPr>
          <w:rStyle w:val="FootnoteAnchor"/>
          <w:rtl w:val="true"/>
        </w:rPr>
        <w:footnoteReference w:id="2046"/>
      </w:r>
    </w:p>
    <w:p>
      <w:pPr>
        <w:pStyle w:val="Heading4"/>
        <w:numPr>
          <w:ilvl w:val="3"/>
          <w:numId w:val="1"/>
        </w:numPr>
        <w:rPr/>
      </w:pPr>
      <w:bookmarkStart w:id="940" w:name="__RefHeading___Toc1260000_1468164448"/>
      <w:bookmarkStart w:id="941" w:name="_Toc345"/>
      <w:bookmarkEnd w:id="940"/>
      <w:r>
        <w:rPr/>
        <w:t>2</w:t>
      </w:r>
      <w:r>
        <w:rPr>
          <w:rtl w:val="true"/>
        </w:rPr>
        <w:t xml:space="preserve">- </w:t>
      </w:r>
      <w:r>
        <w:rPr>
          <w:rtl w:val="true"/>
        </w:rPr>
        <w:t>آفرینش جهان در کامل‌ترین نظم ممکن</w:t>
      </w:r>
      <w:bookmarkEnd w:id="941"/>
    </w:p>
    <w:p>
      <w:pPr>
        <w:pStyle w:val="BookText"/>
        <w:rPr/>
      </w:pPr>
      <w:r>
        <w:rPr>
          <w:rFonts w:ascii="IRNazanin" w:hAnsi="IRNazanin" w:eastAsia="IRNazanin"/>
          <w:color w:val="111111"/>
          <w:sz w:val="28"/>
          <w:sz w:val="28"/>
          <w:szCs w:val="28"/>
          <w:rtl w:val="true"/>
          <w:lang w:bidi="fa-IR"/>
        </w:rPr>
        <w:t>گاه بعضی از کودکان استثنایی و ناقص دیده به جهان میگشایند و اگر در همان روزهای اوّل تولّد، زندگی را بدرود نگویند، باید عمری را به ناکامی وحسرت بگذرانند و همواره چشم انتظار کمک و ترحّم انسان‌های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خاص و استثنایی، معلول چه عاملی است؟ چه بسا بعضی از انسان‌های ناآگاه، خداوند بزرگ را مسئول نقص و بدبختی این گونه کودکان معرفّی میکنند و بسیار سؤال میشود چرا خداوند یکی را ناقص و علیل و رنجور ناتوان میآفریند؟ و یکی را کامل و سالم و مستعد؟ کودک ناتوان چه تقصیری دارد که باید ناقص متولّد شود و عمری را با سختی و مشکلات طاقت‌فرسا سپری سازد؟</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قطعاً باطل و بیدلیل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باید گفت که کارخانه عظیم خلقت با تمام مواد و عناصری که در آن به کار رفته، آن چنان کامل و منظّم است که محال است کسی بتواند در کار آن نقص یا قصوری بیابد، در این کارخانه بزرگ و وسیع و دقیق هر چیز به اندازه آفریده شده و با سایر مخلوقات و موجودات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همان کسی است که هر چه آفرید نیکو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أَحْسَنَ کُلَّ شَیْءٍ خَلَقَهُ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که مخلوق خدا است زیبا و نیک است، حسن و زیبایی دائرمدار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خلقت دائرمدار حسن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خلقی نیست، مگر آن که به احسان خدا زیبا و نیکو است، بنابراین خلقت و حسن و زیبایی باهم متلازمند و هرگز از هم جدا نمیشوند</w:t>
      </w:r>
      <w:r>
        <w:rPr>
          <w:rFonts w:eastAsia="IRNazanin" w:cs="IRNazanin"/>
          <w:color w:val="111111"/>
          <w:sz w:val="28"/>
          <w:szCs w:val="28"/>
          <w:rtl w:val="true"/>
          <w:lang w:bidi="fa-IR"/>
        </w:rPr>
        <w:t>.</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تمام افعال خداوند حکیم از روی حکمت و درست و بجاست و تمام نیکو و زیبا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قبیح و ناقص محال است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پست‌ترین مخلوقات و بدترین درندگان و گزندگان و خارهای بیابانی، صورت آنها در حد خود و آن‌چه مربوط به خلقت آنها است، زیبا است و مطابق حکمت و مصلحت و مفید میباشد</w:t>
      </w:r>
      <w:r>
        <w:rPr>
          <w:rFonts w:eastAsia="IRNazanin" w:cs="IRNazanin"/>
          <w:color w:val="111111"/>
          <w:sz w:val="28"/>
          <w:szCs w:val="28"/>
          <w:rtl w:val="true"/>
          <w:lang w:bidi="fa-IR"/>
        </w:rPr>
        <w:t>.</w:t>
      </w:r>
      <w:r>
        <w:rPr>
          <w:rStyle w:val="FootnoteAnchor"/>
          <w:rtl w:val="true"/>
        </w:rPr>
        <w:footnoteReference w:id="2048"/>
      </w:r>
    </w:p>
    <w:p>
      <w:pPr>
        <w:pStyle w:val="BookText"/>
        <w:rPr/>
      </w:pPr>
      <w:r>
        <w:rPr>
          <w:rFonts w:ascii="IRNazanin" w:hAnsi="IRNazanin" w:eastAsia="IRNazanin"/>
          <w:color w:val="111111"/>
          <w:sz w:val="28"/>
          <w:sz w:val="28"/>
          <w:szCs w:val="28"/>
          <w:rtl w:val="true"/>
          <w:lang w:bidi="fa-IR"/>
        </w:rPr>
        <w:t xml:space="preserve">خلاصه آن‌که خداوند بزرگ بنای کاخ عظیم خلقت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چنان نظمی استوار کرد که از آن کامل‌تر تصوّر نمیشود</w:t>
      </w:r>
      <w:r>
        <w:rPr>
          <w:rFonts w:eastAsia="IRNazanin" w:cs="IRNazanin"/>
          <w:color w:val="111111"/>
          <w:sz w:val="28"/>
          <w:szCs w:val="28"/>
          <w:rtl w:val="true"/>
          <w:lang w:bidi="fa-IR"/>
        </w:rPr>
        <w:t>.</w:t>
      </w:r>
      <w:r>
        <w:rPr>
          <w:rStyle w:val="FootnoteAnchor"/>
          <w:rtl w:val="true"/>
        </w:rPr>
        <w:footnoteReference w:id="2049"/>
      </w:r>
    </w:p>
    <w:p>
      <w:pPr>
        <w:pStyle w:val="BookText"/>
        <w:rPr/>
      </w:pPr>
      <w:r>
        <w:rPr>
          <w:rFonts w:ascii="IRNazanin" w:hAnsi="IRNazanin" w:eastAsia="IRNazanin"/>
          <w:color w:val="111111"/>
          <w:sz w:val="28"/>
          <w:sz w:val="28"/>
          <w:szCs w:val="28"/>
          <w:rtl w:val="true"/>
          <w:lang w:bidi="fa-IR"/>
        </w:rPr>
        <w:t>قانون علیت آن‌چنان با استحکام و قاطعیت بر کائنات حکومت میکند که دانش بشری با همه محدودیت و نارسایی خود توانسته است در موارد بیشماری به راز آن پی ببرد و سیطره آن را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 جهانی است عظیم بر اساس محاسباتی دقیق و حکیمانه و قوانینی استوار و نظمی حیرت انگیز، انسان نه تنها قادر است این رموز حیرت‌انگیز و روابط دقیق حوادث و وقایع را دریابد، بلکه قدرتی به او عطا شده است که میتواند در بسیاری از موارد در علل و عوامل تأثیر کند و مسیر حوادث را به نفع یا زیان خود دگرگون سازد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کاملاً صحیح است که پیدایش و جنبش هر موجود زنده‌ای به اراده آفریدگار بزرگ جهان است، ولی به واسطه همان رابطه علّی و معلولی کائنات است که نقص و نادرست بودن بعضی از عوامل در وضع موجود اثر میگذارد و او را دچار نقص و کمبود میسازد، در آن جا که پاره ای از شرایط و عوامل به اختیار و خواست و خواهش</w:t>
      </w:r>
      <w:bookmarkStart w:id="942" w:name="pg13713_164777"/>
    </w:p>
    <w:p>
      <w:pPr>
        <w:pStyle w:val="BookText"/>
        <w:rPr/>
      </w:pPr>
      <w:bookmarkEnd w:id="942"/>
      <w:r>
        <w:rPr>
          <w:rFonts w:ascii="IRNazanin" w:hAnsi="IRNazanin" w:eastAsia="IRNazanin"/>
          <w:color w:val="111111"/>
          <w:sz w:val="28"/>
          <w:sz w:val="28"/>
          <w:szCs w:val="28"/>
          <w:rtl w:val="true"/>
          <w:lang w:bidi="fa-IR"/>
        </w:rPr>
        <w:t>انسان ارتباط پیدا میکند، مسئول نقص و عقب‌افتادگی موجودی که معلول همین عوامل است، جز انسان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بیانصافی است که در چنین مواردی خداوند بزرگ را مسئول نقص و بدبختی یک انسان معرّفی کنیم</w:t>
      </w:r>
      <w:r>
        <w:rPr>
          <w:rStyle w:val="FootnoteAnchor"/>
          <w:rtl w:val="true"/>
        </w:rPr>
        <w:footnoteReference w:id="2050"/>
      </w:r>
    </w:p>
    <w:p>
      <w:pPr>
        <w:pStyle w:val="Heading4"/>
        <w:numPr>
          <w:ilvl w:val="3"/>
          <w:numId w:val="1"/>
        </w:numPr>
        <w:rPr/>
      </w:pPr>
      <w:bookmarkStart w:id="943" w:name="__RefHeading___Toc1260002_1468164448"/>
      <w:bookmarkStart w:id="944" w:name="_Toc346"/>
      <w:bookmarkEnd w:id="943"/>
      <w:r>
        <w:rPr/>
        <w:t>3</w:t>
      </w:r>
      <w:r>
        <w:rPr>
          <w:rtl w:val="true"/>
        </w:rPr>
        <w:t xml:space="preserve">- </w:t>
      </w:r>
      <w:r>
        <w:rPr>
          <w:rtl w:val="true"/>
        </w:rPr>
        <w:t>ار تباط اعمال انسان با مصیبت‌ها و حوادث تلخ</w:t>
      </w:r>
      <w:bookmarkEnd w:id="944"/>
    </w:p>
    <w:p>
      <w:pPr>
        <w:pStyle w:val="BookText"/>
        <w:rPr/>
      </w:pPr>
      <w:r>
        <w:rPr>
          <w:rFonts w:ascii="IRNazanin" w:hAnsi="IRNazanin" w:eastAsia="IRNazanin"/>
          <w:color w:val="111111"/>
          <w:sz w:val="28"/>
          <w:sz w:val="28"/>
          <w:szCs w:val="28"/>
          <w:rtl w:val="true"/>
          <w:lang w:bidi="fa-IR"/>
        </w:rPr>
        <w:t>از آیات قرآن استفاده میشود که بین اعمال انسان و حوادثی که رخ میدهد تا حدّی ارتباط وجود دارد، به عنوان نمونه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که در شهرها و آبادیها زندگی میکنند ایمان بیاورند و تقوی پیشه کنند برکات آسمان و زمین را بر آنها میگشاییم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 </w:t>
      </w:r>
      <w:r>
        <w:rPr>
          <w:rStyle w:val="FootnoteAnchor"/>
          <w:rtl w:val="true"/>
        </w:rPr>
        <w:footnoteReference w:id="2051"/>
      </w:r>
      <w:r>
        <w:rPr>
          <w:rFonts w:ascii="IRNazanin" w:hAnsi="IRNazanin" w:eastAsia="IRNazanin"/>
          <w:color w:val="111111"/>
          <w:sz w:val="28"/>
          <w:sz w:val="28"/>
          <w:szCs w:val="28"/>
          <w:rtl w:val="true"/>
          <w:lang w:bidi="fa-IR"/>
        </w:rPr>
        <w:t>از این آیه معلوم میشود حوادثی که در جهان به وجود میآید تا حدّی تابع اعمال مردم است، اگر نوع بشر بر طبق رضای خدا عمل کنند و راه طاعت خدا را پیش گیرند، نزول خیرات و باز شدن درهای برکات را خواهند داشت و اگر این نوع از راه عبودیت منحرف شوند و اعمال زشت را مرتکب گردند، باید منتظر بلاها و مصیبت‌ها باشند</w:t>
      </w:r>
      <w:r>
        <w:rPr>
          <w:rFonts w:eastAsia="IRNazanin" w:cs="IRNazanin"/>
          <w:color w:val="111111"/>
          <w:sz w:val="28"/>
          <w:szCs w:val="28"/>
          <w:rtl w:val="true"/>
          <w:lang w:bidi="fa-IR"/>
        </w:rPr>
        <w:t>.</w:t>
      </w:r>
      <w:r>
        <w:rPr>
          <w:rStyle w:val="FootnoteAnchor"/>
          <w:rtl w:val="true"/>
        </w:rPr>
        <w:footnoteReference w:id="205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درخشکی و دریا به خاطر کارهایی که مردم انجام داده‌اند آشکار شده، خداوند میخواهد نتیجه بعضی از اعمال آنها را به آنها بچشاند، شاید به سوی حق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 </w:t>
      </w:r>
      <w:r>
        <w:rPr>
          <w:rStyle w:val="FootnoteAnchor"/>
          <w:rtl w:val="true"/>
        </w:rPr>
        <w:footnoteReference w:id="2053"/>
      </w:r>
      <w:r>
        <w:rPr>
          <w:rFonts w:ascii="IRNazanin" w:hAnsi="IRNazanin" w:eastAsia="IRNazanin"/>
          <w:color w:val="111111"/>
          <w:sz w:val="28"/>
          <w:sz w:val="28"/>
          <w:szCs w:val="28"/>
          <w:rtl w:val="true"/>
          <w:lang w:bidi="fa-IR"/>
        </w:rPr>
        <w:t>این آیه معنی وسیع و گسترده‌ای پیرامون ارتباط فساد و گناه با یکدیگر را بیان میکند و از آن استفاده میشود هر جا فسادی ظاهر شود، بازتاب اعمال مردم است و هر کار نادرست، چه در مقیاس محدود و چه گسترده عکس‌العمل نامطلوبی دارد، یعنی بین فساد و نقصان رابطه طبیعی وجود دارد</w:t>
      </w:r>
      <w:r>
        <w:rPr>
          <w:rFonts w:eastAsia="IRNazanin" w:cs="IRNazanin"/>
          <w:color w:val="111111"/>
          <w:sz w:val="28"/>
          <w:szCs w:val="28"/>
          <w:rtl w:val="true"/>
          <w:lang w:bidi="fa-IR"/>
        </w:rPr>
        <w:t>.</w:t>
      </w:r>
      <w:r>
        <w:rPr>
          <w:rStyle w:val="FootnoteAnchor"/>
          <w:rtl w:val="true"/>
        </w:rPr>
        <w:footnoteReference w:id="2054"/>
      </w:r>
      <w:bookmarkStart w:id="945" w:name="pg13713_164778"/>
    </w:p>
    <w:p>
      <w:pPr>
        <w:pStyle w:val="BookText"/>
        <w:rPr/>
      </w:pPr>
      <w:bookmarkEnd w:id="945"/>
      <w:r>
        <w:rPr>
          <w:rFonts w:ascii="IRNazanin" w:hAnsi="IRNazanin" w:eastAsia="IRNazanin"/>
          <w:color w:val="111111"/>
          <w:sz w:val="28"/>
          <w:sz w:val="28"/>
          <w:szCs w:val="28"/>
          <w:rtl w:val="true"/>
          <w:lang w:bidi="fa-IR"/>
        </w:rPr>
        <w:t>ظاهر این آیه در مورد جوامع انسانی است که به خاطر اعمالشان گرفتار نابسامانیها میشوند و ممکن است این قضیه در مورد فرد، فرد انسان‌ها نیز صادق شود و هرکس در مقابل گناهی که مرتکب میشود به مصیبتی در جسم و جان یا اموال و متعلقاتش گرفتار گردد</w:t>
      </w:r>
      <w:r>
        <w:rPr>
          <w:rFonts w:eastAsia="IRNazanin" w:cs="IRNazanin"/>
          <w:color w:val="111111"/>
          <w:sz w:val="28"/>
          <w:szCs w:val="28"/>
          <w:rtl w:val="true"/>
          <w:lang w:bidi="fa-IR"/>
        </w:rPr>
        <w:t>.</w:t>
      </w:r>
      <w:r>
        <w:rPr>
          <w:rStyle w:val="FootnoteAnchor"/>
          <w:rtl w:val="true"/>
        </w:rPr>
        <w:footnoteReference w:id="2055"/>
      </w:r>
    </w:p>
    <w:p>
      <w:pPr>
        <w:pStyle w:val="BookText"/>
        <w:rPr/>
      </w:pPr>
      <w:r>
        <w:rPr>
          <w:rFonts w:ascii="IRNazanin" w:hAnsi="IRNazanin" w:eastAsia="IRNazanin"/>
          <w:color w:val="111111"/>
          <w:sz w:val="28"/>
          <w:sz w:val="28"/>
          <w:szCs w:val="28"/>
          <w:rtl w:val="true"/>
          <w:lang w:bidi="fa-IR"/>
        </w:rPr>
        <w:t>خلاصه آن‌که افعال انسان، خواسته یا ناخواسته، به گونه‌ای میتواند در پیدایش کودکانی که عقب افتادگی جسمی یا روحی و یا اجتماعی دارند مؤثر باشد و در حقیقت وجود آنها متأثر از علل و عواملی است مربوط به محیط زندگی و وضع جسمی و روحی والدین و اجداد آنها و بی گمان بعضی از عوامل تأثیر بیشتری دارند</w:t>
      </w:r>
      <w:r>
        <w:rPr>
          <w:rFonts w:eastAsia="IRNazanin" w:cs="IRNazanin"/>
          <w:color w:val="111111"/>
          <w:sz w:val="28"/>
          <w:szCs w:val="28"/>
          <w:rtl w:val="true"/>
          <w:lang w:bidi="fa-IR"/>
        </w:rPr>
        <w:t>.</w:t>
      </w:r>
    </w:p>
    <w:p>
      <w:pPr>
        <w:pStyle w:val="Heading4"/>
        <w:numPr>
          <w:ilvl w:val="3"/>
          <w:numId w:val="1"/>
        </w:numPr>
        <w:rPr/>
      </w:pPr>
      <w:bookmarkStart w:id="946" w:name="__RefHeading___Toc1260004_1468164448"/>
      <w:bookmarkStart w:id="947" w:name="_Toc347"/>
      <w:bookmarkEnd w:id="946"/>
      <w:r>
        <w:rPr/>
        <w:t>4</w:t>
      </w:r>
      <w:r>
        <w:rPr>
          <w:rtl w:val="true"/>
        </w:rPr>
        <w:t xml:space="preserve">- </w:t>
      </w:r>
      <w:r>
        <w:rPr>
          <w:rtl w:val="true"/>
        </w:rPr>
        <w:t>عوامل مؤثر در به وجود آمدن کودکان استثنایی</w:t>
      </w:r>
      <w:bookmarkEnd w:id="947"/>
    </w:p>
    <w:p>
      <w:pPr>
        <w:pStyle w:val="BookText"/>
        <w:rPr/>
      </w:pPr>
      <w:r>
        <w:rPr>
          <w:rFonts w:ascii="IRNazanin" w:hAnsi="IRNazanin" w:eastAsia="IRNazanin"/>
          <w:color w:val="111111"/>
          <w:sz w:val="28"/>
          <w:sz w:val="28"/>
          <w:szCs w:val="28"/>
          <w:rtl w:val="true"/>
          <w:lang w:bidi="fa-IR"/>
        </w:rPr>
        <w:t>عوامل مؤثر در به وجود آمدن کودکان استثنایی را میتوان به دو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مادی</w:t>
      </w:r>
    </w:p>
    <w:p>
      <w:pPr>
        <w:pStyle w:val="BookText"/>
        <w:rPr/>
      </w:pPr>
      <w:r>
        <w:rPr>
          <w:rFonts w:ascii="IRNazanin" w:hAnsi="IRNazanin" w:eastAsia="IRNazanin"/>
          <w:color w:val="111111"/>
          <w:sz w:val="28"/>
          <w:sz w:val="28"/>
          <w:szCs w:val="28"/>
          <w:rtl w:val="true"/>
          <w:lang w:bidi="fa-IR"/>
        </w:rPr>
        <w:t>چه بسا ممکن است نقص جسمی و روحی، معلول عوامل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مورد تغذیه یکی از پژوهشگران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کمبود پروتئین و کالری در سال‌های اوّلیه زندگی ممکن است مشکلات زیست شیمی مغز را سبب شود، این کمبودها مشکل عام و خاص مغزی ایجاد میکند، گرچه شدت نقص به سالی که فرد با سوء تغذیه مواجه بوده، میزان سوء تغذیه و مدّت آن بستگی دارد، البتّه بیش‌تر مطالعات تغذیه‌ای نیز در مورد کسانی است که فزون‌کنشی دارند</w:t>
      </w:r>
      <w:r>
        <w:rPr>
          <w:rFonts w:eastAsia="IRNazanin" w:cs="IRNazanin"/>
          <w:color w:val="111111"/>
          <w:sz w:val="28"/>
          <w:szCs w:val="28"/>
          <w:rtl w:val="true"/>
          <w:lang w:bidi="fa-IR"/>
        </w:rPr>
        <w:t>.</w:t>
      </w:r>
      <w:r>
        <w:rPr>
          <w:rStyle w:val="FootnoteAnchor"/>
          <w:rtl w:val="true"/>
        </w:rPr>
        <w:footnoteReference w:id="2056"/>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برخی در مورد فلج مغزی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عاملی که در جریان رشد مغز به آن آسیب برساند میتواند منجر به فلج مغزی شود، مثلاً قبل از تولّد عفونت‌های مادر، بیماری مزمن، ضربه جسمی، مواد سمّی، در معرض اشعه ایکس قرار گرفتن مادر میتواند به مغز جنین آسیب برساند و در جریان وضع حمل ممکن است این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نارس، محرومیت از اکسیژن، تب شدید عفونی، مسمومیّت و خونریزی ممکن است در بعد از</w:t>
      </w:r>
    </w:p>
    <w:p>
      <w:pPr>
        <w:pStyle w:val="BookText"/>
        <w:rPr/>
      </w:pPr>
      <w:r>
        <w:rPr>
          <w:rFonts w:ascii="IRNazanin" w:hAnsi="IRNazanin" w:eastAsia="IRNazanin"/>
          <w:color w:val="111111"/>
          <w:sz w:val="28"/>
          <w:sz w:val="28"/>
          <w:szCs w:val="28"/>
          <w:rtl w:val="true"/>
          <w:lang w:bidi="fa-IR"/>
        </w:rPr>
        <w:t xml:space="preserve">تولّد به کودک آسیب برساند با وجودی که فلج مغزی کودکان در هر سطح اجتماعی ممکن است بروز کند، ولی در بین مادرانی که وضعیت اجتماعی اقتصادی پایین دارند بیش‌تر است، مواردی که در عوامل ژنتیکی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کروموزومی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فلج مغزی است، نادر است، در برخی از موارد مربوط به اختلالات بیوشیمیایی ژنتیکی که همراه با عقب‌ماندگی نیز هست، نشانه‌هایی از ضربه مغزی یا فلج دیده میشود</w:t>
      </w:r>
      <w:r>
        <w:rPr>
          <w:rFonts w:eastAsia="IRNazanin" w:cs="IRNazanin"/>
          <w:color w:val="111111"/>
          <w:sz w:val="28"/>
          <w:szCs w:val="28"/>
          <w:rtl w:val="true"/>
          <w:lang w:bidi="fa-IR"/>
        </w:rPr>
        <w:t>».</w:t>
      </w:r>
      <w:r>
        <w:rPr>
          <w:rStyle w:val="FootnoteAnchor"/>
          <w:rtl w:val="true"/>
        </w:rPr>
        <w:footnoteReference w:id="2057"/>
      </w:r>
    </w:p>
    <w:p>
      <w:pPr>
        <w:pStyle w:val="BookText"/>
        <w:rPr/>
      </w:pPr>
      <w:r>
        <w:rPr>
          <w:rFonts w:ascii="IRNazanin" w:hAnsi="IRNazanin" w:eastAsia="IRNazanin"/>
          <w:color w:val="111111"/>
          <w:sz w:val="28"/>
          <w:sz w:val="28"/>
          <w:szCs w:val="28"/>
          <w:rtl w:val="true"/>
          <w:lang w:bidi="fa-IR"/>
        </w:rPr>
        <w:t xml:space="preserve">همچنین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فدرستون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کلمبیا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نکته امروز روشن شده است که اکثر دیرآموزان، متعلق به خانواده‌هایی هستند که از لحاظ اجتماعی و اقتصادی عقب‌تر از طبقات دیگر اجتماعی هستند، گذشته از این در خانوده‌های فقیر و تنگدست قدرت پدر و مادر در تأمین نیازمندیهای اساسی کودکان از لحاظ خواربار و لباس و خانه و بهداشت و مراقبت دندان‌ها و تفریحات و سرگرمیهای خارج از آموزشگاه، غالباً کم‌تر از خانواده‌های دیگر است، زیرا هم از لحاظ مالی در مضیقه هستند و هم از نیازمندیهای حقیقی کودکان آگاهی کامل ندارند، در عین حال غالباً محیط این خانه‌ها از لحاظ اجتماعی و روان‌شناسی طوری نیست که مساعد برای تأمین سلامت جسمانی و ذهنی و عاطفی کودک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یا پسری که در خانه پیوسته ناظر اختلاف‌والدین خود باشد، یا آن که دائماً از ترس پدر و مادر بلرزد، و یا همیشه از حس حقارت و عدم توجه پدر و مادر در رنج باشد، به هیچ روی از لحاظ روحیه نمیتواند با سایر کودکان هماهنگی کند</w:t>
      </w:r>
      <w:r>
        <w:rPr>
          <w:rFonts w:eastAsia="IRNazanin" w:cs="IRNazanin"/>
          <w:color w:val="111111"/>
          <w:sz w:val="28"/>
          <w:szCs w:val="28"/>
          <w:rtl w:val="true"/>
          <w:lang w:bidi="fa-IR"/>
        </w:rPr>
        <w:t>».</w:t>
      </w:r>
      <w:r>
        <w:rPr>
          <w:rStyle w:val="FootnoteAnchor"/>
          <w:rtl w:val="true"/>
        </w:rPr>
        <w:footnoteReference w:id="205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کلیه افراطها و تفریطهایی که در زندگی از لحاظ کار و خواب و خوراک و سایر جنبه‌ها پیش میآید بر جسم و اعصاب اثر میگذارد و چون فرزندان نیز ثمره وجود پدران و مادران هستند از آثار شوم آن برکنار نمیباشند، البتّه بسیاری از این عوامل شناخته شده و بسیاری دیگر هنوز ناشناخته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معنوی</w:t>
      </w:r>
    </w:p>
    <w:p>
      <w:pPr>
        <w:pStyle w:val="BookText"/>
        <w:rPr/>
      </w:pPr>
      <w:r>
        <w:rPr>
          <w:rFonts w:ascii="IRNazanin" w:hAnsi="IRNazanin" w:eastAsia="IRNazanin"/>
          <w:color w:val="111111"/>
          <w:sz w:val="28"/>
          <w:sz w:val="28"/>
          <w:szCs w:val="28"/>
          <w:rtl w:val="true"/>
          <w:lang w:bidi="fa-IR"/>
        </w:rPr>
        <w:t>عیب بزرگ کار بشر متمدّن امروز این است که غالباً فقط به علل مادی میاندیشد و در این راه هم به موفقیت‌های عظیم و درخشانی نایل آمده است، لیکن اگر به علل و عواملی معنوی هم توجّه مینمود از این راه نیز در راه پیشگیری و معالجه بسیاری از نقص‌ها و بیماریها به موفقّیت‌های درخشان‌تر نایل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که از ائمه معصومین علیهم السلام رسیده به نتایج شوم گناه و تخلف از دستورات حیات‌بخش اسلام بر والدین و فرزندان آنها اشاره شده که تحقیق در آن مجال بیشتری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تنها نمونه‌هایی از روایاتی که در آنها به آثار افعال والدین بر کودکان اشاره شده را ذکر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آمیزش در ایام عادت ماهیانه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اتفّاق فقها برای مرد جایز نیست در ایام عادت ماهیانه و حیض زن، آمیزش نماید و هم‌چنین بر زن حرام است در مقابل شوهر تمکین نماید</w:t>
      </w:r>
      <w:r>
        <w:rPr>
          <w:rFonts w:eastAsia="IRNazanin" w:cs="IRNazanin"/>
          <w:color w:val="111111"/>
          <w:sz w:val="28"/>
          <w:szCs w:val="28"/>
          <w:rtl w:val="true"/>
          <w:lang w:bidi="fa-IR"/>
        </w:rPr>
        <w:t>.</w:t>
      </w:r>
      <w:r>
        <w:rPr>
          <w:rStyle w:val="FootnoteAnchor"/>
          <w:rtl w:val="true"/>
        </w:rPr>
        <w:footnoteReference w:id="2059"/>
      </w:r>
      <w:r>
        <w:rPr>
          <w:rFonts w:ascii="IRNazanin" w:hAnsi="IRNazanin" w:eastAsia="IRNazanin"/>
          <w:color w:val="111111"/>
          <w:sz w:val="28"/>
          <w:sz w:val="28"/>
          <w:szCs w:val="28"/>
          <w:rtl w:val="true"/>
          <w:lang w:bidi="fa-IR"/>
        </w:rPr>
        <w:t xml:space="preserve">اگر مردی با عمد و اختیار در این حالت آمیزش نماید، حاکم شرع میتواند تا بیست و پنج ضربه شلاق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حدّ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تأدیب نماید</w:t>
      </w:r>
      <w:r>
        <w:rPr>
          <w:rStyle w:val="FootnoteAnchor"/>
          <w:rtl w:val="true"/>
        </w:rPr>
        <w:footnoteReference w:id="20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مرد از آمیزش در ایام عادت‌ماهیانه زن پرهیز نماید، اگر مجامعت نمود و حاصل آن فرزندی باشد که مبتلا به‌مرض جذام یا ابرص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پوستی</w:t>
      </w:r>
      <w:r>
        <w:rPr>
          <w:rFonts w:eastAsia="IRNazanin" w:cs="IRNazanin"/>
          <w:color w:val="111111"/>
          <w:sz w:val="28"/>
          <w:szCs w:val="28"/>
          <w:rtl w:val="true"/>
          <w:lang w:bidi="fa-IR"/>
        </w:rPr>
        <w:t>)</w:t>
      </w:r>
      <w:r>
        <w:rPr>
          <w:rStyle w:val="FootnoteAnchor"/>
          <w:rtl w:val="true"/>
        </w:rPr>
        <w:footnoteReference w:id="2061"/>
      </w:r>
      <w:r>
        <w:rPr>
          <w:rFonts w:ascii="Amiri" w:hAnsi="Amiri" w:eastAsia="Amiri" w:cs="Amiri"/>
          <w:color w:val="111111"/>
          <w:sz w:val="28"/>
          <w:sz w:val="28"/>
          <w:szCs w:val="28"/>
          <w:rtl w:val="true"/>
          <w:lang w:bidi="ar-SA"/>
        </w:rPr>
        <w:t>شدکسی غیر از خود را ملامت ننماید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غَشِیَهَا فَخَرَجَ الْوَلَدُ مَجْذُومَاً أوْ ابْرَصَ فَلاَ یَلُومَنَّ إلاّ نَفْسَهُ</w:t>
      </w:r>
      <w:r>
        <w:rPr>
          <w:rFonts w:eastAsia="Amiri" w:cs="Amiri" w:ascii="Amiri" w:hAnsi="Amiri"/>
          <w:color w:val="111111"/>
          <w:sz w:val="28"/>
          <w:szCs w:val="28"/>
          <w:rtl w:val="true"/>
          <w:lang w:bidi="ar-SA"/>
        </w:rPr>
        <w:t>»</w:t>
      </w:r>
      <w:r>
        <w:rPr>
          <w:rStyle w:val="FootnoteAnchor"/>
          <w:rtl w:val="true"/>
        </w:rPr>
        <w:footnoteReference w:id="20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شده است که فرزندی سیاه چهره به حضور خلیفه دوّم عمر آوردند که پدرش او را نفی میکرد و مدّعی بود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تصمیم گرفت پدر را به جهت اتهام به مادر طفل تعزیر نماید، در این هنگام حضرت امیرالمومنین علیه السلام از آن 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مادر</w:t>
      </w:r>
    </w:p>
    <w:p>
      <w:pPr>
        <w:pStyle w:val="BookText"/>
        <w:rPr/>
      </w:pPr>
      <w:r>
        <w:rPr>
          <w:rFonts w:ascii="IRNazanin" w:hAnsi="IRNazanin" w:eastAsia="IRNazanin"/>
          <w:color w:val="111111"/>
          <w:sz w:val="28"/>
          <w:sz w:val="28"/>
          <w:szCs w:val="28"/>
          <w:rtl w:val="true"/>
          <w:lang w:bidi="fa-IR"/>
        </w:rPr>
        <w:t>کودک در ایّام حیض مجامعت نمودی؟ آن مرد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فرزند سیاه چهره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لِذَلِکَ سَوَّدَهُ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Style w:val="FootnoteAnchor"/>
          <w:rtl w:val="true"/>
        </w:rPr>
        <w:footnoteReference w:id="2063"/>
      </w:r>
      <w:r>
        <w:rPr>
          <w:rFonts w:ascii="IRNazanin" w:hAnsi="IRNazanin" w:eastAsia="IRNazanin"/>
          <w:color w:val="111111"/>
          <w:sz w:val="28"/>
          <w:sz w:val="28"/>
          <w:szCs w:val="28"/>
          <w:rtl w:val="true"/>
          <w:lang w:bidi="fa-IR"/>
        </w:rPr>
        <w:t>به هر صورت آمیزش در ایام حیض برای زوجین و فرزند احتمالی آنها ضررهای غیرقابل جبران دارد قرآن کریم هم آن را با کلمه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أذیً</w:t>
      </w:r>
      <w:r>
        <w:rPr>
          <w:rFonts w:eastAsia="Amiri" w:cs="Amiri" w:ascii="Amiri" w:hAnsi="Amiri"/>
          <w:color w:val="111111"/>
          <w:sz w:val="28"/>
          <w:szCs w:val="28"/>
          <w:rtl w:val="true"/>
          <w:lang w:bidi="ar-SA"/>
        </w:rPr>
        <w:t>»</w:t>
      </w:r>
      <w:r>
        <w:rPr>
          <w:rStyle w:val="FootnoteAnchor"/>
          <w:rtl w:val="true"/>
        </w:rPr>
        <w:footnoteReference w:id="2064"/>
      </w:r>
      <w:r>
        <w:rPr>
          <w:rFonts w:ascii="IRNazanin" w:hAnsi="IRNazanin" w:eastAsia="IRNazanin"/>
          <w:color w:val="111111"/>
          <w:sz w:val="28"/>
          <w:sz w:val="28"/>
          <w:szCs w:val="28"/>
          <w:rtl w:val="true"/>
          <w:lang w:bidi="fa-IR"/>
        </w:rPr>
        <w:t>چیز آلوده و زیان آور معرفی کرده است و در حقیقت با این کلمه فلسفه حکم اجتناب از آمیزش جنسی زنان در حالت قاعدگی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امروز نیز آن را به اثبات رسانیده است، از جمله احتمال عقیم شدن زن و مرد و ایجاد یک محیط مساعد برای پرورش میکروب و بیماریهای آمیزشی و نیز التهاب اعضای تناسلی زن و وارد شدن خون آلوده به عضو تناسلی مرد و غیر این‌ها که در کتب طب و بهداشت آمده است، از این رو پزشکان آمیزش جنسی با چنین زنانی را ممنوع اعلام میکنند</w:t>
      </w:r>
      <w:r>
        <w:rPr>
          <w:rFonts w:eastAsia="IRNazanin" w:cs="IRNazanin"/>
          <w:color w:val="111111"/>
          <w:sz w:val="28"/>
          <w:szCs w:val="28"/>
          <w:rtl w:val="true"/>
          <w:lang w:bidi="fa-IR"/>
        </w:rPr>
        <w:t>.</w:t>
      </w:r>
      <w:r>
        <w:rPr>
          <w:rStyle w:val="FootnoteAnchor"/>
          <w:rtl w:val="true"/>
        </w:rPr>
        <w:footnoteReference w:id="20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آمیزش در اوقات معین</w:t>
      </w:r>
    </w:p>
    <w:p>
      <w:pPr>
        <w:pStyle w:val="BookText"/>
        <w:rPr/>
      </w:pPr>
      <w:r>
        <w:rPr>
          <w:rFonts w:ascii="IRNazanin" w:hAnsi="IRNazanin" w:eastAsia="IRNazanin"/>
          <w:color w:val="111111"/>
          <w:sz w:val="28"/>
          <w:sz w:val="28"/>
          <w:szCs w:val="28"/>
          <w:rtl w:val="true"/>
          <w:lang w:bidi="fa-IR"/>
        </w:rPr>
        <w:t>از آن جا که کیفیت انعقاد نطفه و شرایط زمانی و مکانی و حالات روانی پدر و مادر بر نطفه و در نهایت کودک، آثار و عوارض مثبت یا منفی دارد، بدین جهت این مسائل در راستای مراعات حقوق کودک قابل ملاحظه و دقّت است، بر همین اساس در متون روایی برای وقت ازدواج و تشکیل خانواده و زمان آمیزش و انعقاد نطفه و دیگر اموری که در این خصوص مُؤثر باشد، تحت عناوین فقهی حرام، واجب، مکروه و مستحب، توصیه‌ها و سفارشاتی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دستورها و نادیده گرفتن آنها میتواند از علل به وجود آمدن کودکان استثنایی باشد، به عنوان نمونه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 علیه السلام نقل شده که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مردی که در ایام قمر در عقرب ازدواج نماید آماده سقط فرزند خود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فَلْیُسَلِّم لِسِقْطِ الْوَلَدِ</w:t>
      </w:r>
      <w:r>
        <w:rPr>
          <w:rFonts w:eastAsia="Amiri" w:cs="Amiri" w:ascii="Amiri" w:hAnsi="Amiri"/>
          <w:color w:val="111111"/>
          <w:sz w:val="28"/>
          <w:szCs w:val="28"/>
          <w:rtl w:val="true"/>
          <w:lang w:bidi="ar-SA"/>
        </w:rPr>
        <w:t>».</w:t>
      </w:r>
      <w:r>
        <w:rPr>
          <w:rStyle w:val="FootnoteAnchor"/>
          <w:rtl w:val="true"/>
        </w:rPr>
        <w:footnoteReference w:id="2066"/>
      </w:r>
      <w:r>
        <w:rPr>
          <w:rFonts w:ascii="IRNazanin" w:hAnsi="IRNazanin" w:eastAsia="IRNazanin"/>
          <w:color w:val="111111"/>
          <w:sz w:val="28"/>
          <w:sz w:val="28"/>
          <w:szCs w:val="28"/>
          <w:rtl w:val="true"/>
          <w:lang w:bidi="fa-IR"/>
        </w:rPr>
        <w:t>در روایت دیگری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ازدواج نیکی نمیبیند یا از آن زن نیکی نمیبیند</w:t>
      </w:r>
      <w:r>
        <w:rPr>
          <w:rFonts w:eastAsia="IRNazanin" w:cs="IRNazanin"/>
          <w:color w:val="111111"/>
          <w:sz w:val="28"/>
          <w:szCs w:val="28"/>
          <w:rtl w:val="true"/>
          <w:lang w:bidi="fa-IR"/>
        </w:rPr>
        <w:t>.</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در زمان عصبانیت و بیماری، وقوع زلزله خسوف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گرفتگی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قسم یاد میکندآمیزش در اوقات فوق که پیامبر صلی الله علیه و آله از آن نهی نموده است حاصل آن فرزندی خواهد شد که آن گونه که پدر و مادر دوست میدارند،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وَایمُاللهُ لاَ یجَامعُ احَدٌ هذِهِ الأوُقَاتِ الَّتی نَهَی عَنْهَا رَسُولُ اللهِصلی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فَیُرْزَقُ وَلَداً فَیرَی فِی وَلَدِهِ ذَلِکَ مَا یُحِبُّ</w:t>
      </w:r>
      <w:r>
        <w:rPr>
          <w:rFonts w:eastAsia="IRNazanin" w:cs="IRNazanin"/>
          <w:color w:val="111111"/>
          <w:sz w:val="28"/>
          <w:szCs w:val="28"/>
          <w:rtl w:val="true"/>
          <w:lang w:bidi="fa-IR"/>
        </w:rPr>
        <w:t>».</w:t>
      </w:r>
      <w:r>
        <w:rPr>
          <w:rStyle w:val="FootnoteAnchor"/>
          <w:rtl w:val="true"/>
        </w:rPr>
        <w:footnoteReference w:id="206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در حال سخن گفتن، زیرا حاصل آن فرزندی خواهد شد که در معرض کری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انْ قُضِیَ بَینَکُمَا وَلَدٌ لاَ یُؤْمَنُ انْ یکُونَ أخْرَسَ</w:t>
      </w:r>
      <w:r>
        <w:rPr>
          <w:rFonts w:eastAsia="Amiri" w:cs="Amiri" w:ascii="Amiri" w:hAnsi="Amiri"/>
          <w:color w:val="111111"/>
          <w:sz w:val="28"/>
          <w:szCs w:val="28"/>
          <w:rtl w:val="true"/>
          <w:lang w:bidi="ar-SA"/>
        </w:rPr>
        <w:t>»</w:t>
      </w:r>
      <w:r>
        <w:rPr>
          <w:rStyle w:val="FootnoteAnchor"/>
          <w:rtl w:val="true"/>
        </w:rPr>
        <w:footnoteReference w:id="2069"/>
      </w:r>
      <w:r>
        <w:rPr>
          <w:rFonts w:ascii="IRNazanin" w:hAnsi="IRNazanin" w:eastAsia="IRNazanin"/>
          <w:color w:val="111111"/>
          <w:sz w:val="28"/>
          <w:sz w:val="28"/>
          <w:szCs w:val="28"/>
          <w:rtl w:val="true"/>
          <w:lang w:bidi="fa-IR"/>
        </w:rPr>
        <w:t>در روایت دیگری آمده است سخن گفتن موجب کری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یُورِثُ الْخَرَسَ</w:t>
      </w:r>
      <w:r>
        <w:rPr>
          <w:rFonts w:eastAsia="IRNazanin" w:cs="IRNazanin"/>
          <w:color w:val="111111"/>
          <w:sz w:val="28"/>
          <w:szCs w:val="28"/>
          <w:rtl w:val="true"/>
          <w:lang w:bidi="fa-IR"/>
        </w:rPr>
        <w:t>».</w:t>
      </w:r>
      <w:r>
        <w:rPr>
          <w:rStyle w:val="FootnoteAnchor"/>
          <w:rtl w:val="true"/>
        </w:rPr>
        <w:footnoteReference w:id="2070"/>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در شب اول، آخر و وسط ماههای قمری نیز مناسب نیست، زیرا ممکن است به سقط جنین منجر شود و اگر تام الخلقه به دنیا بیاید دیوانه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فَإنْتَمَّ أوْ شَکَ انْ یکُونَ مَجْنُونَاً</w:t>
      </w:r>
      <w:r>
        <w:rPr>
          <w:rFonts w:eastAsia="Amiri" w:cs="Amiri" w:ascii="Amiri" w:hAnsi="Amiri"/>
          <w:color w:val="111111"/>
          <w:sz w:val="28"/>
          <w:szCs w:val="28"/>
          <w:rtl w:val="true"/>
          <w:lang w:bidi="ar-SA"/>
        </w:rPr>
        <w:t>».</w:t>
      </w:r>
      <w:r>
        <w:rPr>
          <w:rStyle w:val="FootnoteAnchor"/>
          <w:rtl w:val="true"/>
        </w:rPr>
        <w:footnoteReference w:id="2071"/>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آمیزش قبل از غسل نیز ممنوع شده است، 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حاصل چنین آمیزشی فرزند مجنون باشد، در این صورت مرد فقط خودش را سرزنش نماید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وَ خَرَجَ الْوَلَدُ مَجْنُونَاً فَلَا یَلُومَنَّ إلّا نَفْسَهُ</w:t>
      </w:r>
      <w:r>
        <w:rPr>
          <w:rFonts w:eastAsia="Amiri" w:cs="Amiri" w:ascii="Amiri" w:hAnsi="Amiri"/>
          <w:color w:val="111111"/>
          <w:sz w:val="28"/>
          <w:szCs w:val="28"/>
          <w:rtl w:val="true"/>
          <w:lang w:bidi="ar-SA"/>
        </w:rPr>
        <w:t>»</w:t>
      </w:r>
      <w:r>
        <w:rPr>
          <w:rStyle w:val="FootnoteAnchor"/>
          <w:rtl w:val="true"/>
        </w:rPr>
        <w:footnoteReference w:id="20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آمیزش در زمان حاملگی زن هم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حدیثی پیغمبر اکرم صلی الله علیه و آله خطاب به امیرالمومنین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همسرت حامله است با او آمیزش مکن، مگر این که با وضو باشی در غیر این صورت ممکن است فرزند شما تاریک دل و بخیل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انْ قُضِیَ بَینَکُمَا وَلَدٌ یکُونُ أعْمَی الْقَلْبِ بَخِیلَ الْیَدِ</w:t>
      </w:r>
      <w:r>
        <w:rPr>
          <w:rFonts w:eastAsia="IRNazanin" w:cs="IRNazanin"/>
          <w:color w:val="111111"/>
          <w:sz w:val="28"/>
          <w:szCs w:val="28"/>
          <w:rtl w:val="true"/>
          <w:lang w:bidi="fa-IR"/>
        </w:rPr>
        <w:t>».</w:t>
      </w:r>
      <w:r>
        <w:rPr>
          <w:rStyle w:val="FootnoteAnchor"/>
          <w:rtl w:val="true"/>
        </w:rPr>
        <w:footnoteReference w:id="207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توصیه شده است که ازدواج و آمیزش با زن احمق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عقل ترک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نقل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چنین زنی بلا و مصیبت است و فرزندانش نیز ضایع و ناقص خواهد شد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تَزْوِیحَ ألُحَمقَاءِ فَإنْ صُْحبَتَهَا بَلَاءٌ وَ وُلْدَهَا ضِیَاعٌ</w:t>
      </w:r>
      <w:r>
        <w:rPr>
          <w:rFonts w:eastAsia="Amiri" w:cs="Amiri" w:ascii="Amiri" w:hAnsi="Amiri"/>
          <w:color w:val="111111"/>
          <w:sz w:val="28"/>
          <w:szCs w:val="28"/>
          <w:rtl w:val="true"/>
          <w:lang w:bidi="ar-SA"/>
        </w:rPr>
        <w:t>».</w:t>
      </w:r>
      <w:r>
        <w:rPr>
          <w:rStyle w:val="FootnoteAnchor"/>
        </w:rPr>
        <w:footnoteReference w:id="207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مشروبات الکلی و مواد مخدّر</w:t>
      </w:r>
    </w:p>
    <w:p>
      <w:pPr>
        <w:pStyle w:val="BookText"/>
        <w:rPr/>
      </w:pPr>
      <w:r>
        <w:rPr>
          <w:rFonts w:ascii="IRNazanin" w:hAnsi="IRNazanin" w:eastAsia="IRNazanin"/>
          <w:color w:val="111111"/>
          <w:sz w:val="28"/>
          <w:sz w:val="28"/>
          <w:szCs w:val="28"/>
          <w:rtl w:val="true"/>
          <w:lang w:bidi="fa-IR"/>
        </w:rPr>
        <w:t>پدران و مادران الکلی و معتاد به مواد مخدّر غالباً فرزندانی کم استعداد و زبون و بیچاره تحویل اجتماع میدهند در حالی که اگر لب به مشروبات نمیزدند و در برابر هوا و هوس و شهوت به زانو در نمیآمدند، منشأ تولید انسانی ناقص و بدبخت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شرب خمر نماید، بعد از آن‌که خداوند آن را به زبان من حرام نموده اهلیّت ازدواج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مَنْشَرِِبَ الْخَمرَ بَعدَْ مَا حَرَّمَهَا الله فَلَیسَ بِأهْلِ أنْ یُزَوَّجَ إِذَا خَطَبَ</w:t>
      </w:r>
      <w:r>
        <w:rPr>
          <w:rFonts w:eastAsia="IRNazanin" w:cs="IRNazanin"/>
          <w:color w:val="111111"/>
          <w:sz w:val="28"/>
          <w:szCs w:val="28"/>
          <w:rtl w:val="true"/>
          <w:lang w:bidi="fa-IR"/>
        </w:rPr>
        <w:t>».</w:t>
      </w:r>
      <w:r>
        <w:rPr>
          <w:rStyle w:val="FootnoteAnchor"/>
          <w:rtl w:val="true"/>
        </w:rPr>
        <w:footnoteReference w:id="2075"/>
      </w:r>
      <w:r>
        <w:rPr>
          <w:rFonts w:ascii="IRNazanin" w:hAnsi="IRNazanin" w:eastAsia="IRNazanin"/>
          <w:color w:val="111111"/>
          <w:sz w:val="28"/>
          <w:sz w:val="28"/>
          <w:szCs w:val="28"/>
          <w:rtl w:val="true"/>
          <w:lang w:bidi="fa-IR"/>
        </w:rPr>
        <w:t>هم‌چنین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دختر معصوم و مؤمن خود را به ازدواج شراب خوار درآورد در حقیقت قطع رحم نموده و او را از خود دور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زَوَّجَ کَرِیمَتَهُ مِن شَارِبِ خَمْرِ فَقَدْ قَطَعَ رَحِمَهَا</w:t>
      </w:r>
      <w:r>
        <w:rPr>
          <w:rFonts w:eastAsia="Amiri" w:cs="Amiri" w:ascii="Amiri" w:hAnsi="Amiri"/>
          <w:color w:val="111111"/>
          <w:sz w:val="28"/>
          <w:szCs w:val="28"/>
          <w:rtl w:val="true"/>
          <w:lang w:bidi="ar-SA"/>
        </w:rPr>
        <w:t>».</w:t>
      </w:r>
      <w:r>
        <w:rPr>
          <w:rStyle w:val="FootnoteAnchor"/>
          <w:rtl w:val="true"/>
        </w:rPr>
        <w:footnoteReference w:id="2076"/>
      </w:r>
      <w:r>
        <w:rPr>
          <w:rFonts w:ascii="IRNazanin" w:hAnsi="IRNazanin" w:eastAsia="IRNazanin"/>
          <w:color w:val="111111"/>
          <w:sz w:val="28"/>
          <w:sz w:val="28"/>
          <w:szCs w:val="28"/>
          <w:rtl w:val="true"/>
          <w:lang w:bidi="fa-IR"/>
        </w:rPr>
        <w:t>به گفته برخی از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حین انعقاد نطفه مست است،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عوارض الکلیسم حاد را به فرزند خود منتقل میکند و اگر مرد و زن هر دو مست باشند صد در صد عوارض حاد در بچه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یک آمار که بر پایه تحقیقات علمی استوار است، کودکانی که زودتر از وقت طبیعی به دنیا میآیند از پدران و مادران الکلی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مادران الکلی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پدران الکلی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هنگام تولد توانایی زندگی را ندارند از پدران الکلی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از مادران الکلی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کودکانی که فاقد نیروی کافی عقلانی و روحی بوده‌اند از مادران و پدران الکلی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77"/>
      </w:r>
      <w:bookmarkStart w:id="948" w:name="pg13713_164784"/>
    </w:p>
    <w:p>
      <w:pPr>
        <w:pStyle w:val="Heading3"/>
        <w:numPr>
          <w:ilvl w:val="2"/>
          <w:numId w:val="1"/>
        </w:numPr>
        <w:rPr/>
      </w:pPr>
      <w:bookmarkStart w:id="949" w:name="__RefHeading___Toc1260006_1468164448"/>
      <w:bookmarkStart w:id="950" w:name="_Toc348"/>
      <w:bookmarkEnd w:id="948"/>
      <w:bookmarkEnd w:id="949"/>
      <w:r>
        <w:rPr>
          <w:rtl w:val="true"/>
        </w:rPr>
        <w:t>گفتار دوم</w:t>
      </w:r>
      <w:r>
        <w:rPr>
          <w:rtl w:val="true"/>
        </w:rPr>
        <w:t xml:space="preserve">: </w:t>
      </w:r>
      <w:r>
        <w:rPr>
          <w:rtl w:val="true"/>
        </w:rPr>
        <w:t>مراقبت های ویژه</w:t>
      </w:r>
      <w:bookmarkEnd w:id="950"/>
    </w:p>
    <w:p>
      <w:pPr>
        <w:pStyle w:val="Heading4"/>
        <w:numPr>
          <w:ilvl w:val="3"/>
          <w:numId w:val="1"/>
        </w:numPr>
        <w:rPr/>
      </w:pPr>
      <w:bookmarkStart w:id="951" w:name="__RefHeading___Toc1260008_1468164448"/>
      <w:bookmarkStart w:id="952" w:name="_Toc349"/>
      <w:bookmarkEnd w:id="951"/>
      <w:r>
        <w:rPr/>
        <w:t>1</w:t>
      </w:r>
      <w:r>
        <w:rPr>
          <w:rtl w:val="true"/>
        </w:rPr>
        <w:t xml:space="preserve">- </w:t>
      </w:r>
      <w:r>
        <w:rPr>
          <w:rtl w:val="true"/>
        </w:rPr>
        <w:t>رشد شخصیت</w:t>
      </w:r>
      <w:bookmarkEnd w:id="952"/>
    </w:p>
    <w:p>
      <w:pPr>
        <w:pStyle w:val="BookText"/>
        <w:rPr/>
      </w:pPr>
      <w:r>
        <w:rPr>
          <w:rFonts w:ascii="IRNazanin" w:hAnsi="IRNazanin" w:eastAsia="IRNazanin"/>
          <w:color w:val="111111"/>
          <w:sz w:val="28"/>
          <w:sz w:val="28"/>
          <w:szCs w:val="28"/>
          <w:rtl w:val="true"/>
          <w:lang w:bidi="fa-IR"/>
        </w:rPr>
        <w:t>بر طبق تحقیقات دانشمندان، کودکان عقب‌مانده ذهنی، بیش از کودکان عادی، تنوّع شخصّیتی و رفتاری نشان میدهند، خودمحوری و محدودیت شخصیتی در آنها به نقایص شناختی آنان مربوط میشود، از این رو احساس بیکفایتی، عدم احترام به خود و عدم احساس خودارزشمندی و ابتلا به حالات انقباض روانی از مهم‌ترین ویژگیهای شخصیّتی آنهاست که به عوامل محیطی و تجربی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در آنان اختلال کرداری، پرخاشگری، گوشه‌گیری افراطی، اختلالات اضطرابی و وابستگی شایع‌تر است</w:t>
      </w:r>
      <w:r>
        <w:rPr>
          <w:rFonts w:eastAsia="IRNazanin" w:cs="IRNazanin"/>
          <w:color w:val="111111"/>
          <w:sz w:val="28"/>
          <w:szCs w:val="28"/>
          <w:rtl w:val="true"/>
          <w:lang w:bidi="fa-IR"/>
        </w:rPr>
        <w:t>.</w:t>
      </w:r>
      <w:r>
        <w:rPr>
          <w:rStyle w:val="FootnoteAnchor"/>
          <w:rtl w:val="true"/>
        </w:rPr>
        <w:footnoteReference w:id="2078"/>
      </w:r>
    </w:p>
    <w:p>
      <w:pPr>
        <w:pStyle w:val="BookText"/>
        <w:rPr/>
      </w:pPr>
      <w:r>
        <w:rPr>
          <w:rFonts w:ascii="IRNazanin" w:hAnsi="IRNazanin" w:eastAsia="IRNazanin"/>
          <w:color w:val="111111"/>
          <w:sz w:val="28"/>
          <w:sz w:val="28"/>
          <w:szCs w:val="28"/>
          <w:rtl w:val="true"/>
          <w:lang w:bidi="fa-IR"/>
        </w:rPr>
        <w:t>از سوی دیگر، برای کمک به کودکان استثنایی که نقص جسمی یا روحی دارند، دو راه وجود دارد؛ یکی راه ترحّم و ارفاق و تأمین نیازمندهای ایشان است و راه دوّم شخصیّت دادن به آنها و وادار نمودنشان به کار و فعالیّت در حدّ استعداد و توانایی خود به گونه‌ای که احساس استقلال کنند و به امید زندگی شرافتمندانه تلاش و کوشش نمایند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راه دوّم هم به سود خود کودکان است و هم به سود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خود ایشان است، زیرا به جای این که موجودی انگل و طفیلی بار ایند و چشم به دست دیگران بدوزند و هم‌چون گدایان حریص، از مال و منال دیگران ارتزاق کنند و خود شانه از زیر بار مسئولیّت بیرون کشند، بسیاری از آنان میتوانند با احساس شخصیّت و استقلال و</w:t>
      </w:r>
    </w:p>
    <w:p>
      <w:pPr>
        <w:pStyle w:val="BookText"/>
        <w:rPr/>
      </w:pPr>
      <w:r>
        <w:rPr>
          <w:rFonts w:ascii="IRNazanin" w:hAnsi="IRNazanin" w:eastAsia="IRNazanin"/>
          <w:color w:val="111111"/>
          <w:sz w:val="28"/>
          <w:sz w:val="28"/>
          <w:szCs w:val="28"/>
          <w:rtl w:val="true"/>
          <w:lang w:bidi="fa-IR"/>
        </w:rPr>
        <w:t>اتکای به خود با نهایت شرافتمندی و آزادی و آزادگی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جامی در داستان پیر خارکن که خطاب به جوانی نو رسیده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گویم که مرا خار نساخت به خسی چون تو گرفتار نساخت</w:t>
      </w:r>
    </w:p>
    <w:p>
      <w:pPr>
        <w:pStyle w:val="BookText"/>
        <w:rPr/>
      </w:pPr>
      <w:r>
        <w:rPr>
          <w:rFonts w:ascii="IRNazanin" w:hAnsi="IRNazanin" w:eastAsia="IRNazanin"/>
          <w:color w:val="111111"/>
          <w:sz w:val="28"/>
          <w:sz w:val="28"/>
          <w:szCs w:val="28"/>
          <w:rtl w:val="true"/>
          <w:lang w:bidi="fa-IR"/>
        </w:rPr>
        <w:t>به ره حرص شتابنده نکرد بر در شاه، گدا، بنده نکرد</w:t>
      </w:r>
    </w:p>
    <w:p>
      <w:pPr>
        <w:pStyle w:val="BookText"/>
        <w:rPr/>
      </w:pPr>
      <w:r>
        <w:rPr>
          <w:rFonts w:ascii="IRNazanin" w:hAnsi="IRNazanin" w:eastAsia="IRNazanin"/>
          <w:color w:val="111111"/>
          <w:sz w:val="28"/>
          <w:sz w:val="28"/>
          <w:szCs w:val="28"/>
          <w:rtl w:val="true"/>
          <w:lang w:bidi="fa-IR"/>
        </w:rPr>
        <w:t>داد با این همه افتادگی معزّ و آزادی و آزادگی</w:t>
      </w:r>
    </w:p>
    <w:p>
      <w:pPr>
        <w:pStyle w:val="BookText"/>
        <w:rPr/>
      </w:pPr>
      <w:r>
        <w:rPr>
          <w:rFonts w:ascii="IRNazanin" w:hAnsi="IRNazanin" w:eastAsia="IRNazanin"/>
          <w:color w:val="111111"/>
          <w:sz w:val="28"/>
          <w:sz w:val="28"/>
          <w:szCs w:val="28"/>
          <w:rtl w:val="true"/>
          <w:lang w:bidi="fa-IR"/>
        </w:rPr>
        <w:t>مهم‌چنین به سود اجتماع است، به این دلیل که عواطف و نوع دوستی مردم نه تنها صرف گداپروری و انگل‌سازی نمیشود، بلکه علاوه بر این که از نیروهای افراد در حدّ استعداد و توانایی استفاده شده است، اجتماع نیز میتواند عواطف انسان دوستانه خود را در راه‌های صحیح‌تر و ارزنده‌تر به جریان اندازد و بدون این که عزّت نفس خود را خرد کرده باشد و انسانی را به بازار گدایی رهنمون و شخصیّت او را لگد مال ساخته باشد، به ترمیم کمبودهای کودکان استثنایی و مردم درمانده از راه‌های پرثمرتر و با روشی آبرومندانه‌تر اقدام مینماید</w:t>
      </w:r>
      <w:r>
        <w:rPr>
          <w:rFonts w:eastAsia="IRNazanin" w:cs="IRNazanin"/>
          <w:color w:val="111111"/>
          <w:sz w:val="28"/>
          <w:szCs w:val="28"/>
          <w:rtl w:val="true"/>
          <w:lang w:bidi="fa-IR"/>
        </w:rPr>
        <w:t>.</w:t>
      </w:r>
      <w:r>
        <w:rPr>
          <w:rStyle w:val="FootnoteAnchor"/>
          <w:rtl w:val="true"/>
        </w:rPr>
        <w:footnoteReference w:id="2079"/>
      </w:r>
      <w:r>
        <w:rPr>
          <w:rFonts w:ascii="IRNazanin" w:hAnsi="IRNazanin" w:eastAsia="IRNazanin"/>
          <w:color w:val="111111"/>
          <w:sz w:val="28"/>
          <w:sz w:val="28"/>
          <w:szCs w:val="28"/>
          <w:rtl w:val="true"/>
          <w:lang w:bidi="fa-IR"/>
        </w:rPr>
        <w:t>یکی از پژوهشگران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اغلب بر این باوریم که افراد مبتلا به ناتوانایهایی جسمانی درمانده‌اند، یا قادر به یادگیری نیستند، پایین آوردن سطح توقعات ما از آنها آسان است، چرا که میدانیم آنها به راستی در انجام برخی چیزها یا کارها ناتوانند، ما فراموش میکنیم که بسیاری افراد مبتلا به ناتوانیهای جسمانی میتوانند بیش‌تر کارهایی را که از عهده اشخاص توانا برمیآید، انجام دهند، هر چند این افراد ممکن است آن کارها را به شیوه متفاوت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شخصی که از دست‌های خود استفاده نمیکند، ممکن است از پاها یا دهان خود بهره ببرد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محدودیت‌های ناشی از ناتوانای جسمانی، بدون تلاش برای درک میزان توانایی افراد ناتوان برای یادگیری، با شیوه‌های تغییر محیط به منظور فراهم آوردن امکان پاسخ مؤثرتر آنان، یکی از شیوه‌های اهانت آمیز پاسخ‌دهی به تفاوت‌های جسمانی است</w:t>
      </w:r>
      <w:r>
        <w:rPr>
          <w:rFonts w:eastAsia="IRNazanin" w:cs="IRNazanin"/>
          <w:color w:val="111111"/>
          <w:sz w:val="28"/>
          <w:szCs w:val="28"/>
          <w:rtl w:val="true"/>
          <w:lang w:bidi="fa-IR"/>
        </w:rPr>
        <w:t>.</w:t>
      </w:r>
      <w:r>
        <w:rPr>
          <w:rStyle w:val="FootnoteAnchor"/>
          <w:rtl w:val="true"/>
        </w:rPr>
        <w:footnoteReference w:id="2080"/>
      </w:r>
      <w:bookmarkStart w:id="953" w:name="pg13713_164786"/>
    </w:p>
    <w:p>
      <w:pPr>
        <w:pStyle w:val="Heading4"/>
        <w:numPr>
          <w:ilvl w:val="3"/>
          <w:numId w:val="1"/>
        </w:numPr>
        <w:rPr/>
      </w:pPr>
      <w:bookmarkStart w:id="954" w:name="__RefHeading___Toc1260010_1468164448"/>
      <w:bookmarkStart w:id="955" w:name="_Toc350"/>
      <w:bookmarkEnd w:id="953"/>
      <w:bookmarkEnd w:id="954"/>
      <w:r>
        <w:rPr/>
        <w:t>2</w:t>
      </w:r>
      <w:r>
        <w:rPr>
          <w:rtl w:val="true"/>
        </w:rPr>
        <w:t xml:space="preserve">- </w:t>
      </w:r>
      <w:r>
        <w:rPr>
          <w:rtl w:val="true"/>
        </w:rPr>
        <w:t>تأثیر برخورد دیگران</w:t>
      </w:r>
      <w:bookmarkEnd w:id="955"/>
    </w:p>
    <w:p>
      <w:pPr>
        <w:pStyle w:val="BookText"/>
        <w:rPr/>
      </w:pPr>
      <w:r>
        <w:rPr>
          <w:rFonts w:ascii="IRNazanin" w:hAnsi="IRNazanin" w:eastAsia="IRNazanin"/>
          <w:color w:val="111111"/>
          <w:sz w:val="28"/>
          <w:sz w:val="28"/>
          <w:szCs w:val="28"/>
          <w:rtl w:val="true"/>
          <w:lang w:bidi="fa-IR"/>
        </w:rPr>
        <w:t>واکنش‌های کودکان نسبت به تواناییهای جسمانی و روحی خود تا حد زیادی بازتاب شیوه برخورد دیگران با آنها است، چنان‌چه دیگران با آنها رفتاری سرزنش‌آمیز داشته باشند و آنان را شرمگین ساخته یا مقصّر بدانند، این کودکان دچار احساسات منفی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زمانی آنان مستقل و خودکفا خواهند شد که بیاموزند چگونه باید نیازهایشان را برآورده سازند، آن هنگام که دیگران به آنها نگرش مثبت دارند و در برخورد با آنان با در نظر گرفتن موقعیّتشان صادق و صریحند، در ذهنشان تصویری واقعی از خود دارند و اهدافی واقعی ترسیم مینمایند، صرف نظر از شیوه رفتار با آنها وجود برخی واکنش‌های روان شناختی در مورد کودکان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آنها در خیال خود آرزو میکنند، ای کاش دچار نقص نبودند و میتوانستند در فعالیّت‌های عادی شرکت کنند با کمک و مدیریت صحیح و مناسب میتوان آنها را یاری کرد تا نقص‌خود را بپذیرند و در عین حال زندگی شادی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ممکن است چنین کودکانی دچار ترس و اضطراب هم بشوند، وقتی‌کودکی از والدینش جدا میشود، بستری میگردد و در معرض آزمایش‌های پزشکی‌و روش‌های دردناک قرار میگیرند، ترس او کاملاً طبیعی است، در چنین موقعیت‌هایی برخورد درست و اداره مناسب، امور فشار هیجانی و ناراحتیهای عاطفی را به حدّاقل میرساند</w:t>
      </w:r>
      <w:r>
        <w:rPr>
          <w:rStyle w:val="FootnoteAnchor"/>
          <w:rtl w:val="true"/>
        </w:rPr>
        <w:footnoteReference w:id="2081"/>
      </w:r>
    </w:p>
    <w:p>
      <w:pPr>
        <w:pStyle w:val="Heading4"/>
        <w:numPr>
          <w:ilvl w:val="3"/>
          <w:numId w:val="1"/>
        </w:numPr>
        <w:rPr/>
      </w:pPr>
      <w:bookmarkStart w:id="956" w:name="__RefHeading___Toc1260012_1468164448"/>
      <w:bookmarkStart w:id="957" w:name="_Toc351"/>
      <w:bookmarkEnd w:id="956"/>
      <w:r>
        <w:rPr/>
        <w:t>3</w:t>
      </w:r>
      <w:r>
        <w:rPr>
          <w:rtl w:val="true"/>
        </w:rPr>
        <w:t xml:space="preserve">- </w:t>
      </w:r>
      <w:r>
        <w:rPr>
          <w:rtl w:val="true"/>
        </w:rPr>
        <w:t>الهام از دستورات حیات بخش اسلام</w:t>
      </w:r>
      <w:bookmarkEnd w:id="95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کامل‌ترین برنامه‌ای که در زمینه کمک به کودکان استثنایی و سوق دادن آنها به یک زندگی آرام و نسبتاً شیرین میتوان به آن دست یافت، الهام از زندگی عملی و آموزه‌های پیشوایان دین و ائمه معصومین علیهم السلام است، در ادامه به نمونه‌هایی از آن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و بخشش آنان</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امامان معصوم علیهم السلام به عنوان یک اصل روشن و غیر قابل انکار، این ویژگی وجود داشته که آنها بذل و بخشش و کمک به بینوایان را غالباً خود شخصاً و در دل سیاه شب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آشناهای مهربان و ناشناخته، چنان در خانه فقیر را میکوبیدند که همسایه دیوار به دیوار آنها چیزی نمیفهمید و حتی خود فقیر هم در بسیاری از مواقع از محبّت و بذل مساعی چنین انسان کاملی بی اطلاع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شخصیت و شرافت یک انسان وامانده بهتر از این کار چیست؟ اسلام تأکید دارد خود را در غم و شادی دیگران شریک بدانیم و در راه شاد کردن دل‌ها و آسوده کردن همنوعان گامی برداریم، در غیر این صورت مسلمانی مواجه با خطر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بهترین کمک این است که برای افراد عقب افتاده نیز شرایط و محیطی فراهم گردد تا بتوانند مانند دیگران به نیروی کار و توان و استعداد خود متّکی باشند و با استفاده از حاصل دسترنج خود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طبیعت انسان اقتضا دارد و ما نیز دوست میداریم که همواره متّکی به خود باشیم و به دیگران وابسته نباشیم و از سربار بودن و فقر و احتیاج بیزاریم، به همین جهت موظفیم برای همنوعان و کودکان ضعیف خود نیز چنین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یادگاری گرانمایه از امیرالمومنین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برای خود دوست میداری، برای دیگران نیز دوست بدار و آن‌چه را که برای خود نمیپسندی، برای دیگران هم مپسند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اَحْبِبْ لِغَیرِکَ مَا تُحِبَّ لِنَفْسِکَ وَ اکْرَهُ لَهُ مَا تَکرَهُ لَهَا</w:t>
      </w:r>
      <w:r>
        <w:rPr>
          <w:rFonts w:eastAsia="IRNazanin" w:cs="IRNazanin"/>
          <w:color w:val="111111"/>
          <w:sz w:val="28"/>
          <w:szCs w:val="28"/>
          <w:rtl w:val="true"/>
          <w:lang w:bidi="fa-IR"/>
        </w:rPr>
        <w:t>».</w:t>
      </w:r>
      <w:r>
        <w:rPr>
          <w:rStyle w:val="FootnoteAnchor"/>
          <w:rtl w:val="true"/>
        </w:rPr>
        <w:footnoteReference w:id="2082"/>
      </w:r>
      <w:r>
        <w:rPr>
          <w:rFonts w:ascii="IRNazanin" w:hAnsi="IRNazanin" w:eastAsia="IRNazanin"/>
          <w:color w:val="111111"/>
          <w:sz w:val="28"/>
          <w:sz w:val="28"/>
          <w:szCs w:val="28"/>
          <w:rtl w:val="true"/>
          <w:lang w:bidi="fa-IR"/>
        </w:rPr>
        <w:t>خوشبختانه دنیای امروز با امکاناتی که بدست آورده است به خوبی میتواند به کمک و هم دردی معلولان و عقب‌افتاده‌ها بشتابد و زمینه سعادت و سربلندی ایشان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حتّی دنیای محدود و بسته کر و لالها هم فتح شده، در مدرسه‌هایی مخصوص، زیر نظر معلّمانی که برای تعلیم و تربیت ایشان تخصّص یافته‌اند، به کسب علم و سواد میپردازند و با زبان گویای قلم میتوانند به اندیشه‌های دیگران پی ببرند و اندیشه‌های خود را به دیگران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نابینایان که در میان ایشان روشن دلان و نوابغ برجسته‌ای هم پیدا شده و</w:t>
      </w:r>
      <w:bookmarkStart w:id="958" w:name="pg13713_164788"/>
    </w:p>
    <w:p>
      <w:pPr>
        <w:pStyle w:val="BookText"/>
        <w:rPr/>
      </w:pPr>
      <w:bookmarkEnd w:id="958"/>
      <w:r>
        <w:rPr>
          <w:rFonts w:ascii="IRNazanin" w:hAnsi="IRNazanin" w:eastAsia="IRNazanin"/>
          <w:color w:val="111111"/>
          <w:sz w:val="28"/>
          <w:sz w:val="28"/>
          <w:szCs w:val="28"/>
          <w:rtl w:val="true"/>
          <w:lang w:bidi="fa-IR"/>
        </w:rPr>
        <w:t>میشود، امکانات کامل فراهم گردیده است، آنها میتوانند در مدرسه‌های ویژه به وسیله خطوط برجسته خواندن و نوشتن را بیاموزند و در دنیای وسیع‌تر گام نهند</w:t>
      </w:r>
      <w:r>
        <w:rPr>
          <w:rFonts w:eastAsia="IRNazanin" w:cs="IRNazanin"/>
          <w:color w:val="111111"/>
          <w:sz w:val="28"/>
          <w:szCs w:val="28"/>
          <w:rtl w:val="true"/>
          <w:lang w:bidi="fa-IR"/>
        </w:rPr>
        <w:t>.</w:t>
      </w:r>
      <w:r>
        <w:rPr>
          <w:rStyle w:val="FootnoteAnchor"/>
          <w:rtl w:val="true"/>
        </w:rPr>
        <w:footnoteReference w:id="2083"/>
      </w:r>
    </w:p>
    <w:p>
      <w:pPr>
        <w:pStyle w:val="Heading4"/>
        <w:numPr>
          <w:ilvl w:val="3"/>
          <w:numId w:val="1"/>
        </w:numPr>
        <w:rPr/>
      </w:pPr>
      <w:bookmarkStart w:id="959" w:name="__RefHeading___Toc1260014_1468164448"/>
      <w:bookmarkStart w:id="960" w:name="_Toc352"/>
      <w:bookmarkEnd w:id="959"/>
      <w:r>
        <w:rPr/>
        <w:t>4</w:t>
      </w:r>
      <w:r>
        <w:rPr>
          <w:rtl w:val="true"/>
        </w:rPr>
        <w:t xml:space="preserve">- </w:t>
      </w:r>
      <w:r>
        <w:rPr>
          <w:rtl w:val="true"/>
        </w:rPr>
        <w:t>توصیه اسلام نسبت به کمک به مریض و یتیم</w:t>
      </w:r>
      <w:bookmarkEnd w:id="960"/>
    </w:p>
    <w:p>
      <w:pPr>
        <w:pStyle w:val="BookText"/>
        <w:rPr/>
      </w:pPr>
      <w:r>
        <w:rPr>
          <w:rFonts w:ascii="IRNazanin" w:hAnsi="IRNazanin" w:eastAsia="IRNazanin"/>
          <w:color w:val="111111"/>
          <w:sz w:val="28"/>
          <w:sz w:val="28"/>
          <w:szCs w:val="28"/>
          <w:rtl w:val="true"/>
          <w:lang w:bidi="fa-IR"/>
        </w:rPr>
        <w:t>در روایات رسیده از پیشوایان اسلام در مورد کمک به مریض و عیادت از او بسیار تأکید و ترغیب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عیادت و دلجویی مریضی میرود، منادی از جانب خداوند او را در آسمان به اسم میخواند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پاکیزه انجام دادی و در راهی پاکیزه گام برداشتی و جایگاه خود را در بهشت آماده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عَادَ مَرِیضَاً نَادِی مُنادٍ مِنَ السَّماءِ بِاسمِهِ یا فُلانُ طِبْتَ و طَابَ مَمشَاکَ تَبَوَّأْتَ مِنَ الجَنَّةِ مَنْزِلَا</w:t>
      </w:r>
      <w:r>
        <w:rPr>
          <w:rFonts w:eastAsia="IRNazanin" w:cs="IRNazanin"/>
          <w:color w:val="111111"/>
          <w:sz w:val="28"/>
          <w:szCs w:val="28"/>
          <w:rtl w:val="true"/>
          <w:lang w:bidi="fa-IR"/>
        </w:rPr>
        <w:t>»</w:t>
      </w:r>
      <w:r>
        <w:rPr>
          <w:rStyle w:val="FootnoteAnchor"/>
          <w:rtl w:val="true"/>
        </w:rPr>
        <w:footnoteReference w:id="2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مریضی را عیادت نماید، هفتاد هزار ملک او را مشایعت نموده و برای وی استغفار مینمایند تا به منزل برگردد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85"/>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w:t>
      </w:r>
      <w:r>
        <w:rPr>
          <w:rStyle w:val="FootnoteAnchor"/>
          <w:rtl w:val="true"/>
        </w:rPr>
        <w:footnoteReference w:id="2086"/>
      </w:r>
      <w:r>
        <w:rPr>
          <w:rFonts w:ascii="IRNazanin" w:hAnsi="IRNazanin" w:eastAsia="IRNazanin"/>
          <w:color w:val="111111"/>
          <w:sz w:val="28"/>
          <w:sz w:val="28"/>
          <w:szCs w:val="28"/>
          <w:rtl w:val="true"/>
          <w:lang w:bidi="fa-IR"/>
        </w:rPr>
        <w:t>هم‌چنین در مورد سرپرستی و کمک به ایتام بسیار توصیه شده، از جمله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یتیمی را سرپرستی نماید تا به سن بلوغ برسد و یا بینیاز گردد خداوند بهشت را بر او واجب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 رفتن به بهشت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کسی اموال یتیم را حیف ومیل نماید مستحقّ جهنم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یتِیمَاً حَتَّی یَنْقَطِعَ یُتْمُهُ أوْ یَسْتَغْنِیَ بِنَفْسِهِ أوْجَبَ اللهُ عَزَّوَجَلَّ لَهُ الجَنَّةً</w:t>
      </w:r>
      <w:r>
        <w:rPr>
          <w:rFonts w:eastAsia="IRNazanin" w:cs="IRNazanin"/>
          <w:color w:val="111111"/>
          <w:sz w:val="28"/>
          <w:szCs w:val="28"/>
          <w:rtl w:val="true"/>
          <w:lang w:bidi="fa-IR"/>
        </w:rPr>
        <w:t>».</w:t>
      </w:r>
      <w:r>
        <w:rPr>
          <w:rStyle w:val="FootnoteAnchor"/>
          <w:rtl w:val="true"/>
        </w:rPr>
        <w:footnoteReference w:id="2087"/>
      </w:r>
      <w:r>
        <w:rPr>
          <w:rFonts w:ascii="IRNazanin" w:hAnsi="IRNazanin" w:eastAsia="IRNazanin"/>
          <w:color w:val="111111"/>
          <w:sz w:val="28"/>
          <w:sz w:val="28"/>
          <w:szCs w:val="28"/>
          <w:rtl w:val="true"/>
          <w:lang w:bidi="fa-IR"/>
        </w:rPr>
        <w:t>اهمیت ا ین مسأله آن قدر زیاد است که امیرالمومنین علیه السلام در وصیت‌نامه معروفش توجّه به یتیمان را در کنار توجّه به نماز و قرآن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درباره یتیمان، آنها را گاهی سیر و گاهی گرسنه نگذارید و نکند با حضور شما حق آنها ضایع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الْایتَامِ فَلا تُغِبُّوا افْوا هَهُم وَ لَا یَضِیعُوا بِحَضْرَتِکُمْ</w:t>
      </w:r>
      <w:r>
        <w:rPr>
          <w:rFonts w:eastAsia="IRNazanin" w:cs="IRNazanin"/>
          <w:color w:val="111111"/>
          <w:sz w:val="28"/>
          <w:szCs w:val="28"/>
          <w:rtl w:val="true"/>
          <w:lang w:bidi="fa-IR"/>
        </w:rPr>
        <w:t>».</w:t>
      </w:r>
      <w:r>
        <w:rPr>
          <w:rStyle w:val="FootnoteAnchor"/>
          <w:rtl w:val="true"/>
        </w:rPr>
        <w:footnoteReference w:id="2088"/>
      </w:r>
    </w:p>
    <w:p>
      <w:pPr>
        <w:pStyle w:val="BookText"/>
        <w:rPr/>
      </w:pPr>
      <w:r>
        <w:rPr>
          <w:rFonts w:ascii="IRNazanin" w:hAnsi="IRNazanin" w:eastAsia="IRNazanin"/>
          <w:color w:val="111111"/>
          <w:sz w:val="28"/>
          <w:sz w:val="28"/>
          <w:szCs w:val="28"/>
          <w:rtl w:val="true"/>
          <w:lang w:bidi="fa-IR"/>
        </w:rPr>
        <w:t>در حدیث دیگر یکی از یاران پیامبر صلی الله علیه و آله میگوید خدمت آن حضرت نشسته بودیم پسر بچه‌ای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یتیم هستم و خواهری یتیم دارم، و مادری بیوه زن از آن‌چه خدا به تو اطعام کرده به ما هم اطعام کن، تا خدواند از آن‌چه نزد او است آن قدر به تو ببخشد که خشنود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سخن گفتی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بلال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آن‌چه نزد ما است بیاور، بلال بیست و یک خرما با خود آورد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هفت‌دانه برای تو، هفت دانه برای خواهرت و هفت دانه برای مادرت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معاذبن جبل از یاران پیامبر صلی الله علیه و آله برخاست، دستی بر سر کودک یتیم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یتیمی تو را جبران کند و تو را جانشین صالحی برای پدرت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یتیم از فرزندان مهاجران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رو به معاذ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تو برای این کار چه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سرپرستی یتیمی را بر عهده گیرد و حق آن را ادا کند و دست بر سر یتیم کشد خداوند به عدد هر مویی حسنه‌ای برای او مینویسد و به هر مویی، گناهی از او محو میکند و به هر مویی درجه‌ای به او میبخشد</w:t>
      </w:r>
      <w:r>
        <w:rPr>
          <w:rFonts w:eastAsia="IRNazanin" w:cs="IRNazanin"/>
          <w:color w:val="111111"/>
          <w:sz w:val="28"/>
          <w:szCs w:val="28"/>
          <w:rtl w:val="true"/>
          <w:lang w:bidi="fa-IR"/>
        </w:rPr>
        <w:t>.</w:t>
      </w:r>
      <w:r>
        <w:rPr>
          <w:rStyle w:val="FootnoteAnchor"/>
          <w:rtl w:val="true"/>
        </w:rPr>
        <w:footnoteReference w:id="2089"/>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این گونه روایات کودکان مریض و ناتوان را نیز شامل میگردد و اهمّیت کمک به آنان اثبات میگردد، از سوی دیگر هر چند به طور قطع نمیتوان به ملاک اصلی حکم دست یافت که چرا اسلام این قدر به عیادت و کمک به مریض و یتیم اهمیّت داده است، ولی ظاهراً آن‌چه بیش‌تر سببیّت دارد و ملاک حکم را تأمین مینماید، ضعف و نیازمندی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در کودکان استثنایی نیز وجود دارد با کشف این ملاک از روایاتی که ذکر شد و روایات دیگری که با مضامین مختلف در جوامع روایی بسیار است، استفاده میگردد کمک به کودکان استثنایی از اهمیّت فوق‌العاده برخوردار است و از بهترین عباداتی که انسان میتواند به درگاه خداوند داشته باشد، محسوب میگردد</w:t>
      </w:r>
      <w:r>
        <w:rPr>
          <w:rFonts w:eastAsia="IRNazanin" w:cs="IRNazanin"/>
          <w:color w:val="111111"/>
          <w:sz w:val="28"/>
          <w:szCs w:val="28"/>
          <w:rtl w:val="true"/>
          <w:lang w:bidi="fa-IR"/>
        </w:rPr>
        <w:t>.</w:t>
      </w:r>
      <w:bookmarkStart w:id="961" w:name="pg13713_164790"/>
    </w:p>
    <w:p>
      <w:pPr>
        <w:pStyle w:val="Heading4"/>
        <w:numPr>
          <w:ilvl w:val="3"/>
          <w:numId w:val="1"/>
        </w:numPr>
        <w:rPr/>
      </w:pPr>
      <w:bookmarkStart w:id="962" w:name="__RefHeading___Toc1260016_1468164448"/>
      <w:bookmarkStart w:id="963" w:name="_Toc353"/>
      <w:bookmarkEnd w:id="961"/>
      <w:bookmarkEnd w:id="962"/>
      <w:r>
        <w:rPr/>
        <w:t>5</w:t>
      </w:r>
      <w:r>
        <w:rPr>
          <w:rtl w:val="true"/>
        </w:rPr>
        <w:t xml:space="preserve">- </w:t>
      </w:r>
      <w:r>
        <w:rPr>
          <w:rtl w:val="true"/>
        </w:rPr>
        <w:t>نتیجه بحث</w:t>
      </w:r>
      <w:bookmarkEnd w:id="963"/>
    </w:p>
    <w:p>
      <w:pPr>
        <w:pStyle w:val="BookText"/>
        <w:rPr/>
      </w:pPr>
      <w:r>
        <w:rPr>
          <w:rFonts w:ascii="IRNazanin" w:hAnsi="IRNazanin" w:eastAsia="IRNazanin"/>
          <w:color w:val="111111"/>
          <w:sz w:val="28"/>
          <w:sz w:val="28"/>
          <w:szCs w:val="28"/>
          <w:rtl w:val="true"/>
          <w:lang w:bidi="fa-IR"/>
        </w:rPr>
        <w:t>تمام مباحثی که در ارتباط با وجوب تعلیم و تربیت کودکان بر والدین و مربّیان آنها در فصل هفتم این تحقیق ذکر شده، به اولّویت قطعی کودکان استثنایی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به استناد روایاتی که در این بخش ذکر شد نیز باید کودکان استثنایی، با فرض این که ضعیف، علیل و مریض میباشند و نسبت به کودکان عادی نیازمندی بیشتری دارند، از مساعدت و کمک بیشتری برخوردار شوند، بنابراین بر والدین آنها و حکومت اسلامی و آحاد ملّت مسلمان به صورت کفایی واجب است آنان را مساعدت نموده و برای آنها زمینه تعلیم و تربیت مناسب و زندگی شرافتمندانه فراهم سازند</w:t>
      </w:r>
      <w:r>
        <w:rPr>
          <w:rFonts w:eastAsia="IRNazanin" w:cs="IRNazanin"/>
          <w:color w:val="111111"/>
          <w:sz w:val="28"/>
          <w:szCs w:val="28"/>
          <w:rtl w:val="true"/>
          <w:lang w:bidi="fa-IR"/>
        </w:rPr>
        <w:t>.</w:t>
      </w:r>
    </w:p>
    <w:p>
      <w:pPr>
        <w:pStyle w:val="Heading4"/>
        <w:numPr>
          <w:ilvl w:val="3"/>
          <w:numId w:val="1"/>
        </w:numPr>
        <w:rPr/>
      </w:pPr>
      <w:bookmarkStart w:id="964" w:name="__RefHeading___Toc1260018_1468164448"/>
      <w:bookmarkStart w:id="965" w:name="_Toc354"/>
      <w:bookmarkEnd w:id="964"/>
      <w:r>
        <w:rPr/>
        <w:t>6</w:t>
      </w:r>
      <w:r>
        <w:rPr>
          <w:rtl w:val="true"/>
        </w:rPr>
        <w:t xml:space="preserve">- </w:t>
      </w:r>
      <w:r>
        <w:rPr>
          <w:rtl w:val="true"/>
        </w:rPr>
        <w:t>برنامه‌ریزی دقیق و منظّم</w:t>
      </w:r>
      <w:bookmarkEnd w:id="965"/>
    </w:p>
    <w:p>
      <w:pPr>
        <w:pStyle w:val="BookText"/>
        <w:rPr/>
      </w:pPr>
      <w:r>
        <w:rPr>
          <w:rFonts w:ascii="IRNazanin" w:hAnsi="IRNazanin" w:eastAsia="IRNazanin"/>
          <w:color w:val="111111"/>
          <w:sz w:val="28"/>
          <w:sz w:val="28"/>
          <w:szCs w:val="28"/>
          <w:rtl w:val="true"/>
          <w:lang w:bidi="fa-IR"/>
        </w:rPr>
        <w:t>جهت کمک به کودکان استثنایی باید در مورد تعلیم و تربیت آنان و به فعلیت رساندن استعداد آنها، از همان روزهای نخست زندگی با برنامه‌ای دقیق و منظّم 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دانشمندان، نوزادان معمولی طی دو ماه اوّل زندگی از محیط خود آگاهی پیدا میکنند، به اشیاء نگاه میکنند و آنها را با چشم تعقیب مینمایند، از وجود اطرافیان خود آگاه میشوند و با لبخند زدن به آنها واکنش نشان میدهند، به صداها توجّه مینمایند و با حرکات دست، به جستجو بر میآیند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نوزادان عقب مانده یا معلول، وضعیت ممکن است قدری فرق کند، زیرا نوزاد عقب مانده علاقه زیادی به محیط نشان نمیدهد، او به سختی میتواند بر اشیاء و اطرافیان خود تمرکز داشته باشد و ممکن است به آنها توجّهی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نوزاد عقب مانده باید بیش‌تر از کودک عادی در معرض انگیزش قرار گیرد نه کمتر، وقتی کودک عقب مانده درصدد برنمیآید که خود را بر محیط تحمیل کند، بر مربّیان و والدین است که محیط را بر کودک تحمیل کنند، حتّی اگر کودک بیتفاوت و تأثیر ناپذیر بنماید، برای برانگیختنش باید سعی مداوم کرد</w:t>
      </w:r>
      <w:r>
        <w:rPr>
          <w:rStyle w:val="FootnoteAnchor"/>
          <w:rtl w:val="true"/>
        </w:rPr>
        <w:footnoteReference w:id="2090"/>
      </w:r>
      <w:r>
        <w:rPr>
          <w:rFonts w:ascii="IRNazanin" w:hAnsi="IRNazanin" w:eastAsia="IRNazanin"/>
          <w:color w:val="111111"/>
          <w:sz w:val="28"/>
          <w:sz w:val="28"/>
          <w:szCs w:val="28"/>
          <w:rtl w:val="true"/>
          <w:lang w:bidi="fa-IR"/>
        </w:rPr>
        <w:t>و این کار جز با برنامه‌ریزی دقیق و منظّم امکان‌پذیر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فلسفه آموزش و پرورش استثنایی را نمیتوان از فلسفه کلی نظام آموزش و پرورش کشور جدا دانست، پرورش انسان‌های والا و ارزشمند و متعهّد و متخصّص که در رشد و شکوفایی ابعاد سیاسی، اجتماعی و اقتصادی یک کشور میتواند مؤثر واقع شود، بخشی از اهداف آموزش و پرورش هر کشوری است و هدف نهایی از آموزش و پروش کودکان استثنایی نیز فراهم آوردن فرصت‌هایی مناسب جهت رشد و شکوفایی توانمندیهای بالقوّه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استثنایی بر این اصل استوار است که هر طفلی با توجه به تفاوت‌های فردی حق دارد که از آموزش متناسب با تواناییهای خویش، برخوردار شود و ایجاد زمینه و فراهم آوردن امکانات و تسهیلات در جهت آموزش، رفاه، و توان‌بخشی آنان، نه به عنوان ترحّم و دلسوزی، بلکه به عنوان یک وظیفه برای دولت‌ها و والدین و سرپرستان قانونی آنها، از حقوق مسلّم اطفال استثنایی تلقّی میگردد</w:t>
      </w:r>
      <w:r>
        <w:rPr>
          <w:rFonts w:eastAsia="IRNazanin" w:cs="IRNazanin"/>
          <w:color w:val="111111"/>
          <w:sz w:val="28"/>
          <w:szCs w:val="28"/>
          <w:rtl w:val="true"/>
          <w:lang w:bidi="fa-IR"/>
        </w:rPr>
        <w:t>.</w:t>
      </w:r>
      <w:r>
        <w:rPr>
          <w:rStyle w:val="FootnoteAnchor"/>
          <w:rtl w:val="true"/>
        </w:rPr>
        <w:footnoteReference w:id="2091"/>
      </w:r>
    </w:p>
    <w:p>
      <w:pPr>
        <w:pStyle w:val="BookText"/>
        <w:rPr/>
      </w:pPr>
      <w:r>
        <w:rPr>
          <w:rFonts w:ascii="IRNazanin" w:hAnsi="IRNazanin" w:eastAsia="IRNazanin"/>
          <w:color w:val="111111"/>
          <w:sz w:val="28"/>
          <w:sz w:val="28"/>
          <w:szCs w:val="28"/>
          <w:rtl w:val="true"/>
          <w:lang w:bidi="fa-IR"/>
        </w:rPr>
        <w:t>به گفته یکی از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آموزگاران و پدران و مادران باید همواره این نکته را به خاطر داشته باشند که کودک دیرآموز نیز با پیروی از اصول روان‌شناسی و مبانی تعلیم و تربیت ا ستوار، قابل ترقّی و پیشرفت است و تازه، توجه به آموزش و پرورش دیرآموزان، مراحل ابتدایی خود را طی میکند و به طور یقین علم برای فائق آمدن بر مشکلات این طبقه از دانش‌آموزان در کسب معلومات به پیروزیهای درخشان و نوینی نایل آمده است</w:t>
      </w:r>
      <w:r>
        <w:rPr>
          <w:rFonts w:eastAsia="IRNazanin" w:cs="IRNazanin"/>
          <w:color w:val="111111"/>
          <w:sz w:val="28"/>
          <w:szCs w:val="28"/>
          <w:rtl w:val="true"/>
          <w:lang w:bidi="fa-IR"/>
        </w:rPr>
        <w:t>».</w:t>
      </w:r>
      <w:r>
        <w:rPr>
          <w:rStyle w:val="FootnoteAnchor"/>
          <w:rtl w:val="true"/>
        </w:rPr>
        <w:footnoteReference w:id="2092"/>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کلام خود را با این حدیث پرمغز و نورانی از مولا امیرالمؤمنین علی علیه السلام به پایان میبریم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کودکان بسان زمینی است که در آن بذری افشانده نشده است، کشاورز با فهم و با تجربه وظیفه دارد که نخست استعداد زمین را برای نوع محصول بدست آورد، آن گاه در آن بذر افشانی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قَلبُ الحَدَثِ کَالأرِضِ الخَالِیَةِ مَا القِیَ فِیهَا مِنْ شَئٍ قَبِلَتْهُ</w:t>
      </w:r>
      <w:r>
        <w:rPr>
          <w:rFonts w:eastAsia="IRNazanin" w:cs="IRNazanin"/>
          <w:color w:val="111111"/>
          <w:sz w:val="28"/>
          <w:szCs w:val="28"/>
          <w:rtl w:val="true"/>
          <w:lang w:bidi="fa-IR"/>
        </w:rPr>
        <w:t>».</w:t>
      </w:r>
      <w:r>
        <w:rPr>
          <w:rStyle w:val="FootnoteAnchor"/>
          <w:rtl w:val="true"/>
        </w:rPr>
        <w:footnoteReference w:id="2093"/>
      </w:r>
      <w:r>
        <w:rPr>
          <w:rFonts w:ascii="IRNazanin" w:hAnsi="IRNazanin" w:eastAsia="IRNazanin"/>
          <w:color w:val="111111"/>
          <w:sz w:val="28"/>
          <w:sz w:val="28"/>
          <w:szCs w:val="28"/>
          <w:rtl w:val="true"/>
          <w:lang w:bidi="fa-IR"/>
        </w:rPr>
        <w:t>ازاین‌حدیث استفاده میشود که مربیّان و مسئولان آموزش و پرورش برای نتیجه‌گیری کامل از زحمات خود، نخست باید استعداد کودک را به درستی کشف کنند، آن‌گاه درمسیری که</w:t>
      </w:r>
      <w:bookmarkStart w:id="966" w:name="pg13713_164792"/>
    </w:p>
    <w:p>
      <w:pPr>
        <w:pStyle w:val="BookText"/>
        <w:rPr/>
      </w:pPr>
      <w:bookmarkEnd w:id="966"/>
      <w:r>
        <w:rPr>
          <w:rFonts w:ascii="IRNazanin" w:hAnsi="IRNazanin" w:eastAsia="IRNazanin"/>
          <w:color w:val="111111"/>
          <w:sz w:val="28"/>
          <w:sz w:val="28"/>
          <w:szCs w:val="28"/>
          <w:rtl w:val="true"/>
          <w:lang w:bidi="fa-IR"/>
        </w:rPr>
        <w:t>قابلیت دارد آن استعداد نهفته را به کار گیرند و مورد بهره‌برداری قرار دهند، تا کودک در دراز مدّت بتواند با اتکای به استعداد خدادادی خویش، به زندگی مناسب وشرافتمندانه دست یابد</w:t>
      </w:r>
      <w:r>
        <w:rPr>
          <w:rFonts w:eastAsia="IRNazanin" w:cs="IRNazanin"/>
          <w:color w:val="111111"/>
          <w:sz w:val="28"/>
          <w:szCs w:val="28"/>
          <w:rtl w:val="true"/>
          <w:lang w:bidi="fa-IR"/>
        </w:rPr>
        <w:t>.</w:t>
      </w:r>
    </w:p>
    <w:p>
      <w:pPr>
        <w:pStyle w:val="Heading4"/>
        <w:numPr>
          <w:ilvl w:val="3"/>
          <w:numId w:val="1"/>
        </w:numPr>
        <w:rPr/>
      </w:pPr>
      <w:bookmarkStart w:id="967" w:name="__RefHeading___Toc1260020_1468164448"/>
      <w:bookmarkStart w:id="968" w:name="_Toc355"/>
      <w:bookmarkEnd w:id="967"/>
      <w:r>
        <w:rPr/>
        <w:t>7</w:t>
      </w:r>
      <w:r>
        <w:rPr>
          <w:rtl w:val="true"/>
        </w:rPr>
        <w:t xml:space="preserve">- </w:t>
      </w:r>
      <w:r>
        <w:rPr>
          <w:rtl w:val="true"/>
        </w:rPr>
        <w:t>حمایت از کودکان استثنایی در قانون اساسی و اعلامیه‌های جهانی</w:t>
      </w:r>
      <w:bookmarkEnd w:id="968"/>
    </w:p>
    <w:p>
      <w:pPr>
        <w:pStyle w:val="BookText"/>
        <w:rPr/>
      </w:pPr>
      <w:r>
        <w:rPr>
          <w:rFonts w:ascii="IRNazanin" w:hAnsi="IRNazanin" w:eastAsia="IRNazanin"/>
          <w:color w:val="111111"/>
          <w:sz w:val="28"/>
          <w:sz w:val="28"/>
          <w:szCs w:val="28"/>
          <w:rtl w:val="true"/>
          <w:lang w:bidi="fa-IR"/>
        </w:rPr>
        <w:t xml:space="preserve">بر اساس بند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سوّم قانون اساسی جمهوری اسلامی ایران، رفع تبعیضات ناروا و ایجاد امکانات عادلانه برای همه در تمامی زمینه‌های مادی و معنوی به عهده دولت جمهوری اسلامی ایران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امکانات، حق آموزش و تحصیل میباشد که بر مبنای بند فوق دولت اسلامی موظّف گردیده این امکانات را به طور عادلانه برای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اطفال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اصل پنجم اعلامیه جهانی حقوق کودک مصوب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 آموزش و تحصیل اطفال استثنایی، مورد توجّه قرار گرفته است و مقرّر شده اطفالی که از لحاظ بدنی، فکری و اجتماعی، معلول هستند، باید مورد توجّه خاص در آموزش و مراقبت لازم متناسب با وضع خاص آنها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منشور جهانی حقوق کودک در راستای حمایت از آموزش و تحصیل اطفال استثنایی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کودکان بدون تبعیض در رنگ، نژاد، زبان و چگونگی وضع مادّی و اجتماعی آنان به رغم این که هوش سرشار داشته یا عادی باشند، عقب مانده، نابینا، ناشنوا، یا دارای هر گونه نقص یا ضعف جسمی و یا روانی و اجتماعی باشند حق یکسانی در بهره‌برداری از امکانات یادگیری آموزش و پروش با حدّاکثر تواناییها و استعدادهای خود را دارند</w:t>
      </w:r>
      <w:r>
        <w:rPr>
          <w:rFonts w:eastAsia="IRNazanin" w:cs="IRNazanin"/>
          <w:color w:val="111111"/>
          <w:sz w:val="28"/>
          <w:szCs w:val="28"/>
          <w:rtl w:val="true"/>
          <w:lang w:bidi="fa-IR"/>
        </w:rPr>
        <w:t>».</w:t>
      </w:r>
      <w:r>
        <w:rPr>
          <w:rStyle w:val="FootnoteAnchor"/>
          <w:rtl w:val="true"/>
        </w:rPr>
        <w:footnoteReference w:id="2094"/>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تدوین این مجموعه در شب یکشنبه </w:t>
      </w:r>
      <w:r>
        <w:rPr>
          <w:rFonts w:eastAsia="IRNazanin" w:cs="IRNazanin"/>
          <w:color w:val="111111"/>
          <w:sz w:val="28"/>
          <w:szCs w:val="28"/>
          <w:lang w:bidi="fa-IR"/>
        </w:rPr>
        <w:t>89/09/13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را بر نعمت‌های بیشمارش شاکریم، امید آن که این خدمت ناچیز را از این بنده کوچک و گناهکار به لطف و کرم خویش بپذیرد و از قصور و تقصیر ما درگذرد و آن را ذخیره‌ای نیک برای عالم آخرت قرار دهد و همه آنها که در انجام آن زمینه سازی نمودند و سهمی داشتند، به ویژه مرجع فقید مرحوم حضرت آیة‌الله العظمی فاضل لنکرانی قدس سره را غریق رحمت بیانتهایش قرار دهد و اجر و ثواب عنایت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هو الجواد الکریم و ذوالفضل العظیم</w:t>
      </w:r>
      <w:r>
        <w:rPr>
          <w:rFonts w:eastAsia="IRNazanin" w:cs="IRNazanin"/>
          <w:color w:val="111111"/>
          <w:sz w:val="28"/>
          <w:szCs w:val="28"/>
          <w:rtl w:val="true"/>
          <w:lang w:bidi="fa-IR"/>
        </w:rPr>
        <w:t>».</w:t>
      </w:r>
      <w:bookmarkStart w:id="969" w:name="pg13713_164793"/>
    </w:p>
    <w:p>
      <w:pPr>
        <w:pStyle w:val="Heading2"/>
        <w:numPr>
          <w:ilvl w:val="1"/>
          <w:numId w:val="1"/>
        </w:numPr>
        <w:rPr/>
      </w:pPr>
      <w:bookmarkStart w:id="970" w:name="__RefHeading___Toc1260022_1468164448"/>
      <w:bookmarkStart w:id="971" w:name="_Toc356"/>
      <w:bookmarkEnd w:id="969"/>
      <w:bookmarkEnd w:id="970"/>
      <w:r>
        <w:rPr>
          <w:rtl w:val="true"/>
        </w:rPr>
        <w:t>فهرست منابع</w:t>
      </w:r>
      <w:bookmarkEnd w:id="97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2" w:name="__RefHeading___Toc1260024_1468164448"/>
      <w:bookmarkStart w:id="973" w:name="_Toc357"/>
      <w:bookmarkEnd w:id="972"/>
      <w:r>
        <w:rPr>
          <w:rtl w:val="true"/>
        </w:rPr>
        <w:t>اشاره</w:t>
      </w:r>
      <w:bookmarkStart w:id="974" w:name="pg13713_164795"/>
      <w:bookmarkEnd w:id="973"/>
    </w:p>
    <w:p>
      <w:pPr>
        <w:pStyle w:val="Heading3"/>
        <w:numPr>
          <w:ilvl w:val="2"/>
          <w:numId w:val="1"/>
        </w:numPr>
        <w:rPr/>
      </w:pPr>
      <w:bookmarkStart w:id="975" w:name="__RefHeading___Toc1260026_1468164448"/>
      <w:bookmarkStart w:id="976" w:name="_Toc358"/>
      <w:bookmarkEnd w:id="974"/>
      <w:bookmarkEnd w:id="975"/>
      <w:r>
        <w:rPr>
          <w:rtl w:val="true"/>
        </w:rPr>
        <w:t xml:space="preserve">الف </w:t>
      </w:r>
      <w:r>
        <w:rPr>
          <w:rtl w:val="true"/>
        </w:rPr>
        <w:t xml:space="preserve">- </w:t>
      </w:r>
      <w:r>
        <w:rPr>
          <w:rtl w:val="true"/>
        </w:rPr>
        <w:t>منابع تفسیری</w:t>
      </w:r>
      <w:bookmarkEnd w:id="9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ابی الفضل شهاب الدین سید محمود، تفسیر روح المعانی، بیروت، داراحیاء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عربی، ابی بکر محمد بن عبدالله، احکام القران،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حسین بن علی، روض الجنان و روح الجنان فی تفسیر القران، مشهد، بنیادپژوهش های اسلامی 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حیان اندلسی، محمد بن یوسف، تفسیر البحر المحیط، بیروت، دارالکتب العلمیه،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العسکری، الحسن بن علی، التفسیر المنسوب الی، قم،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جصّاص، ابی بکر احمد بن علی الرازی، احکام القران، داراحیاء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سعید بن هبة الله، فقه القران، قم، مکتبة آیة الله المرعشی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محمدرشید، تفسیر المنار، بیروت، داراحیاء التراث العربی،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زحیلی، وهبة، التفسیر المنیر فی العقیدة و الشریعة و المنهج، دارالفکر،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سایس، محمدعلی، تفسیر آیات الاحکام، بیروت، دارالکتب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سید محمدحسین، تفسیر المیزان، بیروت، مؤسسة الاعلمی للمطبوعات،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77" w:name="pg13713_164796"/>
    </w:p>
    <w:p>
      <w:pPr>
        <w:pStyle w:val="BookText"/>
        <w:rPr/>
      </w:pPr>
      <w:bookmarkEnd w:id="977"/>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ابوعلی الفضل بن الحسن، تفسیر مجمع البیان،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تفسیر التبیان، بیروت، داراحیاء التراث العربی،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سید عبدالحسین، اطیب البیان فی تفسیر القران، انتشارات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الحویزی، عبدعلی بن جمعة، تفسیر نورالثقلین، قم، مطبعة الحکمة،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التفسیر الکبیر، بیروت، داراحیاء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تفسیر الصافی، تهران، مکتبة الصدر،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المشهدی، محمدرضا، تفسیر کنز الدقائق، مؤسسة الطبع و النشر التابعة لوزارة و الارشاد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مطبعة النجف،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کتابفروشی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فتح الله، زبدة التفاسیر، مؤسسة المعارف الاسلامیه،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التفسیر الکاشف، دارالکتاب الاسلامی،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تهران، دارالکتب الاسلامیه،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سبزواری، سید عبدالاعلی، مواهب الرحمن فی تفسیر القران، مؤسسة المنار،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78" w:name="__RefHeading___Toc1260028_1468164448"/>
      <w:bookmarkStart w:id="979" w:name="_Toc359"/>
      <w:bookmarkEnd w:id="978"/>
      <w:r>
        <w:rPr>
          <w:rtl w:val="true"/>
        </w:rPr>
        <w:t xml:space="preserve">ب </w:t>
      </w:r>
      <w:r>
        <w:rPr>
          <w:rtl w:val="true"/>
        </w:rPr>
        <w:t xml:space="preserve">- </w:t>
      </w:r>
      <w:r>
        <w:rPr>
          <w:rtl w:val="true"/>
        </w:rPr>
        <w:t>منابع فقهی</w:t>
      </w:r>
      <w:bookmarkEnd w:id="979"/>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آبی، زین الدین ابی علی الحسن بن ابی طالب ابن ابی المجد، کشف الرموز فی شرح مختصر النافع، مؤسسة النشر الاسلامی،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بحرالعلوم، سید محمد، بلغة الفقیه، مکتبة الصادق،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عصفور البحرانی، حسین، الانوار اللوامع فی شرح مفاتیح الشرائع، قم، مکتبة انوار الهدی،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عبدالواحد بن محمد التمیمی، غررالحکم و دررالکَلِم، دارالهادی،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محمدتقی، مصباح الهدی فی شرح العروة الوثقی، تهران، مکتبة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میرزاهاشم، بدایع الافکار فی الاصول تقریر ابحاث شیخ ضیاءالدین العراقی، المطبعة العلمیه فی 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عبدالحمید، شرح نهج البلاغه، داراحیاء الکتب العربیه،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ابی بکر عبدالله بن محمد، المصنّف، شرکة دارالقبله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ابی بکر عبدالله بن محمد، کتاب المغازی، الریاض، داراشبیلیا،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مجدالدین محمد الجزری، النهایه فی غریب الحدیث و الاثر، بیروت، دارالفکر،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ادریس، منصور بن احمد، السرائر، قم، مؤسسه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ابوجعفر محمد بن علی، الوسیلة الی نیل الفضیلة، قم، مکتبة آیة الله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داود، تقی الدین الحسن بن علی، کتاب الرجال، النجف، المطبعة الحیدریة،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ابی جعفر رشیدالدین محمد بن علی، مناقب آل ابی طالب، قم، مؤسسه‌انتشارات علامه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طاوس الحسنی الحسینی، ابی القاسم علی بن موسی، الطرائف فی معرفة مذاهب الطوائف، قم، مطبعة الخیام،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عابدین، محمدامین، رد المحتار، بیروت، دارالکتب العلمیه،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عبدالله بن مسلم، غریب الحدیث، بیروت، دارالکتب العلمیه،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قدامه، عبدالله بن احمد، المغنی، بیروت، دارالکتب العملیه،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مفلح، ابراهیم بن محمد بن عبدالله، المبدع فی شرح المقنع، المکتب الاسلامی،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محمد، لسان العرب، بیروت، داراحیاء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هشام، السیرة النبویه، انتشارات ایران، المطبعة مهر، قم،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فراس المالکی، امیر زاهد ورّام، مجموعه ورّام، قم، مکتبة الفقیه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علی بن ابراهیم، عوالی اللئالی، قم، مطبعة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محمدعلی، استفتاآت، قم، مؤسسه چاپ الهادی،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محمدعلی، المکاسب المحرّمه، قم، مؤسسه فی طریق حق،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محمدعلی، کتاب البیع، قم،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اراکی، محمدعلی، کتاب النکاح، نور نگار،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زبدة البیان، المکتبة المرتضویه،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احمد، مجمع الفائدة و البرهان، مؤسسة النشر الاسلامی،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اردکانی، مرتضی بن محمد، الاجتهاد و التقلید و رسالة فی العداله، قم، المطبعة العلمیه،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ازهری، ابی منصور محمد بن احمد، معجم تهذیب اللغة، بیروت، دارالمعرفه،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اشتهاردی، علی پناه، مدارک العروه، دارالاسوه،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سید ابوالحسن موسوی، وسیلة النجاة، النجف الاشرف، المطبعة العلویه،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محمدحسین، الفصول الغرویه فی الاصول الفقهیه، قم، داراحیاء العلوم،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محمدحسین، بحوث فی الاصول،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محمدحسین، بحوث فی الفقه کتاب الاجاره، قم، مؤسسة النشر الاسلامی،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الاعرج، سید عمیدالدین، کنز الفوائد،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الخمس و کتاب الزکاة، لجنة التحقیق تراث الشیخ الاعظم،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الصلاة، لجنة التحقیق تراث الشیخ الاعظم،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و جمعی من المؤلفین، قدرت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موسوعة احکام الاطفال و ادلّتها، قم، مرکز فقه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الوصایا و المواریث، قم، مؤسسه الهادی،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رسائل الفقهیه، قم، المطبعة باقری،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الصوم، لجنة التحقیق تراث الشیخ الاعظم،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القضاء و الشهادات، قم، المؤتمر العالمی،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المکاسب، لجنة التحقیق تراث الشیخ الاعظم،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مرتضی، کتاب النکاح، لجنة التحقیق تراث الشیخ الاعظم،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انطون، الیاس، فرهنگ نوین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تهران،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حسن، فرهنگ بزرگ سخن، تهران، انتشارات سخن،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ایروانی، میرزا علی، حاشیة المکاسب، منشورات دار ذوی القربی،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بجنوردی، محمدحسن، القواعد الفقهیه، قم، نشر الهادی،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یوسف، الحدائق الناظره،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البخاری، ابی عبدالله محمد بن اسماعیل بن ابراهیم، صحیح البخاری، بیروت، دارالفکر،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البرقی، احمد بن محمد بن خالد، المحاسن، المجمع العالمی لاهل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بهبهانی، محمدباقر، مصابیح الظّلام، مؤسسة العلامة الوحید البهبهانی،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 آزار شیرازی، عبدالکریم، رساله نوین فقهی پزشکی بهداشت، دفتر نشر فرهگ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بیضاوی، عبدالله بن عمر، انوار التنزیل، مکتبة مصطفی البابی الحلبی و اولاده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الکیدری، قطب الدین، اصباح الشیعه،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ابوبکر احمد بن الحسین بن علی، السنن الکبری، حیدرآباد هند،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پاینده، ابوالقاسم، نهج الفصاحه، سازمان انتشارات جاویدان، المطبعة محمدحسن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تبریزی، میرزا جواد، ارشاد الطالب، قم، مؤسسه اسماعیلیان،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جواد، اسس القضاء و الشهادة،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جواد، المسائل المنتخبه، قم، دفتر نشر برگزیده،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تبریزی، میرزا جواد، دروس فی مسائل علم الاصول، قم، دفتر آیة الله العظمی المیرزا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جواد، صراة النجاة، دار الصدیقة شهیده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جواد، کتاب القصاص، قم، المکتبة المیرزا جواد تبریزی،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تبریزی، میرزا جواد، منهاج الصالحین، قم، المکتبة آیة الله تبریزی،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ابی عیسی محمد بن عیسی بن سورة، الجامع الصحیح، بیروت، داراحیاء التراث العربی،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سعدالدین، مختصر المعانی، 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المغربی، ابی حنیفه النعمان بن محمد بن منصور بن احمد بن حیّون، دعائم الاسلام، قاهره، 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الجزری، عزالدین بن الاثیر ابی الحسن علی بن محمد، اسدالغابه،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انتشارات اسماعیلیان، طهران،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محمدتقی، رسائل فقهی، مؤسسه نشر کرامت،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جناتی، محمدابراهیم، دروس فی الفقه المقارن، قم، مجمع الشهید الصدر العلمی،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الآملی، عبدالله، کتاب الحج تقریر ابحاث آیة الله سید محمد المحقق الداماد، قم، مطبعه مهر،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الصحاح، بیروت، دارالفکر،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اسماعیل بن حماد، مجمع الصِّحاح، بیروت، دارالمعرفة،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حافظیان، ابوالفضل، رسائل فی درایة الحدیث، قم، دارالحدیث،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الحائری المازندرانی، زین العابدین، ذخیرة المعاد، الطبع القدیم،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سید محمدباقر، اسلام و تعلیم و تربیت، دفتر نشر فرهنگ اسلامی،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حجر عسقلانی، احمد بن علی بن، فتح الباری شرح صحیح البخاری، بیروت، مکتبة‌العصریه،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الحر العاملی، محمد بن الحسن، وسائل الشیعه،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علی بن شعبه، تحف العقول، مؤسسة النشر الاسلامی،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حسن ابراهیم، تاریخ سیاسی اسلام، تهران، بدرقه جاویدان،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البهسودی، سید محمد سرور الواعظ، مصباح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ابحاث 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احیاء آثار الامام الخوئی،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الشیرازی، سید محمد، الفقه کتاب الغصب، مطبعة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العاملی، سید محمدجواد، مفتاح الکرامه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العاملی، سید محمدجواد، مفتاح الکرامه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المراغی، سید میرعبدالفتاح، العناوین، قم، مؤسسة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المیلانی، سید علی، کتاب القضاء بحث سید محمدرضا گلپایگانی، قم، مطبعة الخیام،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دارالقران الکریم،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الواسطی الزبیدی، سید محمدمرتضی، تاج العروس،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شبّر، سید علی، العمل الابقی فی شرح العروة الوثقی، مطبعة 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فیروزآبادی، سید مرتضی، عنایة الاصول فی شرح کفایة الاصول، قم، مکتبة الفیروزآبادی،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ابی صلاح، الکافی فی الفقه، اصفهان، مکتبة الامام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سید حمزة بن علی بن زهرة، غنیة النزوع، قم، مؤسسة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ابوالقاسم نجم الدین جعفر بن الحسن، المختصر النافع فی فقه الامامیه، النجف الاشرف، المکتبة الأهلیه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النعمان،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ابوالقاسم نجم الدین جعفر بن الحسن، المعتبر فی شرح المختصر، قم، مؤسسة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ابوالقاسم نجم الدین جعفر بن الحسن، شرایع الاسلام، نجف اشرف، مطبعة الآداب،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ابوالقاسم نجم الدین جعفر بن الحسن، معارج الاصول، مؤسسة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المطبعة سرور قم،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ابی العباس احمد بن محمد بن فهد، المهذّب البارع، قم، مؤسسة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ارشاد الاذهان، قم، مؤسسة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ایضاح الفوائد، مؤسسة الثقافیه لکوشانپور،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تحریر الاحکام الشرعیه،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تذکرة الفقهاء، قم،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حسن بن یوسف، تهذیب الوصول الی علم الاصول، مؤسسة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خلاصة الاقوال، نشر الفقاهه،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قواعد الاحکام، قم، مؤسسة النشر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مبادی الوصول الی علم الاصول، مطبعة الاداب فی النجف الاشرف،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مختلف الشیعه، مرکز الابحاث و الدراسات الاسلامیه،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منتهی المطلب، مشهد، مجمع البحوث الاسلامیه مؤسسة الطبع و النشر فی الآستانه الرضویة المقدسه،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یحیی بن سعید، الجامع للشرائع، قم، مؤسسة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العلمیه،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قرب الاسناد، قم، مؤسسة الثقافة الاسلامیه لکوشانپور،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یحیی بن عبدالرحمن، احکام المرأة الحامل فی الشریعة الاسلامی، دارالنفائس و دارالبیارق،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 ابی المؤید الموفق بن احمد المکی اخطب، مقتل الحسین، مکتبة المفید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سید احمد، جامع المدارک، تهران، مکتبة الصدوق،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موسوی، اجود التقریرات، قم، مؤسسة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موسوی، صراة النجاة، مدین،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موسوی، مبانی تکملة المنهاج، قم، مؤسسه احیاء آثار الامام الخوئی،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موسوی، مصباح الفقاهه، قم، المکتبة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موسوی، منهاج الصالحین، قم، مؤسسة احیاء الآثار الامام الخوئی،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ابوالقاسم موسوی، موسوعة الامام الخوئی، قم، مؤسسة احیاء آثار الامام الخوئی،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محمدتقی، مبانی العروة الوثقی، النجف الاشرف، المطبعة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 تاریخ تمدن، تهران، شرکت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تهران، مؤسسه انتشارات و چاپ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دیلمی، ابی یعلی حمزة بن عبدالعزیز، المراسم العلویه، بیروت، دارالحق،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النجفی الاصفهانی، محمدتقی، هدایة المسترشدین، قم، مؤسسة النشر الاسلامی،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عبدالقادر، مختار الصحاح، القاهره، دارالحدیث،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اصفهانی، ابی القاسم حسین بن محمد، المفردات الفاظ القران الکریم، انتشارات ذوی القربی،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ابی القاسم حسین بن محمد، المفردات فی غریب القران، المکتبة المرتضویه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رجبیان، زهره، سن ازدواج دختران، سفیر صبح،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رشتی، میرزا حبیب الله، کتاب الغصب، نشر الحاج شیخ احمد شیرازی،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محمدصادق، منهاج الفقاهه، نشر مؤلف، المطبعة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زکریا، احمد بن فارس، معجم مقاییسُ اللغة، قم، مکتب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زیدان، عبدالکریم، المفصّل فی احکام المرأة و البیت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رسائل الفقهیه، قم،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نیل الوطر من قاعدة لاضرر، مؤسسة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سبزواری، سید عبدالاعلی، مهذّب الاحکام، دفتر آیة الله السید السبزواری،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سجستانی الأزدی، ابی داود سلیمان بن الأشعث، سنن ابی داود، بیروت، دار ابن حزم،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سیاح، احمد، فرهنگ بزرگ جامع نوین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تهران، انتشارات اسلام،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شریف المرتضی، مسائل الناصریات، رابطة الثقافة و العلاقات الاسلامیه،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قطب، فی ضلال القران، بیروت، دارالشروق،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سید علی حسینی، المسائل المنتخبه، مکتبة آیة الله سیستانی، المطبعة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سیستانی، سید علی حسینی، منهاج الصالحین، مدین، المطبعة سرور،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الحلّی، جمال الدین المقداد بن عبدالله، کنز العرفان، تهران، المکتبة الرضویة لاحیاء آثار الجعفریه،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سیوری الحلّی، جمال الدین مقداد بن عبدالله، التنقیح الرائع لمختصر الشرائع، قم، مکتبة آیة الله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شاهرودی، سید محمود حسینی، کتاب الحج، النجف، مطبعة القضاء،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شربینی، محمد خطیب، مغنی المحتاج،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شرتوتی، سعید، اقرب الموارد، دار الاسوة للطباعة و النشر التابعة المنظمة الاوقاف و الشوون الخیریه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القرشی، باقر، نظام الاسرة فی الاسلام، دارالاضواء،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نورالله، مجالس المؤمنین، تهران، کتابفروشی اسلامیه،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شهابی، محمدجواد، مسائل وردود طبقاً لفتاوی سید ابوالقاسم الخوئی، قم، دارالهادی للمطبوعات،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الشهیدی التبریزی، میرزا فتاح، هدایة الطالب الی اسرار المکاسب، دارالفقه للطباعة و النشر،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یوسف، بلوغ دختران، قم، مؤسسه فرهنگی فقه الثقلین، میثم تمار،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یوسف، رساله عملیه، قم، دفتر نشر مصطفی،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صبحی صالح، نهج البلاغه، قم، منشورات دارالهجرة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حسن، تکمله امَل الآمِلِ، بیروت، دارالموّرخ العربی،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رضا، الاجتهاد و التقلید، قم،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محمد، ماوراء الفقه، دارالاضواء،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الحسین بن بابویه، الامالی، بیروت، منشورات الاعلمی،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ابوجعفر محمد بن علی بن الحسین بن بابویه، التوحید، قم، جماعة المدرسین فی الحوزة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الحسین بن بابویه، الخصال،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الحسین بن بابویه، المقنع، قم، مؤسسة 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الحسین بن بابویه، علل الشرائع، مؤسسه دارالحجة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للثقافه،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الحسین بن بابویه، 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مشهدی،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الحسین بن بابویه، کمال الدین و تمام النعمة،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الحسین بن بابویه، معانی الاخبار،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ابوجعفر محمد بن علی بن الحسین بن بابویه، من لایحضره الفقیه، دارالکتب الاسلامیه،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الصّیمری البحرانی، مفلح، غایة المرام، دارالهادی،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الصیمری، حسن بن رشید، تلخیص الخلاف و خلاصة الاختلاف، قم، مکتبة آیة الله العظمی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طاووس، علی بن موسی بن جعفر، اقبال الاعمال، قم، سماء قلم،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الحائری، محمدعلی، الشرح الصغیر، قم، مکتبة آیة الله المرعشی النجفی،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الحکیم، سید محمدسعید، منهاج الصالحین، مکتب آیة الله السید الحکیم،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القمی، سید تقی، مبانی منهاج الصالحین، بیروت، دارالسرور،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حکیم، سید محسن، مستمسک العروة الوثقی، بیروت، دار احیاء التراث العربی،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حکیم، سید محسن، نهج الفقاهه، بیروت، انتشارات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یزدی، سید محمدکاظم، العروة الوثقی مع تعلیقات شیخ محمد فاضل لنکرانی، قم، مرکز فقه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یزدی، سید محمدکاظم، العروة الوثقی مع تعلیقات عدة من الفقهاء، قم، مؤسسة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یزدی، سید محمدکاظم، العروة الوثقی، قم، مؤسسه اسماعیلیان،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یزدی، سید محمدکاظم، حاشیة المکاسب، قم، دار المصطفی لاحیاء التراث، المطبعة ستاره،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علی، ریاض المسائل، بیروت، دار الهادی،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 المناهل،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طباطبائی، سید محمد، مفاتیح الاصول،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نصر الحسن بن الفضل، مکارم الاخلاق،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المؤتلف من المختلف بین ائمة السلف، مشهد، مجمع البحوث الاسلامیة،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طرابلسی، عبدالعزیز بن البرّاج، المهذّب، قم، مؤسسة النشر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جامع المقال فیما یتعلق باحوال الحدیث و الرجال، تهران، چاپخانه حیدری،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فخرالدین، مجمع البحرین، قم، مؤسسة البعثة،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و حلی، محمد بن 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النهایه و نکتها، قم، مؤسسة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الاستبصار، تهران،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دارالاضواء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الخلاف، قم، مؤسسة النشر الاسلامی،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المبسوط، تهران، المکتبة المرتضویة لاحیاء الآثار الجعفریه،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النهایه، بیروت، دارالکتاب العربی،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الاحکام، تهران، 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الرعایة فی علم الدرایه، قم، المکتبة آیة الله المرعشی النجفی،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الروضة البهیه، مجمع الفکر الاسلامی،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المقاصد العلیّه فی شرح الرسالة الالفیّه، مرکز النشر التابع لمکتب الاعلام الاسلامی،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تمهید القواعد، مکتب الاعلام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حاشیة شرائع الاسلام، قم، بوستان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لمکتب الاعلام الاسلامی،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مسالک الافهام، قم، مؤسسة المعارف الاسلامیه،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الدین بن علی، منیة المرید، قم، مؤسسة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مکی، الدروس الشرعیه، قم، مؤسسة النشر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مکی، القواعد و الفوائد، قم، مکتبة المفید،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مکی، اللمعة الدمشقیه، تهران، مرکز بحوث الحج و العمره،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مکی، ذکری الشیعه،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مکی، غایة المراد، قم، نشر مرکز الابحاث و الدراسات الاسلامیه،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حسین بن عبدالصمد، وصول الاخیار الی اصول الاخبار، قم، مجمع ذخائر الاسلامیّه،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سید محمد، نهایة المرام، قم، مؤسسة النشر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بن وهب ابن واضح، تاریخ یعقوبی، بیروت، دار صادر، مؤسسة 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عبدالمنعم، عبدالرحمن، معجم المصطلحات و الالفاظ الفقهیه، دارالفضیله،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عراقی، آقا ضیاء، شرح تبصرة المتعلمین، قم، مؤسسة النشر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عطوی، فتحیة مصطفی، الاجهاض بین الشرع و القانون و الطبّ، بیروت، صادر،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نعمان، الاختصاص،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نعمان، الارشاد،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نعمان، الامالی، قم، منشورات جماعة المدرسین فی الحوزة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نعمان، المقنعه، قم، مؤسسة النشر الاسلامی،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العکبری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نعمان، سلسله مؤلفات الشیخ المفید احکام النساء، بیروت، دارالمفید،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سید عادل، القصاص علی ضوء القران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ابحاث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آیة الله المرعشی النجفی،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سید عادل، القول الرشید فی الاجتهاد و التقلید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ابحاث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مکتبة آیة الله المرعشی النجفی،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عمید، حسن، فرهنگ فارسی، تهران، انتشارات امیرکبیر،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غانم، محمد بن ابراهیم، احکام الجنین فی الفقه الاسلامی، بیروت، دار ابن حزم،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الغدیری، عبدالله عیسی ابراهیم، القاموس الجامع للمصطلحات الفقهیه، بیروت، دارالحجة البیضاء،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اصفهانی، محمدحسین، حاشیة کتاب المکاسب، قم، نشر محقق کمپانی،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 تبریزی، میرزا علی، التنقیح فی شرح العروة الوثقی الاجتهاد و التقلید،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احکام الواضحه، دارالتعارف للمطبوعات،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القواعد الفقهیه، قم، مرکز فقه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تفصیل الشریعه فی شرح تحریر الوسیله الاجتهاد و التقلید، قم، مرکز فقه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لنکرانی، محمد، تفصیل الشریعه فی شرح تحریر الوسیله کتاب الحدود و التعزیرات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القصاص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النکاح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الطلاق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فقه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لنکرانی، محمد، تفصیل الشریعه فی شرح تحریر الوسیله کتاب اللقطه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المضاربه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فقه الائمه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جامع المسائل، قم، مطبوعاتی امیر،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 رساله توضیح المسائل، قم، مطبوعاتی امیر،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هندی، محمد بن حسن اصفهانی، کشف اللثام،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 معصوم، سید حسین، مجموعه مقالات و گفتارهای دومین سمینار دیدگاه های اسلام در پزشکی، دانشگاه علوم پزشکی مشهد،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الفرّاء البغوی، مسعود بن محمد، التهذیب فی فقه الامام الشافعی، بیروت، دارالکتب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فراهیدی، خلیل بن احمد، کتاب العین، داراحیاء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الفقه المنسوب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مقدس، المؤتمر العالمی للامام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فیاض، محمد اسحاق، منهاج الصالحین، قم، مکتب آیة الله حاج شیخ محمد اسحاق فیّاض،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محمد بن ابراهیم، القاموس المحیط، بیروت، دارالکتب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المحجة البیضاء، قم، دفتر انتشارات 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الوافی، اصفهان، مکتبة الامام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محسن، مفاتیح الشرائع، قم، مجمع الذخائر الاسلامیه،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محمد بن علی، المصباح المنیر، قم، مؤسسة دارالهجرة،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قاسمی، محمد جمال الدین، محاسن التأویل، دارالفکر،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بن رشد، بدایة المجتهد و نهایة المقتصد، بیروت، دارالمعرفة،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سید ابراهیم، ضوابط الاصول، مصطفوی،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بن یزید، سنن ابن ماجه، بیروت، دارالجیل،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قشیری النیسابوری، مسلم بن حجاج، صحیح مسلم، بیروت، دار ابن حزم،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سبزواری، محمد بن محمد، جامع الخلاف و الوفاق، قم، انتشارات زمینه سازان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المیرزا ابی القاسم، جامع الشتات، سازمان انتشارات کیهان،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الکنی و الالقاب، تهران، مکتبة الصدر،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سفینة البحار، دار الاسوه للطباعة و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 الجنان، قم، انتشارات فاطمة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الآمال، مؤسسه انتشارات هجرت،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محمدمؤمن، کلمات سدیدة فی مسائل جدیدة، قم، مؤسسة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میرزا ابوالقاسم، غنائم الایّام، مرکز النشر التابع لمکتب الاعلام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الکاسانی الحنفی، ابی بکر بن مسعود، بدائع الصنائع، دار احیاء التراث العربی،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جعفر، کشف الغطاء، مرکز النشر التابع لمکتب الاعلام الاسلامی،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علی، النور الساطع فی الفقه النافع، نجف، مطبعة الآداب،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الغطاء، محمدحسین، الارض و التربة الحسینیه، النجف، المطبعة الحیدریه،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کاشف الغطاء، محمدحسین، تحریر المجله، مکتبة النجاح و مکتبة الفیروزآبادی،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اسدالله، مقابس الانوار،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کاظمی، جواد، مسالک الافهام الی آیات الاحکام، انتشارات مرتضوی،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علی بن حسین، جامع المقاصد، قم،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کرکی، علی بن حسین، رسائل، قم، المکتبة آیة الله المرعشی النجفی،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جهرمی، علی، الدُّر المنضود تقریر ابحاث آیة الله گلپایگانی، قم، دار القران الکریم،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کلانتری، علی اکبر، الجزیة و احکامها، قم، مؤسسة النشر الاسلامی،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یعقوب بن اسحاق، اصول کافی، تهران، دارالکتب الاسلامیه،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مراة العقول، دارالکتب الاسلامیه،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ملاذ الاخیار، قم، مکتبة آیة الله المرعشی النجفی،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روضة المتقین، بنیاد فرهنگ 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محمدتقی، لوامع صاحبقرانی، قم، مؤسسة مطبوعاتی اسماعیلیان،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اللغة العَربیة، المعجم الوسیط، دارالدعوة،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من الفقهاء و الباحثین، قراءات الفقهیه معاصرة فی معطیات الطب الحدیث، بیروت، مرکز الغدیر للدراسات الاسلامیه،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محسنی، محمدآصف، الفقه و مسائل طبیه، قم، مرکز النشر التابع لمکتب الاعلام الاسلامی،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داماد، سید محمد، کتاب الصلاة، قم، موسسة النشر الاسلامی،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لنگرودی، محمدحسن، الدّر النضید فی الاجتهاد و التقلید، قم، مؤسسة انصاریان،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مشکینی، علی، مصطلحات الفقه، قم، دفتر نشر الهادی،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سید محمدکاظم، القواعد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قاعدة الفقهیه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معزی الملایری، اسماعیل، جامع احادیث الشیعه، قم،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معلوف، لویس، المنجد فی اللغة، بیروت، دارالمشرق،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فقه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دارالجواد،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الفتاوی الجدیده، قم، 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القواعد الفقهیه، قم، 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 شیرازی، ناصر، انوار الفقاهه کتاب الحدود و التعزیرات، قم، 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بحوث فقهیةُ هامَة، قم، مدرسة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محمدخالد، الاحکام الطبیة المتعلقه بالنساء فی الفقه الاسلامی، اردن، دارالنفائس،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موحد ابطحی، سید محمدباقر، صحیفه سجّادیه، قم،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ابوالحسن، وسیلة النجاة مع تعالیق الامام الخمینی، مؤسسة تنظیم و نشر آثار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ابوالحسن، وسیلة النجاة مع تعالیق آیة الله سید محمدرضا گلپایگانی، قم، مطبعة مهر استوار،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البغدادی، سید شریف المرتضی، الانتصار، قم، مؤسسة النشر الاسلامی،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تحریر الوسیله، مؤسسة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کتاب البیع، قم، مؤسسة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الخمینی، سید روح الله، کتاب الطهارة، مؤسسة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العاملی، سید محمد بن علی، مدارک الاحکام، بیروت،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خلخالی، سید محمدمهدی، حاکمیت در اسلام، تهران، انتشارات آفاق،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گلپایگانی، سید محمدرضا، کتاب الحج، قم، مطبعة الخیام،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گلپایگانی، سید محمدرضا، مجمع المسائل، قم، دارالقران الکریم،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الموصلی، ابی یعلی احمد بن علی، مسند، دارالکتب العلمیه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 سبزواری، محمدباقر، کفایة الاحکام، قم، مؤسسة النشر الاسلامی،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میلانی، سید محمدهادی، محاضرات فی الفقه الامامیه، انتشارات دانشگاه فردوسی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نائب زاده، عباس، باروری مصنوعی، تهران، انتشارات مجد،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نائینی، میرزا محمدحسین، فوائد الاصول، قم، مؤسسة النشر الاسلامی،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خوانساری، موسی، منیة الطالب، قم، مؤسسة النشر 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محمدحسن، جواهر الکلام،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عوائد الایّام، مرکز النشر التابع لمکتب الاعلام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مِعراج السَّعادة، تهران، انتشارات یاسر و دهقان،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محمدمهدی، مستند الشیعه،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نوری طبرسی، میرزا حسین، مستدرک الوسائل، بیروت،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980" w:name="pg13713_164810"/>
    </w:p>
    <w:p>
      <w:pPr>
        <w:pStyle w:val="BookText"/>
        <w:rPr/>
      </w:pPr>
      <w:bookmarkEnd w:id="980"/>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وحید خراسانی، حسین، منهاج الصالحین، مدرسة الامام باقر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نگارش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آقارضا بن محمدهادی، مصباح الفقیه، المؤسسة الجعفریه لاحیاء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الهندی البرهانی فوری، حسام الدین، کنز العمّال، بیروت،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981" w:name="__RefHeading___Toc1260030_1468164448"/>
      <w:bookmarkStart w:id="982" w:name="_Toc360"/>
      <w:bookmarkEnd w:id="981"/>
      <w:r>
        <w:rPr>
          <w:rtl w:val="true"/>
        </w:rPr>
        <w:t xml:space="preserve">ج </w:t>
      </w:r>
      <w:r>
        <w:rPr>
          <w:rtl w:val="true"/>
        </w:rPr>
        <w:t xml:space="preserve">- </w:t>
      </w:r>
      <w:r>
        <w:rPr>
          <w:rtl w:val="true"/>
        </w:rPr>
        <w:t>منابع حقوقی</w:t>
      </w:r>
      <w:bookmarkEnd w:id="982"/>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سید محسن صدرازاده، آیین دادرسی مدنی و بازرگانی، تهران، انتشارات جهاد دانشگاهی،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سید حسن، حقوق مدنی، کتابفروشی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تعزیرات از دیدگاه فقه و حقوق جزا، قم، پژوهشگاه علوم و فرهنگ اسلامی،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ایمانی، عباس، فرهنگ اصطلاحات حقوقی کیفری، تهران، آریان،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باختر، سید احمد، مجموعه کامل آراء وحدت رویه دیوانعالی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خط سوم، چاپ آینده،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محمد عبده، کلیات حقوق اسلامی، تهران، انتشارات رهام،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اسلام و حقوق کودک، قم، دفتر تبلیغات حوزه علمیه،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بیگی، جمال، بزه دیدگی اطفال در حقوق ایران، تهران، میزان،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محمدجعفر، مبسوط در ترمینولوژی حقوق، تهران، کتابخانه گنج دانش،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لنگرودی، محمدجعفر، مجموعه محشی قانون مدنی، کتابخانه گنج دانش،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جهانگیر، منصور، قانون مجازات اسلامی، نشر دیدار،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شاه باغ، سید علی، شرح قانون مدنی، تهران، کتابخانه گنج دانش،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حجتی اشرفی، غلامرضا، قانون مدنی با آخرین اصطلاحات و الحاقات، تهران، کتابخانه‌گنج دانش،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خسروشاهی، قدرت الله، فلسفه حقوق، قم، انتشارات مؤسسه آموزشی و پژوهشی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دادبان، حسن، حقوق جزای عمومی، تهران، انتشارات دانشگاه علامه طباطبائی،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تاج زمان، طفل بزهکار کیست، تهران، کیهان،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رضانیا معلم، محمدرضا، باروری های پزشکی از دیدگاه فقه و حقوق، قم، مؤسسه بوستان کتاب،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رنجبری، ابوالفضل، حقوق کار، تهران، انتشارات مجد،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زراعت، عباس، شرح قانون مجازات اسلامی بخش تعزیرات، تهران، انتشارات ققنوس،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شاکریان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شاهرخ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کنوانسیون های بین‌المللی، تهران، ادراه کل قوانین و مقرّرات کشور،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شامبیاتی، هوشنگ، بزهکاری اطفال و نوجوانان، تهران،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ژوبین،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شامبیاتی، هوشنگ، حقوق کیفری اختصاصی، تهران، ژوبین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شاملو احمدی، محمدحسین، فرهنگ اصطلاحات و عناوین جزائی، اصفهان، نشر دادیار،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عبدالله، آیین دادرسی مدنی، تهران، میزان،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صانعی، پرویز، حقوق جزای عمومی، تهران، کتابخانه گنج دانش،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سید حسین، حقوق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و نسب و آثار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و چاپ‌دانشگاه،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سید حسین، حقوق مدنی اشخاص و محجورین، تهران، سازمان مطالعه و تدوین کتب علوم انسانی دانشگاه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سید حسین، دوره مقدماتی حقوق مدنی، تهران، نشر میزان،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سید حسین، مختصر حقوق خانواده، تهران، نشر دادگستر،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سید حسین، مقالاتی درباره حقوق مدنی و حقوق تطبیقی، نشر میزان،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طاهری، حبیب الله، حقوق مدنی، دفتر انتشارات اسلامی وابسته به جامعه مدرسین حوزه علمیه قم،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طبسی، محمدجواد، حقوق فرزندان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مرکز انتشارات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عباچی، مریم، حقوق کیفری اطفال، تهران، مجمع علمی و فرهنگی مجد،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عبادی، شیرین، حقوق کودک نگاهی به مسائل حقوقی کودکان در ایران، تهران، روشنگران و مطالعات زنان،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فاضل لنکرانی، محمدجواد، بررسی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تلقیح مصنوعی، قم، مرکز فقهی ائمه‌اطهار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عقود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مدنی، تهران، انتشار،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کاتوزیان، ناصر، حقوق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تهران، شرکت سهامی انتشار با همکاری بهمن برنا،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حقوق مدنی خانواده، تهران، شرکت انتشار با همکاری بهمن برنا،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حقوق مدنی، تهران، شرکت سهامی انتشار با همکاری بهمن برنا،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دوره مقدماتی حوقق مدنی خانواده، تهران، مؤسسه نشر یلدا،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کاتوزیان، ناصر، وصیّت در حقوق مدنی ایران، تهران، انتشارات ققنوس،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گلدوزیان، ایرج، محشای قانون مجازات اسلامی، تهران، انتشارات مجد،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و شاکر، شهربانو و طوبی، بررسی خلاءهای قانونی حقوق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حقوق کودک ناشی از تلقیح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شورای فرهنگی اجتماعی زنان،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محمدیان، بهرام، نگاهی دیگر به حقوق فرزندان از دیدگاه اسلام، تهران، انجمن اولیاء و مربیان،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جلال الدین، ادله اثبات دعوی، تهران، کتابخانه گنج دانش،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مصفا، نسرین، کنوانسیون حقوق کودک و بهره وری از آن در حقوق داخلی ایران، تهران، دانشکده حقوق و علوم سیاسی مؤسسه حقوق تطبیقی و مرکز مطالعات حقوق بشر،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نظام حقوق زن در اسلام، انتشارات صدرا،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معظمی، شهلا، بزهکاری کودکان و نوجوانان، تهران، نشر دادگستر،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شخصیت و حقوق زن در اسلام، تهران، شرکت انتشارات علمی و فرهنگی،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نجفی توانا، علی، نابهنجاری و بزهکاری کودکان و نوجوانان، تهران، آموزش و سنجش، </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983" w:name="pg13713_164813"/>
    </w:p>
    <w:p>
      <w:pPr>
        <w:pStyle w:val="Heading2"/>
        <w:numPr>
          <w:ilvl w:val="1"/>
          <w:numId w:val="1"/>
        </w:numPr>
        <w:rPr/>
      </w:pPr>
      <w:bookmarkStart w:id="984" w:name="__RefHeading___Toc1260032_1468164448"/>
      <w:bookmarkStart w:id="985" w:name="_Toc361"/>
      <w:bookmarkEnd w:id="983"/>
      <w:bookmarkEnd w:id="984"/>
      <w:r>
        <w:rPr>
          <w:rtl w:val="true"/>
        </w:rPr>
        <w:t>نمایه</w:t>
      </w:r>
      <w:bookmarkEnd w:id="98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6" w:name="__RefHeading___Toc1260034_1468164448"/>
      <w:bookmarkStart w:id="987" w:name="_Toc362"/>
      <w:bookmarkEnd w:id="986"/>
      <w:r>
        <w:rPr>
          <w:rtl w:val="true"/>
        </w:rPr>
        <w:t>اشاره</w:t>
      </w:r>
      <w:bookmarkStart w:id="988" w:name="pg13713_164815"/>
      <w:bookmarkEnd w:id="987"/>
    </w:p>
    <w:p>
      <w:pPr>
        <w:pStyle w:val="Heading3"/>
        <w:numPr>
          <w:ilvl w:val="2"/>
          <w:numId w:val="1"/>
        </w:numPr>
        <w:rPr/>
      </w:pPr>
      <w:bookmarkStart w:id="989" w:name="__RefHeading___Toc1260036_1468164448"/>
      <w:bookmarkStart w:id="990" w:name="_Toc363"/>
      <w:bookmarkEnd w:id="988"/>
      <w:bookmarkEnd w:id="989"/>
      <w:r>
        <w:rPr>
          <w:rtl w:val="true"/>
        </w:rPr>
        <w:t>آیات</w:t>
      </w:r>
      <w:bookmarkEnd w:id="990"/>
    </w:p>
    <w:p>
      <w:pPr>
        <w:pStyle w:val="BookText"/>
        <w:rPr/>
      </w:pPr>
      <w:r>
        <w:rPr>
          <w:rFonts w:ascii="IRNazanin" w:hAnsi="IRNazanin" w:eastAsia="IRNazanin"/>
          <w:color w:val="111111"/>
          <w:sz w:val="28"/>
          <w:sz w:val="28"/>
          <w:szCs w:val="28"/>
          <w:rtl w:val="true"/>
          <w:lang w:bidi="fa-IR"/>
        </w:rPr>
        <w:t xml:space="preserve">نام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آیه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p>
    <w:p>
      <w:pPr>
        <w:pStyle w:val="BookText"/>
        <w:rPr/>
      </w:pP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خَلَقَ لَکُمْ مَّا فِی الْاَرْضِ جَمِیعاً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أَقیمُوا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وَعَهِدْنا إِلی إِبْراهیمَ وَإِسْماعیلَ أَنْ طَهِّرا بَیْتِیَ لِلطّائِفینَ وَالْعاکِفینَ وَالرُّکَّعِ 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کُتِبَ عَلَیْکُمُ الْقِصَاصُ فِی الْقَتْلَی الْحُرُّ بِالْحُرِّ وَالْعَبْدُ بِالْعَبْدِ وَالأنْثَی بِالأنْثَی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وَلَکُم فِی القِصاصِ حَیاةٌ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فَإِنَّما إِثْمُهُ عَلَی الَّذینَ یُبَدِّلُونَهُ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لا یُحِبُّ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یَسْئَلُونَکَ عَنِ الْیَتامی قُلْ إِصْلاحٌ لَهُمْ خَیْرٌ وَ إِنْ تُخالِطُوهُمْ فَإِخْوانُکُمْ وَ اللّهُ یَعْلَمُ الْمُفْسِدَ مِنَ الْمُصْلِحِ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إِصْلاحٌ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لاتُضَارَّ والِدَةٌ بِوَلَدِهَا وَلا مَوْلُودٌ لَّهُ بِوَلَدِهِ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یَعْفُوَا الَّذی بِیَدِهِ عُقْدَةُ النِّکاحِ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أَنْفِقُوا مِنْ طَیِّباتِ مَا کَسَبْتُمْ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کانَ غَنِیًّا فَلْیَسْتَعْفِفْ وَ مَنْ کانَ فَقیرًا فَلْیَأْکُلْ 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وَمَنْکانَ غَنِیًّا فَلْیَسْتَعْفِفْ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ابْتَلُوا الْیَتمی حَتّی إِذا بَلَغُوا النِّکاحَ فَإِنْ انَسْتُمْ مِنْهُمْ رُشْدًا فَادْفَعُوا إِلَیْهِمْ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آنَسْتُمْ ّمِّنْهُمْ رُشْدًا فَادْفَعُوا إِلَیْهِِم أَمْوالَهُمْ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فَلْیَأکُلْبِالْمَعْروُفِ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لَکُم لاتُقاتِلُونَ فِی سَبیلِ اللهِ وَ المُستَضعَفینَ مِنَ الرِّجالِ وَ النِّساء وَ الوِلدَانِ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حُیِّیتُمْ بِتَحِیَّةٍ فَحَیُّوا بِأَحْسَنَ مِنْها أَوْ رُدُّوها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فَتَحْرِیرُ رَقَبَةٍ مُؤْمِنَةٍ وَدِیَةٌ مُسَلَّمَةٌ إِلَی أَهْلِهِ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وَمَنْقَتَلَ مُؤْمِنًا خَطَأً فَتَحْریرُ رَقَبَةٍ مُؤْمِنَةٍ وَ دِیَةٌ مُسَلَّمَةٌ إِلی أَهْلِهِ إِلاّ أَنْ یَصَّدَّقُوا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لَنْ یَجْعَلَ اللّهُ لِلْکافِرینَ عَلَی الْمُؤْمِنینَ سَبیلاً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تَعاوَنُوا عَلَی الْبِرِّ وَ التَّقْوی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 بِالسّن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لَهُمْدارُ السَّلامِ عِنْدَ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تَقْرَبوُا مالَ الْیَتِیمِ إِلاّ بِالَّتِی هِیَ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ولوطَاً إذ قالَ لِقَومِهِ أَتأتُونَ الفاحشةَ ما سَبَقَکُم بِها أحدُ من العالِمینَ، إنّکُم لَتَأتُونَ الرجال شَهوَةً من دُونِ النِساء بَل انتُم قومٌ مُسرفون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أَنَّما غَنِمْتُمْ مِنْ شَیْءٍ فَأَنَّ لِلّهِ خُمُسَهُ وَ لِلرَّسُولِ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وَتُزَکِّیهِمْ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کَانَ الْمُؤمِنُونَ لِیَنْفِرُوا کَافَّةً فَلََوْ لانَفَرَ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شَهِدْنَا الاّ بِمَا عَلِمْنَا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فَسْئَلُوا أهْلَ الذِّکْرِ إنْ کُنْتُم لاتَعْلَمُونَ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أَخْرَجَکُمْ مِنْ بُطُونِ أُمَّهاتِکُمْ لا تَعْلَمُونَ شَیْئًا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قُتِلَ مَظْلُومًا فَقَدْ جَعَلْنَا لِوَلِیِّهِ سُلْطَانًا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لا نُضیعُ أَجْرَ مَنْ أَحْسَنَ عَمَلاً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فَاقْضِ مَا انتَ قَاضٍ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یُرِدْ فیهِ بِإِلْحادٍ بِظُلْمٍ نُذِقْهُ مِنْ عَذابٍ أَلیمٍ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یَرْمُونَ الْمُحْصَنَاتِ ثُمَّ لَمْ یَأْتُوا بِأَرْبَعَةِ شُهَدَاءَ فَاجْلِدُوهُمْ ثَمَانِینَ جَلْدَةً وَلا تَقْبَلُوا لَهُمْ شَهَادَةً أَبَدًا وَأُولَئِکَ هُمُ الْفَاسِقُونَ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لِلْمُؤْمِنینَ یَغُضُّوا مِنْ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دَخَلْتُمْ بُیُوتًا فَسَلِّمُوا عَلی أَنْفُسِکُمْ تَحِیَّةً مِنْ عِنْدِ اللّهِ مُبارَکَةً طَیِّبَةً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فَأَقِمْ وَجْهَکَ لِلدِّینِ حَنیفًا فِطْرَتَ اللّهِ الَّتی فَطَرَ النّاسَ عَلَیْها لا تَبْدیلَ لِخَلْقِ اللّهِ ذلِکَ الدِّینُ الْقَیِّمُ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تَبْدیلَ لِخَلْقِ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الدِّینُ الْقَیِّمُ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فِطْرَتَ اللّهِ الَّتی فَطَرَ النّاسَ عَلَیْها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ظَهَرَ الْفَسادُ فِی الْبَرِّ وَ الْبَحْرِ بِما کَسَبَتْ أَیْدِی النّاسِ لِیُذیقَهُمْ بَعْضَ الَّذی عَمِلُوا لَعَلَّهُمْ یَرْجِعُونَ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 أَحْسَنَ کُلَّ شَیْءٍ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تَخْضَعْنَ بِالْقَوْلِ فَیَطْمَعَ الَّذی فی قَلْبِهِ مَرَضٌ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وَالَّذِینَ آمَنُوا وَاتَّبَعَتْهُمْ ذُرِّیتُهُمْ بِإِیمَانٍ أَلْحَقْنَا بِهِمْ ذُرِّیتَهُمْ وَمَا أَلَتْنَاهُمْ مِنْ عَمَلِهِمْ مِنْ شَیءٍ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لَّیسَ لِلْإنَسانِ الاّ مَا سَعَی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آمِنُوا بِاللَّهِ وَرَسُولِهِ وَأَنْفِقُوا مِمَّا جَعَلَکُمْ مُسْتَخْلَفِینَ فِیهِ فَالَّذِینَ آمَنُوا مِنْکُمْ وَأَنْفَقُوا لَهُمْ أَجْرٌ کَبِیرٌ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قُوا أَنْفُسَکُمْ وَ أَهْلِیکُمْ نَاراًوَ قُودُها النَّاسُ و الحِجَارَةُ عَلَیهَا مَلائِکَةٌغِلاظٌ شِدَادٌ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آخَرُونَ یَضْرِبُونَ فِی الاَرْضِ یَبْتَغُونَ مِنْ فَضْلِ اللهِ وَ آخَرونَ یُقَاتِلُونَ فِی سَبِیلِ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نَفْسٍ بِمَا کَسَبَتْ رَهینَه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زلزله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یَعْمَلْ مِثقَالَ ذَرَّهٍ خَیْرَاً یَرَه وَ مَنْ یَعْمَل مِثقَالَ ذَرَّهٍ شَرّاً یَرَهُ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الْاإنسانَ لَفِی خُسْرٍ الاَّ الَّذینَ ءَامَنُواْ وَ عَمِلُواْ الصَّالِحاتِ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bookmarkStart w:id="991" w:name="pg13713_164818"/>
    </w:p>
    <w:p>
      <w:pPr>
        <w:pStyle w:val="Heading3"/>
        <w:numPr>
          <w:ilvl w:val="2"/>
          <w:numId w:val="1"/>
        </w:numPr>
        <w:rPr/>
      </w:pPr>
      <w:bookmarkStart w:id="992" w:name="__RefHeading___Toc1260038_1468164448"/>
      <w:bookmarkStart w:id="993" w:name="_Toc364"/>
      <w:bookmarkEnd w:id="991"/>
      <w:bookmarkEnd w:id="992"/>
      <w:r>
        <w:rPr>
          <w:rtl w:val="true"/>
        </w:rPr>
        <w:t>روایات</w:t>
      </w:r>
      <w:bookmarkEnd w:id="993"/>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صفحه</w:t>
      </w:r>
    </w:p>
    <w:p>
      <w:pPr>
        <w:pStyle w:val="BookText"/>
        <w:rPr/>
      </w:pPr>
      <w:r>
        <w:rPr>
          <w:rFonts w:ascii="Amiri" w:hAnsi="Amiri" w:eastAsia="Amiri" w:cs="Amiri"/>
          <w:color w:val="111111"/>
          <w:sz w:val="28"/>
          <w:sz w:val="28"/>
          <w:szCs w:val="28"/>
          <w:rtl w:val="true"/>
          <w:lang w:bidi="ar-SA"/>
        </w:rPr>
        <w:t xml:space="preserve">ابْلِغُوا مُعَلِّمَکُمْ انْ ضَرَبَکُمْ فَوْقَ ثَلاَثِ ضَرَبَاتٍ فِی الأَدَبِ اقْتُصَّ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اجْعَلْهُمْ مَعَکَ فَإِنَّ اللهَ جاعِلٌ لَهُمْ حجاً وَلَکَ حجاً وَلَکَ أَجْراً بِصِلَتِکَ إِیّاهُمْ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احْبِبْ لِغَیرِکَ مَا تُحِبَّ لِنَفْسِکَ وَ اکْرَهُ لَهُ مَا تَکرَهُ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احِبُّوا الصِّبْیَانَ وَارْحَمُوهُمْ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ادِّبِ الْیَتِیمَ مِمَّا یُؤَدِّبُ مِنْهُ وَلَدَکَ وَاضْرِبْهُ مِمَّا تَضْرِبُ مِنْهُ وَلَدَکَ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إذَا اوقَبَ حَرُمَت عَلیهِ ابنَتُهُ وَ اختُهُ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إذا بَلَغَ الْغُلامُ عَشْرَ سِنینَ وَ أوْصَی بِثُلُثِ مَالِهِ فِی حَقٍّ جَازَتْ وَصِیَّتُهُ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إِذَا بَلَغَ وَکُتَِبَ عَلَیهِ الشَّیُء جَازَ امْرُهُ الاّ انْ یَکُونَ سَفیِهَاً أوْ ضَعِیفَاً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إِذاأَتَی عَلَی الغُلام عَشَرَ سِنِین فَاِنَّه یَجُوزُ لَهُ فِی‌مالِه مااعتق أوْ تَصدّق أوْ أوصَی عَلی حَدِ مَعروف و حَقّ فَهُوَ جَائِز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إِذا اتُّجِرَ بِهِ فَزَکِّهِ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إِذا تَزَوَّجَ الرَّجُلُ الْجارِیَةَ وَهِیَ صَغِیرَةٌ فَلا یَدْخُلُ بِها حَتّی یَأْتِیَ لَها تِسْعَ 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إِذا حج الرَّجُلُ بِابْنِهِ وَهُوَ صَغِیرٌ فَاِنَّهُ یَأمُرُهُ انْ یُلَبِّیَ وَیَفْرِضَ الْحج فَاِنْ لَمْ یُحْسِنُ أَنْ یُلَبِّیَ لَبَّوا عَنْهُ وَیُطافُ بِهِ وَیُصَلِّی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إِذا دَخَلْتَ أَرْضاً فَأَْیْقَنْتَ أَنَّّ لَکَ بِها مُقامَ عَشَرَةٍ أَیّامٍ فَأَتِّمَّ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إِذا سَلَّمَ مِنَ الْقَوْمِ واحِدً اجْزَأَ عَنْهُمْ وَاِذا رَدَّ واحِدٌ اجْزأ عَنْهُمْ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إِذا قَوِیَ عَلَی الصِّیامِ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إِذا کانَ ابْنُ سِتَّ سِنِینَ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إِذا کانَ الْعَشْرُ الأَواخِرُ اعْتَکَفَ فیِ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إِذا کانَ عِنْدَکَ مالٌ وَضَمِنْتَهُ فَلَکَ الرِّبْحُ وَأَنْتَ ضاِمنٌ لِلْمالِ وَإِنْ کانَ لامالَ لَکَ وَعَمِلْتَ بِهِ فَالرِّبْحُ لِلْغُلامِ وَأَنْتَ ضامِنٌ لِلْمالِ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إِذا وُلِدَ الْمُولُودُ فیِ ارْضِ الْحَرْبِ قُسِّمَ لَهُ مِمّا أَفاءَ اللهُ عَلَیْهِمْ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إِسْلامُهُ إِسْلامٌ لِنَفْسِهِ وَلِوُلْدِهِ الصِّغارِ وَهُمْ أَحْرارٌ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اعطاهُم الدِیه وَ اعتِق نَسِمَة و صَامَ شَهرینِ مُتَتَابِعَین و اطعِم سِتّینَ مِسکِینَاً تَوبة الَی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اعْمَلُوَا الْخَیْرَ وَذَکَّرَوُا بِهِ اهْلِیْکُمْ وَأَدَّبوُهُمُ عَلَی طَاعَةِ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اقامَةَ الْحُدوُدِ الَی مَنْ الَیْهِ الْحُکْمُ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أَلْإثْنانِ فَما فَوْقَهُما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الإِسْلامُ شَهادَةُ أَنْ لا إِلهَ إِلاّ اللهُ، وَالتَّصْدِیقُ بِرَسُولِ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الأِسْلامُ یَعْلُو وَلا یُعْلی عَلَیْهِ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الْحُکْمُ مَا حَکَمَ بِهِ اعْدَلُهُما وَ افْقَهُهُما وَ اصْدَقُهُما فِی الحدیثِ وَ أوْرَعُهُما وَ لا یَلْتَفَتُ الی مَا یَحْکُمُ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الْحَنِیفِیَّةُ مِنَ الْفِطْرَةِ الَّتِی فَطَرَ اللهُ النّاسَ عَلَیْها، لا تَبْدِیلَ لِخَلْقِ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الَّذِی بِیدِهِ عُقدَةُ النِّکاحِ هُوَ وَلِی امرِهَا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السِّقْطُ إِذا تَمَّ أَرْبَعَهِ أَشْهُرٍ 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تَطَوُّعٌ وَالرَّدُّ فَرِیضَةٌ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السُّلْطانُوَلِیُّ مَنُ لا وَلِیَّ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الصَّبِیُّ یُؤْخَذُ بِالصِّیامِ إِذا بَلَغَ تِسْعَ سِنِینَ عَلی قَدْرِ ما یُطِیقَهُ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الصَّبِیُّ یَصوُمُ عَنْهُ وَلِیُّهُ إِذا لَمْ یَجِدْ هَدْیاً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الصَّدَقَةُ تَدْفَعُ مَیْتَهَ 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الصَّلاةُ قُرْبانُ کَُلَّ تَقِی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الْعِبَادَةُ سَبْعُونَ جُزْءَأ افْضَلُها طَلَبُ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الْقَهْقَهَةُ لا تَنْقُضُِ الْوُضُوءَ وَ تَنْقُضُ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الْکادُّ عَلَی عَیالِهِ کَالْمُجاهِدِ فِی سَبیلِ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الْمَرِیضُ یُرْمِی عَنْهُ وَ الصَّبِیُّ یُعْطَی الْحَصَی فَیَرْمِی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المُسلِمونَ اخوَةٌ تَتَکافَأُ دِمَاءُهُم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الْمَعْروُفُ هُوَ الْقُوتُ وَإِنَّما عَنَی الْوَصِیَّ أَوِ الْقَیِّمَ فیِ أَمْوالِهِمْ وَما یُصْلِحُهُمْ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إِنْ ارَادَ اوْلِیاءُ الْمَقْتُولِ قَتْلَهُمَا ادُّوا دِیَةً کَامِلَةً وَقَتَلوُهُمَا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ارَادُوا قَتْلَ احَدَهِمَا قَتَلوُهُ وَاَدَّی الْمَتْروُکُ نِصْفَ الدَّیه الَی اهْلِ الْمَقْتُولِ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انَّ الاشیاءَ لمَّا ازْدَوَجَتْ ازْدَوَجَ الْکَسَلُ وَ الْعَجْزُ فَنُتِجَا بَیْنَهُما 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انَّ الاَمْرَ بِالْمَعْروُفِ وَالنَّهْیَ عَنِ الْمُنْکَرِ فَرِیضَةٌ عَظِیَمةٌ تُقامُ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وَتَأْمَنُ الْمَذاهب وَتَحِلُ الْمَکاسِبُ وَتُرَدُّ الْمَظالِمَُ وَتُعْمَرُ الاَرْضُ وَیُنْتَصَفُ مِنَ الاَعْداءِ وَیَسْتَقیِمُ الاَمْرُ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انَّ الْحج افْضَلُ مِنَ الصَّلاةِ وَالصِّیامِ، لاَنَّ الْمُصَلِّی انَّما یَشْتَغِلُ عَنْ أَهْلِهِ ساَعةً وَاَنَّ الصّائِمَ یَشْتَغِلُ عَنْ أَهْلِهِ بَیاضَ یَوْمٍ وَاَنَّ الْحاجَّ یُشْخِصُ بَدَنِهُ وَ یُضْحِی نَفْسَهُ وَیُنْفِقُ مالَهُ وَیُطِیُل الْغَیْبَةَ عَنْ أَهْلِهِ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ان الحَرامَ لایفسِدُ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أَنَّ الدِّیَةَ عَلَی وَرَثَتِهِ فَاِنْ لَمْ یَکُنْ لَهُ عَاقِلَةٌ فَعَلَی الْوَالِی مِنْ بَیْتِ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انَّ الذَّکَرَ لَیرکَبُ الذَّکَرَ فَیهتَزُّ العَرشُ لِذَلِکَ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لیِ وَأَنَا أُجْزِی عَلَیْهِ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انَ الله تَعالی لَیُبْغَضُ الْعَبْدُ النَّوَّام، انَّ اللهَ لَیُبْغَضُ الْعَبْدُ الفَارغ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انَّ اللهَ لا إِلهَ إِلا هُوَ لَمّا حَرَّمَ عَلَیْنا الصَّدقَةَ، أَنْزَلَ لَنَا الْخُمْسَ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انَّ شَهادَةَ الصِّبیانِ إذَا اَشْهَدُوهُمْ وَ هُمْ صِغارٌ جَازَتْ إذَا کَبَرُوا مَالَمْ یَنْسَوْهَا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إِنْ کاَن أَبِی لَیُحَلّیِ وُلْدَهُ وَ نِساءَهُ الذَّهَبَ وَ الْفِضَّةَ فَلا بَأسَ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إِنَ کانَ فِی دُخُولِکُمْ عَلَیْهِمْ مَنْفِعَة لَهُمْ فَلا بَأْسَ وَإِنْ کانَ فِیهِ ضَرَرٌ فَلا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إِنْ کانَ لَهُمْ وَلِیٌّ یَقُومُ بِأَمْرِهِمْ باعَ عَلَیْهِمْ وَنَظَرَ لَهُمْ، کانَ مَأْجُوراً فِیهِمْ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ان کانَ ثَقَبَ 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انْ کَانَ لَهُ سَبْعَ سِنِینَ اوْ اقَلَ رَفَعَ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ان کانَ لَهُم وَلِی یقُومُ بِاَمرِهِمِ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بِذلِک اذَا بَاعَ عَلَیهِم القَیمُ لَهُمُ النَّاظِرُ لَهُم فِیمَا یصلِحُهُم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انَّالْقَلم رُفِعَ عَن 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الصَّبِی حَتَّی یَحْتَلِمْ وَعَنِ الْمَجْنُون حَتَّی یفِیْق وَعَنِ النَّائِمِ حَتَّی‌یَسْتَیْقِظَ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انَّالله عَزَّوَجَلَّ جَعَلَ لِکُلِ شَیءٍ حَدَّاً وَ جَعَلَ عَلَی مَن تَعَدَّی حَداً مِن حُدُودِ اللهِ عَزَّوَجَلَّحَداً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ان‌امیرالمؤمنین قَضَی فِی‌السّنِ الصَّبِی إذَا لَم یثَّغِر بِبَعِیرٍ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إن‌کُنتَ تَدرِی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إِنّا نَأمُرُ صِبْیانِنا بِالصِّیامِ إِذا کانُوا بَنِیَ سَبْعَ سِنیِنَ بِما أَطاقُوا مِنْ صِیامِ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صِبْیانِکُمْ إِذا کانُوا بَنِیَ تِسْعَ سِنیِنَ بِالصَّوْمِ ما أَطاقُوا مِنْ صُیامٍ فَإِذا غَلَبَهُمِ الْعَطَشُ، افْطَروُا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أَنْتَ وَمالُکَ لأَبیِکَ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انْظُرُوا الی رَجُلٍ مِنْکُمْ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أَنْظُرُوا مَنْ کانَ مَعَکُمْ مِنَ الصِّبْیانِ فَقَدِّمُوهُ الَی الْجُحْفَةِ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انَّما قَلبُ الحَدَثِ کَالأرِضِ الخَالِیةَ مَا الِقَی فِیهَا مِنْ شَئً قَبِلَتْه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انَّما هِیَ مِثل الشیء المُباح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انّی احِبُّ أنْ یَتَأذَّی الرَّجُلُ بِحَرِّ الشَّمْسِ فِی طَلَبِ الْمَعِیشَةِ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انّی لَأُبْغَضُ الرَّجُلَ أوْ ابْغِضُ لِلرَّجُلِ انْ یَکونَ کَسْلانا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 دُنْیاهُ وَ مَنْ کَسَلَ عَنْ امْرِ دُنْیاهُ فَهُوَ عَنْ امْرِ آخِرَتِهِ اکْسَلُ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إَیاکُم وَ تَزْوِیحَ ألُحَمقاءِ فَإنْ صُْحبَتَهَا بَلَاءٌ وَ وُلْدَهَا ضِیاعٌ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أیّما قَوم احْیُوا شَیئاٌ مِنَ الْاَرضِ أو عَمَّرُوها فَهُمٌ احَقُبِهَا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بِهِ حُقِنَتِ الدِّماءُ وَعَلَیْهِ جَرَتِ الْمَناکِحُ وَالْمَواریِثُ وَعَلی ظاهِرِهِ جَماعَةُ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بِیْعُوهُما جَمیِعاً اوْ امْسِکُوهُما جَمیِعًا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تَجْعَل شَهادَتُهُ نحواً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شَهادَةِ هوُلاء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تُضرَبُ الجاریةُ دُونَ الحَدِّ وَ یقامُ عَلَی الرَّجُلِ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ثُمَّ یُتْرَکُ حَتَّی یَتِمَّ لَهُ تِسْعُ سِنِینُ فَاِذَا تَمَّت لَهُ عُلِّمَ الْوُضُوءَ وَضُرِبَ عَلیهِ وَاُمِرَ بِالصَّلاَةِ وَضُرِبَ علَیهَا فَإِذَا تَعَلَّمُ الْوُضُوءَ وَالصَّلاَةَ غَفَرَ اللهُ عَزَّوَجَلَّ لَهُ وَلِوَالِدَیْهِ انْ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جائِزٌ لِلْمَیِّتِ ما أَوْصی بِهِ عَلی ما أَوْصی إُنْشاءَ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حَتّی تُؤدیه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حَتَّی تَحْرُمَ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خَمْسَةٌ اوْ سِتَّةْ وَارفَق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دَع ابْنَکَ یَلْعَبُ سَبْعُ سِنِینَ وَیُؤَدَّبُ سَبْعُ سِنِینَ وَالْزَمْهُ نَفْسُکَ سَبْعَ سِنِینَ فَاِنْ ا فْلَحَ وَإِلاّ فَلاَ خَیْرَ فِیهِ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الَّذی بِیَدِهِ عُقْدَةُ النِّکاحِ هُوَ وَلِیُّ أَمْرِها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سَبَابُ المُؤمِن فُسُوق و قِتالُه کُفْر و اکْلِ لَحْمِهِ مَعْصِیَة و حُرمَةِ مَالِهِ کَحُرْمَةِ 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سِتَّةَ أَشْیاءَ لَیْسَ لِلْعِبادِ فِیها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وَالْجَهْلُ والرِّضا وَالْغَضَبُ وَالنَّوْمُ وَالْیَقَظَةُ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سُوقُ الْمُسلِمین کَمَسْجِدِهِم فَمَنَ سَبَقَ الی مَکانٍ فَهُوَ احَقُّ بِهِ الَی 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شَهادَةُ الصّبیان اذاً اشْهَدُوْهُم وَ هُمْ صِغَارٌ جَازَتْ إذا کَبِرُوا مَالَمْ یَنْسَوْهَا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ضُرِبَ الرَّجُلُ وَ أُدِبَ الغُلامُ وَ ان کانَ ثََقَبَ وَ کانَ مُحصِنَاً 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علی الید ما أخَذَتْ حتّی تُؤدّی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عَلَی قَدْرِ مَا یَرَی الْوَالِیُ مِنَ ذَنْبِ الرَّجُل وَقُوَّةِ بَدَنِه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عَلی کُلِّ امْرِیٍ، غَنِمَ أَوِ اکْتَسَبَ الْخُمُسُ مِمّا أَصابَ لِفاطِمَةَ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عَلَیْهِ الإِجْراءُ عَلَیْها ما دامَتْ حَیَّةً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عَلَیْهَا الْخُمُسُ جَمِیعًا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عَمُدْ الصِّبیانِ خَطَاٌ یُحْمَلُ عَلی الْعَاقِلَةِ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عَمْدُالصَّبِیِّ وَ خَطَأُهُ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عَمْدُهُماخَطَاٌتَحْمِلُهُ الْعَاقِلَةُ وَقَدْ رُفِعَ عَنْهُمَا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عَونِک الضَّعیف مِن افضَلِ الصَّدقه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فَاجْعَلْ ذلِکَ لَهَا الآنَ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فَإِذا تَمَّ لَهُ سَبْعَ سِنیِنَ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وَجْهَکَ وَکَفَیْکَ، فَإِذا غَسَلُهُما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یُتَْرَکُ حَتَّی یَتِمَّ لَهُ تِسْعَ سِنیِنَ، فَإِذا تَمَّتْ لَهُ عُلَّمَ الْوُضُوءَ وَ ضُرِبَ عَلَیْهِ وَأُمِرَ بِالصَّلاةِ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فَاَمَّا الْغَلاتُ فَعَلَیْهَا الصَّدَقَةُ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فَإِنْ تَصَدَّقْ عَلی مَنْ لَمْ یُدْرِکْ مِنْ وُلْدِهِ فَهُوَ جائِزٌ، لأَنَّ والِدَهُ هُوَ الَّذِی یَلیِ 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فَإنْ غَشِیَهَا فَخَرَجَ الْوَلَدُ مَجْزوماً أوْ ابْرَصَ فَلاَ یَلُومَنَّ إلاّ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فَإنْ فَعَلَ وَ خَرَجَ الْوَلَدُ مَجْنُونَاً فَلَا یلُومَنَّ إلّا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فَإِنْ لَمْ یُحْسِنْ أَنْ یُلَبِّیَ لَبَّوا عَنْهُ وَیُطافُ 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فَإنْتَمَّ أوْ شَکَ انْ یکُونَ مَجْنُونَاً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فَإنَّهُ انْ قُضِی بَینَکُمَا وَلَدٌ لاَ یؤْمَنُ انْ یکُونَ أخْرَسَ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فَإنَّهُ انْ قُضِی بَینَکُمَا وَلَدٌ یکُونُ أعْمَی الْقَلْبِ بَخیلَ الْیدِ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فَإنَّهُ یورِثُ الْخَرَسَ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فَبَعَثَ فِیهِمْ رُسُلَهُ وَ واتَرَ إِلَیْهِمْ أَنْبِیاءَهُ لِیَسْتَأْدوُهُمْ مِیثاقَ فِطْرَتِهِ وَیُذَکِّروُهُمُ مَنْسِیَّ نِعْمَتِهِ وَیَحْتَجُّوا عَلَیْهِمْ بِالتَّبْلِیغِ وَیُثیِرُوا لَهُمْ دَفائِنَ الْعُقُولِ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فَجَعَلَ عَلَیهِم قَیمَاً یمنَعَهُم مِنَ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فَذلِکَ الشَّیْءُ هُوَ اللهُ الْقادِرُ عَلَی الإِنْجاءِ حَیْثُ لامَنْجیِ وَعَلَی الإِغاثَةِ حَیْثُ لامُغِیث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فضرب بالسَّیفِ حَتّی 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فَطَرَهُمْ عَلَی التُّوحِیدِ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فَقَطَعَ یدَهُ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فَلاقَوَدَلِمَن لَا یقَادُ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فَلْیسَلَّمُ لِسِقْطِ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فَمُرُّوا صِبْیانَکُمْ اذا کانوُا بَنِیَ تِسْعَ سِنیِنَ بِالصَّوْمِ ما أَطاقُوا مِنْ صِیامٍ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فَهِیَ لَهُ وَلا سَبِیلَ لَهُ عَلیهَا وَ انَّما هِیَ مِثْلُ الشیءِ الْمُبَاح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فِی کُلِّ ما أَفادَ النّاسُ مِنْ قَلِیلٍ أَوْ کَثِیرٍ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فَیرْزَقُ وَلَداً فَیرَی فِی وَلَدِهِ ذَلِکَ مَا یحِبُ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کانَ أَبیِ یُجَرِّدُهُمْ مِنْ فَخٍّ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کَانَ یَأخُذُ السُّوْطَ بِیَدِهِ مِنْ وَسَطِهِ اوْ مِنْ ثُلُثِهِ ثُمَّ یَضْرِبُ بِهِ عَلَی قَدْرِ اسْنَانِهِم وَلا یُبْطِلُ حَدّاً مِنْ حُدودِ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کَتَبَ اللهُ لَهُ صِیامَ سِتَِّینَ شَهْراً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کُلُ ظُلْمٍ الْحَادٌ وَضَرْبُ الْخَادِمِ فِی غَیْرِ ذَنْبٍ مِنْ ذَلِکَ الإِلْحَادِ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کُلُّ مَوْلُودٍ یُولَدُ عَلَی الْفِطْرَةِ حَتّی یَکُونُ أَبَواهُ یُهَوِّدانِهِ وَیُنَصِّرانِهِ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مَوْلُودٍ یُولَدُ عَلَی الْفِطْرَةِ، یَعْنِی عَلَی الْمَعْرِفَةِ بِأَنَّ اللهَ عَزَّوَجَلَّ خالَقَهُ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کُلُّاَجیرٍ بُعطَی الاجرَةَ عَلی ان یصلِحَ فَیفسِدُ فَهُوَ 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کُلُّ مَعرُوفٍ صَدَقَه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لا بَأْسَ أَنْ یُؤَذَّنَ الْغُلامُ الّذی لَمْ یَحْتَلِمَ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لا بَأْسَ أَنْ یُؤَذِّنَ الْغُلامُ قَبْلَ أَنْ یَحْتَلِمَ وَلا یَؤُمُّ حَتّی یَحْتَلِمَ فَإِنْ أَمَّ جازَتْ صَلاتُهُ وَفَسَدَتْ صَلاةُ مِنْ خَلْفَهُ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لا بَأْسَ بِالْقُُبَّةِ عَلَی النِّساءِ وَالصِّبْیانِ وَهُمْ مُحْرِمُونَ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لاَ بَأسَ بِذلِکَ إِذَا بَاعَ عَلَیْهِمْ القَیِّمُ لَهُمْ النَّاظِرُ لَهُمْ فِیمَا یُصْلِحُهُمْ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لا تَحِلُّ الصَّدَقَةُ لِغَنِِی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لا تَحِلُّ الصَّلاةُ فیِ الْحَرِیرِ الْمَحْضٍ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لا زَکاةَ عَلی یَتِیمٍ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صَلاةَ لَهُ إِلاّ أَنْ یَقْرَأَبِها فیِ جَهْرٍ أَوْ أِخْفاتٍ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ضَرَرَ وَلا اضَرارَ فِی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لا وَ ذَلِکَ لَو انَّ رَجُلاً قَذَفَ الغُلامَ لَم یجلَد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لا وَ لا یصْلُحُ لِلْحُرَّةِ إِذا حاضَتُ إِلاَّ الْخِمارَ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لاَ یَبْطُلُ دَمُ امْرِیٍ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لاَ یَحِلُ لِوَالٍ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یُؤْمِنْ بِاللهِ وَالْیَوْمٍ الاَخِرِ انْ یَجْلِدَ اکْثَرَ مِنْ عَشَرَةَ اسْوَاطٍ الاّ فِی 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لا یلْبِسُ الرَّجُلُ الذَّهَبَ وَ لا یُصَلَّی فِیه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لاتُغَطَّی‌رَأْسَها حَتّی تَحْرُمَ عَلَیهَا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لاتَکْسَلُوافِی طَلَبِ مَعایِشِکُمْ فَإنَّ آبائِنا کَانُوا یَرْکُضُونَ فیها وَ یَطْلُبُونَها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لایَحج حَتّی یَخْتَتِنَ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لایحَدُّ الصَّبِی إذا وَقَعَ عَلَی المَرأةِ وَ یحَدُّ الرَّجُلُ إذَا وَقَعَ عَلَی الصَّبِیةِ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لا، إِلاّ انْ تَتَّجِرَ بِهِ أَوْ تَعْمَلَ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لا إِذا کانَ ناظِراً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لا بَأْسَ بِهِ مِنْ أَجْلِ أَنَّ أَباهُمْ قَدْ أَذِنَ لَهُ فِی ذلِکَ وَهُوَ 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لابَأْسَ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لابَأْسَ إِذا باعَ عَلَیْهِمُ الْقَیِّمُ لَهُمُ النّاظِرُ فیِما یُصْلِحُهُمْ فَلَیْسَ لَهُمْ أَنْ یَرْجِعُوا عَمّا صَنَعَ الْقَیِّمُ لَهُمُ النّاظِرُ فیِما یُصْلُحُهُمْ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لابَأْسَ أَنْ یؤَذَّنَ الْغُلامُ الَّذِی لَمْ یحْتَلِمْ وَ أَنْ یَؤُمَّ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لابَأْسَ بِالْغُلامِ الَّذی لمَْ یبْلُغ الْحُلُمَ أَنْ یَؤُمَّ الْقَوْمَ وَ أَنْ یؤَذَّنَ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لاضَرَرَ وَلا ضِرَارَ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لأَنَّ والِدَهُ هُوَ الَّذِی یَلیِ 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لایَحِلُّ لأَحَدٍ أَنْ یَشْتَرِیَ مِنَ الْخُمُسِ شَیْئاً حَتّی یَصِلُ إِلَیْنا حَقُّنا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لِلْعَینِ مَا رَأتْ وَ لِلْیَدِ مَا اخَذَتْ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لَمْ یبْلُغَ الْحُلُمَ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لَمُیحْتَلِمْ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أَشْرَکْتَ أَلْفاً فِی حجتِکَ کانَ لِکُلِّ واحِدٍ حج مِنْ غَیْرِ أَنْ یُنْقَصَ مِنْ حجتِکَ شَیْءً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لَوْ انَّ غُلاماً حج عَشَرَ حِجَجٍ ثُمَّ احْتَلَمَ کانَتْ عَلَیْهِ فَریِضَةُ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الله الله فِی الْایتامِ فَلا تُغِبُّوا افْوا هَهَمُ وَ لَا یضیعُوا بِحضْرَتِکُمْ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اللهّم اجعله لأبویه ولنا سلفاً وفرطاً وأجراً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لَیسَ الخَطَأُ مِثلُ العَمد، العَمدُ فِیهِ 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لَیْسَ الْخُمُسُ إِلاّ فیِ الْغَنائِمِ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لَیْسَ عَلی مالِ الْیَتِیمِ زَکاةٌ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لَیْسَ عَلی مالِ الْیَتِیمِ فِی الدِّینِ وَالْمالِ الصّامِتْ شَیْءٌ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لَیسَ عَلیهِ قِصاصٌ و عَلیه الأرش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لَیْسَ فیِ مالِ الْیَتیِمِ زَکاةٌ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لَیْسَ فیِ مالِ الْیَتیِمِ زَکاةٌ وَلَیْسَ عَلَیْهِ صَلاةٌ وَلَیْسَ عَلی جَمِیعِ غَلاّتِهِ مِنْ نَخْلٍ أَوْ زَرْعٍ أَوْ غَلَّةٍ زَکاةٌ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لَیس یُتبع الرَجُل بَعد مَوتِهِ مِنَ الْأجْر الاّ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اجراها فِی‌حَیاتِهِ فَهِیَ تَجْرِی بَعْدَ مَوتِهِ، و سُنَةُ هدی سنّها فَهِیَ یُعمَلُ بِهَا بَعد مَوته، أوْوَلَدُصَالِحٍ یَدْعُو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لَیْسَ یَغْضَبُ لُشَیءٍ کَغَضَبِهِ لِلنِّساءِ وَالصِّبْیَانِ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یَأْخُذَ مِنْ مالِ ابْنِهِ إِلاّ مَا احْتاجَ إِلَیْهِ مِمّا لابُدَّ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ما کانَ للهِ فَهُوَ لِرَسُولِهِ وَما کانَ لِرَسُولِهِ فَهُوَ 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ما مِنْ قَطْرَةٍ أَحَبَّ إِلی اللهِ عَزَّوَجَلَّ مِنْ قَطْرَةٍ دَمٍ فِی سَبِیلِ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ما مِنْ مَوْلُودٍ یُولَدُ عَلَی الْفِطْرَةِ فَأَبَواهُ اللَّذانِ یُهَوِّدانِهِ وَیُنَصِّرانِهِ وَیُمَجِّسانِهِ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ما یَمْنَعُ الرَّجُلَ مِنْکُمْ ان یَبَرَّ والِدَیْهِ حَیَّیْنِ وَمَیِّتَیْنِ یُصَلِّی عَنْهُما وَیَتَصَدَّقُ عَنْهُما وَیَحج عَنْهُما وَیَصُوُم عَنْهُما فَیَکُونُ الَّذیِ صَنَعَ لَهُما وَلَهُ مُثْلَ ذلِکَ فَیَزِیدُ اللهُ عَزَّوَجَلَّ بِبِرِّهِ وَصِلَتِهِ خَیْراً کَثِیراً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 اصابَ مَالاً اوْ بَعیرَاً فِی فَلاة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لَهُ وَلا سَبیلَ لَهُ عَلَیهَا وَ انَّما هِیَ مِثْلُ الشَّیء الْمُباح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 اصابَ مَالاً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مَنْ بَلَغَ وَلَدَهُ النِّکاح وَعِنْدَهُ مایُنْکِحُهُ فَلَمْ یُنْکِحْهُ ثُمَّ احْدَثَ حَدَثاً فَالإِثْمُ عَلَیْهِ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مَن تَطَبَّبَ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فَلیاخُذِ البَرَاءَةِ مِن وَلِیهِ وَ الاّ فَهُوَ لَهُ ضَامِنٌ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مِنْ حَقِّ الْوَلَدِ عَلی والِدِهِ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وَیُزَوِّجُهُ إِذا بَلَغَ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مَنْ زَوَّجَ کَریمتَهُ مِن شَارِبِ خَمْرِ فَقَدْ قَطَعَ رَحِمَهَا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مَن سَئَلَ وَ عِندَهُ مَا یغنِیهِ فَاِنَّما یستَکثِرُ مِن جَمرِ 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مَنْ سَبَقَ الی مَالَمْ یَسْبِقْهُ الَیْهِ مُسلِمٌ فَهُوَ احَقُ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مِنْ سَعَادَةِ الْمَرءِ انْ یَکُونَ الْقَیِّمَ عَلَی عِیَالِهِ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مِنْ صُنْعِ اللهِ لَیْسَ لِلْعِبادِ فیِها صُنْعٌ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مَنْ عَادَ مَریضَاً نَادِی مُنادأ مِنَ السَّماءِ یا فُلان طبْتَ و طَابَ مَمشَاکَ تَبَوَّأْتَ مِنَ الجَنَّةِ مَنْزِلَا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مَنْ عَالَ یتیمَاً حَتَّی ینْقَطِعَ یُتْمُهُ أوْ یَسْتَغْنَی بِنَفْسِهِ أوْجَبَ اللهُ عَزَّوَجَلَّ لَهُ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مَن قَبَّلَ غُلامَاً مِن شَهوَةٍ الجَمَهُ اللهُ یومَ القِیامَةِ بِلِجامٍ مِن 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مَنْ قَتَلَ قتیلاً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سَلَبهُ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مَنْ قَتَلَ کافِراً فَلَهُ سَلَبَهُ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قَتَلَ مُؤمِنَاً مُتَعَمِّدَاً قَیّد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مَنْ مَلَکَ شَیئاً مَلَکَ الإقرار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مَن‌اَحیی ارْضَاً مَواتَاً فَهِِیَ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مَنْاَدْرَکَ الْمَشْعَرَ یَوْمَ النَّحْرِ قَبْلَ زَوالِ الشَّمْسِ فَقَدْ ادْرَکَ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مَنْأَمَّ هذَا الْبَیْتَ وَهُوَ یَعْلَمُ أَنَّهُ الْبَیْتُ الَّذِی امَرَهُ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آمِناً فِی الدُّنْیا وَالاخِرَةِ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مَنْشَرِِبَ الْخَمرْ بَعَدَْ مَا حَرّمَهَا الله عُلَی لِسَانِی فَلَیسَ بِأهْلِ أنْ یزَوَّجَ إِذَا 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مَنْوَکَّلَ رَجُلاً عَلی إِمْضاءِ امْرِ مِنَ الأُموُرِ فَالْوَکالَةَ ثابِتَةٌ أَبَداً حَتّی یُعْلِمَهُ بِالْخُرُوجِ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النّاظِرُ فیِما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نَظَرَ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نَعَم اذَا وَضَعَها فِی مَوضِع الصَّدَقَه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نَعَمْ إِلاّ أَنْ یَکُونَ صَغِیراً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نَعَمْ فِی الْقَتْل یُؤَخَذُ بِاَوَّلِ کَلَامِهِ وَلا یُؤْخَذُ بِالثَانِی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نَعَمْ کَما یَعْمَلُ بِمالِ غَیْرِهِ وَالرِّبْحُ بَیْنَهُما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مَسْخُوطاً عَلَیْهِ فَیَرْضَی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نَعَمْ، وَ إِنْ کانَ مَعَهُنَّ غِلْمانٌ، فَأَقِیمُوهُمْ بَینَ أَیدِیهنَّ وَإِنْ کانُوا عَبیِداً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نهی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نَهَی عَنْ کَسْبِ الغُلامِ الصَّغیرِ الَّذِی لایُحْسِنُ صِنَاعَةً بِیَدِهِ فَإنَّهُ انْ لَمْیَجِدْسَرَقَ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و آبائی کُلُّهُمْ کَانُوا قَدْ عَمِلُوا بِأیْدِیهِم وَ هُوَ مِنْ عَمَلِ النَبییّنَ وَ الْمُرسَلینَ وَ الْأوصیاءِ و الصَّالِحین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وَ مَن استَنَّ بِسُنَّةٍ سَیئَةٍ فَعَلیهِ وِزرُهَا وَ وِزرُ مَن عَمِلَ بِهَا مِن غَیرِ أن ینقُصَ مِن أوزَارِهِم شَیءٌ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وَ هِیَ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 یغرم عَلی تَرکِ العَود وَ یشستَغفِرُ الله عَزَّوَجَل ابَدَاً مَابِقی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وَالْصَدَقَهُ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اعْطَیْتَهُ فِی ذَاتِ الله لِلْفُقَراء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وَامَّااَلْحوادِثُ الْوَاقِعَه فَارْجِعُوا فِیها إلی رُوَاةِ حَدیثِنَا فَانَّهُمْ حجتی عَلَیکُم وَ أنَا حجةُ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وَایمُاللهُ لاَ یجَامعُ احَدٌ هذِهِ الأوُقَاتِ الَّتی نَهَی عَنْهَا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وَأیَّماقَوم‌اَحْیُوا شَیْئَاً مِنَ الْاَرْضِ اوْ عَمَلُوهُ فَهُمْ احَقُّ بِهَا وَ هِیَ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وَشَهِدَ عَلیهِ بِذلِکَ الشُّهُودُ فَأَمَرَ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وَإِذا أَطاقَ الصَّوْمَ وَجَبَ عَلَیْهِ الصِّیامَ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واَعِنّی عَلَیَ تَرْبِیَتِهِم وَتَأدِیبِهِم وَبِرِّهِمْ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وَالاَعْمَی جِنَایَتُهُ خَطَأٌ یَلْزَمُ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یَکُنْ لِلأَعْمَی عَاقِلَةٌ لَزِمَتْهُ دِیَةٌ مَاجَنَی فِی مَالِهِ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وَالتَّسْلِیمُ عَلَی الصِّبْیانِ، لِیَکُونَ ذلِکَ سُنَّةً مِنْ بَعْدیِ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وَالْغُلامُ لایَجوُزُ أَمْرُهُ فِی الشَّراءِ وَالْبَیْع وَلایَخْرُجُ مِنَ الْیُتْمِ حَتّی یَبْلُغَ خَمْسَ عَشَرَةَ سَنَةً أَوْ یَحْتَلِمَ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وَالْوَلَدُ الطَّیِّبُ یَدْعُو لِوالِدَیْهِ بَعْدَ مَوْتِهِما وَیَحج وَیَتَصَدَّقُ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وَامَّاالْحُدوُدُ الْکَامِلَةُ الَّتِی یُؤخَذُ بِهَا الرِّجَالُ فَلاَ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وَاِنْ قَتَلَ صَیْداً فَعَلی أَبِیهِ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وَحُرْمَةُ مَالِهِ کَحُرْمَةِ دَمِهِ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وَحَقُّ الْوَلَدِ عَلَی الْوالِدِ انْ یُحَسِّنَ اسْمَهُ وَیُحَسِّنَ ادَبَهُ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وَصِیُّ الْیَتِیمِ بِمَنْزِلَةِ أَبِیهِ یَأْخُذُ لَهُ الشُّفْعَةَ إِذا کانَ لَهُ رَغْبَةٌ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وَضَرَبَ الْغُلاَمَ دَوُنَ الحَدِّ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کُنْتَ مُدْرِکَاً لَقَتَلْتُکَ لإِمْکَانِکَ ایَّاهُ مِنْ نَفْسِکَ بِثَقْبِکَ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وَعَلَی غَیْرِ الْبَالِغِ حَدُّ الاَدَبِ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وَکانَ الْجَدُّ مَرْضِیّاً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وَکُونا لِلظَّالِمِ خَصمَاً وَ لِلمَظلُومِ عَونَاً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وَلا تَقْتُلُوا شَیْخاً فانِیاً وَلا صَبِیّاً وَلا إِمْرَأَةً وَلا تَقْطَعُوا شَجَراً إِلاّ انْ تُضْطَرُّوا إِلَیْها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وَلا دِیَهَ عَلَیْهِمْ لِلْمُسْلِمیِنَ وَلا کَفّارَةَ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وَلاَ عَلَی الصَّبِیِّ حَتَّی یُدْرِکَ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وَلکِنْ انْظُرُوا إلَی رَجُلٍ مِنْکُمْ یَعْلَمُ شَیئاً مِنْ قَضَائِنَا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شَیْئَاً مِنْ قَضَائنا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فَاجْعَلُوهُ بَیْنَکُمْ فَاِنّی قَدْ جَعَلْتُهُ قَاضِیَاً فَتَحاکَمُوا إلَیْهِ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وَلِمَنْ یَلِی أَمْرَها مِنَ بَعْدِها مِنْ ذُرِّیَتِهَا الْحِجَجُ عَلَی النّاسِ، فَذْلِکَ لَهُمَ خاصَّةً یَضَعُونَهُ حَیْثُ شاؤوُا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وَلَیْسَ عَلی جَمِیعِ غَلاّتِهِ مِنْ نَخْلٍ أَوْ زَرْعٍ أَوْ غَلَّةٍ زَکاةٌ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وَمَنْ لا یَجِدُ الْهِدْیَ مِنْهُمْ فَلْیَصُمْ عَنْهُ وَلِیُّهُ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وَنَهی عَنْ کَسبِ الْغُلامِ الصَّغِیرِ الَّذَی لاَ یُحسِنُ صناعة‌بِیَدِهِ، فَإنه انْ لَمْ یَجِدْ سَرَقَ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وَیُتَّقیِ عَلَیْهِمْ ما یُتَّقیِ عَلَی 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وَیَتَّقیِ عَلَیْهِمْ مایُتَّقیَ عَلَی الْمُحْرِمِ مِنَ الثِّیابِ وَالطِّیبِ، وَاِنْ قَتَلَ صَیْداً فَعَلی أَبِیهِ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وَیُصْنَعُ بِهِمْ ما یُصْنَعُ بِالْمُحْرِمِ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وَیُطافُ بِهِ وَ یُصَلِّی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هذَا بِعَمَلِ ابْنِکَ فُلانٍ وَبِعَمَلِ اخِیکَ فُلانٍ أَخُوکَ فِی الدِّینِ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هِیَ صَدَقه بَتّاً بَتّلأ فِی حَجیجِ بَیْتِ اللهِ و عَابِر سَبِیلِهِ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یَا اسْحَاقُ انْ کُنْتَ تَدْرِی حَدَّ مَا اجْرُمَ فَاَقِم الحَدَّ فِیهَ وَلاَ تَعَدَّ حُدُودَ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یِأْکُلُ مِنْهُ ما شاءَ مِنْ غَیْرِ سَرَفٍ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یُجَلِدُ الغُلام دُونَ 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یُجْلَدُ الغُلاَمُ دُونَ الحَّدِ وَتُجْلَدُ الْمَرْأَةُ الحَدَّ کَامِلاً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یَجُوزُ عَلَیْها تَزْویِجُ أَبیِها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یَجُوزُ عَلَیْها تَزْوِیجُ الأَبِ وَیَجُوزُ عَلَی الْغُلامِ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یَجُوزُ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قَد عقل و صَدَقتُهُ وَ وَصیَّتُهُ وَ انْ لَمْ یَحْتَلِمْ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یَحج الرَّجُلُ عَنِ الْمِرْأَةِ وَالْمَرْأَةُ عَنِ الرَّجُلِ وَالْمَرْأَةُ عَنِ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یُحَلَّی وُلْدَُهُ وَ نِساءَهُ بِالذَّهَبِ وَ الْفِضَّةِ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یُذْبَحُ عَنِ الصِّغارِ وَیِصُومُ الْکِبارُ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یُسَلِّمُ الصَّغِیرُ عَلَی الْکَبِیرِ وَالْمارُّ عَلَی الْقاعِدِ وَالْقَلیِلُ عَلَی الْکَثِیرِ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یُصَلِّی عَلَیْهِ عَلی کُلِّ حالِ إِلاّ أَنْ یَسْقُطَ لِغَیْرِ تَمامٍ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یَصْنَعُ الْوالِدُ بِمالِ وَلَدِهِ ما أَحَبَّ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یَقْضیِ عَنْهُ اکْبَرُ وَلِییَّهُ عَشَرَةَ أَیّامٍ وِلاءً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یَقْضِی عَنْهُ أَوْلَی النّاسَ بِمِیراثِهِ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یَنْظُرُ إِلی ما کانَ غَیْرُهُ یَقُومُ بِهِ مِنَ الأَجْرِ لَهُمْ فَلْیَأْکُلْ بِقَدْرِ ذلِکَ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bookmarkStart w:id="994" w:name="pg13713_164826"/>
    </w:p>
    <w:p>
      <w:pPr>
        <w:pStyle w:val="Heading3"/>
        <w:numPr>
          <w:ilvl w:val="2"/>
          <w:numId w:val="1"/>
        </w:numPr>
        <w:rPr/>
      </w:pPr>
      <w:bookmarkStart w:id="995" w:name="__RefHeading___Toc1260040_1468164448"/>
      <w:bookmarkStart w:id="996" w:name="_Toc365"/>
      <w:bookmarkEnd w:id="994"/>
      <w:bookmarkEnd w:id="995"/>
      <w:r>
        <w:rPr>
          <w:rtl w:val="true"/>
        </w:rPr>
        <w:t>اصطلاحات</w:t>
      </w:r>
      <w:bookmarkEnd w:id="996"/>
    </w:p>
    <w:p>
      <w:pPr>
        <w:pStyle w:val="BookText"/>
        <w:rPr/>
      </w:pPr>
      <w:r>
        <w:rPr>
          <w:rFonts w:ascii="IRNazanin" w:hAnsi="IRNazanin" w:eastAsia="IRNazanin"/>
          <w:color w:val="111111"/>
          <w:sz w:val="28"/>
          <w:sz w:val="28"/>
          <w:szCs w:val="28"/>
          <w:rtl w:val="true"/>
          <w:lang w:bidi="fa-IR"/>
        </w:rPr>
        <w:t xml:space="preserve">اباحه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اتخاذ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اتلاف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اجاره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اجرة المثل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اجرة المسمی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اجیر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احتلام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احجاج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احصان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احضار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احکام وضعیه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احیاء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اختلال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اراضی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ارتزاق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ارش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استبعاد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استثمار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استرداد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استسقاء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استطاعت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استعفاف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استماع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استنابه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استیفاء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استیلاء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اصل برائت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اصلاحی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افراط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افضاء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اقرار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الحاد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امتثال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امتزاج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امتنان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انتزاع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انظار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انعقاد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اهلیت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ایقاعات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بزهکار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بستانکار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بیگاری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تأدیب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تبعیت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تسالم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تسبیب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تصدی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تصرف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تضییع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تعبدی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تعدیل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تعزیر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تفریط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تفویض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تکدّی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تلقین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تمتّع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 xml:space="preserve">تنازع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تنزیهی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تنفیذ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تنقیح مناط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تهاتر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تواتر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توقیفی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ثمن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جعاله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جنایی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جنین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حجة الاسلام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حسبه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حق تحجیر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حلق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حنوط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حواله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حیازت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ختنه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خیار فسخ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خیار مجلس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دارالاسلام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دشنام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دیه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ذبیحه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راهن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رشید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رضاع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رفع قلم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رفق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سفیه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سیره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شفعه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شلاق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صغار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صید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ضلالت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طواف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عاقله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عدوان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عزل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عطش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عفیف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عقود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عقیم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عمره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عیادت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عین مرهونه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عین مستعاره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غبطه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غرامت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غرائز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غصب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غلمان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غنائم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غیر ممیز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فاسق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فریضه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قاعده الحاق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قاعده ید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قباله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قضاء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قمر در عقرب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قیم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کارفرما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کاشف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کسوف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کفاره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کفالت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لبیک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لقطه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لقیط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لوث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مأذون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مباح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مبادرت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متبوع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متعاقدان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متعاملین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متهب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متوالی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مثمن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مجنی علیه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محال علیه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محتال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محتلم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محجور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محصّل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محصن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محیل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مخاصمه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مراهق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مرتهن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مزارعه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مزمن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مسترد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مستطیع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مستعیر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مسقط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مسلوب العباره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مشاع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مشروع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مصالحه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مضاربه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معاشرت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معامله فضولی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معتکف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معیر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مفتی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مفلّس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مقاطعه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مکفول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مکلف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ملکیت تنزیلی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مماثلت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ممیز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مناسک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منقول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منوب عنه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موات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مودّت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موصی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موقوف علیه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موقوفه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موکل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مولی علیه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موهوب له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نائب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bookmarkStart w:id="997" w:name="pg13713_164831"/>
    </w:p>
    <w:p>
      <w:pPr>
        <w:pStyle w:val="BookText"/>
        <w:rPr/>
      </w:pPr>
      <w:bookmarkEnd w:id="997"/>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نقدین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نکاح شغار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نکاح فضولی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نهی نفسی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نیابت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واهب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وثیقه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ودیعه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وساطت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وقف خاص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وقف عام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وکالت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ولی شرعی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ولی قهری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Heading3"/>
        <w:numPr>
          <w:ilvl w:val="2"/>
          <w:numId w:val="1"/>
        </w:numPr>
        <w:rPr/>
      </w:pPr>
      <w:bookmarkStart w:id="998" w:name="__RefHeading___Toc1260042_1468164448"/>
      <w:bookmarkStart w:id="999" w:name="_Toc366"/>
      <w:bookmarkEnd w:id="998"/>
      <w:r>
        <w:rPr>
          <w:rtl w:val="true"/>
        </w:rPr>
        <w:t>اعلام</w:t>
      </w:r>
      <w:bookmarkEnd w:id="999"/>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ابن ابی عمیر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ابن بزیع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ابن رئاب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ابو بصیر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ابوالصلاح حلبی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ابی الصباح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ابی بصیر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ابی خدیجه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ابی ولّاد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اقبال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آیت الله حکیم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بجنوردی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بلال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جامی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حضرت جواد الائمه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حمیده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خوئی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رئاب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ساموئل کنیگ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شیخ حسن نجفی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صاحب الامر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صفّار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عبدالرحمن بن حجاج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علی بن حمزه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علی بن موسی الرضا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غیاث بن ابراهیم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فاضل اصفهانی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فاضل لنکرانی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کاشف الغطا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کرکی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کیدری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محقق اصفهانی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محقق بحرانی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محقق حلی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محمد جواد فاضل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معاذبن جبل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یعقوب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bookmarkStart w:id="1000" w:name="pg13713_164834"/>
    </w:p>
    <w:p>
      <w:pPr>
        <w:pStyle w:val="Heading3"/>
        <w:numPr>
          <w:ilvl w:val="2"/>
          <w:numId w:val="1"/>
        </w:numPr>
        <w:rPr/>
      </w:pPr>
      <w:bookmarkStart w:id="1001" w:name="__RefHeading___Toc1260044_1468164448"/>
      <w:bookmarkStart w:id="1002" w:name="_Toc367"/>
      <w:bookmarkEnd w:id="1000"/>
      <w:bookmarkEnd w:id="1001"/>
      <w:r>
        <w:rPr>
          <w:rtl w:val="true"/>
        </w:rPr>
        <w:t>اماکن</w:t>
      </w:r>
      <w:bookmarkEnd w:id="1002"/>
    </w:p>
    <w:p>
      <w:pPr>
        <w:pStyle w:val="BookText"/>
        <w:rPr/>
      </w:pPr>
      <w:r>
        <w:rPr>
          <w:rFonts w:ascii="IRNazanin" w:hAnsi="IRNazanin" w:eastAsia="IRNazanin"/>
          <w:color w:val="111111"/>
          <w:sz w:val="28"/>
          <w:sz w:val="28"/>
          <w:szCs w:val="28"/>
          <w:rtl w:val="true"/>
          <w:lang w:bidi="fa-IR"/>
        </w:rPr>
        <w:t xml:space="preserve">اروپای شرقی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اروپای غربی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بطن مر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ذالحلیفه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عقیق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کلمبیا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541:2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محقّق نائینی، المکاسب والبیع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محقّق نائینی، المکاسب والبیع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126:21</w:t>
      </w:r>
      <w:r>
        <w:rPr>
          <w:rFonts w:ascii="IRNazanin" w:hAnsi="IRNazanin" w:eastAsia="IRNazanin"/>
          <w:b w:val="false"/>
          <w:b w:val="false"/>
          <w:bCs w:val="false"/>
          <w:i w:val="false"/>
          <w:i w:val="false"/>
          <w:iCs w:val="false"/>
          <w:color w:val="333333"/>
          <w:sz w:val="20"/>
          <w:sz w:val="20"/>
          <w:szCs w:val="20"/>
          <w:rtl w:val="true"/>
        </w:rPr>
        <w:t xml:space="preserve">؛ شرح تبصرۀ المتعلّمین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و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77:16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المکاسب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اصفهانی، حاشیۀ کتاب المکاسب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المکاسب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محقّق نائینی، المکاسب والبیع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امام خمینی قدس سره، کتاب البیع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235:19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کتاب‌المکاسب </w:t>
      </w:r>
      <w:r>
        <w:rPr>
          <w:rFonts w:eastAsia="IRNazanin" w:cs="IRNazanin"/>
          <w:b w:val="false"/>
          <w:bCs w:val="false"/>
          <w:i w:val="false"/>
          <w:iCs w:val="false"/>
          <w:color w:val="333333"/>
          <w:sz w:val="20"/>
          <w:szCs w:val="20"/>
        </w:rPr>
        <w:t>542:3</w:t>
      </w:r>
      <w:r>
        <w:rPr>
          <w:rFonts w:ascii="IRNazanin" w:hAnsi="IRNazanin" w:eastAsia="IRNazanin"/>
          <w:b w:val="false"/>
          <w:b w:val="false"/>
          <w:bCs w:val="false"/>
          <w:i w:val="false"/>
          <w:i w:val="false"/>
          <w:iCs w:val="false"/>
          <w:color w:val="333333"/>
          <w:sz w:val="20"/>
          <w:sz w:val="20"/>
          <w:szCs w:val="20"/>
          <w:rtl w:val="true"/>
        </w:rPr>
        <w:t xml:space="preserve">؛ امام خمینی قدس سره، کتاب البیع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433:3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امام خمینی قدس سره، کتاب البیع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102:26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446:12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427:19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250:17</w:t>
      </w:r>
      <w:r>
        <w:rPr>
          <w:rFonts w:ascii="IRNazanin" w:hAnsi="IRNazanin" w:eastAsia="IRNazanin"/>
          <w:b w:val="false"/>
          <w:b w:val="false"/>
          <w:bCs w:val="false"/>
          <w:i w:val="false"/>
          <w:i w:val="false"/>
          <w:iCs w:val="false"/>
          <w:color w:val="333333"/>
          <w:sz w:val="20"/>
          <w:sz w:val="20"/>
          <w:szCs w:val="20"/>
          <w:rtl w:val="true"/>
        </w:rPr>
        <w:t xml:space="preserve">، باب من ابواب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صفایی، اسدالله امامی، حقوق خانواده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قرابت و نسب و آثار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ascii="IRNazanin" w:hAnsi="IRNazanin" w:eastAsia="IRNazanin"/>
          <w:b w:val="false"/>
          <w:b w:val="false"/>
          <w:bCs w:val="false"/>
          <w:i w:val="false"/>
          <w:i w:val="false"/>
          <w:iCs w:val="false"/>
          <w:color w:val="333333"/>
          <w:sz w:val="20"/>
          <w:sz w:val="20"/>
          <w:szCs w:val="20"/>
          <w:rtl w:val="true"/>
        </w:rPr>
        <w:t xml:space="preserve">؛ 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161:19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الوکالة،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العروة‌الوثقی مع تعلیقات عدة من الفقهاء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صلاة الجمعه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103:26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297:28</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المکاسب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xml:space="preserve">؛ محقّق نائینی، المکاسب‌والبیع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امام خمینی، کتاب البیع </w:t>
      </w:r>
      <w:r>
        <w:rPr>
          <w:rFonts w:eastAsia="IRNazanin" w:cs="IRNazanin"/>
          <w:b w:val="false"/>
          <w:bCs w:val="false"/>
          <w:i w:val="false"/>
          <w:iCs w:val="false"/>
          <w:color w:val="333333"/>
          <w:sz w:val="20"/>
          <w:szCs w:val="20"/>
        </w:rPr>
        <w:t>456:2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265:17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140:21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نکاح العبید والاماء،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343:15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تفسیر نمونه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التبیان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احکام القرآن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محمد علی سایس، تفسیر آیات الاحکام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241:19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248:17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کتاب البیع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249:17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الفقه المنسوب للامام‌الرضا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موسوعة احکام الاطفال وادلّتها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 الی اسرار المکاسب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قاعده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محقّق اصفهانی، حاشیة کتاب المکاسب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آیت‌الله‌اراکی، کتاب البیع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المکاسب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همچنین در مفتاح الکرامة </w:t>
      </w:r>
      <w:r>
        <w:rPr>
          <w:rFonts w:eastAsia="IRNazanin" w:cs="IRNazanin"/>
          <w:b w:val="false"/>
          <w:bCs w:val="false"/>
          <w:i w:val="false"/>
          <w:iCs w:val="false"/>
          <w:color w:val="333333"/>
          <w:sz w:val="20"/>
          <w:szCs w:val="20"/>
        </w:rPr>
        <w:t>81:16</w:t>
      </w:r>
      <w:r>
        <w:rPr>
          <w:rFonts w:ascii="IRNazanin" w:hAnsi="IRNazanin" w:eastAsia="IRNazanin"/>
          <w:b w:val="false"/>
          <w:b w:val="false"/>
          <w:bCs w:val="false"/>
          <w:i w:val="false"/>
          <w:i w:val="false"/>
          <w:iCs w:val="false"/>
          <w:color w:val="333333"/>
          <w:sz w:val="20"/>
          <w:sz w:val="20"/>
          <w:szCs w:val="20"/>
          <w:rtl w:val="true"/>
        </w:rPr>
        <w:t>، این قول به صاحب الوسیلة نسبت داده شده که با بررسی یافت نشد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المکاسب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 سره کتاب البیع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آیت الله اراکی، کتاب البیع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محقق اصفهانی، حاشیة کتاب المکاسب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ارشاد الطالب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محقق نائینی، المکاسب والبیع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427:19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263:17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المکاسب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90:16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250:14</w:t>
      </w:r>
      <w:r>
        <w:rPr>
          <w:rFonts w:ascii="IRNazanin" w:hAnsi="IRNazanin" w:eastAsia="IRNazanin"/>
          <w:b w:val="false"/>
          <w:b w:val="false"/>
          <w:bCs w:val="false"/>
          <w:i w:val="false"/>
          <w:i w:val="false"/>
          <w:iCs w:val="false"/>
          <w:color w:val="333333"/>
          <w:sz w:val="20"/>
          <w:sz w:val="20"/>
          <w:szCs w:val="20"/>
          <w:rtl w:val="true"/>
        </w:rPr>
        <w:t xml:space="preserve">؛ جامع الشّتات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جامع‌المقاصد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272:22</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المکاسب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361:17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مصالحه، اسم است از صلح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موافقت و مسالمت و توفیق بر انجام امر مورد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در اصطلاح فقها، عقدی است که در آن، طرفین بر امری از امور توافق کنند، بدون این‌که توافق آنها معنون به عنوان یکی از عقود از قبیل بیع، اجاره، رهن و غیره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قواعدالاحکام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211:26</w:t>
      </w:r>
      <w:r>
        <w:rPr>
          <w:rFonts w:ascii="IRNazanin" w:hAnsi="IRNazanin" w:eastAsia="IRNazanin"/>
          <w:b w:val="false"/>
          <w:b w:val="false"/>
          <w:bCs w:val="false"/>
          <w:i w:val="false"/>
          <w:i w:val="false"/>
          <w:iCs w:val="false"/>
          <w:color w:val="333333"/>
          <w:sz w:val="20"/>
          <w:sz w:val="20"/>
          <w:szCs w:val="20"/>
          <w:rtl w:val="true"/>
        </w:rPr>
        <w:t xml:space="preserve">؛ الحدئق الناضرة،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443:18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مضاربه در لغت به معنی تجارت با مال غیر، به شرط این‌که سهم معیّنی از سود برای عامل باشد؛ معجم‌الوسیط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آن در اصطلاح فقها عقد شرعی است که به موجب آن یکی از متعاملین سرمایه میدهد، با قید این‌که طرف دیگر در آن تجارت نماید و در سود آن هر دو به طور معیّن شریک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336:26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208:6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مستمسک‌العروة الوثقی </w:t>
      </w:r>
      <w:r>
        <w:rPr>
          <w:rFonts w:eastAsia="IRNazanin" w:cs="IRNazanin"/>
          <w:b w:val="false"/>
          <w:bCs w:val="false"/>
          <w:i w:val="false"/>
          <w:iCs w:val="false"/>
          <w:color w:val="333333"/>
          <w:sz w:val="20"/>
          <w:szCs w:val="20"/>
        </w:rPr>
        <w:t>446:12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الفاضل اللنکرانی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3468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427:19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رهن اسم چیزی است که به عنوان وثیقه دین، مدیون آن‌را به نزد طلبکار میگذارد و در لغت به معنی ثبوت و دوام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اصطلاح فقها عبارت است از عقدی که به موجب آن، مدیون مالی را برای وثیقه به دائن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میدهد و برای آن اقسام و شرایطی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403:3</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160:25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165:25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228:5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528:1</w:t>
      </w:r>
      <w:r>
        <w:rPr>
          <w:rFonts w:ascii="IRNazanin" w:hAnsi="IRNazanin" w:eastAsia="IRNazanin"/>
          <w:b w:val="false"/>
          <w:b w:val="false"/>
          <w:bCs w:val="false"/>
          <w:i w:val="false"/>
          <w:i w:val="false"/>
          <w:iCs w:val="false"/>
          <w:color w:val="333333"/>
          <w:sz w:val="20"/>
          <w:sz w:val="20"/>
          <w:szCs w:val="20"/>
          <w:rtl w:val="true"/>
        </w:rPr>
        <w:t xml:space="preserve">؛ شیخ محمد حسین اصفهانی، بحوث فی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ascii="IRNazanin" w:hAnsi="IRNazanin" w:eastAsia="IRNazanin"/>
          <w:b w:val="false"/>
          <w:b w:val="false"/>
          <w:bCs w:val="false"/>
          <w:i w:val="false"/>
          <w:i w:val="false"/>
          <w:iCs w:val="false"/>
          <w:color w:val="333333"/>
          <w:sz w:val="20"/>
          <w:sz w:val="20"/>
          <w:szCs w:val="20"/>
          <w:rtl w:val="true"/>
        </w:rPr>
        <w:t xml:space="preserve">؛ العروة الوثقی مع‌تعلیقات عدة من الفقهاء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w:t>
      </w:r>
      <w:r>
        <w:rPr>
          <w:rFonts w:eastAsia="IRNazanin" w:cs="IRNazanin"/>
          <w:b w:val="false"/>
          <w:bCs w:val="false"/>
          <w:i w:val="false"/>
          <w:iCs w:val="false"/>
          <w:color w:val="333333"/>
          <w:sz w:val="20"/>
          <w:szCs w:val="20"/>
        </w:rPr>
        <w:t>135:30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333:27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472:2</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الاحکام الاطفال وادلّتها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302:11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276:6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443:28</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وادلّتها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اصباح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342:10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227:22</w:t>
      </w:r>
      <w:r>
        <w:rPr>
          <w:rFonts w:ascii="IRNazanin" w:hAnsi="IRNazanin" w:eastAsia="IRNazanin"/>
          <w:b w:val="false"/>
          <w:b w:val="false"/>
          <w:bCs w:val="false"/>
          <w:i w:val="false"/>
          <w:i w:val="false"/>
          <w:iCs w:val="false"/>
          <w:color w:val="333333"/>
          <w:sz w:val="20"/>
          <w:sz w:val="20"/>
          <w:szCs w:val="20"/>
          <w:rtl w:val="true"/>
        </w:rPr>
        <w:t xml:space="preserve">؛ وسیلة النجاة </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439:28</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104:16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250:17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268:14</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222:22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251:17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1238:2</w:t>
      </w:r>
      <w:r>
        <w:rPr>
          <w:rFonts w:ascii="IRNazanin" w:hAnsi="IRNazanin" w:eastAsia="IRNazanin"/>
          <w:b w:val="false"/>
          <w:b w:val="false"/>
          <w:bCs w:val="false"/>
          <w:i w:val="false"/>
          <w:i w:val="false"/>
          <w:iCs w:val="false"/>
          <w:color w:val="333333"/>
          <w:sz w:val="20"/>
          <w:sz w:val="20"/>
          <w:szCs w:val="20"/>
          <w:rtl w:val="true"/>
        </w:rPr>
        <w:t xml:space="preserve">؛ ابن اثیر، النهایة فی غریب الحدیث والاثر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267:14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277:6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439:28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97:16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440:28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تفضیل‌الشریعة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مصطفوی،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المکاسب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228:22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428:25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441:28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ناصر کاتوزیان،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شفعه بر وزن غرفه، اسم ملکی است که دارای اقسامی است و در لغت به معنی کمک گرفتن و زیاده میباشد، زیرا شفیع، مبیع و ملک مورد معامله را با استفاده از شفعه به ملک خود اضافه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تملّک نیز به کار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الجامع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مقصود از آن در اصطلاح فقها آن است که اگر مال غیر منقول قابل تقسیمی، بین دو نفر مشترک باشد و یکی از دو شریک، حصه خود را به قصد بیع به شخص ثالث منتقل کند شریک دیگر حق دارد قیمتی را که مشتری داده است به او بدهد و حصه مبیع را تملک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مزبور را خیار شفعه یا حق شفعه و به‌طور اختصار شفعه گویند و صاحب آن حق را شفیع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جامع‌المقاصد </w:t>
      </w:r>
      <w:r>
        <w:rPr>
          <w:rFonts w:eastAsia="IRNazanin" w:cs="IRNazanin"/>
          <w:b w:val="false"/>
          <w:bCs w:val="false"/>
          <w:i w:val="false"/>
          <w:iCs w:val="false"/>
          <w:color w:val="333333"/>
          <w:sz w:val="20"/>
          <w:szCs w:val="20"/>
        </w:rPr>
        <w:t>342:6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259:12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512:1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الشفعة،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400:4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خیار به معنی اختیار است و نیز اسم است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تخیّرت الشیء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اختیار نمودم چیزی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آن در فقه، تسلّط بر ازاله و از بین بردن اثر حاصله از عقد است و به عبارت روشن‌تر، حق اختیار در فسخ معامله را خیار 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المکاسب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امام خمینی قدس سره، کتاب البیع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هبه در لغت به معنی بخشش بدون عوض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و الاثر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معجم‌الوسیط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مقصود از آن در اصطلاح فقها، عقدی است که به موجب آن یک نفر مالی را مجّاناً به دیگری تملیک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تملیک کننده را واهب و طرف دیگر را متّهب و مالی راکه مورد هبه است، عین موهوبه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159:28</w:t>
      </w:r>
      <w:r>
        <w:rPr>
          <w:rFonts w:ascii="IRNazanin" w:hAnsi="IRNazanin" w:eastAsia="IRNazanin"/>
          <w:b w:val="false"/>
          <w:b w:val="false"/>
          <w:bCs w:val="false"/>
          <w:i w:val="false"/>
          <w:i w:val="false"/>
          <w:iCs w:val="false"/>
          <w:color w:val="333333"/>
          <w:sz w:val="20"/>
          <w:sz w:val="20"/>
          <w:szCs w:val="20"/>
          <w:rtl w:val="true"/>
        </w:rPr>
        <w:t>؛ وسیلة النجاة مع تعلیقات الامام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255:21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173:3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معامله‌ای که ایجاب و قبول آن لفظی یا کتبی نیست، بلکه با داد و ستد انجام میپذیرد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204:10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159:28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منهاج الصالحین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175:28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212:10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235:19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الهبات،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در لغت به معنی حبس است و جمع آن اوقاف میباشد،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فقه، وقف عبارت از عقدی است که به موجب آن، مالک، عین مال معین را از اموال خود، از نقل و انتقال مصون کرده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آن‌را در اختیار شخص یا اشخاص و یا برای مصرف معیّن، 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101:10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64:28</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 مورد وصیّت و اقسام آن در بخش اوّل کتاب گذشت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623:5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282:20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اولیاء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فقه القرآن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287:21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587:2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92:12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73:11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نهایة‌المرام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242:23</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99:12</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w:t>
      </w:r>
      <w:r>
        <w:rPr>
          <w:rFonts w:eastAsia="IRNazanin" w:cs="IRNazanin"/>
          <w:b w:val="false"/>
          <w:bCs w:val="false"/>
          <w:i w:val="false"/>
          <w:iCs w:val="false"/>
          <w:color w:val="333333"/>
          <w:sz w:val="20"/>
          <w:szCs w:val="20"/>
        </w:rPr>
        <w:t>648:2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142:16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237:23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بلغة الفقیه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247:33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القاضی،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تهذیب‌الاحکام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179:15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حسبه به معنی اجر و ثواب است و امور حسبه اموری است که در انجام آن، اجر و ثواب از خداوند متعال متوقّع است، اعمّ از این‌که از امور اجتماعی باشد، مانند قضاوت و حکومت در بین مردم، و یا از امور شخصی باشد، مانند کفن و دفن و تشییع جنازه مسلمان؛ بنابراین موضوع امور حسبه، افعالی است که شارع بدان راضی و به آن اذن داده باشد؛ فقها برای انجام امور حسبه به آیات و روایاتی استدلال نموده‌اند؛ مانند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فَاسْتَبِقُوا الْخَیْراتِ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سارِعُوا إِلی مَغْفِرَةٍ مِنْ رَبِّکُمْ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آل‌عمران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w:t>
      </w:r>
      <w:r>
        <w:rPr>
          <w:rFonts w:eastAsia="IRNazanin" w:cs="IRNazanin"/>
          <w:b w:val="false"/>
          <w:bCs w:val="false"/>
          <w:i w:val="false"/>
          <w:iCs w:val="false"/>
          <w:color w:val="333333"/>
          <w:sz w:val="20"/>
          <w:szCs w:val="20"/>
        </w:rPr>
        <w:t>247:33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649:2</w:t>
      </w:r>
      <w:r>
        <w:rPr>
          <w:rFonts w:ascii="IRNazanin" w:hAnsi="IRNazanin" w:eastAsia="IRNazanin"/>
          <w:b w:val="false"/>
          <w:b w:val="false"/>
          <w:bCs w:val="false"/>
          <w:i w:val="false"/>
          <w:i w:val="false"/>
          <w:iCs w:val="false"/>
          <w:color w:val="333333"/>
          <w:sz w:val="20"/>
          <w:sz w:val="20"/>
          <w:szCs w:val="20"/>
          <w:rtl w:val="true"/>
        </w:rPr>
        <w:t xml:space="preserve">؛ موسوعة الامام خویی </w:t>
      </w:r>
      <w:r>
        <w:rPr>
          <w:rFonts w:eastAsia="IRNazanin" w:cs="IRNazanin"/>
          <w:b w:val="false"/>
          <w:bCs w:val="false"/>
          <w:i w:val="false"/>
          <w:iCs w:val="false"/>
          <w:color w:val="333333"/>
          <w:sz w:val="20"/>
          <w:szCs w:val="20"/>
        </w:rPr>
        <w:t>250:33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206:29</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موانع الارث من الکفر،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105:12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269:23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167:7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481:14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106:12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تذکرة‌الفقهاء </w:t>
      </w:r>
      <w:r>
        <w:rPr>
          <w:rFonts w:eastAsia="IRNazanin" w:cs="IRNazanin"/>
          <w:b w:val="false"/>
          <w:bCs w:val="false"/>
          <w:i w:val="false"/>
          <w:iCs w:val="false"/>
          <w:color w:val="333333"/>
          <w:sz w:val="20"/>
          <w:szCs w:val="20"/>
        </w:rPr>
        <w:t>600:2</w:t>
      </w:r>
      <w:r>
        <w:rPr>
          <w:rFonts w:ascii="IRNazanin" w:hAnsi="IRNazanin" w:eastAsia="IRNazanin"/>
          <w:b w:val="false"/>
          <w:b w:val="false"/>
          <w:bCs w:val="false"/>
          <w:i w:val="false"/>
          <w:i w:val="false"/>
          <w:iCs w:val="false"/>
          <w:color w:val="333333"/>
          <w:sz w:val="20"/>
          <w:sz w:val="20"/>
          <w:szCs w:val="20"/>
          <w:rtl w:val="true"/>
        </w:rPr>
        <w:t>؛ 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198:29</w:t>
      </w:r>
      <w:r>
        <w:rPr>
          <w:rFonts w:ascii="IRNazanin" w:hAnsi="IRNazanin" w:eastAsia="IRNazanin"/>
          <w:b w:val="false"/>
          <w:b w:val="false"/>
          <w:bCs w:val="false"/>
          <w:i w:val="false"/>
          <w:i w:val="false"/>
          <w:iCs w:val="false"/>
          <w:color w:val="333333"/>
          <w:sz w:val="20"/>
          <w:sz w:val="20"/>
          <w:szCs w:val="20"/>
          <w:rtl w:val="true"/>
        </w:rPr>
        <w:t>؛ تراث الشیخ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167:16</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455:14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268:24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مع تعالیق الامام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268:24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موسوعة‌الامام الخویی </w:t>
      </w:r>
      <w:r>
        <w:rPr>
          <w:rFonts w:eastAsia="IRNazanin" w:cs="IRNazanin"/>
          <w:b w:val="false"/>
          <w:bCs w:val="false"/>
          <w:i w:val="false"/>
          <w:iCs w:val="false"/>
          <w:color w:val="333333"/>
          <w:sz w:val="20"/>
          <w:szCs w:val="20"/>
        </w:rPr>
        <w:t>229:33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تذکرة‌الفقهاء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290:20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نظرات شورای نگهبان در مورد مصوبات مجلس شورای اسلامی، دوره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قانون مدنی با آخرین اصلاحات والحاقات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284:8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تفصیل‌الشریعة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350:29</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300:16</w:t>
      </w:r>
      <w:r>
        <w:rPr>
          <w:rFonts w:ascii="IRNazanin" w:hAnsi="IRNazanin" w:eastAsia="IRNazanin"/>
          <w:b w:val="false"/>
          <w:b w:val="false"/>
          <w:bCs w:val="false"/>
          <w:i w:val="false"/>
          <w:i w:val="false"/>
          <w:iCs w:val="false"/>
          <w:color w:val="333333"/>
          <w:sz w:val="20"/>
          <w:sz w:val="20"/>
          <w:szCs w:val="20"/>
          <w:rtl w:val="true"/>
        </w:rPr>
        <w:t xml:space="preserve">؛ تفصیل‌الشریعة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فقه القرآن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172:29</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204:23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130:16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الفصیلة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174:29</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 ادلّتها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330:12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تراث الشیخ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118:29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افضاء تداخل مجرای بول و خون حیض است، به طوری که هر دو مجرا یکی 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530:2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330:12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474:1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99:25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سوره نساء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509:21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316:4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562:7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نهایة المرام </w:t>
      </w:r>
      <w:r>
        <w:rPr>
          <w:rFonts w:eastAsia="IRNazanin" w:cs="IRNazanin"/>
          <w:b w:val="false"/>
          <w:bCs w:val="false"/>
          <w:i w:val="false"/>
          <w:iCs w:val="false"/>
          <w:color w:val="333333"/>
          <w:sz w:val="20"/>
          <w:szCs w:val="20"/>
        </w:rPr>
        <w:t>475:1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253:23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149:12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198:29</w:t>
      </w:r>
      <w:r>
        <w:rPr>
          <w:rFonts w:ascii="IRNazanin" w:hAnsi="IRNazanin" w:eastAsia="IRNazanin"/>
          <w:b w:val="false"/>
          <w:b w:val="false"/>
          <w:bCs w:val="false"/>
          <w:i w:val="false"/>
          <w:i w:val="false"/>
          <w:iCs w:val="false"/>
          <w:color w:val="333333"/>
          <w:sz w:val="20"/>
          <w:sz w:val="20"/>
          <w:szCs w:val="20"/>
          <w:rtl w:val="true"/>
        </w:rPr>
        <w:t xml:space="preserve">؛ العروة الوثقی </w:t>
      </w:r>
      <w:r>
        <w:rPr>
          <w:rFonts w:eastAsia="IRNazanin" w:cs="IRNazanin"/>
          <w:b w:val="false"/>
          <w:bCs w:val="false"/>
          <w:i w:val="false"/>
          <w:iCs w:val="false"/>
          <w:color w:val="333333"/>
          <w:sz w:val="20"/>
          <w:szCs w:val="20"/>
        </w:rPr>
        <w:t>646:2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تراث الشیخ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189:16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خانواده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 نظام حقوق زن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شغار یعنی معاوضه کردن دختران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که دو دختر رسیده در خانه داشتند با یکدیگر معاوضه میکردند، یه این ترتیب که هر کدام از دو دختر، مهر آن دیگری بشمار میرفت و به پدر او تعلّق میگرفت، اسلام این رسم را منسوخ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ازدواج دختران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نقل از تاریخ اجتماعی ایران از زمان ساسانیان تا انقراض امویان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اعلام النساء المؤمنات، المقدمة الثانیة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80:22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الطلاق،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 ادلّتها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 به گفتار اوّل، بخش سوم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دیگر به حقوق فرزندان از دیدگاه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482:21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الاولاد،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371:100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442:16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45337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درخشان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418:16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تفسیر الوسیط للقرآن الکریم </w:t>
      </w:r>
      <w:r>
        <w:rPr>
          <w:rFonts w:eastAsia="IRNazanin" w:cs="IRNazanin"/>
          <w:b w:val="false"/>
          <w:bCs w:val="false"/>
          <w:i w:val="false"/>
          <w:iCs w:val="false"/>
          <w:color w:val="333333"/>
          <w:sz w:val="20"/>
          <w:szCs w:val="20"/>
        </w:rPr>
        <w:t>316:3</w:t>
      </w:r>
      <w:r>
        <w:rPr>
          <w:rFonts w:ascii="IRNazanin" w:hAnsi="IRNazanin" w:eastAsia="IRNazanin"/>
          <w:b w:val="false"/>
          <w:b w:val="false"/>
          <w:bCs w:val="false"/>
          <w:i w:val="false"/>
          <w:i w:val="false"/>
          <w:iCs w:val="false"/>
          <w:color w:val="333333"/>
          <w:sz w:val="20"/>
          <w:sz w:val="20"/>
          <w:szCs w:val="20"/>
          <w:rtl w:val="true"/>
        </w:rPr>
        <w:t xml:space="preserve">؛ التفسیر المنیر فی العقیدة والشریعة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327:39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الحجة علی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فلسفی، کودک از نظر وراثت و تربیت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به نقل از جامعه شناسی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نهج‌البلاغه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خطبه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الانبیاء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39:12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وادلّتها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135:21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575:17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امام‌خمینی قدس سره، کتاب الطهارة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183:38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حق نسب کودک، این واژه را معنی و شرایط آن‌را ذکر نمودیم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دارالاسلام، شهرهایی است که در اسلام بنا شده و کفّار و مشرکین در آن نبوده‌اند یا شهرهایی که در ابتدا برای کفّار بوده و مسلمانان بر آن مسلّط شده باشند و کافران در این‌گونه بلاد، تحت حمایت مسلمانان میباشند و به آنها جزیه پرداخت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343:3</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349:17</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476:12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184:38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467:25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588:17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187:38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475:12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181:38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عَلِمْتَ أَنَّ الْقَلَمَ یَرْفَعُ عَنْ ثَلاثَهٍ عَنِ الصَّبِی حَتّی یَحْتَلِمَ وَعَنِ الْمَجْنُونِ حَتّی یُفیِقَ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فاضل، حاشیة موسوعة احکام الاطفال وادلّتها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الفائدة‌والبرهان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مع تعلیقات عدة من الفقهاء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مهذّب‌الاحکام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الشیخ الفاضل اللنکرانی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573:17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الطالب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بعدی ادلّه مشروعیّت عبادات کودک را ذکر خواهیم نمود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847:2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الاحتضار،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غسل با فتح اوّل، به معنی شستن است و با ضم، اسم مصدر است؛ مجمع البحرین </w:t>
      </w:r>
      <w:r>
        <w:rPr>
          <w:rFonts w:eastAsia="IRNazanin" w:cs="IRNazanin"/>
          <w:b w:val="false"/>
          <w:bCs w:val="false"/>
          <w:i w:val="false"/>
          <w:iCs w:val="false"/>
          <w:color w:val="333333"/>
          <w:sz w:val="20"/>
          <w:szCs w:val="20"/>
        </w:rPr>
        <w:t>1319:2</w:t>
      </w:r>
      <w:r>
        <w:rPr>
          <w:rFonts w:ascii="IRNazanin" w:hAnsi="IRNazanin" w:eastAsia="IRNazanin"/>
          <w:b w:val="false"/>
          <w:b w:val="false"/>
          <w:bCs w:val="false"/>
          <w:i w:val="false"/>
          <w:i w:val="false"/>
          <w:iCs w:val="false"/>
          <w:color w:val="333333"/>
          <w:sz w:val="20"/>
          <w:sz w:val="20"/>
          <w:szCs w:val="20"/>
          <w:rtl w:val="true"/>
        </w:rPr>
        <w:t>؛ و در اصطلاح فقهاء،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شستن تمام بدن با آب پاک با شرایط معیّن؛ جواهر الکلام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المیّت،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غسل المیت،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منابعی که قبلاً ذکر شد؛ مستمسک العروة الوثقی </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حنوط عبارت است از، مالیدن قدری کافور به اعضایی که میّت در حال سجده، آنها را به زمین می‌گذارد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مثل پیشانی و کف دو دست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العروة الوثقی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در زمان فوتش، شش ماهه بوده است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310:2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آیت الله فاضل لنکرانی، الاحکام الواضحة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709:1</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الروضة‌البهیّة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بجنوری، القواعد الفقهیّة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395:10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الصوم المندوب،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داماد، کتاب الصلاة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448:10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الصوم المندوب،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395:15</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عدة‌من الفقهاء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514:6</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إِذا قُمْتُمْ إِلَی الصَّلاةِ فَاغْسِلُوا وُجُوهَکُمْ وَ أَیْدِیَکُمْ إِلَی الْمَرافِقِ وَ امْسَحُوا بِرُؤُسِکُمْ وَ أَرْجُلَکُمْ إِلَی الْکَعْبَیْنِ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القراءة فی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القبلة،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305:7</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موسوعه احکام الاطفال و ادلّتها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مع تعلیقات عدة‌من الفقهاء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عدة‌من الفقهاء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tl w:val="true"/>
        </w:rPr>
        <w:t xml:space="preserve">؛ آیت الله خوئی؛ منهاج الصالحین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الملابس،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 مدارک العروة </w:t>
      </w:r>
      <w:r>
        <w:rPr>
          <w:rFonts w:eastAsia="IRNazanin" w:cs="IRNazanin"/>
          <w:b w:val="false"/>
          <w:bCs w:val="false"/>
          <w:i w:val="false"/>
          <w:iCs w:val="false"/>
          <w:color w:val="333333"/>
          <w:sz w:val="20"/>
          <w:szCs w:val="20"/>
        </w:rPr>
        <w:t>171:13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فاضل لنکرانی، رساله عملیه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147:1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 لباسی است که زنان، سر خود را با آن میپوشانیدند،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امروزه روسری نامیده میشود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228:20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لباس المصلّی،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تذکرة‌الفقهاء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الاذان و الاقامه،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موسوعة احکام الاطفال و ادلّتها </w:t>
      </w:r>
      <w:r>
        <w:rPr>
          <w:rFonts w:eastAsia="IRNazanin" w:cs="IRNazanin"/>
          <w:b w:val="false"/>
          <w:bCs w:val="false"/>
          <w:i w:val="false"/>
          <w:iCs w:val="false"/>
          <w:color w:val="333333"/>
          <w:sz w:val="20"/>
          <w:szCs w:val="20"/>
        </w:rPr>
        <w:t>505:4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178:7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966:2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آیت الله الفاضل اللنکرانی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343:8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صلاة‌الجماعة،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xml:space="preserve">؛ العروة‌الوثقی مع تعلیقات آیت الله الفاضل اللنکرانی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226:13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 لمسائل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احکام الاطفال و ادلّتها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تذکرة‌ا لفقهاء </w:t>
      </w:r>
      <w:r>
        <w:rPr>
          <w:rFonts w:eastAsia="IRNazanin" w:cs="IRNazanin"/>
          <w:b w:val="false"/>
          <w:bCs w:val="false"/>
          <w:i w:val="false"/>
          <w:iCs w:val="false"/>
          <w:color w:val="333333"/>
          <w:sz w:val="20"/>
          <w:szCs w:val="20"/>
        </w:rPr>
        <w:t>276:4</w:t>
      </w:r>
      <w:r>
        <w:rPr>
          <w:rFonts w:ascii="IRNazanin" w:hAnsi="IRNazanin" w:eastAsia="IRNazanin"/>
          <w:b w:val="false"/>
          <w:b w:val="false"/>
          <w:bCs w:val="false"/>
          <w:i w:val="false"/>
          <w:i w:val="false"/>
          <w:iCs w:val="false"/>
          <w:color w:val="333333"/>
          <w:sz w:val="20"/>
          <w:sz w:val="20"/>
          <w:szCs w:val="20"/>
          <w:rtl w:val="true"/>
        </w:rPr>
        <w:t xml:space="preserve">؛ ذکری الشیعه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العروة‌الوثقی مع تعلیقات آیت الله الفاضل اللنکرانی </w:t>
      </w:r>
      <w:r>
        <w:rPr>
          <w:rFonts w:eastAsia="IRNazanin" w:cs="IRNazanin"/>
          <w:b w:val="false"/>
          <w:bCs w:val="false"/>
          <w:i w:val="false"/>
          <w:iCs w:val="false"/>
          <w:color w:val="333333"/>
          <w:sz w:val="20"/>
          <w:szCs w:val="20"/>
        </w:rPr>
        <w:t>600:1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الصلاة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497:2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378:1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325:13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الصلاة </w:t>
      </w:r>
      <w:r>
        <w:rPr>
          <w:rFonts w:eastAsia="IRNazanin" w:cs="IRNazanin"/>
          <w:b w:val="false"/>
          <w:bCs w:val="false"/>
          <w:i w:val="false"/>
          <w:iCs w:val="false"/>
          <w:color w:val="333333"/>
          <w:sz w:val="20"/>
          <w:szCs w:val="20"/>
        </w:rPr>
        <w:t>370:17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الصلاة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966:2</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العروة الوثقی مع‌تعلیقات آیت الله الفاضل اللنکرانی </w:t>
      </w:r>
      <w:r>
        <w:rPr>
          <w:rFonts w:eastAsia="IRNazanin" w:cs="IRNazanin"/>
          <w:b w:val="false"/>
          <w:bCs w:val="false"/>
          <w:i w:val="false"/>
          <w:iCs w:val="false"/>
          <w:color w:val="333333"/>
          <w:sz w:val="20"/>
          <w:szCs w:val="20"/>
        </w:rPr>
        <w:t>602:1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399:1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467:10</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301:14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مع تعلیقات آیت الله الفاضل اللکنرانی </w:t>
      </w:r>
      <w:r>
        <w:rPr>
          <w:rFonts w:eastAsia="IRNazanin" w:cs="IRNazanin"/>
          <w:b w:val="false"/>
          <w:bCs w:val="false"/>
          <w:i w:val="false"/>
          <w:iCs w:val="false"/>
          <w:color w:val="333333"/>
          <w:sz w:val="20"/>
          <w:szCs w:val="20"/>
        </w:rPr>
        <w:t>568:1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330:10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آن‌که ابن عباس نقل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الی النبی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انّ امی ماتت وعلیها صَوْم شَهْر افاقضیته عنها؟ قال نعم، فدَین الله احق ُ ان یُقْضی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وعلیه 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قریب به این مضمون نیز حمّاد بن عثمان از امام صادق علیه السلام نقل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331:10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شهر رمضان،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موسوعة‌الامام الخویی، کتاب الطهارة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وادلّتها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الصلاة </w:t>
      </w:r>
      <w:r>
        <w:rPr>
          <w:rFonts w:eastAsia="IRNazanin" w:cs="IRNazanin"/>
          <w:b w:val="false"/>
          <w:bCs w:val="false"/>
          <w:i w:val="false"/>
          <w:iCs w:val="false"/>
          <w:color w:val="333333"/>
          <w:sz w:val="20"/>
          <w:szCs w:val="20"/>
        </w:rPr>
        <w:t>237:16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ادلّتها </w:t>
      </w:r>
      <w:r>
        <w:rPr>
          <w:rFonts w:eastAsia="IRNazanin" w:cs="IRNazanin"/>
          <w:b w:val="false"/>
          <w:bCs w:val="false"/>
          <w:i w:val="false"/>
          <w:iCs w:val="false"/>
          <w:color w:val="333333"/>
          <w:sz w:val="20"/>
          <w:szCs w:val="20"/>
        </w:rPr>
        <w:t>564:4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665:3</w:t>
      </w:r>
      <w:r>
        <w:rPr>
          <w:rFonts w:ascii="IRNazanin" w:hAnsi="IRNazanin" w:eastAsia="IRNazanin"/>
          <w:b w:val="false"/>
          <w:b w:val="false"/>
          <w:bCs w:val="false"/>
          <w:i w:val="false"/>
          <w:i w:val="false"/>
          <w:iCs w:val="false"/>
          <w:color w:val="333333"/>
          <w:sz w:val="20"/>
          <w:sz w:val="20"/>
          <w:szCs w:val="20"/>
          <w:rtl w:val="true"/>
        </w:rPr>
        <w:t xml:space="preserve">؛ محقّق ُبجنوردی، القواعد الفقهیّة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قضاء الصلوات،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قضاء الصلوات،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یلحق الرجل بعد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محقّق کرکی، رسائل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الوثقی مع تعلیقات عدة من الفقهاء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آیت الله الفاضل اللنکرانی </w:t>
      </w:r>
      <w:r>
        <w:rPr>
          <w:rFonts w:eastAsia="IRNazanin" w:cs="IRNazanin"/>
          <w:b w:val="false"/>
          <w:bCs w:val="false"/>
          <w:i w:val="false"/>
          <w:iCs w:val="false"/>
          <w:color w:val="333333"/>
          <w:sz w:val="20"/>
          <w:szCs w:val="20"/>
        </w:rPr>
        <w:t>708:1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کتاب الصلاة </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گلپایگانی، حاشیة العروة الوثقی مع تعلیقات عدة من الفقهاء </w:t>
      </w:r>
      <w:r>
        <w:rPr>
          <w:rFonts w:eastAsia="IRNazanin" w:cs="IRNazanin"/>
          <w:b w:val="false"/>
          <w:bCs w:val="false"/>
          <w:i w:val="false"/>
          <w:iCs w:val="false"/>
          <w:color w:val="333333"/>
          <w:sz w:val="20"/>
          <w:szCs w:val="20"/>
        </w:rPr>
        <w:t>474:3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370:3</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1027:2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471:10</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سیرة النبویّة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آیت الله الفاضل اللنکرانی </w:t>
      </w:r>
      <w:r>
        <w:rPr>
          <w:rFonts w:eastAsia="IRNazanin" w:cs="IRNazanin"/>
          <w:b w:val="false"/>
          <w:bCs w:val="false"/>
          <w:i w:val="false"/>
          <w:iCs w:val="false"/>
          <w:color w:val="333333"/>
          <w:sz w:val="20"/>
          <w:szCs w:val="20"/>
        </w:rPr>
        <w:t>689:1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419:3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الصلاة </w:t>
      </w:r>
      <w:r>
        <w:rPr>
          <w:rFonts w:eastAsia="IRNazanin" w:cs="IRNazanin"/>
          <w:b w:val="false"/>
          <w:bCs w:val="false"/>
          <w:i w:val="false"/>
          <w:iCs w:val="false"/>
          <w:color w:val="333333"/>
          <w:sz w:val="20"/>
          <w:szCs w:val="20"/>
        </w:rPr>
        <w:t>289:20</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500:8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المسافر،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278:1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617:3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الصوم </w:t>
      </w:r>
      <w:r>
        <w:rPr>
          <w:rFonts w:eastAsia="IRNazanin" w:cs="IRNazanin"/>
          <w:b w:val="false"/>
          <w:bCs w:val="false"/>
          <w:i w:val="false"/>
          <w:iCs w:val="false"/>
          <w:color w:val="333333"/>
          <w:sz w:val="20"/>
          <w:szCs w:val="20"/>
        </w:rPr>
        <w:t>501:21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اعداد الفرائض،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یصح منه الصوم،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234:10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الطهارة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الصوم المندوب،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الصوم ونیّته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الصوم المندوب،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الصلاة </w:t>
      </w:r>
      <w:r>
        <w:rPr>
          <w:rFonts w:eastAsia="IRNazanin" w:cs="IRNazanin"/>
          <w:b w:val="false"/>
          <w:bCs w:val="false"/>
          <w:i w:val="false"/>
          <w:iCs w:val="false"/>
          <w:color w:val="333333"/>
          <w:sz w:val="20"/>
          <w:szCs w:val="20"/>
        </w:rPr>
        <w:t>322:12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234:10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مستمسک‌العروة الوثقی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234:10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یصح منه الصوم،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685:2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352:3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299:17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227:10</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العروة الوثقی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620:3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563:3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غنایم الایّام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الصوم </w:t>
      </w:r>
      <w:r>
        <w:rPr>
          <w:rFonts w:eastAsia="IRNazanin" w:cs="IRNazanin"/>
          <w:b w:val="false"/>
          <w:bCs w:val="false"/>
          <w:i w:val="false"/>
          <w:iCs w:val="false"/>
          <w:color w:val="333333"/>
          <w:sz w:val="20"/>
          <w:szCs w:val="20"/>
        </w:rPr>
        <w:t>217:12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711:2</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367:17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الصوم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621:3</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الصوم </w:t>
      </w:r>
      <w:r>
        <w:rPr>
          <w:rFonts w:eastAsia="IRNazanin" w:cs="IRNazanin"/>
          <w:b w:val="false"/>
          <w:bCs w:val="false"/>
          <w:i w:val="false"/>
          <w:iCs w:val="false"/>
          <w:color w:val="333333"/>
          <w:sz w:val="20"/>
          <w:szCs w:val="20"/>
        </w:rPr>
        <w:t>221:12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725:2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350:5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عدة‌من الفقهاء </w:t>
      </w:r>
      <w:r>
        <w:rPr>
          <w:rFonts w:eastAsia="IRNazanin" w:cs="IRNazanin"/>
          <w:b w:val="false"/>
          <w:bCs w:val="false"/>
          <w:i w:val="false"/>
          <w:iCs w:val="false"/>
          <w:color w:val="333333"/>
          <w:sz w:val="20"/>
          <w:szCs w:val="20"/>
        </w:rPr>
        <w:t>667:3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533:10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اصباح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546:10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364:5</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685:3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388:10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533:10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الاعتکاف،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697:17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358:14</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زکات دو قسم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زکات اموال، یعنی نقدین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 و نقره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انعام ثلاثه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شتر، گاو وگوسفند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غلات اربعه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گندم، جو، خرما، کشمش و یا مویز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هر یک از اموال مزبور نصاب و اندازه معینی است که در فقه توضیح داده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زکات فطره، به این معنی که مسلمانِ عاقل و بالغ که واجد معاش سال خود و عیال خویش میباشند، باید در پایان ماه رمضان، برای هر یک از افراد عائله‌اش که در حین غروب آفتاب، پیش از مغرب نان‌خور او محسوب میشوند، صاعی از گندم یا جو یا خرما یا مویز و یا قوت غالب خود را به فقیر بدهد و آن را زکات الفطره مینامند؛ زکات فطره را روز عید فطر با قصد قربت باید پرداخت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485:2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مال صامت، طلا و نقره است، که در زمان‌های گذشته به عنوان سرمایه تجاری محسوب میگردید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233:1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جامع‌المقاصد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آیت الله الفاضل اللنکرانی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میلانی، محاضرات فی فقه الامامیّة، کتاب الزکاة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شرح تبصرة المتعلّمین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486:2</w:t>
      </w:r>
      <w:r>
        <w:rPr>
          <w:rFonts w:ascii="IRNazanin" w:hAnsi="IRNazanin" w:eastAsia="IRNazanin"/>
          <w:b w:val="false"/>
          <w:b w:val="false"/>
          <w:bCs w:val="false"/>
          <w:i w:val="false"/>
          <w:i w:val="false"/>
          <w:iCs w:val="false"/>
          <w:color w:val="333333"/>
          <w:sz w:val="20"/>
          <w:sz w:val="20"/>
          <w:szCs w:val="20"/>
          <w:rtl w:val="true"/>
        </w:rPr>
        <w:t xml:space="preserve">؛ نهایة الاحکام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مستمسک العروة‌الوثقی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487:2</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الزکاة </w:t>
      </w:r>
      <w:r>
        <w:rPr>
          <w:rFonts w:eastAsia="IRNazanin" w:cs="IRNazanin"/>
          <w:b w:val="false"/>
          <w:bCs w:val="false"/>
          <w:i w:val="false"/>
          <w:iCs w:val="false"/>
          <w:color w:val="333333"/>
          <w:sz w:val="20"/>
          <w:szCs w:val="20"/>
        </w:rPr>
        <w:t>57:23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میلانی، محاضرات فی فقه الامامیّة، کتاب الزکاة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تراث الشیخ الاعظم، کتاب الزکاة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الزکاة </w:t>
      </w:r>
      <w:r>
        <w:rPr>
          <w:rFonts w:eastAsia="IRNazanin" w:cs="IRNazanin"/>
          <w:b w:val="false"/>
          <w:bCs w:val="false"/>
          <w:i w:val="false"/>
          <w:iCs w:val="false"/>
          <w:color w:val="333333"/>
          <w:sz w:val="20"/>
          <w:szCs w:val="20"/>
        </w:rPr>
        <w:t>56:23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آیت میلانی، محاضرات فی فقه الامامیّة، کتاب الزکاة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ضیاء عراقی، العروة الوثقی مع تعلیقات عدة من الفقهاء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174:16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324:11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من تجب علیه الزکاة،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زکاة الفطرة،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483:9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مدارک الاحکام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xml:space="preserve">؛ غنایم الایّام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الغنم الفوز بالشیء من غیر مشقّة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445:12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استعمل فی کل مظفور به من جهة العدی و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494:9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 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الاعظم،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الخمس </w:t>
      </w:r>
      <w:r>
        <w:rPr>
          <w:rFonts w:eastAsia="IRNazanin" w:cs="IRNazanin"/>
          <w:b w:val="false"/>
          <w:bCs w:val="false"/>
          <w:i w:val="false"/>
          <w:iCs w:val="false"/>
          <w:color w:val="333333"/>
          <w:sz w:val="20"/>
          <w:szCs w:val="20"/>
        </w:rPr>
        <w:t>308:25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قسمة الخمس،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الخمس </w:t>
      </w:r>
      <w:r>
        <w:rPr>
          <w:rFonts w:eastAsia="IRNazanin" w:cs="IRNazanin"/>
          <w:b w:val="false"/>
          <w:bCs w:val="false"/>
          <w:i w:val="false"/>
          <w:iCs w:val="false"/>
          <w:color w:val="333333"/>
          <w:sz w:val="20"/>
          <w:szCs w:val="20"/>
        </w:rPr>
        <w:t>308:25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75:10</w:t>
      </w:r>
      <w:r>
        <w:rPr>
          <w:rFonts w:ascii="IRNazanin" w:hAnsi="IRNazanin" w:eastAsia="IRNazanin"/>
          <w:b w:val="false"/>
          <w:b w:val="false"/>
          <w:bCs w:val="false"/>
          <w:i w:val="false"/>
          <w:i w:val="false"/>
          <w:iCs w:val="false"/>
          <w:color w:val="333333"/>
          <w:sz w:val="20"/>
          <w:sz w:val="20"/>
          <w:szCs w:val="20"/>
          <w:rtl w:val="true"/>
        </w:rPr>
        <w:t>؛ تراث الشیخ الاعظم،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الفقیة </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503:9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506:9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اقرب الموارد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 شرایطه،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340:1</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30:18</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کتاب‌الحجّ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حجة الاسلام، حجّی است که بر مسلمانان با شرایط خاصی واجب شده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 شرایطه،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206:18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 تفصیل‌الشریعة، کتاب الحج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247:18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محقّق داماد، کتاب الحجّ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اوّل همین بخش، بحث مشروعیّت عبادات کودک به‌طور عام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xml:space="preserve">؛ آیت الله گلپایگانی، کتاب الحجّ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xml:space="preserve">؛ موسوعة‌الامام خویی، کتاب الحجّ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اوّل همین بخش</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 شرایطه،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وشرایطه،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و شرایطه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الحجّ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الروضه البهیّة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موسوعة‌الامام الخویی، کتاب الحجّ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تفصیل الشریعة، کتاب الحجّ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 شرایطه،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میرزا جواد تبریزی، صراط النجاة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العمرة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همان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360:2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زوجه امام صادق علیه السلام و مادر امام کاظم علیه السلام است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286:11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348:4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آیت الله گلپایگانی، کتاب‌الحج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اثبات این‌که ذکر پدر در روایات از باب مثال است و هیچ خصوصیّتی ندارد، مشکل است، زیرا تعلّق حکم به موضوعی خاص، دلیل این است که آن موضوع خصوصیّتی دارد و با نبودن آن موضوع، حکم منتفی میگردد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گلپایگانی، کتاب الحج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جُحفه نام میقات و محلّی است که برخی از حجاج در مسیر خود به مکه از آنجا مُحرم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 نیز نام مکانی است که ظاهراً مسافت کمتری نسبت به جحفه تا مکه دارد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باب من ابواب اقسام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آیت الله گلپایگانی، کتاب الحج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530:10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الصوم المحرم والمکروه،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55:10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747:2</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الحج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الحجّ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748:2</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العروة الوثقی مع‌تعلیقات عدة من الفقهاء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69:14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الحجّ </w:t>
      </w:r>
      <w:r>
        <w:rPr>
          <w:rFonts w:eastAsia="IRNazanin" w:cs="IRNazanin"/>
          <w:b w:val="false"/>
          <w:bCs w:val="false"/>
          <w:i w:val="false"/>
          <w:iCs w:val="false"/>
          <w:color w:val="333333"/>
          <w:sz w:val="20"/>
          <w:szCs w:val="20"/>
        </w:rPr>
        <w:t>26:26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محمود شاهرودی، کتاب الحج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537:1</w:t>
      </w:r>
      <w:r>
        <w:rPr>
          <w:rFonts w:ascii="IRNazanin" w:hAnsi="IRNazanin" w:eastAsia="IRNazanin"/>
          <w:b w:val="false"/>
          <w:b w:val="false"/>
          <w:bCs w:val="false"/>
          <w:i w:val="false"/>
          <w:i w:val="false"/>
          <w:iCs w:val="false"/>
          <w:color w:val="333333"/>
          <w:sz w:val="20"/>
          <w:sz w:val="20"/>
          <w:szCs w:val="20"/>
          <w:rtl w:val="true"/>
        </w:rPr>
        <w:t xml:space="preserve">؛ التنقیح الرائح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524:18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الحج </w:t>
      </w:r>
      <w:r>
        <w:rPr>
          <w:rFonts w:eastAsia="IRNazanin" w:cs="IRNazanin"/>
          <w:b w:val="false"/>
          <w:bCs w:val="false"/>
          <w:i w:val="false"/>
          <w:iCs w:val="false"/>
          <w:color w:val="333333"/>
          <w:sz w:val="20"/>
          <w:szCs w:val="20"/>
        </w:rPr>
        <w:t>287:27</w:t>
      </w:r>
      <w:r>
        <w:rPr>
          <w:rFonts w:ascii="IRNazanin" w:hAnsi="IRNazanin" w:eastAsia="IRNazanin"/>
          <w:b w:val="false"/>
          <w:b w:val="false"/>
          <w:bCs w:val="false"/>
          <w:i w:val="false"/>
          <w:i w:val="false"/>
          <w:iCs w:val="false"/>
          <w:color w:val="333333"/>
          <w:sz w:val="20"/>
          <w:sz w:val="20"/>
          <w:szCs w:val="20"/>
          <w:rtl w:val="true"/>
        </w:rPr>
        <w:t xml:space="preserve">؛ آیت الله سید محمود شاهرودی، کتاب الحج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المواقیت،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748:2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488:15</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455:19</w:t>
      </w:r>
      <w:r>
        <w:rPr>
          <w:rFonts w:ascii="IRNazanin" w:hAnsi="IRNazanin" w:eastAsia="IRNazanin"/>
          <w:b w:val="false"/>
          <w:b w:val="false"/>
          <w:bCs w:val="false"/>
          <w:i w:val="false"/>
          <w:i w:val="false"/>
          <w:iCs w:val="false"/>
          <w:color w:val="333333"/>
          <w:sz w:val="20"/>
          <w:sz w:val="20"/>
          <w:szCs w:val="20"/>
          <w:rtl w:val="true"/>
        </w:rPr>
        <w:t xml:space="preserve">؛ تفصیل‌الشریعة، کتاب الحج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519:12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تروک الاحرام،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636:1</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748:2</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306:1</w:t>
      </w:r>
      <w:r>
        <w:rPr>
          <w:rFonts w:ascii="IRNazanin" w:hAnsi="IRNazanin" w:eastAsia="IRNazanin"/>
          <w:b w:val="false"/>
          <w:b w:val="false"/>
          <w:bCs w:val="false"/>
          <w:i w:val="false"/>
          <w:i w:val="false"/>
          <w:iCs w:val="false"/>
          <w:color w:val="333333"/>
          <w:sz w:val="20"/>
          <w:sz w:val="20"/>
          <w:szCs w:val="20"/>
          <w:rtl w:val="true"/>
        </w:rPr>
        <w:t xml:space="preserve">؛ مسالک‌الافهام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همچنین در کشف اللثام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این نظریّه را یکی از احتمالات دانسته است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748:2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الحجّ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255:18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دو مکان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77:14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رمی جمرة العقبة،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288:18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395:13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طفل غیر ممیّز، ولی از طرف او نیّت مینماید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375:13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الطواف،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الحج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الحج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574:1</w:t>
      </w:r>
      <w:r>
        <w:rPr>
          <w:rFonts w:ascii="IRNazanin" w:hAnsi="IRNazanin" w:eastAsia="IRNazanin"/>
          <w:b w:val="false"/>
          <w:b w:val="false"/>
          <w:bCs w:val="false"/>
          <w:i w:val="false"/>
          <w:i w:val="false"/>
          <w:iCs w:val="false"/>
          <w:color w:val="333333"/>
          <w:sz w:val="20"/>
          <w:sz w:val="20"/>
          <w:szCs w:val="20"/>
          <w:rtl w:val="true"/>
        </w:rPr>
        <w:t xml:space="preserve">؛ قواعدالاحکام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301:20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270:13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الطواف،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موسوعة‌الامام خویی، کتاب الحج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غایة‌المرام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 تفصیل‌الشریعة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288:11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الحج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87:14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287:7</w:t>
      </w:r>
      <w:r>
        <w:rPr>
          <w:rFonts w:ascii="IRNazanin" w:hAnsi="IRNazanin" w:eastAsia="IRNazanin"/>
          <w:b w:val="false"/>
          <w:b w:val="false"/>
          <w:bCs w:val="false"/>
          <w:i w:val="false"/>
          <w:i w:val="false"/>
          <w:iCs w:val="false"/>
          <w:color w:val="333333"/>
          <w:sz w:val="20"/>
          <w:sz w:val="20"/>
          <w:szCs w:val="20"/>
          <w:rtl w:val="true"/>
        </w:rPr>
        <w:t xml:space="preserve">؛ مصباح الهدی الی شرح العروة الوثقی </w:t>
      </w:r>
      <w:r>
        <w:rPr>
          <w:rFonts w:eastAsia="IRNazanin" w:cs="IRNazanin"/>
          <w:b w:val="false"/>
          <w:bCs w:val="false"/>
          <w:i w:val="false"/>
          <w:iCs w:val="false"/>
          <w:color w:val="333333"/>
          <w:sz w:val="20"/>
          <w:szCs w:val="20"/>
        </w:rPr>
        <w:t>261:11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349:4</w:t>
      </w:r>
      <w:r>
        <w:rPr>
          <w:rFonts w:ascii="IRNazanin" w:hAnsi="IRNazanin" w:eastAsia="IRNazanin"/>
          <w:b w:val="false"/>
          <w:b w:val="false"/>
          <w:bCs w:val="false"/>
          <w:i w:val="false"/>
          <w:i w:val="false"/>
          <w:iCs w:val="false"/>
          <w:color w:val="333333"/>
          <w:sz w:val="20"/>
          <w:sz w:val="20"/>
          <w:szCs w:val="20"/>
          <w:rtl w:val="true"/>
        </w:rPr>
        <w:t xml:space="preserve">؛ مستمسک‌العروة الوثقی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الذبح،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364:11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اقسام الحج،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الحلق و التقصیر،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تذکره الفقهاء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الحج </w:t>
      </w:r>
      <w:r>
        <w:rPr>
          <w:rFonts w:eastAsia="IRNazanin" w:cs="IRNazanin"/>
          <w:b w:val="false"/>
          <w:bCs w:val="false"/>
          <w:i w:val="false"/>
          <w:iCs w:val="false"/>
          <w:color w:val="333333"/>
          <w:sz w:val="20"/>
          <w:szCs w:val="20"/>
        </w:rPr>
        <w:t>361:29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445:1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278:20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260:3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637:1</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کفارات الاستمتاع،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جواهر الکلام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402:1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200:19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307:1</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موسوعة‌احکام الاطفال وادلتّها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201:19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 ادلّتها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224:1</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وشرایطه،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المواقیت،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الوقوف بالمشعر،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الوقوف بالمعشر،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ذخیرة المعاد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الحدائق‌الناضرة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 شرایطه،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الهدی الی شرح ا لعروة الوثقی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سید محمود شاهرودی، کتاب الحج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الحج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وقوف اختیاری از اوّل صبح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دهم‌ذی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اوّل آفتاب همان روز میباشد و وقت وقوف اضطراری از اوّل آفتاب همان روز تا ظهر است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39:18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تذکرة‌الفقهاء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مدارک الاحکام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وشرایطه،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مع تعلیقات عدة من الفقهاء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32:10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العروة الوثقی </w:t>
      </w:r>
      <w:r>
        <w:rPr>
          <w:rFonts w:eastAsia="IRNazanin" w:cs="IRNazanin"/>
          <w:b w:val="false"/>
          <w:bCs w:val="false"/>
          <w:i w:val="false"/>
          <w:iCs w:val="false"/>
          <w:color w:val="333333"/>
          <w:sz w:val="20"/>
          <w:szCs w:val="20"/>
        </w:rPr>
        <w:t>276:11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بروجردی و آیت الله گلپایگانی، العروة الوثقی مع تعلیقات عدة من الفقهاء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 موسوعة الامام‌الخویی، کتاب الحج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شاهرودی، کتاب الحج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مصباح الهدی فی شرح العروة الوثقی </w:t>
      </w:r>
      <w:r>
        <w:rPr>
          <w:rFonts w:eastAsia="IRNazanin" w:cs="IRNazanin"/>
          <w:b w:val="false"/>
          <w:bCs w:val="false"/>
          <w:i w:val="false"/>
          <w:iCs w:val="false"/>
          <w:color w:val="333333"/>
          <w:sz w:val="20"/>
          <w:szCs w:val="20"/>
        </w:rPr>
        <w:t>277:11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174:10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وجوب الحج و شرایطه</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 مستند الشیعه </w:t>
      </w:r>
      <w:r>
        <w:rPr>
          <w:rFonts w:eastAsia="IRNazanin" w:cs="IRNazanin"/>
          <w:b w:val="false"/>
          <w:bCs w:val="false"/>
          <w:i w:val="false"/>
          <w:iCs w:val="false"/>
          <w:color w:val="333333"/>
          <w:sz w:val="20"/>
          <w:szCs w:val="20"/>
        </w:rPr>
        <w:t>108:11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247:18</w:t>
      </w:r>
      <w:r>
        <w:rPr>
          <w:rFonts w:ascii="IRNazanin" w:hAnsi="IRNazanin" w:eastAsia="IRNazanin"/>
          <w:b w:val="false"/>
          <w:b w:val="false"/>
          <w:bCs w:val="false"/>
          <w:i w:val="false"/>
          <w:i w:val="false"/>
          <w:iCs w:val="false"/>
          <w:color w:val="333333"/>
          <w:sz w:val="20"/>
          <w:sz w:val="20"/>
          <w:szCs w:val="20"/>
          <w:rtl w:val="true"/>
        </w:rPr>
        <w:t xml:space="preserve">؛ محقّق‌داماد، کتاب الحج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الحج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177:11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النیابة فی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273:4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مستمسک العروة‌الوثقی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الاحتضار،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الحج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قضاء الصلوات،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کتاب الحج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248:18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597:4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نیابت در عمل و هدیه ثواب آن، فرق‌هایی است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نیابت تمام عمل برای منوب‌عنه است، ولی در هدیه ثواب عمل از نائب است و او را به غیر هدیه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هدیه ثواب کسی که ثواب به او هدیه شده، چنآن‌چه بدهکاری داشته باشد بریء الذمه نمیگردد، به خلاف عمل نیابی که ذمّه منوب‌عنه را بریء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نیابت، قصد لازم است و باید منوب‌عنه هر چند اجمالاً، تعیین گردد، زیرا نیابت عنوان قصد است و بدون آن تحقّق نمییابد، و اما اهدای ثواب نیاز به تعیین کسی که ثواب به او هدیه میشود، در حین عمل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هدیه ثواب نسبت به کودک، نیاز به اجازة ولی نیست، به خلاف نیابت که در بعضی صور نیاز به اجازه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488:5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203:11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النیابة فی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کتاب الحج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236:12</w:t>
      </w:r>
      <w:r>
        <w:rPr>
          <w:rFonts w:ascii="IRNazanin" w:hAnsi="IRNazanin" w:eastAsia="IRNazanin"/>
          <w:b w:val="false"/>
          <w:b w:val="false"/>
          <w:bCs w:val="false"/>
          <w:i w:val="false"/>
          <w:i w:val="false"/>
          <w:iCs w:val="false"/>
          <w:color w:val="333333"/>
          <w:sz w:val="20"/>
          <w:sz w:val="20"/>
          <w:szCs w:val="20"/>
          <w:rtl w:val="true"/>
        </w:rPr>
        <w:t xml:space="preserve">؛ سید محمود شاهرودی، کتاب الحج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289:14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204:11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النیابة فی الحج،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197:11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النیابة فی الحج،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280:8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قضاء الصلاة،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والاثر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باغین جمع باغی، به کسانی گفته میشود که بر حکومت اسلامی قیام کنند، جهاد با بغات عبارت است از جنگ داخلی با قیام کنندگان علیه امام حق یا نائب او</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و ما 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491:8</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438:10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30062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411:10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29990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مقتل الحسین علیه السلام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شیخ مفید، الارشاد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414:3</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345:22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230:9</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Pr>
        <w:t>330:14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113:15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و ما یناسبه،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و الاثر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سنن ابی داود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شیبة، المصنف </w:t>
      </w:r>
      <w:r>
        <w:rPr>
          <w:rFonts w:eastAsia="IRNazanin" w:cs="IRNazanin"/>
          <w:b w:val="false"/>
          <w:bCs w:val="false"/>
          <w:i w:val="false"/>
          <w:iCs w:val="false"/>
          <w:color w:val="333333"/>
          <w:sz w:val="20"/>
          <w:szCs w:val="20"/>
        </w:rPr>
        <w:t>555:8</w:t>
      </w:r>
      <w:r>
        <w:rPr>
          <w:rFonts w:ascii="IRNazanin" w:hAnsi="IRNazanin" w:eastAsia="IRNazanin"/>
          <w:b w:val="false"/>
          <w:b w:val="false"/>
          <w:bCs w:val="false"/>
          <w:i w:val="false"/>
          <w:i w:val="false"/>
          <w:iCs w:val="false"/>
          <w:color w:val="333333"/>
          <w:sz w:val="20"/>
          <w:sz w:val="20"/>
          <w:szCs w:val="20"/>
          <w:rtl w:val="true"/>
        </w:rPr>
        <w:t xml:space="preserve">، کتاب المغازی،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128:22</w:t>
      </w:r>
      <w:r>
        <w:rPr>
          <w:rFonts w:ascii="IRNazanin" w:hAnsi="IRNazanin" w:eastAsia="IRNazanin"/>
          <w:b w:val="false"/>
          <w:b w:val="false"/>
          <w:bCs w:val="false"/>
          <w:i w:val="false"/>
          <w:i w:val="false"/>
          <w:iCs w:val="false"/>
          <w:color w:val="333333"/>
          <w:sz w:val="20"/>
          <w:sz w:val="20"/>
          <w:szCs w:val="20"/>
          <w:rtl w:val="true"/>
        </w:rPr>
        <w:t xml:space="preserve">؛ سیّدابوالقاسم خویی، منهاج الصالحین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98:14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58:15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وما یناسبه،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تترّس در لغت به معنی حفظ و نگهداری است، و مقصود از آن در این بخش سپر قرار دادن کودکان به جهت حفظ کفّار از حمله مجاهدین میباشد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385:9</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94:14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وما یناسبه،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486:1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62:15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وما یناسبه،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202:14</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147:15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جهاد العدوّ وما یناسبه،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صحیح مسلم بشرح النووی </w:t>
      </w:r>
      <w:r>
        <w:rPr>
          <w:rFonts w:eastAsia="IRNazanin" w:cs="IRNazanin"/>
          <w:b w:val="false"/>
          <w:bCs w:val="false"/>
          <w:i w:val="false"/>
          <w:iCs w:val="false"/>
          <w:color w:val="333333"/>
          <w:sz w:val="20"/>
          <w:szCs w:val="20"/>
        </w:rPr>
        <w:t>4801:8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4467</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تذکرة‌الفقهاء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119:16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الامر والنهی،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مجمع‌الفائدة والبرهان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مختلف الشیعه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الامر بالمعروف والنهی عن المنکر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441:9</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61:24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مستدرک الوسائل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احکام العشرة</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غنایم الایّام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559:6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قواطع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الشیعه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Pr>
        <w:t>905:2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غنایم الایّام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515:13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عظام، بروجردی، خمینی، خوانساری، گلپایگانی، العروة الوثقی مع تعلیقات عدة من الفقهاء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372:8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182:11</w:t>
      </w:r>
      <w:r>
        <w:rPr>
          <w:rFonts w:ascii="IRNazanin" w:hAnsi="IRNazanin" w:eastAsia="IRNazanin"/>
          <w:b w:val="false"/>
          <w:b w:val="false"/>
          <w:bCs w:val="false"/>
          <w:i w:val="false"/>
          <w:i w:val="false"/>
          <w:iCs w:val="false"/>
          <w:color w:val="333333"/>
          <w:sz w:val="20"/>
          <w:sz w:val="20"/>
          <w:szCs w:val="20"/>
          <w:rtl w:val="true"/>
        </w:rPr>
        <w:t xml:space="preserve">؛ مصباح الفقیه </w:t>
      </w:r>
      <w:r>
        <w:rPr>
          <w:rFonts w:eastAsia="IRNazanin" w:cs="IRNazanin"/>
          <w:b w:val="false"/>
          <w:bCs w:val="false"/>
          <w:i w:val="false"/>
          <w:iCs w:val="false"/>
          <w:color w:val="333333"/>
          <w:sz w:val="20"/>
          <w:szCs w:val="20"/>
        </w:rPr>
        <w:t>513:13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w:t>
      </w:r>
      <w:r>
        <w:rPr>
          <w:rFonts w:eastAsia="IRNazanin" w:cs="IRNazanin"/>
          <w:b w:val="false"/>
          <w:bCs w:val="false"/>
          <w:i w:val="false"/>
          <w:iCs w:val="false"/>
          <w:color w:val="333333"/>
          <w:sz w:val="20"/>
          <w:szCs w:val="20"/>
        </w:rPr>
        <w:t>515:13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587:5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شیخ صدوق، 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المجلس السابع عشر،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1755:3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اصفهانی، حاشیة مکاسب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والالفاظ الفقهیة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1230:2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422:23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263:14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xml:space="preserve">؛ امام خمینی، کتاب البیع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احکام الاطفال وادلّتها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غنیه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424:23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272:16</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المکاسب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الحجر،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370:18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548:12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المکاسب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شراء الرقیق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264:14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674:2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المکاسب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370:18</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271:16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178:3</w:t>
      </w:r>
      <w:r>
        <w:rPr>
          <w:rFonts w:ascii="IRNazanin" w:hAnsi="IRNazanin" w:eastAsia="IRNazanin"/>
          <w:b w:val="false"/>
          <w:b w:val="false"/>
          <w:bCs w:val="false"/>
          <w:i w:val="false"/>
          <w:i w:val="false"/>
          <w:iCs w:val="false"/>
          <w:color w:val="333333"/>
          <w:sz w:val="20"/>
          <w:sz w:val="20"/>
          <w:szCs w:val="20"/>
          <w:rtl w:val="true"/>
        </w:rPr>
        <w:t>؛ 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غنیة الطالب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المکاسب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سید محمد کاظم یزدی، حاشیة المکاسب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274:16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ایروانی، حاشیة المکاسب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یزدی، حاشیة المکاسب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اراکی، کتاب البیع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محقق اصفهانی، حاشیة المکاسب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وادلتها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273:16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اصفهانی، حاشیة المکاسب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کاظم یزدی، حاشیة المکاسب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549:12</w:t>
      </w:r>
      <w:r>
        <w:rPr>
          <w:rFonts w:ascii="IRNazanin" w:hAnsi="IRNazanin" w:eastAsia="IRNazanin"/>
          <w:b w:val="false"/>
          <w:b w:val="false"/>
          <w:bCs w:val="false"/>
          <w:i w:val="false"/>
          <w:i w:val="false"/>
          <w:iCs w:val="false"/>
          <w:color w:val="333333"/>
          <w:sz w:val="20"/>
          <w:sz w:val="20"/>
          <w:szCs w:val="20"/>
          <w:rtl w:val="true"/>
        </w:rPr>
        <w:t>؛ 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275:16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الاحکام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ناصر کاتوزیان، حقوق مدنی قواعد عمومی قرار دادها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حائری شاه باغ، شرح قانون مدنی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740:2</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108:13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1086:2</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w:t>
      </w:r>
      <w:r>
        <w:rPr>
          <w:rFonts w:eastAsia="IRNazanin" w:cs="IRNazanin"/>
          <w:b w:val="false"/>
          <w:bCs w:val="false"/>
          <w:i w:val="false"/>
          <w:iCs w:val="false"/>
          <w:color w:val="333333"/>
          <w:sz w:val="20"/>
          <w:szCs w:val="20"/>
        </w:rPr>
        <w:t>372:3</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4829:5</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2393:3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241:6</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الحدائق الناظرة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291:14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115:26</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المبانی فی شرح العروة الوثقی، کتاب المساقاة </w:t>
      </w:r>
      <w:r>
        <w:rPr>
          <w:rFonts w:eastAsia="IRNazanin" w:cs="IRNazanin"/>
          <w:b w:val="false"/>
          <w:bCs w:val="false"/>
          <w:i w:val="false"/>
          <w:iCs w:val="false"/>
          <w:color w:val="333333"/>
          <w:sz w:val="20"/>
          <w:szCs w:val="20"/>
        </w:rPr>
        <w:t>394:31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کاشف الغطاء و محقق عراقی، همان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المبانی فی شرح العروة الوثقی، کتاب المساقات </w:t>
      </w:r>
      <w:r>
        <w:rPr>
          <w:rFonts w:eastAsia="IRNazanin" w:cs="IRNazanin"/>
          <w:b w:val="false"/>
          <w:bCs w:val="false"/>
          <w:i w:val="false"/>
          <w:iCs w:val="false"/>
          <w:color w:val="333333"/>
          <w:sz w:val="20"/>
          <w:szCs w:val="20"/>
        </w:rPr>
        <w:t>394:31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والضمان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260:9</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401:5</w:t>
      </w:r>
      <w:r>
        <w:rPr>
          <w:rFonts w:ascii="IRNazanin" w:hAnsi="IRNazanin" w:eastAsia="IRNazanin"/>
          <w:b w:val="false"/>
          <w:b w:val="false"/>
          <w:bCs w:val="false"/>
          <w:i w:val="false"/>
          <w:i w:val="false"/>
          <w:iCs w:val="false"/>
          <w:color w:val="333333"/>
          <w:sz w:val="20"/>
          <w:sz w:val="20"/>
          <w:szCs w:val="20"/>
          <w:rtl w:val="true"/>
        </w:rPr>
        <w:t>؛ 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179:14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436:14</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وجود دارد؛ همان منابع قبل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302:20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الحواله والکفالة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308:9</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وادلتها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xml:space="preserve">؛ ناصر کاتوزیان، حقوق مدنی عقود معین </w:t>
      </w:r>
      <w:r>
        <w:rPr>
          <w:rFonts w:eastAsia="IRNazanin" w:cs="IRNazanin"/>
          <w:b w:val="false"/>
          <w:bCs w:val="false"/>
          <w:i w:val="false"/>
          <w:iCs w:val="false"/>
          <w:color w:val="333333"/>
          <w:sz w:val="20"/>
          <w:szCs w:val="20"/>
        </w:rPr>
        <w:t>407:4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1347:2</w:t>
      </w:r>
      <w:r>
        <w:rPr>
          <w:rFonts w:ascii="IRNazanin" w:hAnsi="IRNazanin" w:eastAsia="IRNazanin"/>
          <w:b w:val="false"/>
          <w:b w:val="false"/>
          <w:bCs w:val="false"/>
          <w:i w:val="false"/>
          <w:i w:val="false"/>
          <w:iCs w:val="false"/>
          <w:color w:val="333333"/>
          <w:sz w:val="20"/>
          <w:sz w:val="20"/>
          <w:szCs w:val="20"/>
          <w:rtl w:val="true"/>
        </w:rPr>
        <w:t>؛ مختار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589:11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لغت نامه </w:t>
      </w:r>
      <w:r>
        <w:rPr>
          <w:rFonts w:eastAsia="IRNazanin" w:cs="IRNazanin"/>
          <w:b w:val="false"/>
          <w:bCs w:val="false"/>
          <w:i w:val="false"/>
          <w:iCs w:val="false"/>
          <w:color w:val="333333"/>
          <w:sz w:val="20"/>
          <w:szCs w:val="20"/>
        </w:rPr>
        <w:t>18411:12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الروضه البهیة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559:1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563:16</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392:14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234:4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186:26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تفصیل‌الشریعة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والکفالة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 وسیله النجاة مع تعالیق الامام الخمینی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xml:space="preserve">؛ مهذب‌الاحکام </w:t>
      </w:r>
      <w:r>
        <w:rPr>
          <w:rFonts w:eastAsia="IRNazanin" w:cs="IRNazanin"/>
          <w:b w:val="false"/>
          <w:bCs w:val="false"/>
          <w:i w:val="false"/>
          <w:iCs w:val="false"/>
          <w:color w:val="333333"/>
          <w:sz w:val="20"/>
          <w:szCs w:val="20"/>
        </w:rPr>
        <w:t>341:20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الحواله والکفالة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فرهنگ معین </w:t>
      </w:r>
      <w:r>
        <w:rPr>
          <w:rFonts w:eastAsia="IRNazanin" w:cs="IRNazanin"/>
          <w:b w:val="false"/>
          <w:bCs w:val="false"/>
          <w:i w:val="false"/>
          <w:iCs w:val="false"/>
          <w:color w:val="333333"/>
          <w:sz w:val="20"/>
          <w:szCs w:val="20"/>
        </w:rPr>
        <w:t>2160:2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خویی، منهاج الصالحین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2356:3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172:2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517:1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172:18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420:3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591:13</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298:2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543:2</w:t>
      </w:r>
      <w:r>
        <w:rPr>
          <w:rFonts w:ascii="IRNazanin" w:hAnsi="IRNazanin" w:eastAsia="IRNazanin"/>
          <w:b w:val="false"/>
          <w:b w:val="false"/>
          <w:bCs w:val="false"/>
          <w:i w:val="false"/>
          <w:i w:val="false"/>
          <w:iCs w:val="false"/>
          <w:color w:val="333333"/>
          <w:sz w:val="20"/>
          <w:sz w:val="20"/>
          <w:szCs w:val="20"/>
          <w:rtl w:val="true"/>
        </w:rPr>
        <w:t xml:space="preserve">؛ جامع‌المقاصد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149:21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305:26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151:21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عدة‌من الفقهاء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 الشرکة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غریب الحدیث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1072:2</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237:12</w:t>
      </w:r>
      <w:r>
        <w:rPr>
          <w:rFonts w:ascii="IRNazanin" w:hAnsi="IRNazanin" w:eastAsia="IRNazanin"/>
          <w:b w:val="false"/>
          <w:b w:val="false"/>
          <w:bCs w:val="false"/>
          <w:i w:val="false"/>
          <w:i w:val="false"/>
          <w:iCs w:val="false"/>
          <w:color w:val="333333"/>
          <w:sz w:val="20"/>
          <w:sz w:val="20"/>
          <w:szCs w:val="20"/>
          <w:rtl w:val="true"/>
        </w:rPr>
        <w:t xml:space="preserve">؛ موسوعة الامام خویی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199:21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 سید ابوالقاسم خویی، منهاج الصالحین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المضاربة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قدامه،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المغنی والشرح الکبیر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xml:space="preserve">؛ المُبدع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 کشاف القناع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770:2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150:6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21:20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والمزارعه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المجلة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کتاب المکاسب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محقق خراسانی، حاشیة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سیدمحمد کاظم یزدی، حاشیة المکاسب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محقق ایروانی، حاشیة المکاسب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امام خمینی، کتاب البیع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998:2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1920:3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144:16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Pr>
        <w:t>133:2</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409:9</w:t>
      </w:r>
      <w:r>
        <w:rPr>
          <w:rFonts w:ascii="IRNazanin" w:hAnsi="IRNazanin" w:eastAsia="IRNazanin"/>
          <w:b w:val="false"/>
          <w:b w:val="false"/>
          <w:bCs w:val="false"/>
          <w:i w:val="false"/>
          <w:i w:val="false"/>
          <w:iCs w:val="false"/>
          <w:color w:val="333333"/>
          <w:sz w:val="20"/>
          <w:sz w:val="20"/>
          <w:szCs w:val="20"/>
          <w:rtl w:val="true"/>
        </w:rPr>
        <w:t xml:space="preserve">؛ ناصر کاتوزیان، حقوق مدنی عقود معین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276:10</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116:27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149:16</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276:10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349:3</w:t>
      </w:r>
      <w:r>
        <w:rPr>
          <w:rFonts w:ascii="IRNazanin" w:hAnsi="IRNazanin" w:eastAsia="IRNazanin"/>
          <w:b w:val="false"/>
          <w:b w:val="false"/>
          <w:bCs w:val="false"/>
          <w:i w:val="false"/>
          <w:i w:val="false"/>
          <w:iCs w:val="false"/>
          <w:color w:val="333333"/>
          <w:sz w:val="20"/>
          <w:sz w:val="20"/>
          <w:szCs w:val="20"/>
          <w:rtl w:val="true"/>
        </w:rPr>
        <w:t xml:space="preserve">؛ 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الودیعة،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الودیعة،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149:16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الروضه البهیة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693:1</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205:17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150:16</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366:3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116:27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150:16</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117:27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1292:2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231:16</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مدنی </w:t>
      </w:r>
      <w:r>
        <w:rPr>
          <w:rFonts w:eastAsia="IRNazanin" w:cs="IRNazanin"/>
          <w:b w:val="false"/>
          <w:bCs w:val="false"/>
          <w:i w:val="false"/>
          <w:iCs w:val="false"/>
          <w:color w:val="333333"/>
          <w:sz w:val="20"/>
          <w:szCs w:val="20"/>
        </w:rPr>
        <w:t>2473:4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183:27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237:16</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مجمع‌الفائدة والبرهان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160:27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373:17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736:11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1970:3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53:10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393:27</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183:8</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677:1</w:t>
      </w:r>
      <w:r>
        <w:rPr>
          <w:rFonts w:ascii="IRNazanin" w:hAnsi="IRNazanin" w:eastAsia="IRNazanin"/>
          <w:b w:val="false"/>
          <w:b w:val="false"/>
          <w:bCs w:val="false"/>
          <w:i w:val="false"/>
          <w:i w:val="false"/>
          <w:iCs w:val="false"/>
          <w:color w:val="333333"/>
          <w:sz w:val="20"/>
          <w:sz w:val="20"/>
          <w:szCs w:val="20"/>
          <w:rtl w:val="true"/>
        </w:rPr>
        <w:t xml:space="preserve">؛ مسالک‌الافهام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200:21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73:10</w:t>
      </w:r>
      <w:r>
        <w:rPr>
          <w:rFonts w:ascii="IRNazanin" w:hAnsi="IRNazanin" w:eastAsia="IRNazanin"/>
          <w:b w:val="false"/>
          <w:b w:val="false"/>
          <w:bCs w:val="false"/>
          <w:i w:val="false"/>
          <w:i w:val="false"/>
          <w:iCs w:val="false"/>
          <w:color w:val="333333"/>
          <w:sz w:val="20"/>
          <w:sz w:val="20"/>
          <w:szCs w:val="20"/>
          <w:rtl w:val="true"/>
        </w:rPr>
        <w:t xml:space="preserve">؛ العروة الوثقی مع‌تعلیقات عدة من الفقهاء </w:t>
      </w:r>
      <w:r>
        <w:rPr>
          <w:rFonts w:eastAsia="IRNazanin" w:cs="IRNazanin"/>
          <w:b w:val="false"/>
          <w:bCs w:val="false"/>
          <w:i w:val="false"/>
          <w:iCs w:val="false"/>
          <w:color w:val="333333"/>
          <w:sz w:val="20"/>
          <w:szCs w:val="20"/>
        </w:rPr>
        <w:t>204:6</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احکام الاطفال وادلّتها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امامی، حقوق مدنی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اقرب الموارد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289:3</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التنقیح‌الرائع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124:10</w:t>
      </w:r>
      <w:r>
        <w:rPr>
          <w:rFonts w:ascii="IRNazanin" w:hAnsi="IRNazanin" w:eastAsia="IRNazanin"/>
          <w:b w:val="false"/>
          <w:b w:val="false"/>
          <w:bCs w:val="false"/>
          <w:i w:val="false"/>
          <w:i w:val="false"/>
          <w:iCs w:val="false"/>
          <w:color w:val="333333"/>
          <w:sz w:val="20"/>
          <w:sz w:val="20"/>
          <w:szCs w:val="20"/>
          <w:rtl w:val="true"/>
        </w:rPr>
        <w:t>؛ 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451:1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وقوف و 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همان </w:t>
      </w:r>
      <w:r>
        <w:rPr>
          <w:rFonts w:eastAsia="IRNazanin" w:cs="IRNazanin"/>
          <w:b w:val="false"/>
          <w:bCs w:val="false"/>
          <w:i w:val="false"/>
          <w:iCs w:val="false"/>
          <w:color w:val="333333"/>
          <w:sz w:val="20"/>
          <w:szCs w:val="20"/>
        </w:rPr>
        <w:t>79:22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منهاج الصالحین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والاثر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تکمله العروة الوثقی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تحریرالوسیلة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وسیلة النجاة مع تعلیقات 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255:21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296:22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تفصیل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241:6</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حسن امامی، حقوق مدنی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4717:5</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امن ابواب فعل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واجب که به حکم شرع بر اموال واجب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 واجب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صدقه واجب بر 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زکات فطره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صدقه ای که با نذر واجب میشود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صدقاتی که به عنوان حق خدا واجب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قسم خود دارای اقسامی است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الصدقة،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295:3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323:5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358:3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الوقف و الصدقه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الجامع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181:22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کفایة‌الاحکام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362:19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الوقوف و الصدقات،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صلاة الجماعه،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فی شرح نکت الارشاد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412:22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حاشیة العروة الوثقی مع تعلیقات عدة من الفقهاء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ناصر کاتوزیان، حقوق مدنی، دوره عقود معین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219:27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امام خمینی، کتاب البیع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خوئی، المستند فی شرح العروة الوثقی، کتاب الاجارة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178:5</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547:21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حسن امامی، حقوق مدنی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43:10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xml:space="preserve">؛ العروة‌الوثقی مع تعلیقات عدة من الفقهاء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246:27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16349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قاعده را از قواعد مسلم فقهی دانسته‌اند و برای اثبات آن به آیاتی از قرآن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اعْتَدی عَلَیْکُمْ فَاعْتَدُوا عَلَیْهِ بِمِثْلِ مَا اعْتَدی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شده و بی شک اتلاف مال غیر بدون اذن او اعتداء و تعدّی بر او محسوب میشود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احیاء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247:27</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الفقه، کتاب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86:19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الاجارة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موسوعة احکام الاطفال و ادلّتها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202:2</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271:3</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484:4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391:12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و الاثر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525:3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391:12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امن ابواب الانفال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و منابع قبل</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w:t>
      </w:r>
      <w:r>
        <w:rPr>
          <w:rFonts w:eastAsia="IRNazanin" w:cs="IRNazanin"/>
          <w:b w:val="false"/>
          <w:bCs w:val="false"/>
          <w:i w:val="false"/>
          <w:iCs w:val="false"/>
          <w:color w:val="333333"/>
          <w:sz w:val="20"/>
          <w:szCs w:val="20"/>
        </w:rPr>
        <w:t>544:2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392:12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493:16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xml:space="preserve">؛ محقق بجنوردی، القواعد الفقهیة </w:t>
      </w:r>
      <w:r>
        <w:rPr>
          <w:rFonts w:eastAsia="IRNazanin" w:cs="IRNazanin"/>
          <w:b w:val="false"/>
          <w:bCs w:val="false"/>
          <w:i w:val="false"/>
          <w:iCs w:val="false"/>
          <w:color w:val="333333"/>
          <w:sz w:val="20"/>
          <w:szCs w:val="20"/>
        </w:rPr>
        <w:t>174:4</w:t>
      </w:r>
      <w:r>
        <w:rPr>
          <w:rFonts w:ascii="IRNazanin" w:hAnsi="IRNazanin" w:eastAsia="IRNazanin"/>
          <w:b w:val="false"/>
          <w:b w:val="false"/>
          <w:bCs w:val="false"/>
          <w:i w:val="false"/>
          <w:i w:val="false"/>
          <w:iCs w:val="false"/>
          <w:color w:val="333333"/>
          <w:sz w:val="20"/>
          <w:sz w:val="20"/>
          <w:szCs w:val="20"/>
          <w:rtl w:val="true"/>
        </w:rPr>
        <w:t>؛ فاضل لنکرانی،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سید محمدکاظم یزدی، حاشیة المکاسب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لنکرانی، القواعد الفقهیة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خوئی </w:t>
      </w:r>
      <w:r>
        <w:rPr>
          <w:rFonts w:eastAsia="IRNazanin" w:cs="IRNazanin"/>
          <w:b w:val="false"/>
          <w:bCs w:val="false"/>
          <w:i w:val="false"/>
          <w:iCs w:val="false"/>
          <w:color w:val="333333"/>
          <w:sz w:val="20"/>
          <w:szCs w:val="20"/>
        </w:rPr>
        <w:t>350:30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احکام الغصب فی الفقه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حسن امامی، حقوق مدنی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ناصر مکارم شیرازی، القواعد الفقهیة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xml:space="preserve">؛ سید محمدکاظم یزدی، حاشیة المکاسب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محقق بجنوردی، القواعد الفقهیة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فاضل لنکرانی، القواعد الفقهیة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محمدکاظم مصطفوی، القواعد مأة قاعدة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القواعد الفقهیة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124:12</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محقق اصفهانی، حاشیة المکاسب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احیاء الموات،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المساجد،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احیاء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لقطه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لقطه حیوان که آن را ضالّه هم میگویند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حیوانات ضالّه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لقطه غیر 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اشیاء پیدا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510:12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271:38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463:4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278:38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517:12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که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وجوب اعلان فوری است و مسامحه در آن روا نیست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اعلان یک سال توالی شرط نیست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لازم نیست شخص پیدا کننده در اعلان مباشرت داشته باشد، بلکه اگر دیگران هم به نیابت از او اعلان کنند کافی است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شخص یقین دارد اعلان بی فایده است، ساقط میشود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قبل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تفصیل الشریعة، کتاب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سید ابوالقاسم خوئی، منهاج الصالحین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335:23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181:17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 الضالة،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اللقطة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255:38</w:t>
      </w:r>
      <w:r>
        <w:rPr>
          <w:rFonts w:ascii="IRNazanin" w:hAnsi="IRNazanin" w:eastAsia="IRNazanin"/>
          <w:b w:val="false"/>
          <w:b w:val="false"/>
          <w:bCs w:val="false"/>
          <w:i w:val="false"/>
          <w:i w:val="false"/>
          <w:iCs w:val="false"/>
          <w:color w:val="333333"/>
          <w:sz w:val="20"/>
          <w:sz w:val="20"/>
          <w:szCs w:val="20"/>
          <w:rtl w:val="true"/>
        </w:rPr>
        <w:t>؛ تفصیل الشریعة کتاب 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208:2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720:17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524:11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272:4</w:t>
      </w:r>
      <w:r>
        <w:rPr>
          <w:rFonts w:ascii="IRNazanin" w:hAnsi="IRNazanin" w:eastAsia="IRNazanin"/>
          <w:b w:val="false"/>
          <w:b w:val="false"/>
          <w:bCs w:val="false"/>
          <w:i w:val="false"/>
          <w:i w:val="false"/>
          <w:iCs w:val="false"/>
          <w:color w:val="333333"/>
          <w:sz w:val="20"/>
          <w:sz w:val="20"/>
          <w:szCs w:val="20"/>
          <w:rtl w:val="true"/>
        </w:rPr>
        <w:t xml:space="preserve">؛ مستمسک‌العروة الوثقی </w:t>
      </w:r>
      <w:r>
        <w:rPr>
          <w:rFonts w:eastAsia="IRNazanin" w:cs="IRNazanin"/>
          <w:b w:val="false"/>
          <w:bCs w:val="false"/>
          <w:i w:val="false"/>
          <w:iCs w:val="false"/>
          <w:color w:val="333333"/>
          <w:sz w:val="20"/>
          <w:szCs w:val="20"/>
        </w:rPr>
        <w:t>200:12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فاضل لنکرانی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 سیدابوالقاسم خوئی، منهاج الصالحین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همان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احیاءالموات،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1244:2</w:t>
      </w:r>
      <w:r>
        <w:rPr>
          <w:rFonts w:ascii="IRNazanin" w:hAnsi="IRNazanin" w:eastAsia="IRNazanin"/>
          <w:b w:val="false"/>
          <w:b w:val="false"/>
          <w:bCs w:val="false"/>
          <w:i w:val="false"/>
          <w:i w:val="false"/>
          <w:iCs w:val="false"/>
          <w:color w:val="333333"/>
          <w:sz w:val="20"/>
          <w:sz w:val="20"/>
          <w:szCs w:val="20"/>
          <w:rtl w:val="true"/>
        </w:rPr>
        <w:t xml:space="preserve">؛ ابن اثیر النهایة فی غریب الحدیث و الاثر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423:17</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512:2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الاحکام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145:10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443:4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156:11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429:17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866:17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196:35</w:t>
      </w:r>
      <w:r>
        <w:rPr>
          <w:rFonts w:ascii="IRNazanin" w:hAnsi="IRNazanin" w:eastAsia="IRNazanin"/>
          <w:b w:val="false"/>
          <w:b w:val="false"/>
          <w:bCs w:val="false"/>
          <w:i w:val="false"/>
          <w:i w:val="false"/>
          <w:iCs w:val="false"/>
          <w:color w:val="333333"/>
          <w:sz w:val="20"/>
          <w:sz w:val="20"/>
          <w:szCs w:val="20"/>
          <w:rtl w:val="true"/>
        </w:rPr>
        <w:t xml:space="preserve">؛ سیدعلی‌سیستانی، منهاج الصالحین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163:3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162:2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154:11</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196:35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جعاله بر عمل نامشروع یا بر عمل غیر عقلایی باطل است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حسن امامی، حقوق مدنی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النهایة فی غریب الحدیث و الاثر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تفصیل الشریعة کتاب الغصب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الایام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مع تعالیق امام خمینی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292:21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226:14</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حسینی شیرازی، الفقه، کتاب الغصب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شرائع السلام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 و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271:27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الوصیة،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الوقف و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جعفری لنگرودی، مجموعه محشی قانون 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 با آخرین اصلاحات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سید حسن امامی، حقوق مدنی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کاتوزیان، دوره مقدماتی حقوق مدنی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همان جلد 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عصر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شناسی ایران، علی طائفی</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به نقل از نسیم بجنوردی، نگاهی به وضعیت حقوقی کارگران کودک و نوجوان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کارفرما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کودکتر 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زن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احمد آملی، کار کودکان و جلوگیری از بهره‌کشی روزنامه خرداد مورخ </w:t>
      </w:r>
      <w:r>
        <w:rPr>
          <w:rFonts w:eastAsia="IRNazanin" w:cs="IRNazanin"/>
          <w:b w:val="false"/>
          <w:bCs w:val="false"/>
          <w:i w:val="false"/>
          <w:iCs w:val="false"/>
          <w:color w:val="333333"/>
          <w:sz w:val="20"/>
          <w:szCs w:val="20"/>
        </w:rPr>
        <w:t>1378/3/25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محمد حسین حافظیان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کودکان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درباره‌وضعیت کودکان جهان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مسأله کار کودک، مجله کار و جامعه،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به نقل از محمد حسین حافظیان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راهکارهای بانک جهانی برای رفع کار کودکان، قسمت اول، پیشین،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464:14</w:t>
      </w:r>
      <w:r>
        <w:rPr>
          <w:rFonts w:ascii="IRNazanin" w:hAnsi="IRNazanin" w:eastAsia="IRNazanin"/>
          <w:b w:val="false"/>
          <w:b w:val="false"/>
          <w:bCs w:val="false"/>
          <w:i w:val="false"/>
          <w:i w:val="false"/>
          <w:iCs w:val="false"/>
          <w:color w:val="333333"/>
          <w:sz w:val="20"/>
          <w:sz w:val="20"/>
          <w:szCs w:val="20"/>
          <w:rtl w:val="true"/>
        </w:rPr>
        <w:t>؛ 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448:41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تعزیرات از دیگاه فقه و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الجامع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المرام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ابوالقاسم خوئی، منهاج الصالحین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کفایة الاحکام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224:23</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 المکاسب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رنجبری، حقوق 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به نقل از دکتر حسین باهر، نکاتی پیرامون حقوق جهانی کودک و نوجوان، ماهنامه دادرسی،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کنوانسیون حقوق کودک و بهره‌وری از آن در حقوق داخلی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638:1</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1464:3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151:3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مصطفوی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مائة قاعده 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126:13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103:35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 xml:space="preserve">؛ تحریر الاحکام </w:t>
      </w:r>
      <w:r>
        <w:rPr>
          <w:rFonts w:eastAsia="IRNazanin" w:cs="IRNazanin"/>
          <w:b w:val="false"/>
          <w:bCs w:val="false"/>
          <w:i w:val="false"/>
          <w:iCs w:val="false"/>
          <w:color w:val="333333"/>
          <w:sz w:val="20"/>
          <w:szCs w:val="20"/>
        </w:rPr>
        <w:t>399:4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385:6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89:11</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المضاربة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حسن امامی، حقوق مدنی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1489:3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ولایة الحکم شرعاً لمن له اهلیته الفتوی بجزئیات القوانین الشرعیة علی اشخاص معیّنه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بشرّیة باثبات‌الحقوق و استیفائها للمستحق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الاعظم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325:13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تفصیل الشریعة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بااختلاف در بعضی از تعبیرات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2927:4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هادوی تهرانی، قضاوت در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و قاضی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تفصیل الشریعة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آیت الله گلپایگانی، 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414:6</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تراث‌الشیخ الاعظم، کتاب القضاء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قاضی،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قاضی،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303:6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106:27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قاضی</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قاضی،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المقاییس اللغة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485:3</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ابن اثیر، النهایة فی غریب الحدیث و الاثر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292:12</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225:15</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مصطلحات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امامی، حقوق مدنی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154:14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آیت‌الله گلپایگانی، کتاب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507:4</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269:10</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همان،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همان،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507:4</w:t>
      </w:r>
      <w:r>
        <w:rPr>
          <w:rFonts w:ascii="IRNazanin" w:hAnsi="IRNazanin" w:eastAsia="IRNazanin"/>
          <w:b w:val="false"/>
          <w:b w:val="false"/>
          <w:bCs w:val="false"/>
          <w:i w:val="false"/>
          <w:i w:val="false"/>
          <w:iCs w:val="false"/>
          <w:color w:val="333333"/>
          <w:sz w:val="20"/>
          <w:sz w:val="20"/>
          <w:szCs w:val="20"/>
          <w:rtl w:val="true"/>
        </w:rPr>
        <w:t>؛ مناهج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تفصیل الشریعة، کتاب‌القضاء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274:4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اصطلاح فقهی تفصیل، قاطع شرکت است، یعنی فقط در مورد قتل، شهادت کودک پذیرفته است و در غیر این مورد پذیرفته نیست</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155:14</w:t>
      </w:r>
      <w:r>
        <w:rPr>
          <w:rFonts w:ascii="IRNazanin" w:hAnsi="IRNazanin" w:eastAsia="IRNazanin"/>
          <w:b w:val="false"/>
          <w:b w:val="false"/>
          <w:bCs w:val="false"/>
          <w:i w:val="false"/>
          <w:i w:val="false"/>
          <w:iCs w:val="false"/>
          <w:color w:val="333333"/>
          <w:sz w:val="20"/>
          <w:sz w:val="20"/>
          <w:szCs w:val="20"/>
          <w:rtl w:val="true"/>
        </w:rPr>
        <w:t>؛ تفصیل الشریعة،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168:27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270:6</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ابن حمزه،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296:12</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155:14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آیت الله گلپایگانی، کتاب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الجامع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236:15</w:t>
      </w:r>
      <w:r>
        <w:rPr>
          <w:rFonts w:ascii="IRNazanin" w:hAnsi="IRNazanin" w:eastAsia="IRNazanin"/>
          <w:b w:val="false"/>
          <w:b w:val="false"/>
          <w:bCs w:val="false"/>
          <w:i w:val="false"/>
          <w:i w:val="false"/>
          <w:iCs w:val="false"/>
          <w:color w:val="333333"/>
          <w:sz w:val="20"/>
          <w:sz w:val="20"/>
          <w:szCs w:val="20"/>
          <w:rtl w:val="true"/>
        </w:rPr>
        <w:t xml:space="preserve">؛ تحریرالوسیلة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اسس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497:3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تفصیل الشریعة،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311:10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86:41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449:12</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405:19</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فرهنگ‌فارسی، دکتر محمد معین </w:t>
      </w:r>
      <w:r>
        <w:rPr>
          <w:rFonts w:eastAsia="IRNazanin" w:cs="IRNazanin"/>
          <w:b w:val="false"/>
          <w:bCs w:val="false"/>
          <w:i w:val="false"/>
          <w:iCs w:val="false"/>
          <w:color w:val="333333"/>
          <w:sz w:val="20"/>
          <w:szCs w:val="20"/>
        </w:rPr>
        <w:t>1539:2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کسی گفته میشود که میخواهد چیزی را برای خود بر علیه دیگری ثابت کند و منکر مانع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تعریف خواهان و خوانده نظرات مختلفی وجود دارد که همگی در پی به دست دادن مفهوم عرفی آن میباشند، زیرا به اتفاق علمای شیعه و سنی برای آن معنای شرعی وجود ندارد، مشهور فقهای شیعه در تبیین نظر عرف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خواهان کسی است که اگر ترک‌خصومت کند دعوی خاتمه پیدا خواهد کرد و خوانده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خواهان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85:10</w:t>
      </w:r>
      <w:r>
        <w:rPr>
          <w:rFonts w:ascii="IRNazanin" w:hAnsi="IRNazanin" w:eastAsia="IRNazanin"/>
          <w:b w:val="false"/>
          <w:b w:val="false"/>
          <w:bCs w:val="false"/>
          <w:i w:val="false"/>
          <w:i w:val="false"/>
          <w:iCs w:val="false"/>
          <w:color w:val="333333"/>
          <w:sz w:val="20"/>
          <w:sz w:val="20"/>
          <w:szCs w:val="20"/>
          <w:rtl w:val="true"/>
        </w:rPr>
        <w:t>؛ اسس القضاء و الشهادة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323:4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معجم المصطلحات و الألفاظالفقهیة </w:t>
      </w:r>
      <w:r>
        <w:rPr>
          <w:rFonts w:eastAsia="IRNazanin" w:cs="IRNazanin"/>
          <w:b w:val="false"/>
          <w:bCs w:val="false"/>
          <w:i w:val="false"/>
          <w:iCs w:val="false"/>
          <w:color w:val="333333"/>
          <w:sz w:val="20"/>
          <w:szCs w:val="20"/>
        </w:rPr>
        <w:t>246:3</w:t>
      </w:r>
      <w:r>
        <w:rPr>
          <w:rFonts w:ascii="IRNazanin" w:hAnsi="IRNazanin" w:eastAsia="IRNazanin"/>
          <w:b w:val="false"/>
          <w:b w:val="false"/>
          <w:bCs w:val="false"/>
          <w:i w:val="false"/>
          <w:i w:val="false"/>
          <w:iCs w:val="false"/>
          <w:color w:val="333333"/>
          <w:sz w:val="20"/>
          <w:sz w:val="20"/>
          <w:szCs w:val="20"/>
          <w:rtl w:val="true"/>
        </w:rPr>
        <w:t>، با اختلاف در تعبیر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لوث در اصطلاح فقها عبارت است از اینکه قاضی ظنّ قوی به ارتکاب جرم نسبت به خوانده دعوی پیدا کند در قتل یا نقص عضو به این معنی که مدّعی قراینی به قاضی ارائه دهد که قاضی در ظن خود تمایل به صدق دعوای او پیدا میکند مانند، وجود کاردِ خونین در دست خوانده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لوث شرط است مدعی، دعوی را به صورت جزم مطرح نماید و اگر مدّعی به، قتل باشد لوث را لوث خون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لوث در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و اگر مدعی به، قطع و یا نقص عضو باشد لوث را، لوث اعضاء نامند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عبدالله شمس، آیین دادرسی مدنی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دکتر سید جلال الدین مدنی، ادله اثبات دعوی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کشف‌اللثام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116:12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148:15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376:40</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144:17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86:10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376:40</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w:t>
      </w:r>
      <w:r>
        <w:rPr>
          <w:rFonts w:eastAsia="IRNazanin" w:cs="IRNazanin"/>
          <w:b w:val="false"/>
          <w:bCs w:val="false"/>
          <w:i w:val="false"/>
          <w:iCs w:val="false"/>
          <w:color w:val="333333"/>
          <w:sz w:val="20"/>
          <w:szCs w:val="20"/>
        </w:rPr>
        <w:t>145:17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القضاء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تکمله المنهاج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گلپایگانی، کتاب القضا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آیت الله تبریزی، اسس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108:11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603:4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193:42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عبدالله شمس، آیین دادرسی مدنی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دکتر محسن صدرزاده افشار، آیین دادرسی مدنی و بازرگانی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476:1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استفراغ الوسع لتحصیل الظن بالحکم الشرعی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محقق کرکی </w:t>
      </w:r>
      <w:r>
        <w:rPr>
          <w:rFonts w:eastAsia="IRNazanin" w:cs="IRNazanin"/>
          <w:b w:val="false"/>
          <w:bCs w:val="false"/>
          <w:i w:val="false"/>
          <w:iCs w:val="false"/>
          <w:color w:val="333333"/>
          <w:sz w:val="20"/>
          <w:szCs w:val="20"/>
        </w:rPr>
        <w:t>175:3</w:t>
      </w:r>
      <w:r>
        <w:rPr>
          <w:rFonts w:ascii="IRNazanin" w:hAnsi="IRNazanin" w:eastAsia="IRNazanin"/>
          <w:b w:val="false"/>
          <w:b w:val="false"/>
          <w:bCs w:val="false"/>
          <w:i w:val="false"/>
          <w:i w:val="false"/>
          <w:iCs w:val="false"/>
          <w:color w:val="333333"/>
          <w:sz w:val="20"/>
          <w:sz w:val="20"/>
          <w:szCs w:val="20"/>
          <w:rtl w:val="true"/>
        </w:rPr>
        <w:t>؛ المقاصد العلیه فی شرح الرسالة الالفیة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القول الرشید فی الاجتهاد و التقلید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الأفکار و مطرح الانظار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 صفت راسخ و پا برجایی است در نفس انسان مانند، ملکه عدالت در مقابل حالت که وصف زودگذر است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عنایة الاصول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منجد الطلاب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فرهنگ بزرگ سخن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 قسیم 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حالات علامه حلی، مقدمه قواعد الاحکام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w:t>
      </w:r>
      <w:r>
        <w:rPr>
          <w:rFonts w:eastAsia="IRNazanin" w:cs="IRNazanin"/>
          <w:b w:val="false"/>
          <w:bCs w:val="false"/>
          <w:i w:val="false"/>
          <w:iCs w:val="false"/>
          <w:color w:val="333333"/>
          <w:sz w:val="20"/>
          <w:szCs w:val="20"/>
        </w:rPr>
        <w:t>576:1</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امل الآمل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رجال اصفها 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الکنی و الالقاب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فقهیة و اصولیة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رساله الاجتهاد و التقلید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العروة الوثقی مع تعلیقات عدة من الفقهاء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العمل الابقی فی شرح العروة الوثقی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الغرویة فی اصول الفقهیة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فی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400:29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عاقله،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بن محمد الاردکانی،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بن محمد الاردکانی،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327:13</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مرتضی بن محمد الاردکانی،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النضید فی الاجتهاد و التقلید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آیت الله نجفی مرعشی، القول الرشید فی الاجتهاد و التقلید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الاجتهاد و التقلید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التنقیح فی شرح العروة الوثقی الاجتهاد و التقلید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بحوث‌فی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اجتهاد و 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294:7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الشیخ الاعظم، مجموعه رسائل فقهیة و اصولیة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رساله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خوئی، منهاج الصالحین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آیت الله سیستانی، منهاج الصالحین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آیت الله میرزا جواد تبریزی، منهاج الصالحین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فی شرح العروة الوثقی الاجتهاد و التقلید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تفصیل الشریعة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آن؛ بحوث فی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صفات قاضی،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صفات 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سید رضا صدر، الاجتهاد و التقلید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علم رجال که بیانگر احوال راویان حدیث از جهت وثاقت و اعتماد و یا عدم وثاقت میباشد و علم درایه که در آن از حالاتی که بر روایات از جهت متن عارض میگردد بحث میشود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وصول الأخیار الی اصول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ابوالفضل حافظیان البابلی، رسائل فی درایة الحدیث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مبادی الوصول الی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تهذیب الوصول الی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الاخیار الی اصول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فخرالدین طریحی،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رسائل فی درایة الحدیث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الفصول الغرویة فی الاصول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الوصول الی علم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306:7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ابراهیم قزوینی، ضوابط الاصول، ضابطه و شرایط عمل به خبر واحد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الاخیار الی اصول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فخرالدین الطریحی،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الرعایة لحال البدایة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 نامه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سیاست های جنایی، بررسی معرفت شناختی پدیده مجرمانه و تحلیل و درک این پدیده و ابزارها و امکاناتی است که به منظور مبارزه علیه رفتارهای بزهکارانه به اجرا گذاشته میشود، سیاست جنایی استراتژی حقوقی و اجتماعی مبتنی بر انتخاب های عقیدتی نیز میباشد که هدف از آن پاسخ گویی واقع بینانه به مسائلی است که در پیش گیری و سرکوبی پدیده مجرمانه در معنای وسیع آن مطرح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کریستین لازرژ، سیاست جنایی، ترجمه علی حسینی نجفی ابرندآبادی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عبدالفتاح، از سیاست مبارزه با بزهکاری تا سیاست دفاع از بزه دیده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ضرورت یک تغییر بنیادی در سیاست جنایی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علی حسینی نجفی ابرندآبادی و سوسن خطّاطان، مجله قضایی و حقوقی دادگستری جمهوری اسلامی ایران،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89:1371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قتل به سه شکل متصوّر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عمد و آن هنگامی محقق میشود که شخص بالغ و عاقل آهنگ کشتن دیگری را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 در تعریف عمد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قصد الفعل الّذی یقتل مثله سواء قصد القتل مع ذلک اولا و قصد القتل بما یقتل نادراً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قتل عمد، قصد عملی است که مانند آن به قتل منجر میشود، خواه مرتکب، قصد قتل هم داشته باشد یا خیر و نیز جایی که قصد قتل باشد هر چند با وسیله ای که به طور نادر سبب قتل میشود عمد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مضمون را آیت الله فاضل لنکرانی در تعریف قتل عمد آورده است 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شبه عمد به این معنی که مرتکب قصد عملی را نسبت به شخص نموده که در آن نه قصد جنایت وارده را دارد و نه عملش در بیش‌تر اوقات به آن جنایت منتهی میگردد، مانند زدن کودک به قصد تأدیب هرگاه اتفاقاً به مرگ او منتهی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خطا که قاتل قصد قتل مجنی علیه را ندارد، به این صورت که یا اصلاً قصد چیزی را ندارد و یا قصد چیز یا حیوان و یا شخص دیگری را دارد، لیکن اتفاقاً مجنی علیه در معرض قرار میگیرد و بدین ترتیب نتیجه ای که اصلاً مقصود فاعل نبوده، یعنی کشتن شخص خاص محقق میشود مثل این که اصلاً قصد تیراندازی نداردو میخواهد تفنگ خود را پاک کند، ولی اتفاقاً به انسانی بر میخورد و کشته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592:2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القصاص‌علی ضوء القران و السنة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کتاب الشهادات تقریرات درس آیت الله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 در لغت به معنی کُشنده را باز کُشتن و یا جراحت کردن به عوض جراحت،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317:36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بعضی آن را به معنی ردگیری و پی گیری دانسته‌اند، گویا کسی که قصاص میکند اثر و کار جانی را پیگیری میکند و همانند فعلی که او انجام داده، میکُشد یا جراحت ایجاد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فقها آن را اجمالاً این گونه تعریف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 اسم است برای انجام دادن مثل جنایت ارتکاب شده از قتل یا قطع یا ضرب و یا 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181:16</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401:4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65:15</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حمزه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164:15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184:42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523:2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از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از ابواب القصاص فی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شیخ جواد تبریزی،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165:15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278:5</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503:15</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482:4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362:29</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تفصیل الشریعة 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مبانی تکملة المنهاج </w:t>
      </w:r>
      <w:r>
        <w:rPr>
          <w:rFonts w:eastAsia="IRNazanin" w:cs="IRNazanin"/>
          <w:b w:val="false"/>
          <w:bCs w:val="false"/>
          <w:i w:val="false"/>
          <w:iCs w:val="false"/>
          <w:color w:val="333333"/>
          <w:sz w:val="20"/>
          <w:szCs w:val="20"/>
        </w:rPr>
        <w:t>249:42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407:43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398:22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الایلاء و الکفارات،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408:43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529:4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361:29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قصاص الطرف</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343:42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دندان شیری دندانی است که در دهان کودک بعد از حدود یک سالگی میروید و بعد از چند سال ساقط میشود و سپس دندان اصلی به جای آن در میآید</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378:4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389:42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ارش در احکام کیفری اسلام دیه غیر مقدّر میباشد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شریعت اسلام دو نوع دیه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 مقدّر که مقدار آن از طرف شارع تعیین شده و کم و زیاد نمیشود، مثل دیه قطع دست که نصف دیه یک انسان کامل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دیه غیر مقدّر یا ارش، مرحوم آیت الله خویی در این باره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جنایتی که دیه مقدر و معینی برای آن شرعاً در نظر گرفته نشده جانی باید ارش بپردازد، اگر عمدی یا شبه عمد باشد، اما اگر خطای محض باشد عاقله جانی باید ارش بپردازند و تعیین ارش بعد از مراجعه و کسب نظر عدول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منظور خبره عادل و کارشناس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حاکم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به این مضامین در کلمات دیگر فقها نیز دیده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279:4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691:3</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352:42</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سرائر </w:t>
      </w:r>
      <w:r>
        <w:rPr>
          <w:rFonts w:eastAsia="IRNazanin" w:cs="IRNazanin"/>
          <w:b w:val="false"/>
          <w:bCs w:val="false"/>
          <w:i w:val="false"/>
          <w:iCs w:val="false"/>
          <w:color w:val="333333"/>
          <w:sz w:val="20"/>
          <w:szCs w:val="20"/>
        </w:rPr>
        <w:t>386:3</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389:42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دیات الاعضاء،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با فتاوی آیت الله وحید خراسانی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میرزا جواد تبریزی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شیخ فیاض منهاج الصالحین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260:10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اجمعت العصابة علی تصحیح ما صحّ عنه</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377:9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دیات الاعضاء،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الاقوال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88:10</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459:4</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220:11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220:11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393:42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تفصیل‌الشریعة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210:42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291:15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303:16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512:5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226:11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375:42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582:2</w:t>
      </w:r>
      <w:r>
        <w:rPr>
          <w:rFonts w:ascii="IRNazanin" w:hAnsi="IRNazanin" w:eastAsia="IRNazanin"/>
          <w:b w:val="false"/>
          <w:b w:val="false"/>
          <w:bCs w:val="false"/>
          <w:i w:val="false"/>
          <w:i w:val="false"/>
          <w:iCs w:val="false"/>
          <w:color w:val="333333"/>
          <w:sz w:val="20"/>
          <w:sz w:val="20"/>
          <w:szCs w:val="20"/>
          <w:rtl w:val="true"/>
        </w:rPr>
        <w:t>؛ 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سوره بقره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سوره نحل </w:t>
      </w:r>
      <w:r>
        <w:rPr>
          <w:rFonts w:eastAsia="IRNazanin" w:cs="IRNazanin"/>
          <w:b w:val="false"/>
          <w:bCs w:val="false"/>
          <w:i w:val="false"/>
          <w:iCs w:val="false"/>
          <w:color w:val="333333"/>
          <w:sz w:val="20"/>
          <w:szCs w:val="20"/>
        </w:rPr>
        <w:t>116:16</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قصاص الطرف،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644:3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284:15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107:14</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190:38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249:11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163:42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کتاب الوقوف و الصدقات،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648:3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245:15</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235:11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653:4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139:14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648:3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164:2</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Pr>
        <w:t>257:14</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653:3</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 ایضاح‌الفوائد </w:t>
      </w:r>
      <w:r>
        <w:rPr>
          <w:rFonts w:eastAsia="IRNazanin" w:cs="IRNazanin"/>
          <w:b w:val="false"/>
          <w:bCs w:val="false"/>
          <w:i w:val="false"/>
          <w:iCs w:val="false"/>
          <w:color w:val="333333"/>
          <w:sz w:val="20"/>
          <w:szCs w:val="20"/>
        </w:rPr>
        <w:t>661:4</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258:14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364:15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465:4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149:10</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106:43</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مبانی تکملة المنهاج </w:t>
      </w:r>
      <w:r>
        <w:rPr>
          <w:rFonts w:eastAsia="IRNazanin" w:cs="IRNazanin"/>
          <w:b w:val="false"/>
          <w:bCs w:val="false"/>
          <w:i w:val="false"/>
          <w:iCs w:val="false"/>
          <w:color w:val="333333"/>
          <w:sz w:val="20"/>
          <w:szCs w:val="20"/>
        </w:rPr>
        <w:t>301:42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146:29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260:29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163:42</w:t>
      </w:r>
      <w:r>
        <w:rPr>
          <w:rFonts w:ascii="IRNazanin" w:hAnsi="IRNazanin" w:eastAsia="IRNazanin"/>
          <w:b w:val="false"/>
          <w:b w:val="false"/>
          <w:bCs w:val="false"/>
          <w:i w:val="false"/>
          <w:i w:val="false"/>
          <w:iCs w:val="false"/>
          <w:color w:val="333333"/>
          <w:sz w:val="20"/>
          <w:sz w:val="20"/>
          <w:szCs w:val="20"/>
          <w:rtl w:val="true"/>
        </w:rPr>
        <w:t>؛ مرحوم شیخ جواد تبریزی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و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239:15</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الروضه البهیة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 ادلّتها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260:14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623:4</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239:15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المکاسب </w:t>
      </w:r>
      <w:r>
        <w:rPr>
          <w:rFonts w:eastAsia="IRNazanin" w:cs="IRNazanin"/>
          <w:b w:val="false"/>
          <w:bCs w:val="false"/>
          <w:i w:val="false"/>
          <w:iCs w:val="false"/>
          <w:color w:val="333333"/>
          <w:sz w:val="20"/>
          <w:szCs w:val="20"/>
        </w:rPr>
        <w:t>558:3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100:11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النکاح و اولیاء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البیع و شروطه،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96:10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151:11</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413:13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303:42</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239:15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نجفی مرعشی کتاب القصاص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303:42</w:t>
      </w:r>
      <w:r>
        <w:rPr>
          <w:rFonts w:ascii="IRNazanin" w:hAnsi="IRNazanin" w:eastAsia="IRNazanin"/>
          <w:b w:val="false"/>
          <w:b w:val="false"/>
          <w:bCs w:val="false"/>
          <w:i w:val="false"/>
          <w:i w:val="false"/>
          <w:iCs w:val="false"/>
          <w:color w:val="333333"/>
          <w:sz w:val="20"/>
          <w:sz w:val="20"/>
          <w:szCs w:val="20"/>
          <w:rtl w:val="true"/>
        </w:rPr>
        <w:t>؛ آیت‌الله‌میرزا جواد تبریزی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المبسوط، همان؛ مفتاح الکرامة، تعلیقات علی باب القصاص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302:16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289:42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290:42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شیخ جواد تبریزی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159:42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150:11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289:42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 الامام الخوئی مبانی تکملة المنهاج </w:t>
      </w:r>
      <w:r>
        <w:rPr>
          <w:rFonts w:eastAsia="IRNazanin" w:cs="IRNazanin"/>
          <w:b w:val="false"/>
          <w:bCs w:val="false"/>
          <w:i w:val="false"/>
          <w:iCs w:val="false"/>
          <w:color w:val="333333"/>
          <w:sz w:val="20"/>
          <w:szCs w:val="20"/>
        </w:rPr>
        <w:t>159:42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445:4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95:10</w:t>
      </w:r>
      <w:r>
        <w:rPr>
          <w:rFonts w:ascii="IRNazanin" w:hAnsi="IRNazanin" w:eastAsia="IRNazanin"/>
          <w:b w:val="false"/>
          <w:b w:val="false"/>
          <w:bCs w:val="false"/>
          <w:i w:val="false"/>
          <w:i w:val="false"/>
          <w:iCs w:val="false"/>
          <w:color w:val="333333"/>
          <w:sz w:val="20"/>
          <w:sz w:val="20"/>
          <w:szCs w:val="20"/>
          <w:rtl w:val="true"/>
        </w:rPr>
        <w:t xml:space="preserve">؛ ریاض‌المسائل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508:2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299:28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 و الروضه البهیة و ریاض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 ادلّتها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150:11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Pr>
        <w:t>230:15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الجامع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623:4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239:15</w:t>
      </w:r>
      <w:r>
        <w:rPr>
          <w:rFonts w:ascii="IRNazanin" w:hAnsi="IRNazanin" w:eastAsia="IRNazanin"/>
          <w:b w:val="false"/>
          <w:b w:val="false"/>
          <w:bCs w:val="false"/>
          <w:i w:val="false"/>
          <w:i w:val="false"/>
          <w:iCs w:val="false"/>
          <w:color w:val="333333"/>
          <w:sz w:val="20"/>
          <w:sz w:val="20"/>
          <w:szCs w:val="20"/>
          <w:rtl w:val="true"/>
        </w:rPr>
        <w:t xml:space="preserve">؛ مفاتیح الشرایع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304:42</w:t>
      </w:r>
      <w:r>
        <w:rPr>
          <w:rFonts w:ascii="IRNazanin" w:hAnsi="IRNazanin" w:eastAsia="IRNazanin"/>
          <w:b w:val="false"/>
          <w:b w:val="false"/>
          <w:bCs w:val="false"/>
          <w:i w:val="false"/>
          <w:i w:val="false"/>
          <w:iCs w:val="false"/>
          <w:color w:val="333333"/>
          <w:sz w:val="20"/>
          <w:sz w:val="20"/>
          <w:szCs w:val="20"/>
          <w:rtl w:val="true"/>
        </w:rPr>
        <w:t>؛ 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جواد تبریزی،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623:3</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493:5</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326:4</w:t>
      </w:r>
      <w:r>
        <w:rPr>
          <w:rFonts w:ascii="IRNazanin" w:hAnsi="IRNazanin" w:eastAsia="IRNazanin"/>
          <w:b w:val="false"/>
          <w:b w:val="false"/>
          <w:bCs w:val="false"/>
          <w:i w:val="false"/>
          <w:i w:val="false"/>
          <w:iCs w:val="false"/>
          <w:color w:val="333333"/>
          <w:sz w:val="20"/>
          <w:sz w:val="20"/>
          <w:szCs w:val="20"/>
          <w:rtl w:val="true"/>
        </w:rPr>
        <w:t xml:space="preserve">؛ مجمع‌الفائدة و البرهان </w:t>
      </w:r>
      <w:r>
        <w:rPr>
          <w:rFonts w:eastAsia="IRNazanin" w:cs="IRNazanin"/>
          <w:b w:val="false"/>
          <w:bCs w:val="false"/>
          <w:i w:val="false"/>
          <w:iCs w:val="false"/>
          <w:color w:val="333333"/>
          <w:sz w:val="20"/>
          <w:szCs w:val="20"/>
        </w:rPr>
        <w:t>431:13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205:11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415:42</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523:5</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Pr>
        <w:t>738:3</w:t>
      </w:r>
      <w:r>
        <w:rPr>
          <w:rFonts w:ascii="IRNazanin" w:hAnsi="IRNazanin" w:eastAsia="IRNazanin"/>
          <w:b w:val="false"/>
          <w:b w:val="false"/>
          <w:bCs w:val="false"/>
          <w:i w:val="false"/>
          <w:i w:val="false"/>
          <w:iCs w:val="false"/>
          <w:color w:val="333333"/>
          <w:sz w:val="20"/>
          <w:sz w:val="20"/>
          <w:szCs w:val="20"/>
          <w:rtl w:val="true"/>
        </w:rPr>
        <w:t xml:space="preserve">؛ ایضاح‌الفوائد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415:42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205:11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415:42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 xml:space="preserve">؛ مجمع‌الفائدة و البرهان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 عبارت از آن است که انسان مکلف، عاقل به اختیار خود در حالی که علم به حرمت آن دارد آلت رجولیت خود را به اندازه ختنه گاه در فرج زنی که بر او حرام است داخل کند، بی آن که عقد یا شبهه یا ملکی در میان باشد، اعم از اینکه در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یا 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حرام بودن، تحریم اصلی است بنابراین حرمت بالعرض مانند نزدیکی با همسر در مدت حیض و یا در روز ماه رمضان از این تعریف خارج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احصان مرد علاوه بر شرایطی که در زنا معتبر است، شرط شده که باید برای وی زوجه دائمی وجود داشته باشد که با او نزدیکی کرده باشد و هر صبح و شام به وی دسترسی داشته و متمکّن از دخول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184:4</w:t>
      </w:r>
      <w:r>
        <w:rPr>
          <w:rFonts w:ascii="IRNazanin" w:hAnsi="IRNazanin" w:eastAsia="IRNazanin"/>
          <w:b w:val="false"/>
          <w:b w:val="false"/>
          <w:bCs w:val="false"/>
          <w:i w:val="false"/>
          <w:i w:val="false"/>
          <w:iCs w:val="false"/>
          <w:color w:val="333333"/>
          <w:sz w:val="20"/>
          <w:sz w:val="20"/>
          <w:szCs w:val="20"/>
          <w:rtl w:val="true"/>
        </w:rPr>
        <w:t xml:space="preserve">؛ ارشاد الأذهان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زن از مرد دور باشد به گونه ای که مرد متمکّن از استمتاع نباشد یا مرد در حبس باشد که به زوجه خود دسترسی نداشته باشد، حکم احصان مترتب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احصان زن نیز شرط شده است که برای وی شوهری بالغ و دائم باشد که با او نزدیکی کرده باشد، لیکن قید تمکّن از دخول تنها در حق مرد رعایت میشود نه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الدّرّ المنضود فی احکام الحدود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اسس الحدود و التعزیرات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443:3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321:41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272:27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272:27</w:t>
      </w:r>
      <w:r>
        <w:rPr>
          <w:rFonts w:ascii="IRNazanin" w:hAnsi="IRNazanin" w:eastAsia="IRNazanin"/>
          <w:b w:val="false"/>
          <w:b w:val="false"/>
          <w:bCs w:val="false"/>
          <w:i w:val="false"/>
          <w:i w:val="false"/>
          <w:iCs w:val="false"/>
          <w:color w:val="333333"/>
          <w:sz w:val="20"/>
          <w:sz w:val="20"/>
          <w:szCs w:val="20"/>
          <w:rtl w:val="true"/>
        </w:rPr>
        <w:t xml:space="preserve">؛ الدّرّ المنضود فی احکام الحدود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اسس الحدود و التعزیرات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بااختلاف در عبارات</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322:41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لواط را از آن جهت لواط نامیده‌اند که عمل متداولی میان قوم لوط بوده است</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211:4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مبانی تکملة المنهاج </w:t>
      </w:r>
      <w:r>
        <w:rPr>
          <w:rFonts w:eastAsia="IRNazanin" w:cs="IRNazanin"/>
          <w:b w:val="false"/>
          <w:bCs w:val="false"/>
          <w:i w:val="false"/>
          <w:iCs w:val="false"/>
          <w:color w:val="333333"/>
          <w:sz w:val="20"/>
          <w:szCs w:val="20"/>
        </w:rPr>
        <w:t>278:41</w:t>
      </w:r>
      <w:r>
        <w:rPr>
          <w:rFonts w:ascii="IRNazanin" w:hAnsi="IRNazanin" w:eastAsia="IRNazanin"/>
          <w:b w:val="false"/>
          <w:b w:val="false"/>
          <w:bCs w:val="false"/>
          <w:i w:val="false"/>
          <w:i w:val="false"/>
          <w:iCs w:val="false"/>
          <w:color w:val="333333"/>
          <w:sz w:val="20"/>
          <w:sz w:val="20"/>
          <w:szCs w:val="20"/>
          <w:rtl w:val="true"/>
        </w:rPr>
        <w:t xml:space="preserve">؛ تحریرالوسیلة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401:14</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w:t>
      </w:r>
      <w:r>
        <w:rPr>
          <w:rFonts w:eastAsia="IRNazanin" w:cs="IRNazanin"/>
          <w:b w:val="false"/>
          <w:bCs w:val="false"/>
          <w:i w:val="false"/>
          <w:iCs w:val="false"/>
          <w:color w:val="333333"/>
          <w:sz w:val="20"/>
          <w:szCs w:val="20"/>
        </w:rPr>
        <w:t>103:13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376:41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النکاح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381:5</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494:10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فی انفرادات الامامیه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401:14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159:28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تبصرة المتعلمین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412:14</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النکاح المحرم و مایناسبه،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للامام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317:12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447:29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445:20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مایحرم بالمصاهره،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236:11</w:t>
      </w:r>
      <w:r>
        <w:rPr>
          <w:rFonts w:ascii="IRNazanin" w:hAnsi="IRNazanin" w:eastAsia="IRNazanin"/>
          <w:b w:val="false"/>
          <w:b w:val="false"/>
          <w:bCs w:val="false"/>
          <w:i w:val="false"/>
          <w:i w:val="false"/>
          <w:iCs w:val="false"/>
          <w:color w:val="333333"/>
          <w:sz w:val="20"/>
          <w:sz w:val="20"/>
          <w:szCs w:val="20"/>
          <w:rtl w:val="true"/>
        </w:rPr>
        <w:t xml:space="preserve">؛ العروة الوثقی مع‌تعلیقات عدة من الفقهاء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w:t>
      </w:r>
      <w:r>
        <w:rPr>
          <w:rFonts w:eastAsia="IRNazanin" w:cs="IRNazanin"/>
          <w:b w:val="false"/>
          <w:bCs w:val="false"/>
          <w:i w:val="false"/>
          <w:iCs w:val="false"/>
          <w:color w:val="333333"/>
          <w:sz w:val="20"/>
          <w:szCs w:val="20"/>
        </w:rPr>
        <w:t>235:32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تحریرالوسیلة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447:29</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w:t>
      </w:r>
      <w:r>
        <w:rPr>
          <w:rFonts w:eastAsia="IRNazanin" w:cs="IRNazanin"/>
          <w:b w:val="false"/>
          <w:bCs w:val="false"/>
          <w:i w:val="false"/>
          <w:iCs w:val="false"/>
          <w:color w:val="333333"/>
          <w:sz w:val="20"/>
          <w:szCs w:val="20"/>
        </w:rPr>
        <w:t>237:32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قبل؛ نهایة المرام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239:11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343:7</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 الشیخ الاعظم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163:14</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425:20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یحرم بالمصاهره و نحوها،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همان،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 مفعول و جدّات وی و دختر او و دختر دختر وی و نیز دختر پسر او و خواهرش</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449:29</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166:14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w:t>
      </w:r>
      <w:r>
        <w:rPr>
          <w:rFonts w:eastAsia="IRNazanin" w:cs="IRNazanin"/>
          <w:b w:val="false"/>
          <w:bCs w:val="false"/>
          <w:i w:val="false"/>
          <w:iCs w:val="false"/>
          <w:color w:val="333333"/>
          <w:sz w:val="20"/>
          <w:szCs w:val="20"/>
        </w:rPr>
        <w:t>243:32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عدة من الفقهاء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466:3</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236:11</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187:7</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165:14</w:t>
      </w:r>
      <w:r>
        <w:rPr>
          <w:rFonts w:ascii="IRNazanin" w:hAnsi="IRNazanin" w:eastAsia="IRNazanin"/>
          <w:b w:val="false"/>
          <w:b w:val="false"/>
          <w:bCs w:val="false"/>
          <w:i w:val="false"/>
          <w:i w:val="false"/>
          <w:iCs w:val="false"/>
          <w:color w:val="333333"/>
          <w:sz w:val="20"/>
          <w:sz w:val="20"/>
          <w:szCs w:val="20"/>
          <w:rtl w:val="true"/>
        </w:rPr>
        <w:t>؛ تفصیل الشریعة کتاب النکاح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1454:3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غایة المراد فی شرح نکت الارشاد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162:4</w:t>
      </w:r>
      <w:r>
        <w:rPr>
          <w:rFonts w:ascii="IRNazanin" w:hAnsi="IRNazanin" w:eastAsia="IRNazanin"/>
          <w:b w:val="false"/>
          <w:b w:val="false"/>
          <w:bCs w:val="false"/>
          <w:i w:val="false"/>
          <w:i w:val="false"/>
          <w:iCs w:val="false"/>
          <w:color w:val="333333"/>
          <w:sz w:val="20"/>
          <w:sz w:val="20"/>
          <w:szCs w:val="20"/>
          <w:rtl w:val="true"/>
        </w:rPr>
        <w:t>، با اختلاف در تعبیرات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402:41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تعزیر کیفری است که تعیین نوع و مقدار آن به نظر حاکم شرع واگذار شده است</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43:16</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516:3</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404:5</w:t>
      </w:r>
      <w:r>
        <w:rPr>
          <w:rFonts w:ascii="IRNazanin" w:hAnsi="IRNazanin" w:eastAsia="IRNazanin"/>
          <w:b w:val="false"/>
          <w:b w:val="false"/>
          <w:bCs w:val="false"/>
          <w:i w:val="false"/>
          <w:i w:val="false"/>
          <w:iCs w:val="false"/>
          <w:color w:val="333333"/>
          <w:sz w:val="20"/>
          <w:sz w:val="20"/>
          <w:szCs w:val="20"/>
          <w:rtl w:val="true"/>
        </w:rPr>
        <w:t xml:space="preserve">؛ کنز العرفان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527:10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417:41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احمد بشهتی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اسلام و حقوق کودک،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هوشنگ ناصرزاده، آئین دادرسی کیفری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سلب آزادی تن، بازداشت و حبس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555:3</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574:10</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83:28</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367:5</w:t>
      </w:r>
      <w:r>
        <w:rPr>
          <w:rFonts w:ascii="IRNazanin" w:hAnsi="IRNazanin" w:eastAsia="IRNazanin"/>
          <w:b w:val="false"/>
          <w:b w:val="false"/>
          <w:bCs w:val="false"/>
          <w:i w:val="false"/>
          <w:i w:val="false"/>
          <w:iCs w:val="false"/>
          <w:color w:val="333333"/>
          <w:sz w:val="20"/>
          <w:sz w:val="20"/>
          <w:szCs w:val="20"/>
          <w:rtl w:val="true"/>
        </w:rPr>
        <w:t xml:space="preserve">؛ راوندی فقه القران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380:4</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511:41</w:t>
      </w:r>
      <w:r>
        <w:rPr>
          <w:rFonts w:ascii="IRNazanin" w:hAnsi="IRNazanin" w:eastAsia="IRNazanin"/>
          <w:b w:val="false"/>
          <w:b w:val="false"/>
          <w:bCs w:val="false"/>
          <w:i w:val="false"/>
          <w:i w:val="false"/>
          <w:iCs w:val="false"/>
          <w:color w:val="333333"/>
          <w:sz w:val="20"/>
          <w:sz w:val="20"/>
          <w:szCs w:val="20"/>
          <w:rtl w:val="true"/>
        </w:rPr>
        <w:t>؛ تفصیل‌الشریعة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83:28</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من سرق حراً فباعه؛ تهذیب الاحکام </w:t>
      </w:r>
      <w:r>
        <w:rPr>
          <w:rFonts w:eastAsia="IRNazanin" w:cs="IRNazanin"/>
          <w:b w:val="false"/>
          <w:bCs w:val="false"/>
          <w:i w:val="false"/>
          <w:iCs w:val="false"/>
          <w:color w:val="333333"/>
          <w:sz w:val="20"/>
          <w:szCs w:val="20"/>
        </w:rPr>
        <w:t>113:10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511:41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زراعت شرح قانون مجازات اسلامی بخش تعزیرات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تکدّی 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 خواهی از این و آن در کوی و برزن گدایی، صدقه خواستن، دریوزگی و سؤال به 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علی اکبر دهخدا، لغت نامه </w:t>
      </w:r>
      <w:r>
        <w:rPr>
          <w:rFonts w:eastAsia="IRNazanin" w:cs="IRNazanin"/>
          <w:b w:val="false"/>
          <w:bCs w:val="false"/>
          <w:i w:val="false"/>
          <w:iCs w:val="false"/>
          <w:color w:val="333333"/>
          <w:sz w:val="20"/>
          <w:szCs w:val="20"/>
        </w:rPr>
        <w:t>869:15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گفته شده تکدّی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تکلّف گدایی و دریوزگی کردن است، فرهنگ ابجدی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المؤتلف من المختلف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المعتبر فی شرح المختصر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157:12</w:t>
      </w:r>
      <w:r>
        <w:rPr>
          <w:rFonts w:ascii="IRNazanin" w:hAnsi="IRNazanin" w:eastAsia="IRNazanin"/>
          <w:b w:val="false"/>
          <w:b w:val="false"/>
          <w:bCs w:val="false"/>
          <w:i w:val="false"/>
          <w:i w:val="false"/>
          <w:iCs w:val="false"/>
          <w:color w:val="333333"/>
          <w:sz w:val="20"/>
          <w:sz w:val="20"/>
          <w:szCs w:val="20"/>
          <w:rtl w:val="true"/>
        </w:rPr>
        <w:t xml:space="preserve">؛ مصابیح الظلام </w:t>
      </w:r>
      <w:r>
        <w:rPr>
          <w:rFonts w:eastAsia="IRNazanin" w:cs="IRNazanin"/>
          <w:b w:val="false"/>
          <w:bCs w:val="false"/>
          <w:i w:val="false"/>
          <w:iCs w:val="false"/>
          <w:color w:val="333333"/>
          <w:sz w:val="20"/>
          <w:szCs w:val="20"/>
        </w:rPr>
        <w:t>500:10</w:t>
      </w:r>
      <w:r>
        <w:rPr>
          <w:rFonts w:ascii="IRNazanin" w:hAnsi="IRNazanin" w:eastAsia="IRNazanin"/>
          <w:b w:val="false"/>
          <w:b w:val="false"/>
          <w:bCs w:val="false"/>
          <w:i w:val="false"/>
          <w:i w:val="false"/>
          <w:iCs w:val="false"/>
          <w:color w:val="333333"/>
          <w:sz w:val="20"/>
          <w:sz w:val="20"/>
          <w:szCs w:val="20"/>
          <w:rtl w:val="true"/>
        </w:rPr>
        <w:t xml:space="preserve">؛ غنایم الایام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313:15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المستحقین للزکاة،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صحیح ابن حبّانه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الشهادات،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مشاوره و برنامه ریزی امور تربیتی وزارت آموزش و پرورش ایران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توانسته با کمک عوامل اجرایی خود در سطح کشور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دانش آموزش را در مقاطع گوناگون تحصیلی شناسایی نماید که در معرض اعتیاد یا قاچاق مواد مخدر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دارند، بر اساس آمار مذکور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دانش آموزان در مقاطع راهنمایی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مقاطع متوسطه مشغول تحصیل بوده‌اند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بچه های اعتیاد کندکاوی پیرامون آمار دانش آموزان وابسته به والدین معتاد و موقعیت آنان، ماهنامه اصلاح و تربیت،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این آمار که در سال های اخیر قطعاً افزایش یافته زنگ خطر بسیار جدّی برای والدین و مسئولین مختلف مملکتی و آحاد مردم میباشد</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شامبیاتی بزهکاری اطفال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هوشنگ شامبیاتی، بزهکاری اطفال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سید میرزایی، کودکان آسیب‌پذیر شهری، فصلنامه جمعیت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به نقل از 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1305:2</w:t>
      </w:r>
      <w:r>
        <w:rPr>
          <w:rFonts w:ascii="IRNazanin" w:hAnsi="IRNazanin" w:eastAsia="IRNazanin"/>
          <w:b w:val="false"/>
          <w:b w:val="false"/>
          <w:bCs w:val="false"/>
          <w:i w:val="false"/>
          <w:i w:val="false"/>
          <w:iCs w:val="false"/>
          <w:color w:val="333333"/>
          <w:sz w:val="20"/>
          <w:sz w:val="20"/>
          <w:szCs w:val="20"/>
          <w:rtl w:val="true"/>
        </w:rPr>
        <w:t xml:space="preserve">؛ القاموس المحیط </w:t>
      </w:r>
      <w:r>
        <w:rPr>
          <w:rFonts w:eastAsia="IRNazanin" w:cs="IRNazanin"/>
          <w:b w:val="false"/>
          <w:bCs w:val="false"/>
          <w:i w:val="false"/>
          <w:iCs w:val="false"/>
          <w:color w:val="333333"/>
          <w:sz w:val="20"/>
          <w:szCs w:val="20"/>
        </w:rPr>
        <w:t>558:3</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420:15</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الفاظ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فی الصغر کالنقش فی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515:2</w:t>
      </w:r>
      <w:r>
        <w:rPr>
          <w:rFonts w:ascii="IRNazanin" w:hAnsi="IRNazanin" w:eastAsia="IRNazanin"/>
          <w:b w:val="false"/>
          <w:b w:val="false"/>
          <w:bCs w:val="false"/>
          <w:i w:val="false"/>
          <w:i w:val="false"/>
          <w:iCs w:val="false"/>
          <w:color w:val="333333"/>
          <w:sz w:val="20"/>
          <w:sz w:val="20"/>
          <w:szCs w:val="20"/>
          <w:rtl w:val="true"/>
        </w:rPr>
        <w:t>؛ منیة المرید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229:12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اگر کسی که طفلی را در محل خالی از سکنه رها میسازد با سوء نیت و به قصد از بین بردن او این جنایت را مرتکب میشود، علاوه بر تعزیر به قصاص نیز محکوم میشود و اگر قتل یا صدمه اتفاقاً صورت‌پذیرد و قصد آن را نداشته باشد، علاوه بر تعزیر به پرداخت دیه نیز محکوم میگردد یا در مورد سوء استفاده از کودکان در جرایم مواد مخدّر چنان‌چه مرتکب علاوه بر جرم مزبور به سوء استفاده های جنسی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 یا لواط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مبادرت ورزد، حسب مورد محکوم به حدّ نیز میگردد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التعزیر فی کل جنایةٍ لاحدّ فیها، تحریر الاحکام الشرعیة </w:t>
      </w:r>
      <w:r>
        <w:rPr>
          <w:rFonts w:eastAsia="IRNazanin" w:cs="IRNazanin"/>
          <w:b w:val="false"/>
          <w:bCs w:val="false"/>
          <w:i w:val="false"/>
          <w:iCs w:val="false"/>
          <w:color w:val="333333"/>
          <w:sz w:val="20"/>
          <w:szCs w:val="20"/>
        </w:rPr>
        <w:t>410:5</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448:41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453:2</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تعزیرات از دیدگاه فقه و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تعزیرات از دیدگاه فقه و حقوق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کتاب النکاح </w:t>
      </w:r>
      <w:r>
        <w:rPr>
          <w:rFonts w:eastAsia="IRNazanin" w:cs="IRNazanin"/>
          <w:b w:val="false"/>
          <w:bCs w:val="false"/>
          <w:i w:val="false"/>
          <w:iCs w:val="false"/>
          <w:color w:val="333333"/>
          <w:sz w:val="20"/>
          <w:szCs w:val="20"/>
        </w:rPr>
        <w:t>807:2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مستمسک العروة الوثقی </w:t>
      </w:r>
      <w:r>
        <w:rPr>
          <w:rFonts w:eastAsia="IRNazanin" w:cs="IRNazanin"/>
          <w:b w:val="false"/>
          <w:bCs w:val="false"/>
          <w:i w:val="false"/>
          <w:iCs w:val="false"/>
          <w:color w:val="333333"/>
          <w:sz w:val="20"/>
          <w:szCs w:val="20"/>
        </w:rPr>
        <w:t>59:14</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104:32</w:t>
      </w:r>
      <w:r>
        <w:rPr>
          <w:rFonts w:ascii="IRNazanin" w:hAnsi="IRNazanin" w:eastAsia="IRNazanin"/>
          <w:b w:val="false"/>
          <w:b w:val="false"/>
          <w:bCs w:val="false"/>
          <w:i w:val="false"/>
          <w:i w:val="false"/>
          <w:iCs w:val="false"/>
          <w:color w:val="333333"/>
          <w:sz w:val="20"/>
          <w:sz w:val="20"/>
          <w:szCs w:val="20"/>
          <w:rtl w:val="true"/>
        </w:rPr>
        <w:t>، کتاب النکاح</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الدّرّ النضید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فقه آیت الله گلپایگانی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انوار الفقاهة کتاب الحدود و التعزیرات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در اثر عدم مواظبت یا انحطاط اخلاقی پدر یا مادری که طفل تحت حضانت اوست، صحت جسمانی و یا تربیت اخلاقی طفل در معرض خطر باشد محکمه میتواند به تقاضای اقربای طفل یا به تقاضای قیّم او یا به تقاضای رئیس حوزه قضایی هر تصمیمی که برای حضانت طفل مقتضی بداند اتخاذ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ذیل از مصادیق عدم مواظبت و یا انحطاط اخلاقی هر یک از والدین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اعتیاد زیان آور به الکل، مواد مخدّر و قمار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اشتهار به فساد اخلاق و فحشا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ابتلاء به بیماری های روانی با تشخیص پزشک قانونی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استفاده از طفل یا اجبار او به ورود در مشاغل ضد اخلاقی مانند فساد و فحشا، تکدّی گری و قاچاق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ضرب و جرح خارج از حدّ متعارف</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و عناوین جزایی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نابهنجاری و بزهکاری کودکان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شامبیانی، بزهکاری اطفال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شهلا معظمی، بزهکاری کودکان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نابهنجاری و بزهکاری کودکان ونوجوانان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شامبیانی، بزهکاری اطفال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به نقل از عبدالله نصری، مبانی انسان‌شناسی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به تعلیم و تربیت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شهلا معظمی، بزهکاری کودکان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رفیع‌پور، توسعه و تضاد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هوشنگ شامبیانی، بزهکاری اطفال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نابهنجاری و بزهکاری کودکان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مسئولیت حقوقی است و به معنی مؤاخذه و مورد بازخواست قرار گرفتن، میباشد، این واژه‌بیش‌تر در برابر ضمان بکار میرود ولی موارد استعمال ضمان اوسع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حقوق </w:t>
      </w:r>
      <w:r>
        <w:rPr>
          <w:rFonts w:eastAsia="IRNazanin" w:cs="IRNazanin"/>
          <w:b w:val="false"/>
          <w:bCs w:val="false"/>
          <w:i w:val="false"/>
          <w:iCs w:val="false"/>
          <w:color w:val="333333"/>
          <w:sz w:val="20"/>
          <w:szCs w:val="20"/>
        </w:rPr>
        <w:t>3324:5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بجنوردی، القواعد الفقهیة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شیخ انصاری،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القواعد والفوائد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 حقوق کودک در فقه و حقوق</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 کیفری عبارت است از قابلیّت توجه اتهام و تحمیل کیفر به شخصی که با وصف عقل، بلوغ، اختیار و قصد، مرتکب جرم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شاملو احمدی، فرهنگ اصطلاحات و عناوین جزایی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نیز گفته شده مقصود از مسئولیت جزایی، همان مسئولیت مجرمان است که در قانون جزا مصرح باشد،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در ترمینولوژی </w:t>
      </w:r>
      <w:r>
        <w:rPr>
          <w:rFonts w:eastAsia="IRNazanin" w:cs="IRNazanin"/>
          <w:b w:val="false"/>
          <w:bCs w:val="false"/>
          <w:i w:val="false"/>
          <w:iCs w:val="false"/>
          <w:color w:val="333333"/>
          <w:sz w:val="20"/>
          <w:szCs w:val="20"/>
        </w:rPr>
        <w:t>3326:5</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413:41</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اسس الحدود والتعزیرات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w:t>
      </w:r>
      <w:r>
        <w:rPr>
          <w:rFonts w:eastAsia="IRNazanin" w:cs="IRNazanin"/>
          <w:b w:val="false"/>
          <w:bCs w:val="false"/>
          <w:i w:val="false"/>
          <w:iCs w:val="false"/>
          <w:color w:val="333333"/>
          <w:sz w:val="20"/>
          <w:szCs w:val="20"/>
        </w:rPr>
        <w:t>306:41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297:28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السرقه،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ابن اثیر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433:15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325:14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254:41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494:10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262:41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436:15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 تا ج العروس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xml:space="preserve">؛ النهایة ابن اثیر </w:t>
      </w:r>
      <w:r>
        <w:rPr>
          <w:rFonts w:eastAsia="IRNazanin" w:cs="IRNazanin"/>
          <w:b w:val="false"/>
          <w:bCs w:val="false"/>
          <w:i w:val="false"/>
          <w:iCs w:val="false"/>
          <w:color w:val="333333"/>
          <w:sz w:val="20"/>
          <w:szCs w:val="20"/>
        </w:rPr>
        <w:t>228:3</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325:14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433:15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254:41</w:t>
      </w:r>
      <w:r>
        <w:rPr>
          <w:rFonts w:ascii="IRNazanin" w:hAnsi="IRNazanin" w:eastAsia="IRNazanin"/>
          <w:b w:val="false"/>
          <w:b w:val="false"/>
          <w:bCs w:val="false"/>
          <w:i w:val="false"/>
          <w:i w:val="false"/>
          <w:iCs w:val="false"/>
          <w:color w:val="333333"/>
          <w:sz w:val="20"/>
          <w:sz w:val="20"/>
          <w:szCs w:val="20"/>
          <w:rtl w:val="true"/>
        </w:rPr>
        <w:t xml:space="preserve">؛ الدّرّالمنضود فی احکام الحدود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که لازم است در تعزیر تناسب بین مجرم و جرم ارتکابی رعایت شود، به عنوان مثال مجازات سرقت در بعضی از موارد به‌خاطر فقدان بعضی از شرایط اجرای حدّ سرقت، تعزیر است و لازم است تعزیر کسی که مال بیشتری سرقت کرده یا به طور مکرّر مرتکب شده شدیدتر از مجرمی که چنین نیست،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اجرای حدود رعایت این شرط لازم نیست و با وجود شرایط صرف صدق ارتکاب جرم دارای حدّ برای اجرای مجازات کافی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نضد القواعد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الفروق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فعل محرماً أو ترک واجباً فللامام تعزیره بما لا یبلغ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568:2</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432:1</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التنقیح‌الرائع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457:14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فرهنگ بزرگ سخن </w:t>
      </w:r>
      <w:r>
        <w:rPr>
          <w:rFonts w:eastAsia="IRNazanin" w:cs="IRNazanin"/>
          <w:b w:val="false"/>
          <w:bCs w:val="false"/>
          <w:i w:val="false"/>
          <w:iCs w:val="false"/>
          <w:color w:val="333333"/>
          <w:sz w:val="20"/>
          <w:szCs w:val="20"/>
        </w:rPr>
        <w:t>1911:3</w:t>
      </w:r>
      <w:r>
        <w:rPr>
          <w:rFonts w:ascii="IRNazanin" w:hAnsi="IRNazanin" w:eastAsia="IRNazanin"/>
          <w:b w:val="false"/>
          <w:b w:val="false"/>
          <w:bCs w:val="false"/>
          <w:i w:val="false"/>
          <w:i w:val="false"/>
          <w:iCs w:val="false"/>
          <w:color w:val="333333"/>
          <w:sz w:val="20"/>
          <w:sz w:val="20"/>
          <w:szCs w:val="20"/>
          <w:rtl w:val="true"/>
        </w:rPr>
        <w:t xml:space="preserve">؛ فرهنگ ابجدی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اصطلاحات حقوق کیفری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الشتات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415:10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159:4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536:3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494:10</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در لغت به معنی انداختن، نسبت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1455:3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و در اصطلاح فقها، نسبت دادن زنا یا لواط به کسی است مثل این‌که به دیگری دشنام دهد که تو زنا کردی یا زنا زاده‌ای و یا لواط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الاذهان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 xml:space="preserve">؛ تحریر الأحکام الشرعیة </w:t>
      </w:r>
      <w:r>
        <w:rPr>
          <w:rFonts w:eastAsia="IRNazanin" w:cs="IRNazanin"/>
          <w:b w:val="false"/>
          <w:bCs w:val="false"/>
          <w:i w:val="false"/>
          <w:iCs w:val="false"/>
          <w:color w:val="333333"/>
          <w:sz w:val="20"/>
          <w:szCs w:val="20"/>
        </w:rPr>
        <w:t>399:5</w:t>
      </w:r>
      <w:r>
        <w:rPr>
          <w:rFonts w:ascii="IRNazanin" w:hAnsi="IRNazanin" w:eastAsia="IRNazanin"/>
          <w:b w:val="false"/>
          <w:b w:val="false"/>
          <w:bCs w:val="false"/>
          <w:i w:val="false"/>
          <w:i w:val="false"/>
          <w:iCs w:val="false"/>
          <w:color w:val="333333"/>
          <w:sz w:val="20"/>
          <w:sz w:val="20"/>
          <w:szCs w:val="20"/>
          <w:rtl w:val="true"/>
        </w:rPr>
        <w:t xml:space="preserve">؛ غایة‌المراد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413:41</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403:5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544:3</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137:13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210:28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 ابواب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186:28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من ابواب حد القذف،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478:14</w:t>
      </w:r>
      <w:r>
        <w:rPr>
          <w:rFonts w:ascii="IRNazanin" w:hAnsi="IRNazanin" w:eastAsia="IRNazanin"/>
          <w:b w:val="false"/>
          <w:b w:val="false"/>
          <w:bCs w:val="false"/>
          <w:i w:val="false"/>
          <w:i w:val="false"/>
          <w:iCs w:val="false"/>
          <w:color w:val="333333"/>
          <w:sz w:val="20"/>
          <w:sz w:val="20"/>
          <w:szCs w:val="20"/>
          <w:rtl w:val="true"/>
        </w:rPr>
        <w:t xml:space="preserve">؛ غایة‌المراد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476:41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باز اول عفو میشود، بار دوم تأدیب میگردد، بار سوم انگشتان وی را میخراشند تا خون جاری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ابن حمزه، 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دیگری معتقد است در مرتبه سوّم حدّ بر وی جاری میشود، المقنع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درکلمات برخی دیگر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کودک به جهت سرقت چهار بار تأدیب شد بار پنجم مشمول اجرای حدّ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554:3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476:41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294:28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من ابواب حد السرقه،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النهایة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215:13</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مبانی‌تکلمة المنهاج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اسس الحدود والتعزیرات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وادلّتها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حمزه، الوسیلة الی نیل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555:10</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186:13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454:41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ارتداد در لغت به معنی بریدن و بازگشت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 از آن در اصطلاح فقها بریدن و بازگشت از اسلام است که گاهی به فعل است مانند بت‌پرستی و گاهی به قول مانند انکار آن‌چه از ضرورت‌های دین دانسته شده است، و طبق نظر مشهور در بین فقهای امامیه مرتد بر دو قسم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 فطری و او کسی است که بر فطرت اسلام به دنیا آمده باشد بدین معنی که نطفه او در هنگام مسلمان بودن ابوین او یا یکی از آنان بسته شده باشد، چنین کسی اگر مرتد شود به عقیده بسیاری از فقیهان قتل او واجب است، زیرا توبه او در ظاهر قبول نمیشود و زن بر وی حرام میشود و مال او بین ورثه تقسیم میشود و ولایت او از فرزندان مسلمانش منقطع میگردد و اگر میان خود و خدا توبه کند ظاهراً توبه او در باطن قبول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مرتد ملّی و او کسی است که از کفر به اسلام روی آورد و سپس کافر شود چنین فردی توبه او در ظاهر و باطن قبول است و کشتن او واجب نیست، بلکه ابتدا از او خواسته میشود که توبه کند و یا به مجازات قتل تن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322:13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573:3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609:41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مقدمه العبادات،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آن‌که بعضی معتقدند کودک مراهق که تا زمان بلوغ وی مدت طولانی باقی نمانده است، اگر مرتد شود مشمول احکام ارتداد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بین احکام ارتداد تفصیل قائل شده و فرموده‌اند حکم به نجاست کودک مرتد میشود ولی مشمول دیگر احکام قرار نمیگیرد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التنقیح فی شرح العروة الوثقی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573:3</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547:4</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609:41</w:t>
      </w:r>
      <w:r>
        <w:rPr>
          <w:rFonts w:ascii="IRNazanin" w:hAnsi="IRNazanin" w:eastAsia="IRNazanin"/>
          <w:b w:val="false"/>
          <w:b w:val="false"/>
          <w:bCs w:val="false"/>
          <w:i w:val="false"/>
          <w:i w:val="false"/>
          <w:iCs w:val="false"/>
          <w:color w:val="333333"/>
          <w:sz w:val="20"/>
          <w:sz w:val="20"/>
          <w:szCs w:val="20"/>
          <w:rtl w:val="true"/>
        </w:rPr>
        <w:t>؛ اسس الحدود والتعزیرات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30:12</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261:11</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42:15</w:t>
      </w:r>
      <w:r>
        <w:rPr>
          <w:rFonts w:ascii="IRNazanin" w:hAnsi="IRNazanin" w:eastAsia="IRNazanin"/>
          <w:b w:val="false"/>
          <w:b w:val="false"/>
          <w:bCs w:val="false"/>
          <w:i w:val="false"/>
          <w:i w:val="false"/>
          <w:iCs w:val="false"/>
          <w:color w:val="333333"/>
          <w:sz w:val="20"/>
          <w:sz w:val="20"/>
          <w:szCs w:val="20"/>
          <w:rtl w:val="true"/>
        </w:rPr>
        <w:t xml:space="preserve">؛ جواهرالکلام </w:t>
      </w:r>
      <w:r>
        <w:rPr>
          <w:rFonts w:eastAsia="IRNazanin" w:cs="IRNazanin"/>
          <w:b w:val="false"/>
          <w:bCs w:val="false"/>
          <w:i w:val="false"/>
          <w:iCs w:val="false"/>
          <w:color w:val="333333"/>
          <w:sz w:val="20"/>
          <w:szCs w:val="20"/>
        </w:rPr>
        <w:t>284:36</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119:15</w:t>
      </w:r>
      <w:r>
        <w:rPr>
          <w:rFonts w:ascii="IRNazanin" w:hAnsi="IRNazanin" w:eastAsia="IRNazanin"/>
          <w:b w:val="false"/>
          <w:b w:val="false"/>
          <w:bCs w:val="false"/>
          <w:i w:val="false"/>
          <w:i w:val="false"/>
          <w:iCs w:val="false"/>
          <w:color w:val="333333"/>
          <w:sz w:val="20"/>
          <w:sz w:val="20"/>
          <w:szCs w:val="20"/>
          <w:rtl w:val="true"/>
        </w:rPr>
        <w:t>؛ اسس الحدود و التعزیرات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نکاح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541:3</w:t>
      </w:r>
      <w:r>
        <w:rPr>
          <w:rFonts w:ascii="IRNazanin" w:hAnsi="IRNazanin" w:eastAsia="IRNazanin"/>
          <w:b w:val="false"/>
          <w:b w:val="false"/>
          <w:bCs w:val="false"/>
          <w:i w:val="false"/>
          <w:i w:val="false"/>
          <w:iCs w:val="false"/>
          <w:color w:val="333333"/>
          <w:sz w:val="20"/>
          <w:sz w:val="20"/>
          <w:szCs w:val="20"/>
          <w:rtl w:val="true"/>
        </w:rPr>
        <w:t xml:space="preserve">؛ تحریر الاحکام الشرعیة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المعة الدمشقیه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350:13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637:41</w:t>
      </w:r>
      <w:r>
        <w:rPr>
          <w:rFonts w:ascii="IRNazanin" w:hAnsi="IRNazanin" w:eastAsia="IRNazanin"/>
          <w:b w:val="false"/>
          <w:b w:val="false"/>
          <w:bCs w:val="false"/>
          <w:i w:val="false"/>
          <w:i w:val="false"/>
          <w:iCs w:val="false"/>
          <w:color w:val="333333"/>
          <w:sz w:val="20"/>
          <w:sz w:val="20"/>
          <w:szCs w:val="20"/>
          <w:rtl w:val="true"/>
        </w:rPr>
        <w:t>؛ تفصیل الشریعة کتاب‌الحدود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احکام الاطفال وادلّتها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372:28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بقیة الحدود و التعزیرات،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455:14</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179:13</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61:16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444:41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أعداد الفرائض،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537:3</w:t>
      </w:r>
      <w:r>
        <w:rPr>
          <w:rFonts w:ascii="IRNazanin" w:hAnsi="IRNazanin" w:eastAsia="IRNazanin"/>
          <w:b w:val="false"/>
          <w:b w:val="false"/>
          <w:bCs w:val="false"/>
          <w:i w:val="false"/>
          <w:i w:val="false"/>
          <w:iCs w:val="false"/>
          <w:color w:val="333333"/>
          <w:sz w:val="20"/>
          <w:sz w:val="20"/>
          <w:szCs w:val="20"/>
          <w:rtl w:val="true"/>
        </w:rPr>
        <w:t xml:space="preserve">؛ ماوراء الفقه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365:4</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178:13</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256:6</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 ماوراء الفقه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146:10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300:27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ابواب کیفیه الحکم، و احکام الدعوی،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الأحکام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476:4</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546:2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کتاب النکاح، ح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188:29</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Pr>
        <w:t>143:16</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100:11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92:12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188:29</w:t>
      </w:r>
      <w:r>
        <w:rPr>
          <w:rFonts w:ascii="IRNazanin" w:hAnsi="IRNazanin" w:eastAsia="IRNazanin"/>
          <w:b w:val="false"/>
          <w:b w:val="false"/>
          <w:bCs w:val="false"/>
          <w:i w:val="false"/>
          <w:i w:val="false"/>
          <w:iCs w:val="false"/>
          <w:color w:val="333333"/>
          <w:sz w:val="20"/>
          <w:sz w:val="20"/>
          <w:szCs w:val="20"/>
          <w:rtl w:val="true"/>
        </w:rPr>
        <w:t xml:space="preserve">؛ تراث الشیخ الاعظم، کتاب‌النکاح </w:t>
      </w:r>
      <w:r>
        <w:rPr>
          <w:rFonts w:eastAsia="IRNazanin" w:cs="IRNazanin"/>
          <w:b w:val="false"/>
          <w:bCs w:val="false"/>
          <w:i w:val="false"/>
          <w:iCs w:val="false"/>
          <w:color w:val="333333"/>
          <w:sz w:val="20"/>
          <w:szCs w:val="20"/>
        </w:rPr>
        <w:t>149:20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729:2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388:21</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xml:space="preserve">؛ الدّر المنضود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تبیان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318:10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w:t>
      </w:r>
      <w:r>
        <w:rPr>
          <w:rFonts w:eastAsia="IRNazanin" w:cs="IRNazanin"/>
          <w:b w:val="false"/>
          <w:bCs w:val="false"/>
          <w:i w:val="false"/>
          <w:iCs w:val="false"/>
          <w:color w:val="333333"/>
          <w:sz w:val="20"/>
          <w:szCs w:val="20"/>
        </w:rPr>
        <w:t>195:18</w:t>
      </w:r>
      <w:r>
        <w:rPr>
          <w:rFonts w:ascii="IRNazanin" w:hAnsi="IRNazanin" w:eastAsia="IRNazanin"/>
          <w:b w:val="false"/>
          <w:b w:val="false"/>
          <w:bCs w:val="false"/>
          <w:i w:val="false"/>
          <w:i w:val="false"/>
          <w:iCs w:val="false"/>
          <w:color w:val="333333"/>
          <w:sz w:val="20"/>
          <w:sz w:val="20"/>
          <w:szCs w:val="20"/>
          <w:rtl w:val="true"/>
        </w:rPr>
        <w:t xml:space="preserve">؛ الجصاص، احکام القرآن </w:t>
      </w:r>
      <w:r>
        <w:rPr>
          <w:rFonts w:eastAsia="IRNazanin" w:cs="IRNazanin"/>
          <w:b w:val="false"/>
          <w:bCs w:val="false"/>
          <w:i w:val="false"/>
          <w:iCs w:val="false"/>
          <w:color w:val="333333"/>
          <w:sz w:val="20"/>
          <w:szCs w:val="20"/>
        </w:rPr>
        <w:t>698:3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475:21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479:21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201:12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الامر و النهی،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388:21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130:21</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ascii="IRNazanin" w:hAnsi="IRNazanin" w:eastAsia="IRNazanin"/>
          <w:b w:val="false"/>
          <w:b w:val="false"/>
          <w:bCs w:val="false"/>
          <w:i w:val="false"/>
          <w:i w:val="false"/>
          <w:iCs w:val="false"/>
          <w:color w:val="333333"/>
          <w:sz w:val="20"/>
          <w:sz w:val="20"/>
          <w:szCs w:val="20"/>
          <w:rtl w:val="true"/>
        </w:rPr>
        <w:t xml:space="preserve">؛ النهایة ونکتها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قبول این نظریّه را مشروط به این دانسته‌اند که پدر اهلیّت صدور حکم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الفقه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389:21</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الفقیه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257:19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ابواب فی احکام الوصایا</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تعزیرات از دیدگاه فقه و حقوق جزا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490494:9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378:27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223:25</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تعزیرات از دیدگاه فقه و حقوق جزا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455:14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444:41</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157:28</w:t>
      </w:r>
      <w:r>
        <w:rPr>
          <w:rFonts w:ascii="IRNazanin" w:hAnsi="IRNazanin" w:eastAsia="IRNazanin"/>
          <w:b w:val="false"/>
          <w:b w:val="false"/>
          <w:bCs w:val="false"/>
          <w:i w:val="false"/>
          <w:i w:val="false"/>
          <w:iCs w:val="false"/>
          <w:color w:val="333333"/>
          <w:sz w:val="20"/>
          <w:sz w:val="20"/>
          <w:szCs w:val="20"/>
          <w:rtl w:val="true"/>
        </w:rPr>
        <w:t xml:space="preserve">؛ مبانی تکلمة المنهاج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بقیة الحدود و التعزیرات،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المنضود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تعزیرات از دیدگاه فقه وحقوق جزا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دادبان، حقوق جزای عمومی </w:t>
      </w:r>
      <w:r>
        <w:rPr>
          <w:rFonts w:eastAsia="IRNazanin" w:cs="IRNazanin"/>
          <w:b w:val="false"/>
          <w:bCs w:val="false"/>
          <w:i w:val="false"/>
          <w:iCs w:val="false"/>
          <w:color w:val="333333"/>
          <w:sz w:val="20"/>
          <w:szCs w:val="20"/>
        </w:rPr>
        <w:t>755:2</w:t>
      </w:r>
      <w:r>
        <w:rPr>
          <w:rFonts w:ascii="IRNazanin" w:hAnsi="IRNazanin" w:eastAsia="IRNazanin"/>
          <w:b w:val="false"/>
          <w:b w:val="false"/>
          <w:bCs w:val="false"/>
          <w:i w:val="false"/>
          <w:i w:val="false"/>
          <w:iCs w:val="false"/>
          <w:color w:val="333333"/>
          <w:sz w:val="20"/>
          <w:sz w:val="20"/>
          <w:szCs w:val="20"/>
          <w:rtl w:val="true"/>
        </w:rPr>
        <w:t>؛ نجیب محمود حسنی، شرح قانون العقوبات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الجزائیه العامه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پرویز صانعی، حقوق جزای عمومی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محسن ناجی، الاحکام العامه فی قانون العقوبات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زمان دانش، طفل بزه کار کیست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نابهنجاری و بزه‌کاری کودکان و نوجوانان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مریم عباچی، حقوق کیفری اطفال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قاسمی، اقدامات تأمینی و تربیتی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سید جلال الدین مدنی، آیین دادرسی کیفری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تعزیرات از دیدگاه فقه و حقوق جزا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تکلمة المنهاج </w:t>
      </w:r>
      <w:r>
        <w:rPr>
          <w:rFonts w:eastAsia="IRNazanin" w:cs="IRNazanin"/>
          <w:b w:val="false"/>
          <w:bCs w:val="false"/>
          <w:i w:val="false"/>
          <w:iCs w:val="false"/>
          <w:color w:val="333333"/>
          <w:sz w:val="20"/>
          <w:szCs w:val="20"/>
        </w:rPr>
        <w:t>411:41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179:2</w:t>
      </w:r>
      <w:r>
        <w:rPr>
          <w:rFonts w:ascii="IRNazanin" w:hAnsi="IRNazanin" w:eastAsia="IRNazanin"/>
          <w:b w:val="false"/>
          <w:b w:val="false"/>
          <w:bCs w:val="false"/>
          <w:i w:val="false"/>
          <w:i w:val="false"/>
          <w:iCs w:val="false"/>
          <w:color w:val="333333"/>
          <w:sz w:val="20"/>
          <w:sz w:val="20"/>
          <w:szCs w:val="20"/>
          <w:rtl w:val="true"/>
        </w:rPr>
        <w:t xml:space="preserve">؛ الروضة البهیة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548:3</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508:4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375:28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ابواب بقیة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454:14</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60:16</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445:41</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الدّر المنضود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 ابواب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92:10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101:13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519:7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445:41</w:t>
      </w:r>
      <w:r>
        <w:rPr>
          <w:rFonts w:ascii="IRNazanin" w:hAnsi="IRNazanin" w:eastAsia="IRNazanin"/>
          <w:b w:val="false"/>
          <w:b w:val="false"/>
          <w:bCs w:val="false"/>
          <w:i w:val="false"/>
          <w:i w:val="false"/>
          <w:iCs w:val="false"/>
          <w:color w:val="333333"/>
          <w:sz w:val="20"/>
          <w:sz w:val="20"/>
          <w:szCs w:val="20"/>
          <w:rtl w:val="true"/>
        </w:rPr>
        <w:t xml:space="preserve">؛ الدّر المنضود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بقیة الحدود والتعزیرات،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178:13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445:41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الدّر المنضود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260:7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372:28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بقیة الحدود والتعزیرات،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412:41</w:t>
      </w:r>
      <w:r>
        <w:rPr>
          <w:rFonts w:ascii="IRNazanin" w:hAnsi="IRNazanin" w:eastAsia="IRNazanin"/>
          <w:b w:val="false"/>
          <w:b w:val="false"/>
          <w:bCs w:val="false"/>
          <w:i w:val="false"/>
          <w:i w:val="false"/>
          <w:iCs w:val="false"/>
          <w:color w:val="333333"/>
          <w:sz w:val="20"/>
          <w:sz w:val="20"/>
          <w:szCs w:val="20"/>
          <w:rtl w:val="true"/>
        </w:rPr>
        <w:t xml:space="preserve">؛ الدّر المنضود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تفصیل الشریعة، کتاب الحدود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484:21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 ابواب احکام الاولاد،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من ابواب مقدمات الحدود و التعزیرات،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409:5</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582:3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59:15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504:2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60:15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 xml:space="preserve">؛ العناوین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222:25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99:29</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بجنوردی، القواعد الفقهیة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العناوین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149:29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من ابواب دعوی القتل،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297:12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من ابواب احکام العشرة،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من ابواب احکام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570:7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362:8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عاقله خویشاوندان ذکور جانی است که از سوی پدر و مادر قرابت دارند، مانند برادران وی و فرزندان آنها و عموها و فرزندانشان و اجداد پدری هر قدر که بالاتر روند و نیز پدر و فرزندان قاتل بر طبق نظر برخی از 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مختلف الشیعة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417:43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526:15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w:t>
      </w:r>
      <w:r>
        <w:rPr>
          <w:rFonts w:eastAsia="IRNazanin" w:cs="IRNazanin"/>
          <w:b w:val="false"/>
          <w:bCs w:val="false"/>
          <w:i w:val="false"/>
          <w:iCs w:val="false"/>
          <w:color w:val="333333"/>
          <w:sz w:val="20"/>
          <w:szCs w:val="20"/>
        </w:rPr>
        <w:t>560:42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ماده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مجازات اسلامی عاقله عبارت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بستگان ذکور نسبی پدر و مادری و یا پدری به ترتیب طبقات ارث به طوری که همه کسانی که حین الفوت میتوانند ارث ببرند، به‌طور مساوی عهده‌دار پرداخت دیه خواهند بود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611:2</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609:3</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مبانی تکملة المنهاج </w:t>
      </w:r>
      <w:r>
        <w:rPr>
          <w:rFonts w:eastAsia="IRNazanin" w:cs="IRNazanin"/>
          <w:b w:val="false"/>
          <w:bCs w:val="false"/>
          <w:i w:val="false"/>
          <w:iCs w:val="false"/>
          <w:color w:val="333333"/>
          <w:sz w:val="20"/>
          <w:szCs w:val="20"/>
        </w:rPr>
        <w:t>79:42</w:t>
      </w:r>
      <w:r>
        <w:rPr>
          <w:rFonts w:ascii="IRNazanin" w:hAnsi="IRNazanin" w:eastAsia="IRNazanin"/>
          <w:b w:val="false"/>
          <w:b w:val="false"/>
          <w:bCs w:val="false"/>
          <w:i w:val="false"/>
          <w:i w:val="false"/>
          <w:iCs w:val="false"/>
          <w:color w:val="333333"/>
          <w:sz w:val="20"/>
          <w:sz w:val="20"/>
          <w:szCs w:val="20"/>
          <w:rtl w:val="true"/>
        </w:rPr>
        <w:t xml:space="preserve">؛ جامع المدارک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تفصیل الشریعة، کتاب‌القصاص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امام خمینی قدس سره اشاره به دو نظریه دیگر در این مسأله، یکی بر این که اگر کودک ده ساله باشد مشمول حکم قصاص قرار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برطبق نظریه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طول قامت کودک به پنج وجب برسد، در صورت ارتکاب قتل قصاص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هر دو نظریه روایاتی است که فقهاآن را نپذیرفته و برطبق آن فتوی نداده‌اند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احکام الاطفال وادلّتها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369:3</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Pr>
        <w:t>403:1</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ابواب مقدمة العبادات،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400:29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العاقله،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609:3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163:15</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103:11</w:t>
      </w:r>
      <w:r>
        <w:rPr>
          <w:rFonts w:ascii="IRNazanin" w:hAnsi="IRNazanin" w:eastAsia="IRNazanin"/>
          <w:b w:val="false"/>
          <w:b w:val="false"/>
          <w:bCs w:val="false"/>
          <w:i w:val="false"/>
          <w:i w:val="false"/>
          <w:iCs w:val="false"/>
          <w:color w:val="333333"/>
          <w:sz w:val="20"/>
          <w:sz w:val="20"/>
          <w:szCs w:val="20"/>
          <w:rtl w:val="true"/>
        </w:rPr>
        <w:t xml:space="preserve">؛ تحریر الوسیلة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183:42</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235:28</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قتل به کودک غیر ممیّز صحیح نیست</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447:13</w:t>
      </w:r>
      <w:r>
        <w:rPr>
          <w:rFonts w:ascii="IRNazanin" w:hAnsi="IRNazanin" w:eastAsia="IRNazanin"/>
          <w:b w:val="false"/>
          <w:b w:val="false"/>
          <w:bCs w:val="false"/>
          <w:i w:val="false"/>
          <w:i w:val="false"/>
          <w:iCs w:val="false"/>
          <w:color w:val="333333"/>
          <w:sz w:val="20"/>
          <w:sz w:val="20"/>
          <w:szCs w:val="20"/>
          <w:rtl w:val="true"/>
        </w:rPr>
        <w:t xml:space="preserve">؛ غایة المراد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106:11</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215:28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90:29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170:5</w:t>
      </w:r>
      <w:r>
        <w:rPr>
          <w:rFonts w:ascii="IRNazanin" w:hAnsi="IRNazanin" w:eastAsia="IRNazanin"/>
          <w:b w:val="false"/>
          <w:b w:val="false"/>
          <w:bCs w:val="false"/>
          <w:i w:val="false"/>
          <w:i w:val="false"/>
          <w:iCs w:val="false"/>
          <w:color w:val="333333"/>
          <w:sz w:val="20"/>
          <w:sz w:val="20"/>
          <w:szCs w:val="20"/>
          <w:rtl w:val="true"/>
        </w:rPr>
        <w:t xml:space="preserve">؛ القصاص علی ضوء القرآن والسنة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الخویی، مبانی تکملة المنهاج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405:13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موسوعة احکام الاطفال وادلّتها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45:29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القصاص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مبانی تکملة المنهاج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احکام الاطفال و ادلّتها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آن</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لغت‌نامه دهخدا </w:t>
      </w:r>
      <w:r>
        <w:rPr>
          <w:rFonts w:eastAsia="IRNazanin" w:cs="IRNazanin"/>
          <w:b w:val="false"/>
          <w:bCs w:val="false"/>
          <w:i w:val="false"/>
          <w:iCs w:val="false"/>
          <w:color w:val="333333"/>
          <w:sz w:val="20"/>
          <w:szCs w:val="20"/>
        </w:rPr>
        <w:t>11454:8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مبانی تکملة المنهاج </w:t>
      </w:r>
      <w:r>
        <w:rPr>
          <w:rFonts w:eastAsia="IRNazanin" w:cs="IRNazanin"/>
          <w:b w:val="false"/>
          <w:bCs w:val="false"/>
          <w:i w:val="false"/>
          <w:iCs w:val="false"/>
          <w:color w:val="333333"/>
          <w:sz w:val="20"/>
          <w:szCs w:val="20"/>
        </w:rPr>
        <w:t>229:42</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خویشاوندان ذکور که از ناحیه پدر و مادر با او قرابت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برادران و فرزندان آنها عموها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میباشد، المبسوط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609:3</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610:2</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161:15</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ارشاد الاذهان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کشف الرموز </w:t>
      </w:r>
      <w:r>
        <w:rPr>
          <w:rFonts w:eastAsia="IRNazanin" w:cs="IRNazanin"/>
          <w:b w:val="false"/>
          <w:bCs w:val="false"/>
          <w:i w:val="false"/>
          <w:iCs w:val="false"/>
          <w:color w:val="333333"/>
          <w:sz w:val="20"/>
          <w:szCs w:val="20"/>
        </w:rPr>
        <w:t>684:2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421:43</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176:5</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Pr>
        <w:t>357:16</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400:29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ابواب العاقله،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الشرعیة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250:4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339:15</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66:43</w:t>
      </w:r>
      <w:r>
        <w:rPr>
          <w:rFonts w:ascii="IRNazanin" w:hAnsi="IRNazanin" w:eastAsia="IRNazanin"/>
          <w:b w:val="false"/>
          <w:b w:val="false"/>
          <w:bCs w:val="false"/>
          <w:i w:val="false"/>
          <w:i w:val="false"/>
          <w:iCs w:val="false"/>
          <w:color w:val="333333"/>
          <w:sz w:val="20"/>
          <w:sz w:val="20"/>
          <w:szCs w:val="20"/>
          <w:rtl w:val="true"/>
        </w:rPr>
        <w:t xml:space="preserve">؛ موسوعه الامام الخویی، مبانی تکملة المنهاج </w:t>
      </w:r>
      <w:r>
        <w:rPr>
          <w:rFonts w:eastAsia="IRNazanin" w:cs="IRNazanin"/>
          <w:b w:val="false"/>
          <w:bCs w:val="false"/>
          <w:i w:val="false"/>
          <w:iCs w:val="false"/>
          <w:color w:val="333333"/>
          <w:sz w:val="20"/>
          <w:szCs w:val="20"/>
        </w:rPr>
        <w:t>284:42</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منابع؛ موسوعة احکام الاطفال وادلّتها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شرائع الاسلام </w:t>
      </w:r>
      <w:r>
        <w:rPr>
          <w:rFonts w:eastAsia="IRNazanin" w:cs="IRNazanin"/>
          <w:b w:val="false"/>
          <w:bCs w:val="false"/>
          <w:i w:val="false"/>
          <w:iCs w:val="false"/>
          <w:color w:val="333333"/>
          <w:sz w:val="20"/>
          <w:szCs w:val="20"/>
        </w:rPr>
        <w:t>291:4</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712:3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518:11</w:t>
      </w:r>
      <w:r>
        <w:rPr>
          <w:rFonts w:ascii="IRNazanin" w:hAnsi="IRNazanin" w:eastAsia="IRNazanin"/>
          <w:b w:val="false"/>
          <w:b w:val="false"/>
          <w:bCs w:val="false"/>
          <w:i w:val="false"/>
          <w:i w:val="false"/>
          <w:iCs w:val="false"/>
          <w:color w:val="333333"/>
          <w:sz w:val="20"/>
          <w:sz w:val="20"/>
          <w:szCs w:val="20"/>
          <w:rtl w:val="true"/>
        </w:rPr>
        <w:t xml:space="preserve">؛ موسوعة الامام خویی، مبانی تکمله المنهاج </w:t>
      </w:r>
      <w:r>
        <w:rPr>
          <w:rFonts w:eastAsia="IRNazanin" w:cs="IRNazanin"/>
          <w:b w:val="false"/>
          <w:bCs w:val="false"/>
          <w:i w:val="false"/>
          <w:iCs w:val="false"/>
          <w:color w:val="333333"/>
          <w:sz w:val="20"/>
          <w:szCs w:val="20"/>
        </w:rPr>
        <w:t>554:42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الخویی، مبانی تکملة المنهاج </w:t>
      </w:r>
      <w:r>
        <w:rPr>
          <w:rFonts w:eastAsia="IRNazanin" w:cs="IRNazanin"/>
          <w:b w:val="false"/>
          <w:bCs w:val="false"/>
          <w:i w:val="false"/>
          <w:iCs w:val="false"/>
          <w:color w:val="333333"/>
          <w:sz w:val="20"/>
          <w:szCs w:val="20"/>
        </w:rPr>
        <w:t>555:42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442:43</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353:29</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آیا جنایات اشخاص کور به منزله عمد است یا خطا، دو دیدگاه مطرح است، بعضی آن را به منزله عمد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368:3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389:4</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آن را به منزله خطا دانسته‌اند و دلیل آن را روایتی که در متن ذکر شد و دیگر روایات 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495:2</w:t>
      </w:r>
      <w:r>
        <w:rPr>
          <w:rFonts w:ascii="IRNazanin" w:hAnsi="IRNazanin" w:eastAsia="IRNazanin"/>
          <w:b w:val="false"/>
          <w:b w:val="false"/>
          <w:bCs w:val="false"/>
          <w:i w:val="false"/>
          <w:i w:val="false"/>
          <w:iCs w:val="false"/>
          <w:color w:val="333333"/>
          <w:sz w:val="20"/>
          <w:sz w:val="20"/>
          <w:szCs w:val="20"/>
          <w:rtl w:val="true"/>
        </w:rPr>
        <w:t xml:space="preserve">؛ موسوعه الامام الخوئی، مبانی تکملة المنهاج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399:29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من ابواب العاقله،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525:15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397:29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ابواب العاقله،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ابواب العاقله،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 ابواب القصاص فی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444:43</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581:16</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503:15</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407:43</w:t>
      </w:r>
      <w:r>
        <w:rPr>
          <w:rFonts w:ascii="IRNazanin" w:hAnsi="IRNazanin" w:eastAsia="IRNazanin"/>
          <w:b w:val="false"/>
          <w:b w:val="false"/>
          <w:bCs w:val="false"/>
          <w:i w:val="false"/>
          <w:i w:val="false"/>
          <w:iCs w:val="false"/>
          <w:color w:val="333333"/>
          <w:sz w:val="20"/>
          <w:sz w:val="20"/>
          <w:szCs w:val="20"/>
          <w:rtl w:val="true"/>
        </w:rPr>
        <w:t>؛ تفصیل الشریعة، کتاب الدیات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tl w:val="true"/>
        </w:rPr>
        <w:t xml:space="preserve">؛ مسالک الافهام </w:t>
      </w:r>
      <w:r>
        <w:rPr>
          <w:rFonts w:eastAsia="IRNazanin" w:cs="IRNazanin"/>
          <w:b w:val="false"/>
          <w:bCs w:val="false"/>
          <w:i w:val="false"/>
          <w:iCs w:val="false"/>
          <w:color w:val="333333"/>
          <w:sz w:val="20"/>
          <w:szCs w:val="20"/>
        </w:rPr>
        <w:t>505:15</w:t>
      </w:r>
      <w:r>
        <w:rPr>
          <w:rFonts w:ascii="IRNazanin" w:hAnsi="IRNazanin" w:eastAsia="IRNazanin"/>
          <w:b w:val="false"/>
          <w:b w:val="false"/>
          <w:bCs w:val="false"/>
          <w:i w:val="false"/>
          <w:i w:val="false"/>
          <w:iCs w:val="false"/>
          <w:color w:val="333333"/>
          <w:sz w:val="20"/>
          <w:sz w:val="20"/>
          <w:szCs w:val="20"/>
          <w:rtl w:val="true"/>
        </w:rPr>
        <w:t xml:space="preserve">؛ مهذب الاحکام </w:t>
      </w:r>
      <w:r>
        <w:rPr>
          <w:rFonts w:eastAsia="IRNazanin" w:cs="IRNazanin"/>
          <w:b w:val="false"/>
          <w:bCs w:val="false"/>
          <w:i w:val="false"/>
          <w:iCs w:val="false"/>
          <w:color w:val="333333"/>
          <w:sz w:val="20"/>
          <w:szCs w:val="20"/>
        </w:rPr>
        <w:t>364:29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505:15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713:3</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523:11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412:43</w:t>
      </w:r>
      <w:r>
        <w:rPr>
          <w:rFonts w:ascii="IRNazanin" w:hAnsi="IRNazanin" w:eastAsia="IRNazanin"/>
          <w:b w:val="false"/>
          <w:b w:val="false"/>
          <w:bCs w:val="false"/>
          <w:i w:val="false"/>
          <w:i w:val="false"/>
          <w:iCs w:val="false"/>
          <w:color w:val="333333"/>
          <w:sz w:val="20"/>
          <w:sz w:val="20"/>
          <w:szCs w:val="20"/>
          <w:rtl w:val="true"/>
        </w:rPr>
        <w:t xml:space="preserve">؛ موسوعة الامام الخوئی، مبانی تکملة المنهاج </w:t>
      </w:r>
      <w:r>
        <w:rPr>
          <w:rFonts w:eastAsia="IRNazanin" w:cs="IRNazanin"/>
          <w:b w:val="false"/>
          <w:bCs w:val="false"/>
          <w:i w:val="false"/>
          <w:iCs w:val="false"/>
          <w:color w:val="333333"/>
          <w:sz w:val="20"/>
          <w:szCs w:val="20"/>
        </w:rPr>
        <w:t>538:42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523:11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752:4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الخوئی، مبانی تکملة المنهاج </w:t>
      </w:r>
      <w:r>
        <w:rPr>
          <w:rFonts w:eastAsia="IRNazanin" w:cs="IRNazanin"/>
          <w:b w:val="false"/>
          <w:bCs w:val="false"/>
          <w:i w:val="false"/>
          <w:iCs w:val="false"/>
          <w:color w:val="333333"/>
          <w:sz w:val="20"/>
          <w:szCs w:val="20"/>
        </w:rPr>
        <w:t>538:42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شریفی، کودکان استثنایی ویژگیها و محدودیت‌های روان شناختی کودکان اسثتنایی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w:t>
      </w:r>
      <w:r>
        <w:rPr>
          <w:rFonts w:eastAsia="IRNazanin" w:cs="IRNazanin"/>
          <w:b w:val="false"/>
          <w:bCs w:val="false"/>
          <w:i w:val="false"/>
          <w:iCs w:val="false"/>
          <w:color w:val="333333"/>
          <w:sz w:val="20"/>
          <w:szCs w:val="20"/>
        </w:rPr>
        <w:t>373:16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اطیب البیان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123:17</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w:t>
      </w:r>
      <w:r>
        <w:rPr>
          <w:rFonts w:eastAsia="IRNazanin" w:cs="IRNazanin"/>
          <w:b w:val="false"/>
          <w:bCs w:val="false"/>
          <w:i w:val="false"/>
          <w:iCs w:val="false"/>
          <w:color w:val="333333"/>
          <w:sz w:val="20"/>
          <w:szCs w:val="20"/>
        </w:rPr>
        <w:t>41:30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450:16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444:20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تفسیر المیزان </w:t>
      </w:r>
      <w:r>
        <w:rPr>
          <w:rFonts w:eastAsia="IRNazanin" w:cs="IRNazanin"/>
          <w:b w:val="false"/>
          <w:bCs w:val="false"/>
          <w:i w:val="false"/>
          <w:iCs w:val="false"/>
          <w:color w:val="333333"/>
          <w:sz w:val="20"/>
          <w:szCs w:val="20"/>
        </w:rPr>
        <w:t>86:18</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شریفی، کودکان استثنایی، ویژگیها و محدودیت‌های روان‌شناختی کودکان استثنایی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دانیل پی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هالاهان جمیر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کافمن، کودکان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تعلیم و تربیت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ترجمه‌فرهادماهر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کودکان دیر آموز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قواعد الاحکام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378:28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بقیة الحدود و التعزیرات،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الحیض،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تفسیر مواهب الرحمن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115:20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553:3</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398:7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79:20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مقدمات النکاح،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پرویز شریفی، کودکان استثنایی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دانیل پی هالا هان، جیمز ام کافمن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کودکان استثنایی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زمینه تعلیم و تربیت ویژه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فرهاد ماهر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پرویز شریفی، کودکان استثنایی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نهج‌البلااغه، بخش نامه‌ها،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177:9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342:10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جانسن، روبرتاورنر، راهنمای آموزش گام به گام نوزادان و کودکان عقب مانده ترجمه حسام گوهری، شهین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 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حقوق کودک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به نقل از کتاب کودکان دیرآموز مقدمه مؤلف</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بزه‌دیدگی اطفال در حقوق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530.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575</Pages>
  <Words>79192</Words>
  <Characters>311977</Characters>
  <CharactersWithSpaces>388108</CharactersWithSpaces>
  <Paragraphs>3060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2026-08-28T09:36:04Z</dcterms:created>
  <dc:creator>ghaemiyeh.com</dc:creator>
  <dc:description/>
  <dc:language>en-US</dc:language>
  <cp:lastModifiedBy/>
  <dcterms:modified xsi:type="dcterms:W3CDTF">2026-08-28T13:06:33Z</dcterms:modified>
  <cp:revision>1</cp:revision>
  <dc:subject/>
  <dc:title>احکام و حقوق کودکان در اسلام برگرفته از موسوعة احکام الاطفال و ادلتها جلد 2</dc:title>
</cp:coreProperties>
</file>

<file path=docProps/custom.xml><?xml version="1.0" encoding="utf-8"?>
<Properties xmlns="http://schemas.openxmlformats.org/officeDocument/2006/custom-properties" xmlns:vt="http://schemas.openxmlformats.org/officeDocument/2006/docPropsVTypes"/>
</file>