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ست رسالات فقهیه استدلالیه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02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403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4032_1051229030">
            <w:r>
              <w:rPr>
                <w:webHidden/>
                <w:rStyle w:val="IndexLink"/>
                <w:rtl w:val="true"/>
              </w:rPr>
              <w:t>نبذة من حياة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634034_1051229030">
            <w:r>
              <w:rPr>
                <w:webHidden/>
                <w:rStyle w:val="IndexLink"/>
                <w:rtl w:val="true"/>
              </w:rPr>
              <w:t>الرسالة الأولى</w:t>
            </w:r>
            <w:r>
              <w:rPr>
                <w:rStyle w:val="IndexLink"/>
                <w:rtl w:val="true"/>
              </w:rPr>
              <w:t xml:space="preserve">: </w:t>
            </w:r>
            <w:r>
              <w:rPr>
                <w:rStyle w:val="IndexLink"/>
                <w:rtl w:val="true"/>
              </w:rPr>
              <w:t xml:space="preserve">في المراد من التفريق بين الصلاتين المشتركتين في الوقت </w:t>
            </w:r>
            <w:r>
              <w:rPr>
                <w:rStyle w:val="IndexLink"/>
                <w:rtl w:val="true"/>
              </w:rPr>
              <w:t xml:space="preserve">- </w:t>
            </w:r>
            <w:r>
              <w:rPr>
                <w:rStyle w:val="IndexLink"/>
                <w:rtl w:val="true"/>
              </w:rPr>
              <w:t xml:space="preserve">کالظهرين والعشاءين </w:t>
            </w:r>
            <w:r>
              <w:rPr>
                <w:rStyle w:val="IndexLink"/>
                <w:rtl w:val="true"/>
              </w:rPr>
              <w:t xml:space="preserve">- </w:t>
            </w:r>
            <w:r>
              <w:rPr>
                <w:rStyle w:val="IndexLink"/>
                <w:rtl w:val="true"/>
              </w:rPr>
              <w:t>وأن الجمع بينهما أيضا مستحب</w:t>
            </w:r>
            <w:r>
              <w:rPr>
                <w:rStyle w:val="IndexLink"/>
                <w:rtl w:val="true"/>
              </w:rPr>
              <w:tab/>
            </w:r>
            <w:r>
              <w:rPr>
                <w:rStyle w:val="IndexLink"/>
              </w:rPr>
              <w:t>18</w:t>
            </w:r>
          </w:hyperlink>
        </w:p>
        <w:p>
          <w:pPr>
            <w:pStyle w:val="Contents3"/>
            <w:tabs>
              <w:tab w:val="clear" w:pos="8459"/>
              <w:tab w:val="right" w:pos="9026" w:leader="dot"/>
            </w:tabs>
            <w:rPr/>
          </w:pPr>
          <w:hyperlink w:anchor="__RefHeading___Toc634036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34038_1051229030">
            <w:r>
              <w:rPr>
                <w:webHidden/>
                <w:rStyle w:val="IndexLink"/>
                <w:rtl w:val="true"/>
              </w:rPr>
              <w:t>إشارة إجمالية إلى ما في المقام</w:t>
            </w:r>
            <w:r>
              <w:rPr>
                <w:rStyle w:val="IndexLink"/>
                <w:rtl w:val="true"/>
              </w:rPr>
              <w:tab/>
            </w:r>
            <w:r>
              <w:rPr>
                <w:rStyle w:val="IndexLink"/>
              </w:rPr>
              <w:t>20</w:t>
            </w:r>
          </w:hyperlink>
        </w:p>
        <w:p>
          <w:pPr>
            <w:pStyle w:val="Contents3"/>
            <w:tabs>
              <w:tab w:val="clear" w:pos="8459"/>
              <w:tab w:val="right" w:pos="9026" w:leader="dot"/>
            </w:tabs>
            <w:rPr/>
          </w:pPr>
          <w:hyperlink w:anchor="__RefHeading___Toc634040_1051229030">
            <w:r>
              <w:rPr>
                <w:webHidden/>
                <w:rStyle w:val="IndexLink"/>
                <w:rtl w:val="true"/>
              </w:rPr>
              <w:t>أدلة القول باستحباب التفريق</w:t>
            </w:r>
            <w:r>
              <w:rPr>
                <w:rStyle w:val="IndexLink"/>
                <w:rtl w:val="true"/>
              </w:rPr>
              <w:tab/>
            </w:r>
            <w:r>
              <w:rPr>
                <w:rStyle w:val="IndexLink"/>
              </w:rPr>
              <w:t>21</w:t>
            </w:r>
          </w:hyperlink>
        </w:p>
        <w:p>
          <w:pPr>
            <w:pStyle w:val="Contents3"/>
            <w:tabs>
              <w:tab w:val="clear" w:pos="8459"/>
              <w:tab w:val="right" w:pos="9026" w:leader="dot"/>
            </w:tabs>
            <w:rPr/>
          </w:pPr>
          <w:hyperlink w:anchor="__RefHeading___Toc634042_1051229030">
            <w:r>
              <w:rPr>
                <w:webHidden/>
                <w:rStyle w:val="IndexLink"/>
                <w:rtl w:val="true"/>
              </w:rPr>
              <w:t>رد ما استدل به على استحباب التفريق</w:t>
            </w:r>
            <w:r>
              <w:rPr>
                <w:rStyle w:val="IndexLink"/>
                <w:rtl w:val="true"/>
              </w:rPr>
              <w:tab/>
            </w:r>
            <w:r>
              <w:rPr>
                <w:rStyle w:val="IndexLink"/>
              </w:rPr>
              <w:t>22</w:t>
            </w:r>
          </w:hyperlink>
        </w:p>
        <w:p>
          <w:pPr>
            <w:pStyle w:val="Contents3"/>
            <w:tabs>
              <w:tab w:val="clear" w:pos="8459"/>
              <w:tab w:val="right" w:pos="9026" w:leader="dot"/>
            </w:tabs>
            <w:rPr/>
          </w:pPr>
          <w:hyperlink w:anchor="__RefHeading___Toc634044_1051229030">
            <w:r>
              <w:rPr>
                <w:webHidden/>
                <w:rStyle w:val="IndexLink"/>
                <w:rtl w:val="true"/>
              </w:rPr>
              <w:t>ما نسب إلى المشهور من استحباب التفريق وما فيه</w:t>
            </w:r>
            <w:r>
              <w:rPr>
                <w:rStyle w:val="IndexLink"/>
                <w:rtl w:val="true"/>
              </w:rPr>
              <w:tab/>
            </w:r>
            <w:r>
              <w:rPr>
                <w:rStyle w:val="IndexLink"/>
              </w:rPr>
              <w:t>23</w:t>
            </w:r>
          </w:hyperlink>
        </w:p>
        <w:p>
          <w:pPr>
            <w:pStyle w:val="Contents3"/>
            <w:tabs>
              <w:tab w:val="clear" w:pos="8459"/>
              <w:tab w:val="right" w:pos="9026" w:leader="dot"/>
            </w:tabs>
            <w:rPr/>
          </w:pPr>
          <w:hyperlink w:anchor="__RefHeading___Toc634046_1051229030">
            <w:r>
              <w:rPr>
                <w:webHidden/>
                <w:rStyle w:val="IndexLink"/>
                <w:rtl w:val="true"/>
              </w:rPr>
              <w:t>ما ورد من طرق العامة في جمع النبي صلي الله عليه واله بين الصلاتین</w:t>
            </w:r>
            <w:r>
              <w:rPr>
                <w:rStyle w:val="IndexLink"/>
                <w:rtl w:val="true"/>
              </w:rPr>
              <w:tab/>
            </w:r>
            <w:r>
              <w:rPr>
                <w:rStyle w:val="IndexLink"/>
              </w:rPr>
              <w:t>27</w:t>
            </w:r>
          </w:hyperlink>
        </w:p>
        <w:p>
          <w:pPr>
            <w:pStyle w:val="Contents3"/>
            <w:tabs>
              <w:tab w:val="clear" w:pos="8459"/>
              <w:tab w:val="right" w:pos="9026" w:leader="dot"/>
            </w:tabs>
            <w:rPr/>
          </w:pPr>
          <w:hyperlink w:anchor="__RefHeading___Toc634048_1051229030">
            <w:r>
              <w:rPr>
                <w:webHidden/>
                <w:rStyle w:val="IndexLink"/>
                <w:rtl w:val="true"/>
              </w:rPr>
              <w:t>تأويلات العامة للأخبار الدالة على جمع النبي صلي الله عليه واله</w:t>
            </w:r>
            <w:r>
              <w:rPr>
                <w:rStyle w:val="IndexLink"/>
                <w:rtl w:val="true"/>
              </w:rPr>
              <w:tab/>
            </w:r>
            <w:r>
              <w:rPr>
                <w:rStyle w:val="IndexLink"/>
              </w:rPr>
              <w:t>29</w:t>
            </w:r>
          </w:hyperlink>
        </w:p>
        <w:p>
          <w:pPr>
            <w:pStyle w:val="Contents3"/>
            <w:tabs>
              <w:tab w:val="clear" w:pos="8459"/>
              <w:tab w:val="right" w:pos="9026" w:leader="dot"/>
            </w:tabs>
            <w:rPr/>
          </w:pPr>
          <w:hyperlink w:anchor="__RefHeading___Toc634050_1051229030">
            <w:r>
              <w:rPr>
                <w:webHidden/>
                <w:rStyle w:val="IndexLink"/>
                <w:rtl w:val="true"/>
              </w:rPr>
              <w:t>ما يؤيد المختار</w:t>
            </w:r>
            <w:r>
              <w:rPr>
                <w:rStyle w:val="IndexLink"/>
                <w:rtl w:val="true"/>
              </w:rPr>
              <w:tab/>
            </w:r>
            <w:r>
              <w:rPr>
                <w:rStyle w:val="IndexLink"/>
              </w:rPr>
              <w:t>30</w:t>
            </w:r>
          </w:hyperlink>
        </w:p>
        <w:p>
          <w:pPr>
            <w:pStyle w:val="Contents3"/>
            <w:tabs>
              <w:tab w:val="clear" w:pos="8459"/>
              <w:tab w:val="right" w:pos="9026" w:leader="dot"/>
            </w:tabs>
            <w:rPr/>
          </w:pPr>
          <w:hyperlink w:anchor="__RefHeading___Toc634052_1051229030">
            <w:r>
              <w:rPr>
                <w:webHidden/>
                <w:rStyle w:val="IndexLink"/>
                <w:rtl w:val="true"/>
              </w:rPr>
              <w:t>العامة تاركون للستة لا أهلها</w:t>
            </w:r>
            <w:r>
              <w:rPr>
                <w:rStyle w:val="IndexLink"/>
                <w:rtl w:val="true"/>
              </w:rPr>
              <w:tab/>
            </w:r>
            <w:r>
              <w:rPr>
                <w:rStyle w:val="IndexLink"/>
              </w:rPr>
              <w:t>33</w:t>
            </w:r>
          </w:hyperlink>
        </w:p>
        <w:p>
          <w:pPr>
            <w:pStyle w:val="Contents3"/>
            <w:tabs>
              <w:tab w:val="clear" w:pos="8459"/>
              <w:tab w:val="right" w:pos="9026" w:leader="dot"/>
            </w:tabs>
            <w:rPr/>
          </w:pPr>
          <w:hyperlink w:anchor="__RefHeading___Toc634054_1051229030">
            <w:r>
              <w:rPr>
                <w:webHidden/>
                <w:rStyle w:val="IndexLink"/>
                <w:rtl w:val="true"/>
              </w:rPr>
              <w:t>الثالث من أدلة المختار</w:t>
            </w:r>
            <w:r>
              <w:rPr>
                <w:rStyle w:val="IndexLink"/>
                <w:rtl w:val="true"/>
              </w:rPr>
              <w:tab/>
            </w:r>
            <w:r>
              <w:rPr>
                <w:rStyle w:val="IndexLink"/>
              </w:rPr>
              <w:t>37</w:t>
            </w:r>
          </w:hyperlink>
        </w:p>
        <w:p>
          <w:pPr>
            <w:pStyle w:val="Contents3"/>
            <w:tabs>
              <w:tab w:val="clear" w:pos="8459"/>
              <w:tab w:val="right" w:pos="9026" w:leader="dot"/>
            </w:tabs>
            <w:rPr/>
          </w:pPr>
          <w:hyperlink w:anchor="__RefHeading___Toc634056_1051229030">
            <w:r>
              <w:rPr>
                <w:webHidden/>
                <w:rStyle w:val="IndexLink"/>
                <w:rtl w:val="true"/>
              </w:rPr>
              <w:t>دفع وهم</w:t>
            </w:r>
            <w:r>
              <w:rPr>
                <w:rStyle w:val="IndexLink"/>
                <w:rtl w:val="true"/>
              </w:rPr>
              <w:tab/>
            </w:r>
            <w:r>
              <w:rPr>
                <w:rStyle w:val="IndexLink"/>
              </w:rPr>
              <w:t>39</w:t>
            </w:r>
          </w:hyperlink>
        </w:p>
        <w:p>
          <w:pPr>
            <w:pStyle w:val="Contents3"/>
            <w:tabs>
              <w:tab w:val="clear" w:pos="8459"/>
              <w:tab w:val="right" w:pos="9026" w:leader="dot"/>
            </w:tabs>
            <w:rPr/>
          </w:pPr>
          <w:hyperlink w:anchor="__RefHeading___Toc634058_1051229030">
            <w:r>
              <w:rPr>
                <w:webHidden/>
                <w:rStyle w:val="IndexLink"/>
                <w:rtl w:val="true"/>
              </w:rPr>
              <w:t>الرابع من أدلة المختار</w:t>
            </w:r>
            <w:r>
              <w:rPr>
                <w:rStyle w:val="IndexLink"/>
                <w:rtl w:val="true"/>
              </w:rPr>
              <w:tab/>
            </w:r>
            <w:r>
              <w:rPr>
                <w:rStyle w:val="IndexLink"/>
              </w:rPr>
              <w:t>39</w:t>
            </w:r>
          </w:hyperlink>
        </w:p>
        <w:p>
          <w:pPr>
            <w:pStyle w:val="Contents3"/>
            <w:tabs>
              <w:tab w:val="clear" w:pos="8459"/>
              <w:tab w:val="right" w:pos="9026" w:leader="dot"/>
            </w:tabs>
            <w:rPr/>
          </w:pPr>
          <w:hyperlink w:anchor="__RefHeading___Toc634060_1051229030">
            <w:r>
              <w:rPr>
                <w:webHidden/>
                <w:rStyle w:val="IndexLink"/>
                <w:rtl w:val="true"/>
              </w:rPr>
              <w:t>نتيجة البحث</w:t>
            </w:r>
            <w:r>
              <w:rPr>
                <w:rStyle w:val="IndexLink"/>
                <w:rtl w:val="true"/>
              </w:rPr>
              <w:tab/>
            </w:r>
            <w:r>
              <w:rPr>
                <w:rStyle w:val="IndexLink"/>
              </w:rPr>
              <w:t>42</w:t>
            </w:r>
          </w:hyperlink>
        </w:p>
        <w:p>
          <w:pPr>
            <w:pStyle w:val="Contents2"/>
            <w:tabs>
              <w:tab w:val="clear" w:pos="8743"/>
              <w:tab w:val="right" w:pos="9026" w:leader="dot"/>
            </w:tabs>
            <w:rPr/>
          </w:pPr>
          <w:hyperlink w:anchor="__RefHeading___Toc634062_1051229030">
            <w:r>
              <w:rPr>
                <w:webHidden/>
                <w:rStyle w:val="IndexLink"/>
                <w:rtl w:val="true"/>
              </w:rPr>
              <w:t>الرسالة الثانية</w:t>
            </w:r>
            <w:r>
              <w:rPr>
                <w:rStyle w:val="IndexLink"/>
                <w:rtl w:val="true"/>
              </w:rPr>
              <w:t xml:space="preserve">: </w:t>
            </w:r>
            <w:r>
              <w:rPr>
                <w:rStyle w:val="IndexLink"/>
                <w:rtl w:val="true"/>
              </w:rPr>
              <w:t>في حكم نوافل الصلوات في خمسة أوقات من اليوم</w:t>
            </w:r>
            <w:r>
              <w:rPr>
                <w:rStyle w:val="IndexLink"/>
                <w:rtl w:val="true"/>
              </w:rPr>
              <w:t>:</w:t>
              <w:tab/>
            </w:r>
            <w:r>
              <w:rPr>
                <w:rStyle w:val="IndexLink"/>
              </w:rPr>
              <w:t>44</w:t>
            </w:r>
          </w:hyperlink>
        </w:p>
        <w:p>
          <w:pPr>
            <w:pStyle w:val="Contents3"/>
            <w:tabs>
              <w:tab w:val="clear" w:pos="8459"/>
              <w:tab w:val="right" w:pos="9026" w:leader="dot"/>
            </w:tabs>
            <w:rPr/>
          </w:pPr>
          <w:hyperlink w:anchor="__RefHeading___Toc634064_105122903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34066_1051229030">
            <w:r>
              <w:rPr>
                <w:webHidden/>
                <w:rStyle w:val="IndexLink"/>
                <w:rtl w:val="true"/>
              </w:rPr>
              <w:t>كراهة النوافل عند العامة والخاصة</w:t>
            </w:r>
            <w:r>
              <w:rPr>
                <w:rStyle w:val="IndexLink"/>
                <w:rtl w:val="true"/>
              </w:rPr>
              <w:tab/>
            </w:r>
            <w:r>
              <w:rPr>
                <w:rStyle w:val="IndexLink"/>
              </w:rPr>
              <w:t>46</w:t>
            </w:r>
          </w:hyperlink>
        </w:p>
        <w:p>
          <w:pPr>
            <w:pStyle w:val="Contents3"/>
            <w:tabs>
              <w:tab w:val="clear" w:pos="8459"/>
              <w:tab w:val="right" w:pos="9026" w:leader="dot"/>
            </w:tabs>
            <w:rPr/>
          </w:pPr>
          <w:hyperlink w:anchor="__RefHeading___Toc634068_1051229030">
            <w:r>
              <w:rPr>
                <w:webHidden/>
                <w:rStyle w:val="IndexLink"/>
                <w:rtl w:val="true"/>
              </w:rPr>
              <w:t>مناقشة في القول بالكراهة</w:t>
            </w:r>
            <w:r>
              <w:rPr>
                <w:rStyle w:val="IndexLink"/>
                <w:rtl w:val="true"/>
              </w:rPr>
              <w:tab/>
            </w:r>
            <w:r>
              <w:rPr>
                <w:rStyle w:val="IndexLink"/>
              </w:rPr>
              <w:t>49</w:t>
            </w:r>
          </w:hyperlink>
        </w:p>
        <w:p>
          <w:pPr>
            <w:pStyle w:val="Contents3"/>
            <w:tabs>
              <w:tab w:val="clear" w:pos="8459"/>
              <w:tab w:val="right" w:pos="9026" w:leader="dot"/>
            </w:tabs>
            <w:rPr/>
          </w:pPr>
          <w:hyperlink w:anchor="__RefHeading___Toc634070_1051229030">
            <w:r>
              <w:rPr>
                <w:webHidden/>
                <w:rStyle w:val="IndexLink"/>
                <w:rtl w:val="true"/>
              </w:rPr>
              <w:t>مایستدل به على الكراهة</w:t>
            </w:r>
            <w:r>
              <w:rPr>
                <w:rStyle w:val="IndexLink"/>
                <w:rtl w:val="true"/>
              </w:rPr>
              <w:tab/>
            </w:r>
            <w:r>
              <w:rPr>
                <w:rStyle w:val="IndexLink"/>
              </w:rPr>
              <w:t>50</w:t>
            </w:r>
          </w:hyperlink>
        </w:p>
        <w:p>
          <w:pPr>
            <w:pStyle w:val="Contents3"/>
            <w:tabs>
              <w:tab w:val="clear" w:pos="8459"/>
              <w:tab w:val="right" w:pos="9026" w:leader="dot"/>
            </w:tabs>
            <w:rPr/>
          </w:pPr>
          <w:hyperlink w:anchor="__RefHeading___Toc634072_1051229030">
            <w:r>
              <w:rPr>
                <w:webHidden/>
                <w:rStyle w:val="IndexLink"/>
                <w:rtl w:val="true"/>
              </w:rPr>
              <w:t>الطائفة الأولى من النصوص وما فيها</w:t>
            </w:r>
            <w:r>
              <w:rPr>
                <w:rStyle w:val="IndexLink"/>
                <w:rtl w:val="true"/>
              </w:rPr>
              <w:tab/>
            </w:r>
            <w:r>
              <w:rPr>
                <w:rStyle w:val="IndexLink"/>
              </w:rPr>
              <w:t>50</w:t>
            </w:r>
          </w:hyperlink>
        </w:p>
        <w:p>
          <w:pPr>
            <w:pStyle w:val="Contents3"/>
            <w:tabs>
              <w:tab w:val="clear" w:pos="8459"/>
              <w:tab w:val="right" w:pos="9026" w:leader="dot"/>
            </w:tabs>
            <w:rPr/>
          </w:pPr>
          <w:hyperlink w:anchor="__RefHeading___Toc634074_1051229030">
            <w:r>
              <w:rPr>
                <w:webHidden/>
                <w:rStyle w:val="IndexLink"/>
                <w:rtl w:val="true"/>
              </w:rPr>
              <w:t>الطائفة الثانية من النصوص</w:t>
            </w:r>
            <w:r>
              <w:rPr>
                <w:rStyle w:val="IndexLink"/>
                <w:rtl w:val="true"/>
              </w:rPr>
              <w:tab/>
            </w:r>
            <w:r>
              <w:rPr>
                <w:rStyle w:val="IndexLink"/>
              </w:rPr>
              <w:t>55</w:t>
            </w:r>
          </w:hyperlink>
        </w:p>
        <w:p>
          <w:pPr>
            <w:pStyle w:val="Contents3"/>
            <w:tabs>
              <w:tab w:val="clear" w:pos="8459"/>
              <w:tab w:val="right" w:pos="9026" w:leader="dot"/>
            </w:tabs>
            <w:rPr/>
          </w:pPr>
          <w:hyperlink w:anchor="__RefHeading___Toc634076_1051229030">
            <w:r>
              <w:rPr>
                <w:webHidden/>
                <w:rStyle w:val="IndexLink"/>
                <w:rtl w:val="true"/>
              </w:rPr>
              <w:t>دفع دخل</w:t>
            </w:r>
            <w:r>
              <w:rPr>
                <w:rStyle w:val="IndexLink"/>
                <w:rtl w:val="true"/>
              </w:rPr>
              <w:tab/>
            </w:r>
            <w:r>
              <w:rPr>
                <w:rStyle w:val="IndexLink"/>
              </w:rPr>
              <w:t>57</w:t>
            </w:r>
          </w:hyperlink>
        </w:p>
        <w:p>
          <w:pPr>
            <w:pStyle w:val="Contents3"/>
            <w:tabs>
              <w:tab w:val="clear" w:pos="8459"/>
              <w:tab w:val="right" w:pos="9026" w:leader="dot"/>
            </w:tabs>
            <w:rPr/>
          </w:pPr>
          <w:hyperlink w:anchor="__RefHeading___Toc634078_1051229030">
            <w:r>
              <w:rPr>
                <w:webHidden/>
                <w:rStyle w:val="IndexLink"/>
                <w:rtl w:val="true"/>
              </w:rPr>
              <w:t>المناقشة في التعليل المذكور في صحيحة ابن مسلم</w:t>
            </w:r>
            <w:r>
              <w:rPr>
                <w:rStyle w:val="IndexLink"/>
                <w:rtl w:val="true"/>
              </w:rPr>
              <w:tab/>
            </w:r>
            <w:r>
              <w:rPr>
                <w:rStyle w:val="IndexLink"/>
              </w:rPr>
              <w:t>58</w:t>
            </w:r>
          </w:hyperlink>
        </w:p>
        <w:p>
          <w:pPr>
            <w:pStyle w:val="Contents3"/>
            <w:tabs>
              <w:tab w:val="clear" w:pos="8459"/>
              <w:tab w:val="right" w:pos="9026" w:leader="dot"/>
            </w:tabs>
            <w:rPr/>
          </w:pPr>
          <w:hyperlink w:anchor="__RefHeading___Toc634080_1051229030">
            <w:r>
              <w:rPr>
                <w:webHidden/>
                <w:rStyle w:val="IndexLink"/>
                <w:rtl w:val="true"/>
              </w:rPr>
              <w:t>معارض آخر للطائفة الثانية</w:t>
            </w:r>
            <w:r>
              <w:rPr>
                <w:rStyle w:val="IndexLink"/>
                <w:rtl w:val="true"/>
              </w:rPr>
              <w:tab/>
            </w:r>
            <w:r>
              <w:rPr>
                <w:rStyle w:val="IndexLink"/>
              </w:rPr>
              <w:t>59</w:t>
            </w:r>
          </w:hyperlink>
        </w:p>
        <w:p>
          <w:pPr>
            <w:pStyle w:val="Contents3"/>
            <w:tabs>
              <w:tab w:val="clear" w:pos="8459"/>
              <w:tab w:val="right" w:pos="9026" w:leader="dot"/>
            </w:tabs>
            <w:rPr/>
          </w:pPr>
          <w:hyperlink w:anchor="__RefHeading___Toc634082_1051229030">
            <w:r>
              <w:rPr>
                <w:webHidden/>
                <w:rStyle w:val="IndexLink"/>
                <w:rtl w:val="true"/>
              </w:rPr>
              <w:t>استدراك</w:t>
            </w:r>
            <w:r>
              <w:rPr>
                <w:rStyle w:val="IndexLink"/>
                <w:rtl w:val="true"/>
              </w:rPr>
              <w:t xml:space="preserve">: </w:t>
            </w:r>
            <w:r>
              <w:rPr>
                <w:rStyle w:val="IndexLink"/>
                <w:rtl w:val="true"/>
              </w:rPr>
              <w:t>المناقشة في الاستدلال بالصحيحة الأولى والجواب عنها</w:t>
            </w:r>
            <w:r>
              <w:rPr>
                <w:rStyle w:val="IndexLink"/>
                <w:rtl w:val="true"/>
              </w:rPr>
              <w:tab/>
            </w:r>
            <w:r>
              <w:rPr>
                <w:rStyle w:val="IndexLink"/>
              </w:rPr>
              <w:t>61</w:t>
            </w:r>
          </w:hyperlink>
        </w:p>
        <w:p>
          <w:pPr>
            <w:pStyle w:val="Contents3"/>
            <w:tabs>
              <w:tab w:val="clear" w:pos="8459"/>
              <w:tab w:val="right" w:pos="9026" w:leader="dot"/>
            </w:tabs>
            <w:rPr/>
          </w:pPr>
          <w:hyperlink w:anchor="__RefHeading___Toc634084_1051229030">
            <w:r>
              <w:rPr>
                <w:webHidden/>
                <w:rStyle w:val="IndexLink"/>
                <w:rtl w:val="true"/>
              </w:rPr>
              <w:t>نتيجة البحث</w:t>
            </w:r>
            <w:r>
              <w:rPr>
                <w:rStyle w:val="IndexLink"/>
                <w:rtl w:val="true"/>
              </w:rPr>
              <w:tab/>
            </w:r>
            <w:r>
              <w:rPr>
                <w:rStyle w:val="IndexLink"/>
              </w:rPr>
              <w:t>62</w:t>
            </w:r>
          </w:hyperlink>
        </w:p>
        <w:p>
          <w:pPr>
            <w:pStyle w:val="Contents3"/>
            <w:tabs>
              <w:tab w:val="clear" w:pos="8459"/>
              <w:tab w:val="right" w:pos="9026" w:leader="dot"/>
            </w:tabs>
            <w:rPr/>
          </w:pPr>
          <w:hyperlink w:anchor="__RefHeading___Toc634086_1051229030">
            <w:r>
              <w:rPr>
                <w:webHidden/>
                <w:rStyle w:val="IndexLink"/>
                <w:rtl w:val="true"/>
              </w:rPr>
              <w:t>تخصيص مورد الحكم بحال الشروع في النافلة</w:t>
            </w:r>
            <w:r>
              <w:rPr>
                <w:rStyle w:val="IndexLink"/>
                <w:rtl w:val="true"/>
              </w:rPr>
              <w:tab/>
            </w:r>
            <w:r>
              <w:rPr>
                <w:rStyle w:val="IndexLink"/>
              </w:rPr>
              <w:t>63</w:t>
            </w:r>
          </w:hyperlink>
        </w:p>
        <w:p>
          <w:pPr>
            <w:pStyle w:val="Contents3"/>
            <w:tabs>
              <w:tab w:val="clear" w:pos="8459"/>
              <w:tab w:val="right" w:pos="9026" w:leader="dot"/>
            </w:tabs>
            <w:rPr/>
          </w:pPr>
          <w:hyperlink w:anchor="__RefHeading___Toc634088_1051229030">
            <w:r>
              <w:rPr>
                <w:webHidden/>
                <w:rStyle w:val="IndexLink"/>
                <w:rtl w:val="true"/>
              </w:rPr>
              <w:t>تنبيه</w:t>
            </w:r>
            <w:r>
              <w:rPr>
                <w:rStyle w:val="IndexLink"/>
                <w:rtl w:val="true"/>
              </w:rPr>
              <w:tab/>
            </w:r>
            <w:r>
              <w:rPr>
                <w:rStyle w:val="IndexLink"/>
              </w:rPr>
              <w:t>65</w:t>
            </w:r>
          </w:hyperlink>
        </w:p>
        <w:p>
          <w:pPr>
            <w:pStyle w:val="Contents3"/>
            <w:tabs>
              <w:tab w:val="clear" w:pos="8459"/>
              <w:tab w:val="right" w:pos="9026" w:leader="dot"/>
            </w:tabs>
            <w:rPr/>
          </w:pPr>
          <w:hyperlink w:anchor="__RefHeading___Toc634090_1051229030">
            <w:r>
              <w:rPr>
                <w:webHidden/>
                <w:rStyle w:val="IndexLink"/>
                <w:rtl w:val="true"/>
              </w:rPr>
              <w:t>فرع في عدم شمول الحكم بالكراهة لمطلق السجود</w:t>
            </w:r>
            <w:r>
              <w:rPr>
                <w:rStyle w:val="IndexLink"/>
                <w:rtl w:val="true"/>
              </w:rPr>
              <w:tab/>
            </w:r>
            <w:r>
              <w:rPr>
                <w:rStyle w:val="IndexLink"/>
              </w:rPr>
              <w:t>67</w:t>
            </w:r>
          </w:hyperlink>
        </w:p>
        <w:p>
          <w:pPr>
            <w:pStyle w:val="Contents3"/>
            <w:tabs>
              <w:tab w:val="clear" w:pos="8459"/>
              <w:tab w:val="right" w:pos="9026" w:leader="dot"/>
            </w:tabs>
            <w:rPr/>
          </w:pPr>
          <w:hyperlink w:anchor="__RefHeading___Toc634092_1051229030">
            <w:r>
              <w:rPr>
                <w:webHidden/>
                <w:rStyle w:val="IndexLink"/>
                <w:rtl w:val="true"/>
              </w:rPr>
              <w:t>تذییل</w:t>
            </w:r>
            <w:r>
              <w:rPr>
                <w:rStyle w:val="IndexLink"/>
                <w:rtl w:val="true"/>
              </w:rPr>
              <w:t xml:space="preserve">: </w:t>
            </w:r>
            <w:r>
              <w:rPr>
                <w:rStyle w:val="IndexLink"/>
                <w:rtl w:val="true"/>
              </w:rPr>
              <w:t>في تغاير المقام مع جواز التطوع في وقت الفريضة</w:t>
            </w:r>
            <w:r>
              <w:rPr>
                <w:rStyle w:val="IndexLink"/>
                <w:rtl w:val="true"/>
              </w:rPr>
              <w:tab/>
            </w:r>
            <w:r>
              <w:rPr>
                <w:rStyle w:val="IndexLink"/>
              </w:rPr>
              <w:t>69</w:t>
            </w:r>
          </w:hyperlink>
        </w:p>
        <w:p>
          <w:pPr>
            <w:pStyle w:val="Contents2"/>
            <w:tabs>
              <w:tab w:val="clear" w:pos="8743"/>
              <w:tab w:val="right" w:pos="9026" w:leader="dot"/>
            </w:tabs>
            <w:rPr/>
          </w:pPr>
          <w:hyperlink w:anchor="__RefHeading___Toc634094_1051229030">
            <w:r>
              <w:rPr>
                <w:webHidden/>
                <w:rStyle w:val="IndexLink"/>
                <w:rtl w:val="true"/>
              </w:rPr>
              <w:t>الرسالة الثالثة</w:t>
            </w:r>
            <w:r>
              <w:rPr>
                <w:rStyle w:val="IndexLink"/>
                <w:rtl w:val="true"/>
              </w:rPr>
              <w:t xml:space="preserve">: </w:t>
            </w:r>
            <w:r>
              <w:rPr>
                <w:rStyle w:val="IndexLink"/>
                <w:rtl w:val="true"/>
              </w:rPr>
              <w:t>في بيان جزئية الشهادة بالولاية وإمرة المؤمنين لعلي عليه السلام في فصول الأذان والإقامة وتذييل الكلام ببيان الحكم في تشهد الصلاة</w:t>
            </w:r>
            <w:r>
              <w:rPr>
                <w:rStyle w:val="IndexLink"/>
                <w:rtl w:val="true"/>
              </w:rPr>
              <w:tab/>
            </w:r>
            <w:r>
              <w:rPr>
                <w:rStyle w:val="IndexLink"/>
              </w:rPr>
              <w:t>72</w:t>
            </w:r>
          </w:hyperlink>
        </w:p>
        <w:p>
          <w:pPr>
            <w:pStyle w:val="Contents3"/>
            <w:tabs>
              <w:tab w:val="clear" w:pos="8459"/>
              <w:tab w:val="right" w:pos="9026" w:leader="dot"/>
            </w:tabs>
            <w:rPr/>
          </w:pPr>
          <w:hyperlink w:anchor="__RefHeading___Toc634096_105122903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634098_1051229030">
            <w:r>
              <w:rPr>
                <w:webHidden/>
                <w:rStyle w:val="IndexLink"/>
                <w:rtl w:val="true"/>
              </w:rPr>
              <w:t>أقوال العلماء حول أخبار الجزئية</w:t>
            </w:r>
            <w:r>
              <w:rPr>
                <w:rStyle w:val="IndexLink"/>
                <w:rtl w:val="true"/>
              </w:rPr>
              <w:tab/>
            </w:r>
            <w:r>
              <w:rPr>
                <w:rStyle w:val="IndexLink"/>
              </w:rPr>
              <w:t>74</w:t>
            </w:r>
          </w:hyperlink>
        </w:p>
        <w:p>
          <w:pPr>
            <w:pStyle w:val="Contents3"/>
            <w:tabs>
              <w:tab w:val="clear" w:pos="8459"/>
              <w:tab w:val="right" w:pos="9026" w:leader="dot"/>
            </w:tabs>
            <w:rPr/>
          </w:pPr>
          <w:hyperlink w:anchor="__RefHeading___Toc634100_1051229030">
            <w:r>
              <w:rPr>
                <w:webHidden/>
                <w:rStyle w:val="IndexLink"/>
                <w:rtl w:val="true"/>
              </w:rPr>
              <w:t>دفع وهم</w:t>
            </w:r>
            <w:r>
              <w:rPr>
                <w:rStyle w:val="IndexLink"/>
                <w:rtl w:val="true"/>
              </w:rPr>
              <w:tab/>
            </w:r>
            <w:r>
              <w:rPr>
                <w:rStyle w:val="IndexLink"/>
              </w:rPr>
              <w:t>77</w:t>
            </w:r>
          </w:hyperlink>
        </w:p>
        <w:p>
          <w:pPr>
            <w:pStyle w:val="Contents3"/>
            <w:tabs>
              <w:tab w:val="clear" w:pos="8459"/>
              <w:tab w:val="right" w:pos="9026" w:leader="dot"/>
            </w:tabs>
            <w:rPr/>
          </w:pPr>
          <w:hyperlink w:anchor="__RefHeading___Toc634102_1051229030">
            <w:r>
              <w:rPr>
                <w:webHidden/>
                <w:rStyle w:val="IndexLink"/>
                <w:rtl w:val="true"/>
              </w:rPr>
              <w:t>الاستدلال برواية الاحتجاج وما فيه</w:t>
            </w:r>
            <w:r>
              <w:rPr>
                <w:rStyle w:val="IndexLink"/>
                <w:rtl w:val="true"/>
              </w:rPr>
              <w:tab/>
            </w:r>
            <w:r>
              <w:rPr>
                <w:rStyle w:val="IndexLink"/>
              </w:rPr>
              <w:t>79</w:t>
            </w:r>
          </w:hyperlink>
        </w:p>
        <w:p>
          <w:pPr>
            <w:pStyle w:val="Contents3"/>
            <w:tabs>
              <w:tab w:val="clear" w:pos="8459"/>
              <w:tab w:val="right" w:pos="9026" w:leader="dot"/>
            </w:tabs>
            <w:rPr/>
          </w:pPr>
          <w:hyperlink w:anchor="__RefHeading___Toc634104_1051229030">
            <w:r>
              <w:rPr>
                <w:webHidden/>
                <w:rStyle w:val="IndexLink"/>
                <w:rtl w:val="true"/>
              </w:rPr>
              <w:t>أحسن ما یستدل به في المقام</w:t>
            </w:r>
            <w:r>
              <w:rPr>
                <w:rStyle w:val="IndexLink"/>
                <w:rtl w:val="true"/>
              </w:rPr>
              <w:tab/>
            </w:r>
            <w:r>
              <w:rPr>
                <w:rStyle w:val="IndexLink"/>
              </w:rPr>
              <w:t>80</w:t>
            </w:r>
          </w:hyperlink>
        </w:p>
        <w:p>
          <w:pPr>
            <w:pStyle w:val="Contents3"/>
            <w:tabs>
              <w:tab w:val="clear" w:pos="8459"/>
              <w:tab w:val="right" w:pos="9026" w:leader="dot"/>
            </w:tabs>
            <w:rPr/>
          </w:pPr>
          <w:hyperlink w:anchor="__RefHeading___Toc634106_1051229030">
            <w:r>
              <w:rPr>
                <w:webHidden/>
                <w:rStyle w:val="IndexLink"/>
                <w:rtl w:val="true"/>
              </w:rPr>
              <w:t>سبب عدم ذكر هذه الشهادة في الأحاديث المروية عن الأئمة عليهم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634108_1051229030">
            <w:r>
              <w:rPr>
                <w:webHidden/>
                <w:rStyle w:val="IndexLink"/>
                <w:rtl w:val="true"/>
              </w:rPr>
              <w:t>تذییل</w:t>
            </w:r>
            <w:r>
              <w:rPr>
                <w:rStyle w:val="IndexLink"/>
                <w:rtl w:val="true"/>
              </w:rPr>
              <w:t>:</w:t>
            </w:r>
            <w:r>
              <w:rPr>
                <w:rStyle w:val="IndexLink"/>
                <w:rtl w:val="true"/>
              </w:rPr>
              <w:t>في بيان حكم جزئية هذه الشهادة في تشهد الصلاة</w:t>
            </w:r>
            <w:r>
              <w:rPr>
                <w:rStyle w:val="IndexLink"/>
                <w:rtl w:val="true"/>
              </w:rPr>
              <w:tab/>
            </w:r>
            <w:r>
              <w:rPr>
                <w:rStyle w:val="IndexLink"/>
              </w:rPr>
              <w:t>87</w:t>
            </w:r>
          </w:hyperlink>
        </w:p>
        <w:p>
          <w:pPr>
            <w:pStyle w:val="Contents2"/>
            <w:tabs>
              <w:tab w:val="clear" w:pos="8743"/>
              <w:tab w:val="right" w:pos="9026" w:leader="dot"/>
            </w:tabs>
            <w:rPr/>
          </w:pPr>
          <w:hyperlink w:anchor="__RefHeading___Toc634110_1051229030">
            <w:r>
              <w:rPr>
                <w:webHidden/>
                <w:rStyle w:val="IndexLink"/>
                <w:rtl w:val="true"/>
              </w:rPr>
              <w:t>الرسالة الرابعة</w:t>
            </w:r>
            <w:r>
              <w:rPr>
                <w:rStyle w:val="IndexLink"/>
                <w:rtl w:val="true"/>
              </w:rPr>
              <w:t xml:space="preserve">: </w:t>
            </w:r>
            <w:r>
              <w:rPr>
                <w:rStyle w:val="IndexLink"/>
                <w:rtl w:val="true"/>
              </w:rPr>
              <w:t>في ما هو المراد من تحليل أهل البيت علیهم السلام وإباحتهم الخمس لشيعتهم</w:t>
            </w:r>
            <w:r>
              <w:rPr>
                <w:rStyle w:val="IndexLink"/>
                <w:rtl w:val="true"/>
              </w:rPr>
              <w:tab/>
            </w:r>
            <w:r>
              <w:rPr>
                <w:rStyle w:val="IndexLink"/>
              </w:rPr>
              <w:t>92</w:t>
            </w:r>
          </w:hyperlink>
        </w:p>
        <w:p>
          <w:pPr>
            <w:pStyle w:val="Contents3"/>
            <w:tabs>
              <w:tab w:val="clear" w:pos="8459"/>
              <w:tab w:val="right" w:pos="9026" w:leader="dot"/>
            </w:tabs>
            <w:rPr/>
          </w:pPr>
          <w:hyperlink w:anchor="__RefHeading___Toc634112_105122903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634114_1051229030">
            <w:r>
              <w:rPr>
                <w:webHidden/>
                <w:rStyle w:val="IndexLink"/>
                <w:rtl w:val="true"/>
              </w:rPr>
              <w:t>شكوى صاحب الجواهر في المقام</w:t>
            </w:r>
            <w:r>
              <w:rPr>
                <w:rStyle w:val="IndexLink"/>
                <w:rtl w:val="true"/>
              </w:rPr>
              <w:tab/>
            </w:r>
            <w:r>
              <w:rPr>
                <w:rStyle w:val="IndexLink"/>
              </w:rPr>
              <w:t>94</w:t>
            </w:r>
          </w:hyperlink>
        </w:p>
        <w:p>
          <w:pPr>
            <w:pStyle w:val="Contents3"/>
            <w:tabs>
              <w:tab w:val="clear" w:pos="8459"/>
              <w:tab w:val="right" w:pos="9026" w:leader="dot"/>
            </w:tabs>
            <w:rPr/>
          </w:pPr>
          <w:hyperlink w:anchor="__RefHeading___Toc634116_1051229030">
            <w:r>
              <w:rPr>
                <w:webHidden/>
                <w:rStyle w:val="IndexLink"/>
                <w:rtl w:val="true"/>
              </w:rPr>
              <w:t>الطائفة الأولى من النصوص</w:t>
            </w:r>
            <w:r>
              <w:rPr>
                <w:rStyle w:val="IndexLink"/>
                <w:rtl w:val="true"/>
              </w:rPr>
              <w:tab/>
            </w:r>
            <w:r>
              <w:rPr>
                <w:rStyle w:val="IndexLink"/>
              </w:rPr>
              <w:t>95</w:t>
            </w:r>
          </w:hyperlink>
        </w:p>
        <w:p>
          <w:pPr>
            <w:pStyle w:val="Contents3"/>
            <w:tabs>
              <w:tab w:val="clear" w:pos="8459"/>
              <w:tab w:val="right" w:pos="9026" w:leader="dot"/>
            </w:tabs>
            <w:rPr/>
          </w:pPr>
          <w:hyperlink w:anchor="__RefHeading___Toc634118_1051229030">
            <w:r>
              <w:rPr>
                <w:webHidden/>
                <w:rStyle w:val="IndexLink"/>
                <w:rtl w:val="true"/>
              </w:rPr>
              <w:t>بیان ما في أخبار الطائفة الأولى</w:t>
            </w:r>
            <w:r>
              <w:rPr>
                <w:rStyle w:val="IndexLink"/>
                <w:rtl w:val="true"/>
              </w:rPr>
              <w:tab/>
            </w:r>
            <w:r>
              <w:rPr>
                <w:rStyle w:val="IndexLink"/>
              </w:rPr>
              <w:t>97</w:t>
            </w:r>
          </w:hyperlink>
        </w:p>
        <w:p>
          <w:pPr>
            <w:pStyle w:val="Contents3"/>
            <w:tabs>
              <w:tab w:val="clear" w:pos="8459"/>
              <w:tab w:val="right" w:pos="9026" w:leader="dot"/>
            </w:tabs>
            <w:rPr/>
          </w:pPr>
          <w:hyperlink w:anchor="__RefHeading___Toc634120_1051229030">
            <w:r>
              <w:rPr>
                <w:webHidden/>
                <w:rStyle w:val="IndexLink"/>
                <w:rtl w:val="true"/>
              </w:rPr>
              <w:t>الطائفة الثانية من النصوص</w:t>
            </w:r>
            <w:r>
              <w:rPr>
                <w:rStyle w:val="IndexLink"/>
                <w:rtl w:val="true"/>
              </w:rPr>
              <w:tab/>
            </w:r>
            <w:r>
              <w:rPr>
                <w:rStyle w:val="IndexLink"/>
              </w:rPr>
              <w:t>100</w:t>
            </w:r>
          </w:hyperlink>
        </w:p>
        <w:p>
          <w:pPr>
            <w:pStyle w:val="Contents3"/>
            <w:tabs>
              <w:tab w:val="clear" w:pos="8459"/>
              <w:tab w:val="right" w:pos="9026" w:leader="dot"/>
            </w:tabs>
            <w:rPr/>
          </w:pPr>
          <w:hyperlink w:anchor="__RefHeading___Toc634122_1051229030">
            <w:r>
              <w:rPr>
                <w:webHidden/>
                <w:rStyle w:val="IndexLink"/>
                <w:rtl w:val="true"/>
              </w:rPr>
              <w:t>طريق الجمع بين نصوص الطائفتين</w:t>
            </w:r>
            <w:r>
              <w:rPr>
                <w:rStyle w:val="IndexLink"/>
                <w:rtl w:val="true"/>
              </w:rPr>
              <w:t xml:space="preserve">: </w:t>
            </w:r>
            <w:r>
              <w:rPr>
                <w:rStyle w:val="IndexLink"/>
                <w:rtl w:val="true"/>
              </w:rPr>
              <w:t>الأولى والثانية وما فيه</w:t>
            </w:r>
            <w:r>
              <w:rPr>
                <w:rStyle w:val="IndexLink"/>
                <w:rtl w:val="true"/>
              </w:rPr>
              <w:tab/>
            </w:r>
            <w:r>
              <w:rPr>
                <w:rStyle w:val="IndexLink"/>
              </w:rPr>
              <w:t>101</w:t>
            </w:r>
          </w:hyperlink>
        </w:p>
        <w:p>
          <w:pPr>
            <w:pStyle w:val="Contents3"/>
            <w:tabs>
              <w:tab w:val="clear" w:pos="8459"/>
              <w:tab w:val="right" w:pos="9026" w:leader="dot"/>
            </w:tabs>
            <w:rPr/>
          </w:pPr>
          <w:hyperlink w:anchor="__RefHeading___Toc634124_1051229030">
            <w:r>
              <w:rPr>
                <w:webHidden/>
                <w:rStyle w:val="IndexLink"/>
                <w:rtl w:val="true"/>
              </w:rPr>
              <w:t>طريق الجمع الصحيح بين الطائفتين</w:t>
            </w:r>
            <w:r>
              <w:rPr>
                <w:rStyle w:val="IndexLink"/>
                <w:rtl w:val="true"/>
              </w:rPr>
              <w:tab/>
            </w:r>
            <w:r>
              <w:rPr>
                <w:rStyle w:val="IndexLink"/>
              </w:rPr>
              <w:t>103</w:t>
            </w:r>
          </w:hyperlink>
        </w:p>
        <w:p>
          <w:pPr>
            <w:pStyle w:val="Contents3"/>
            <w:tabs>
              <w:tab w:val="clear" w:pos="8459"/>
              <w:tab w:val="right" w:pos="9026" w:leader="dot"/>
            </w:tabs>
            <w:rPr/>
          </w:pPr>
          <w:hyperlink w:anchor="__RefHeading___Toc634126_1051229030">
            <w:r>
              <w:rPr>
                <w:webHidden/>
                <w:rStyle w:val="IndexLink"/>
                <w:rtl w:val="true"/>
              </w:rPr>
              <w:t>الطائفة الثالثة من النصوص</w:t>
            </w:r>
            <w:r>
              <w:rPr>
                <w:rStyle w:val="IndexLink"/>
                <w:rtl w:val="true"/>
              </w:rPr>
              <w:tab/>
            </w:r>
            <w:r>
              <w:rPr>
                <w:rStyle w:val="IndexLink"/>
              </w:rPr>
              <w:t>104</w:t>
            </w:r>
          </w:hyperlink>
        </w:p>
        <w:p>
          <w:pPr>
            <w:pStyle w:val="Contents3"/>
            <w:tabs>
              <w:tab w:val="clear" w:pos="8459"/>
              <w:tab w:val="right" w:pos="9026" w:leader="dot"/>
            </w:tabs>
            <w:rPr/>
          </w:pPr>
          <w:hyperlink w:anchor="__RefHeading___Toc634128_1051229030">
            <w:r>
              <w:rPr>
                <w:webHidden/>
                <w:rStyle w:val="IndexLink"/>
                <w:rtl w:val="true"/>
              </w:rPr>
              <w:t>بیان المراد من الشيعة المحلل لهم الخمس</w:t>
            </w:r>
            <w:r>
              <w:rPr>
                <w:rStyle w:val="IndexLink"/>
                <w:rtl w:val="true"/>
              </w:rPr>
              <w:tab/>
            </w:r>
            <w:r>
              <w:rPr>
                <w:rStyle w:val="IndexLink"/>
              </w:rPr>
              <w:t>107</w:t>
            </w:r>
          </w:hyperlink>
        </w:p>
        <w:p>
          <w:pPr>
            <w:pStyle w:val="Contents3"/>
            <w:tabs>
              <w:tab w:val="clear" w:pos="8459"/>
              <w:tab w:val="right" w:pos="9026" w:leader="dot"/>
            </w:tabs>
            <w:rPr/>
          </w:pPr>
          <w:hyperlink w:anchor="__RefHeading___Toc634130_1051229030">
            <w:r>
              <w:rPr>
                <w:webHidden/>
                <w:rStyle w:val="IndexLink"/>
                <w:rtl w:val="true"/>
              </w:rPr>
              <w:t>نتيجة الجمع بين النصوص</w:t>
            </w:r>
            <w:r>
              <w:rPr>
                <w:rStyle w:val="IndexLink"/>
                <w:rtl w:val="true"/>
              </w:rPr>
              <w:tab/>
            </w:r>
            <w:r>
              <w:rPr>
                <w:rStyle w:val="IndexLink"/>
              </w:rPr>
              <w:t>107</w:t>
            </w:r>
          </w:hyperlink>
        </w:p>
        <w:p>
          <w:pPr>
            <w:pStyle w:val="Contents3"/>
            <w:tabs>
              <w:tab w:val="clear" w:pos="8459"/>
              <w:tab w:val="right" w:pos="9026" w:leader="dot"/>
            </w:tabs>
            <w:rPr/>
          </w:pPr>
          <w:hyperlink w:anchor="__RefHeading___Toc634132_1051229030">
            <w:r>
              <w:rPr>
                <w:webHidden/>
                <w:rStyle w:val="IndexLink"/>
                <w:rtl w:val="true"/>
              </w:rPr>
              <w:t>الأقوال حول المنتقل عنه والمختار فيه</w:t>
            </w:r>
            <w:r>
              <w:rPr>
                <w:rStyle w:val="IndexLink"/>
                <w:rtl w:val="true"/>
              </w:rPr>
              <w:tab/>
            </w:r>
            <w:r>
              <w:rPr>
                <w:rStyle w:val="IndexLink"/>
              </w:rPr>
              <w:t>108</w:t>
            </w:r>
          </w:hyperlink>
        </w:p>
        <w:p>
          <w:pPr>
            <w:pStyle w:val="Contents3"/>
            <w:tabs>
              <w:tab w:val="clear" w:pos="8459"/>
              <w:tab w:val="right" w:pos="9026" w:leader="dot"/>
            </w:tabs>
            <w:rPr/>
          </w:pPr>
          <w:hyperlink w:anchor="__RefHeading___Toc634134_1051229030">
            <w:r>
              <w:rPr>
                <w:webHidden/>
                <w:rStyle w:val="IndexLink"/>
                <w:rtl w:val="true"/>
              </w:rPr>
              <w:t>تذييل</w:t>
            </w:r>
            <w:r>
              <w:rPr>
                <w:rStyle w:val="IndexLink"/>
                <w:rtl w:val="true"/>
              </w:rPr>
              <w:tab/>
            </w:r>
            <w:r>
              <w:rPr>
                <w:rStyle w:val="IndexLink"/>
              </w:rPr>
              <w:t>111</w:t>
            </w:r>
          </w:hyperlink>
        </w:p>
        <w:p>
          <w:pPr>
            <w:pStyle w:val="Contents3"/>
            <w:tabs>
              <w:tab w:val="clear" w:pos="8459"/>
              <w:tab w:val="right" w:pos="9026" w:leader="dot"/>
            </w:tabs>
            <w:rPr/>
          </w:pPr>
          <w:hyperlink w:anchor="__RefHeading___Toc634136_1051229030">
            <w:r>
              <w:rPr>
                <w:webHidden/>
                <w:rStyle w:val="IndexLink"/>
                <w:rtl w:val="true"/>
              </w:rPr>
              <w:t>الفرع الأول</w:t>
            </w:r>
            <w:r>
              <w:rPr>
                <w:rStyle w:val="IndexLink"/>
                <w:rtl w:val="true"/>
              </w:rPr>
              <w:t xml:space="preserve">: </w:t>
            </w:r>
            <w:r>
              <w:rPr>
                <w:rStyle w:val="IndexLink"/>
                <w:rtl w:val="true"/>
              </w:rPr>
              <w:t>في حكم إيصال الخمس إلى المرجع الخاص أو غيره وبيان المختار فيه</w:t>
            </w:r>
            <w:r>
              <w:rPr>
                <w:rStyle w:val="IndexLink"/>
                <w:rtl w:val="true"/>
              </w:rPr>
              <w:tab/>
            </w:r>
            <w:r>
              <w:rPr>
                <w:rStyle w:val="IndexLink"/>
              </w:rPr>
              <w:t>112</w:t>
            </w:r>
          </w:hyperlink>
        </w:p>
        <w:p>
          <w:pPr>
            <w:pStyle w:val="Contents4"/>
            <w:tabs>
              <w:tab w:val="clear" w:pos="8176"/>
              <w:tab w:val="right" w:pos="9026" w:leader="dot"/>
            </w:tabs>
            <w:rPr/>
          </w:pPr>
          <w:hyperlink w:anchor="__RefHeading___Toc634138_105122903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34140_1051229030">
            <w:r>
              <w:rPr>
                <w:webHidden/>
                <w:rStyle w:val="IndexLink"/>
                <w:rtl w:val="true"/>
              </w:rPr>
              <w:t>دفع دخل على القول المختار</w:t>
            </w:r>
            <w:r>
              <w:rPr>
                <w:rStyle w:val="IndexLink"/>
                <w:rtl w:val="true"/>
              </w:rPr>
              <w:tab/>
            </w:r>
            <w:r>
              <w:rPr>
                <w:rStyle w:val="IndexLink"/>
              </w:rPr>
              <w:t>113</w:t>
            </w:r>
          </w:hyperlink>
        </w:p>
        <w:p>
          <w:pPr>
            <w:pStyle w:val="Contents3"/>
            <w:tabs>
              <w:tab w:val="clear" w:pos="8459"/>
              <w:tab w:val="right" w:pos="9026" w:leader="dot"/>
            </w:tabs>
            <w:rPr/>
          </w:pPr>
          <w:hyperlink w:anchor="__RefHeading___Toc634142_1051229030">
            <w:r>
              <w:rPr>
                <w:webHidden/>
                <w:rStyle w:val="IndexLink"/>
                <w:rtl w:val="true"/>
              </w:rPr>
              <w:t>الفرع الثاني</w:t>
            </w:r>
            <w:r>
              <w:rPr>
                <w:rStyle w:val="IndexLink"/>
                <w:rtl w:val="true"/>
              </w:rPr>
              <w:t xml:space="preserve">: </w:t>
            </w:r>
            <w:r>
              <w:rPr>
                <w:rStyle w:val="IndexLink"/>
                <w:rtl w:val="true"/>
              </w:rPr>
              <w:t>في وجوب الاستئذان من الفقيه لصرف سهم السادة في مورده و عدمه</w:t>
            </w:r>
            <w:r>
              <w:rPr>
                <w:rStyle w:val="IndexLink"/>
                <w:rtl w:val="true"/>
              </w:rPr>
              <w:tab/>
            </w:r>
            <w:r>
              <w:rPr>
                <w:rStyle w:val="IndexLink"/>
              </w:rPr>
              <w:t>116</w:t>
            </w:r>
          </w:hyperlink>
        </w:p>
        <w:p>
          <w:pPr>
            <w:pStyle w:val="Contents4"/>
            <w:tabs>
              <w:tab w:val="clear" w:pos="8176"/>
              <w:tab w:val="right" w:pos="9026" w:leader="dot"/>
            </w:tabs>
            <w:rPr/>
          </w:pPr>
          <w:hyperlink w:anchor="__RefHeading___Toc634144_105122903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634146_1051229030">
            <w:r>
              <w:rPr>
                <w:webHidden/>
                <w:rStyle w:val="IndexLink"/>
                <w:rtl w:val="true"/>
              </w:rPr>
              <w:t>دفع وهم</w:t>
            </w:r>
            <w:r>
              <w:rPr>
                <w:rStyle w:val="IndexLink"/>
                <w:rtl w:val="true"/>
              </w:rPr>
              <w:tab/>
            </w:r>
            <w:r>
              <w:rPr>
                <w:rStyle w:val="IndexLink"/>
              </w:rPr>
              <w:t>118</w:t>
            </w:r>
          </w:hyperlink>
        </w:p>
        <w:p>
          <w:pPr>
            <w:pStyle w:val="Contents3"/>
            <w:tabs>
              <w:tab w:val="clear" w:pos="8459"/>
              <w:tab w:val="right" w:pos="9026" w:leader="dot"/>
            </w:tabs>
            <w:rPr/>
          </w:pPr>
          <w:hyperlink w:anchor="__RefHeading___Toc634148_1051229030">
            <w:r>
              <w:rPr>
                <w:webHidden/>
                <w:rStyle w:val="IndexLink"/>
                <w:rtl w:val="true"/>
              </w:rPr>
              <w:t>الفرع الثالث</w:t>
            </w:r>
            <w:r>
              <w:rPr>
                <w:rStyle w:val="IndexLink"/>
                <w:rtl w:val="true"/>
              </w:rPr>
              <w:t xml:space="preserve">: </w:t>
            </w:r>
            <w:r>
              <w:rPr>
                <w:rStyle w:val="IndexLink"/>
                <w:rtl w:val="true"/>
              </w:rPr>
              <w:t>في بيان اختصاص ماینذر للإمام أو يرثه به</w:t>
            </w:r>
            <w:r>
              <w:rPr>
                <w:rStyle w:val="IndexLink"/>
                <w:rtl w:val="true"/>
              </w:rPr>
              <w:tab/>
            </w:r>
            <w:r>
              <w:rPr>
                <w:rStyle w:val="IndexLink"/>
              </w:rPr>
              <w:t>119</w:t>
            </w:r>
          </w:hyperlink>
        </w:p>
        <w:p>
          <w:pPr>
            <w:pStyle w:val="Contents3"/>
            <w:tabs>
              <w:tab w:val="clear" w:pos="8459"/>
              <w:tab w:val="right" w:pos="9026" w:leader="dot"/>
            </w:tabs>
            <w:rPr/>
          </w:pPr>
          <w:hyperlink w:anchor="__RefHeading___Toc634150_1051229030">
            <w:r>
              <w:rPr>
                <w:webHidden/>
                <w:rStyle w:val="IndexLink"/>
                <w:rtl w:val="true"/>
              </w:rPr>
              <w:t>الفرع الرابع</w:t>
            </w:r>
            <w:r>
              <w:rPr>
                <w:rStyle w:val="IndexLink"/>
                <w:rtl w:val="true"/>
              </w:rPr>
              <w:t xml:space="preserve">: </w:t>
            </w:r>
            <w:r>
              <w:rPr>
                <w:rStyle w:val="IndexLink"/>
                <w:rtl w:val="true"/>
              </w:rPr>
              <w:t>في حكم التصرف في سائر أموال المعصومين عليهم السلام في عصر الغيبة</w:t>
            </w:r>
            <w:r>
              <w:rPr>
                <w:rStyle w:val="IndexLink"/>
                <w:rtl w:val="true"/>
              </w:rPr>
              <w:tab/>
            </w:r>
            <w:r>
              <w:rPr>
                <w:rStyle w:val="IndexLink"/>
              </w:rPr>
              <w:t>121</w:t>
            </w:r>
          </w:hyperlink>
        </w:p>
        <w:p>
          <w:pPr>
            <w:pStyle w:val="Contents4"/>
            <w:tabs>
              <w:tab w:val="clear" w:pos="8176"/>
              <w:tab w:val="right" w:pos="9026" w:leader="dot"/>
            </w:tabs>
            <w:rPr/>
          </w:pPr>
          <w:hyperlink w:anchor="__RefHeading___Toc634152_105122903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634154_1051229030">
            <w:r>
              <w:rPr>
                <w:webHidden/>
                <w:rStyle w:val="IndexLink"/>
                <w:rtl w:val="true"/>
              </w:rPr>
              <w:t>المختار في المقام وبيان أدلته</w:t>
            </w:r>
            <w:r>
              <w:rPr>
                <w:rStyle w:val="IndexLink"/>
                <w:rtl w:val="true"/>
              </w:rPr>
              <w:tab/>
            </w:r>
            <w:r>
              <w:rPr>
                <w:rStyle w:val="IndexLink"/>
              </w:rPr>
              <w:t>121</w:t>
            </w:r>
          </w:hyperlink>
        </w:p>
        <w:p>
          <w:pPr>
            <w:pStyle w:val="Contents4"/>
            <w:tabs>
              <w:tab w:val="clear" w:pos="8176"/>
              <w:tab w:val="right" w:pos="9026" w:leader="dot"/>
            </w:tabs>
            <w:rPr/>
          </w:pPr>
          <w:hyperlink w:anchor="__RefHeading___Toc634156_1051229030">
            <w:r>
              <w:rPr>
                <w:webHidden/>
                <w:rStyle w:val="IndexLink"/>
                <w:rtl w:val="true"/>
              </w:rPr>
              <w:t>قصة عجيبة لها ربط بالمقام</w:t>
            </w:r>
            <w:r>
              <w:rPr>
                <w:rStyle w:val="IndexLink"/>
                <w:rtl w:val="true"/>
              </w:rPr>
              <w:tab/>
            </w:r>
            <w:r>
              <w:rPr>
                <w:rStyle w:val="IndexLink"/>
              </w:rPr>
              <w:t>124</w:t>
            </w:r>
          </w:hyperlink>
        </w:p>
        <w:p>
          <w:pPr>
            <w:pStyle w:val="Contents2"/>
            <w:tabs>
              <w:tab w:val="clear" w:pos="8743"/>
              <w:tab w:val="right" w:pos="9026" w:leader="dot"/>
            </w:tabs>
            <w:rPr/>
          </w:pPr>
          <w:hyperlink w:anchor="__RefHeading___Toc634158_1051229030">
            <w:r>
              <w:rPr>
                <w:webHidden/>
                <w:rStyle w:val="IndexLink"/>
                <w:rtl w:val="true"/>
              </w:rPr>
              <w:t>الرسالة الخامسة</w:t>
            </w:r>
            <w:r>
              <w:rPr>
                <w:rStyle w:val="IndexLink"/>
                <w:rtl w:val="true"/>
              </w:rPr>
              <w:t xml:space="preserve">: </w:t>
            </w:r>
            <w:r>
              <w:rPr>
                <w:rStyle w:val="IndexLink"/>
                <w:rtl w:val="true"/>
              </w:rPr>
              <w:t>في شرعية عبادات الصبي المميز و ما يترتب عليها من الفروع</w:t>
            </w:r>
            <w:r>
              <w:rPr>
                <w:rStyle w:val="IndexLink"/>
                <w:rtl w:val="true"/>
              </w:rPr>
              <w:tab/>
            </w:r>
            <w:r>
              <w:rPr>
                <w:rStyle w:val="IndexLink"/>
              </w:rPr>
              <w:t>126</w:t>
            </w:r>
          </w:hyperlink>
        </w:p>
        <w:p>
          <w:pPr>
            <w:pStyle w:val="Contents3"/>
            <w:tabs>
              <w:tab w:val="clear" w:pos="8459"/>
              <w:tab w:val="right" w:pos="9026" w:leader="dot"/>
            </w:tabs>
            <w:rPr/>
          </w:pPr>
          <w:hyperlink w:anchor="__RefHeading___Toc634160_105122903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634162_1051229030">
            <w:r>
              <w:rPr>
                <w:webHidden/>
                <w:rStyle w:val="IndexLink"/>
                <w:rtl w:val="true"/>
              </w:rPr>
              <w:t>تعیین محل البحث و مسلك المشهور فيه</w:t>
            </w:r>
            <w:r>
              <w:rPr>
                <w:rStyle w:val="IndexLink"/>
                <w:rtl w:val="true"/>
              </w:rPr>
              <w:tab/>
            </w:r>
            <w:r>
              <w:rPr>
                <w:rStyle w:val="IndexLink"/>
              </w:rPr>
              <w:t>128</w:t>
            </w:r>
          </w:hyperlink>
        </w:p>
        <w:p>
          <w:pPr>
            <w:pStyle w:val="Contents3"/>
            <w:tabs>
              <w:tab w:val="clear" w:pos="8459"/>
              <w:tab w:val="right" w:pos="9026" w:leader="dot"/>
            </w:tabs>
            <w:rPr/>
          </w:pPr>
          <w:hyperlink w:anchor="__RefHeading___Toc634164_1051229030">
            <w:r>
              <w:rPr>
                <w:webHidden/>
                <w:rStyle w:val="IndexLink"/>
                <w:rtl w:val="true"/>
              </w:rPr>
              <w:t>الأقوال في المسألة</w:t>
            </w:r>
            <w:r>
              <w:rPr>
                <w:rStyle w:val="IndexLink"/>
                <w:rtl w:val="true"/>
              </w:rPr>
              <w:tab/>
            </w:r>
            <w:r>
              <w:rPr>
                <w:rStyle w:val="IndexLink"/>
              </w:rPr>
              <w:t>131</w:t>
            </w:r>
          </w:hyperlink>
        </w:p>
        <w:p>
          <w:pPr>
            <w:pStyle w:val="Contents3"/>
            <w:tabs>
              <w:tab w:val="clear" w:pos="8459"/>
              <w:tab w:val="right" w:pos="9026" w:leader="dot"/>
            </w:tabs>
            <w:rPr/>
          </w:pPr>
          <w:hyperlink w:anchor="__RefHeading___Toc634166_1051229030">
            <w:r>
              <w:rPr>
                <w:webHidden/>
                <w:rStyle w:val="IndexLink"/>
                <w:rtl w:val="true"/>
              </w:rPr>
              <w:t>الكلام حول القول الأول</w:t>
            </w:r>
            <w:r>
              <w:rPr>
                <w:rStyle w:val="IndexLink"/>
                <w:rtl w:val="true"/>
              </w:rPr>
              <w:tab/>
            </w:r>
            <w:r>
              <w:rPr>
                <w:rStyle w:val="IndexLink"/>
              </w:rPr>
              <w:t>132</w:t>
            </w:r>
          </w:hyperlink>
        </w:p>
        <w:p>
          <w:pPr>
            <w:pStyle w:val="Contents3"/>
            <w:tabs>
              <w:tab w:val="clear" w:pos="8459"/>
              <w:tab w:val="right" w:pos="9026" w:leader="dot"/>
            </w:tabs>
            <w:rPr/>
          </w:pPr>
          <w:hyperlink w:anchor="__RefHeading___Toc634168_1051229030">
            <w:r>
              <w:rPr>
                <w:webHidden/>
                <w:rStyle w:val="IndexLink"/>
                <w:rtl w:val="true"/>
              </w:rPr>
              <w:t>الكلام حول القول الثاني</w:t>
            </w:r>
            <w:r>
              <w:rPr>
                <w:rStyle w:val="IndexLink"/>
                <w:rtl w:val="true"/>
              </w:rPr>
              <w:tab/>
            </w:r>
            <w:r>
              <w:rPr>
                <w:rStyle w:val="IndexLink"/>
              </w:rPr>
              <w:t>136</w:t>
            </w:r>
          </w:hyperlink>
        </w:p>
        <w:p>
          <w:pPr>
            <w:pStyle w:val="Contents3"/>
            <w:tabs>
              <w:tab w:val="clear" w:pos="8459"/>
              <w:tab w:val="right" w:pos="9026" w:leader="dot"/>
            </w:tabs>
            <w:rPr/>
          </w:pPr>
          <w:hyperlink w:anchor="__RefHeading___Toc634170_1051229030">
            <w:r>
              <w:rPr>
                <w:webHidden/>
                <w:rStyle w:val="IndexLink"/>
                <w:rtl w:val="true"/>
              </w:rPr>
              <w:t>الكلام حول القول الثالث</w:t>
            </w:r>
            <w:r>
              <w:rPr>
                <w:rStyle w:val="IndexLink"/>
                <w:rtl w:val="true"/>
              </w:rPr>
              <w:tab/>
            </w:r>
            <w:r>
              <w:rPr>
                <w:rStyle w:val="IndexLink"/>
              </w:rPr>
              <w:t>137</w:t>
            </w:r>
          </w:hyperlink>
        </w:p>
        <w:p>
          <w:pPr>
            <w:pStyle w:val="Contents3"/>
            <w:tabs>
              <w:tab w:val="clear" w:pos="8459"/>
              <w:tab w:val="right" w:pos="9026" w:leader="dot"/>
            </w:tabs>
            <w:rPr/>
          </w:pPr>
          <w:hyperlink w:anchor="__RefHeading___Toc634172_1051229030">
            <w:r>
              <w:rPr>
                <w:webHidden/>
                <w:rStyle w:val="IndexLink"/>
                <w:rtl w:val="true"/>
              </w:rPr>
              <w:t>الكلام حول القول الرابع وهو المختار</w:t>
            </w:r>
            <w:r>
              <w:rPr>
                <w:rStyle w:val="IndexLink"/>
                <w:rtl w:val="true"/>
              </w:rPr>
              <w:tab/>
            </w:r>
            <w:r>
              <w:rPr>
                <w:rStyle w:val="IndexLink"/>
              </w:rPr>
              <w:t>142</w:t>
            </w:r>
          </w:hyperlink>
        </w:p>
        <w:p>
          <w:pPr>
            <w:pStyle w:val="Contents3"/>
            <w:tabs>
              <w:tab w:val="clear" w:pos="8459"/>
              <w:tab w:val="right" w:pos="9026" w:leader="dot"/>
            </w:tabs>
            <w:rPr/>
          </w:pPr>
          <w:hyperlink w:anchor="__RefHeading___Toc634174_1051229030">
            <w:r>
              <w:rPr>
                <w:webHidden/>
                <w:rStyle w:val="IndexLink"/>
                <w:rtl w:val="true"/>
              </w:rPr>
              <w:t>وجوه الاستدلال على المختار</w:t>
            </w:r>
            <w:r>
              <w:rPr>
                <w:rStyle w:val="IndexLink"/>
                <w:rtl w:val="true"/>
              </w:rPr>
              <w:tab/>
            </w:r>
            <w:r>
              <w:rPr>
                <w:rStyle w:val="IndexLink"/>
              </w:rPr>
              <w:t>142</w:t>
            </w:r>
          </w:hyperlink>
        </w:p>
        <w:p>
          <w:pPr>
            <w:pStyle w:val="Contents3"/>
            <w:tabs>
              <w:tab w:val="clear" w:pos="8459"/>
              <w:tab w:val="right" w:pos="9026" w:leader="dot"/>
            </w:tabs>
            <w:rPr/>
          </w:pPr>
          <w:hyperlink w:anchor="__RefHeading___Toc634176_1051229030">
            <w:r>
              <w:rPr>
                <w:webHidden/>
                <w:rStyle w:val="IndexLink"/>
                <w:rtl w:val="true"/>
              </w:rPr>
              <w:t>الوجه الأول</w:t>
            </w:r>
            <w:r>
              <w:rPr>
                <w:rStyle w:val="IndexLink"/>
                <w:rtl w:val="true"/>
              </w:rPr>
              <w:tab/>
            </w:r>
            <w:r>
              <w:rPr>
                <w:rStyle w:val="IndexLink"/>
              </w:rPr>
              <w:t>142</w:t>
            </w:r>
          </w:hyperlink>
        </w:p>
        <w:p>
          <w:pPr>
            <w:pStyle w:val="Contents3"/>
            <w:tabs>
              <w:tab w:val="clear" w:pos="8459"/>
              <w:tab w:val="right" w:pos="9026" w:leader="dot"/>
            </w:tabs>
            <w:rPr/>
          </w:pPr>
          <w:hyperlink w:anchor="__RefHeading___Toc634178_1051229030">
            <w:r>
              <w:rPr>
                <w:webHidden/>
                <w:rStyle w:val="IndexLink"/>
                <w:rtl w:val="true"/>
              </w:rPr>
              <w:t>الوجه الثاني</w:t>
            </w:r>
            <w:r>
              <w:rPr>
                <w:rStyle w:val="IndexLink"/>
                <w:rtl w:val="true"/>
              </w:rPr>
              <w:tab/>
            </w:r>
            <w:r>
              <w:rPr>
                <w:rStyle w:val="IndexLink"/>
              </w:rPr>
              <w:t>144</w:t>
            </w:r>
          </w:hyperlink>
        </w:p>
        <w:p>
          <w:pPr>
            <w:pStyle w:val="Contents3"/>
            <w:tabs>
              <w:tab w:val="clear" w:pos="8459"/>
              <w:tab w:val="right" w:pos="9026" w:leader="dot"/>
            </w:tabs>
            <w:rPr/>
          </w:pPr>
          <w:hyperlink w:anchor="__RefHeading___Toc634180_1051229030">
            <w:r>
              <w:rPr>
                <w:webHidden/>
                <w:rStyle w:val="IndexLink"/>
                <w:rtl w:val="true"/>
              </w:rPr>
              <w:t>الوجه الثالث</w:t>
            </w:r>
            <w:r>
              <w:rPr>
                <w:rStyle w:val="IndexLink"/>
                <w:rtl w:val="true"/>
              </w:rPr>
              <w:tab/>
            </w:r>
            <w:r>
              <w:rPr>
                <w:rStyle w:val="IndexLink"/>
              </w:rPr>
              <w:t>145</w:t>
            </w:r>
          </w:hyperlink>
        </w:p>
        <w:p>
          <w:pPr>
            <w:pStyle w:val="Contents3"/>
            <w:tabs>
              <w:tab w:val="clear" w:pos="8459"/>
              <w:tab w:val="right" w:pos="9026" w:leader="dot"/>
            </w:tabs>
            <w:rPr/>
          </w:pPr>
          <w:hyperlink w:anchor="__RefHeading___Toc634182_1051229030">
            <w:r>
              <w:rPr>
                <w:webHidden/>
                <w:rStyle w:val="IndexLink"/>
                <w:rtl w:val="true"/>
              </w:rPr>
              <w:t>دفع دخل</w:t>
            </w:r>
            <w:r>
              <w:rPr>
                <w:rStyle w:val="IndexLink"/>
                <w:rtl w:val="true"/>
              </w:rPr>
              <w:tab/>
            </w:r>
            <w:r>
              <w:rPr>
                <w:rStyle w:val="IndexLink"/>
              </w:rPr>
              <w:t>147</w:t>
            </w:r>
          </w:hyperlink>
        </w:p>
        <w:p>
          <w:pPr>
            <w:pStyle w:val="Contents3"/>
            <w:tabs>
              <w:tab w:val="clear" w:pos="8459"/>
              <w:tab w:val="right" w:pos="9026" w:leader="dot"/>
            </w:tabs>
            <w:rPr/>
          </w:pPr>
          <w:hyperlink w:anchor="__RefHeading___Toc634184_1051229030">
            <w:r>
              <w:rPr>
                <w:webHidden/>
                <w:rStyle w:val="IndexLink"/>
                <w:rtl w:val="true"/>
              </w:rPr>
              <w:t>تنبيه</w:t>
            </w:r>
            <w:r>
              <w:rPr>
                <w:rStyle w:val="IndexLink"/>
                <w:rtl w:val="true"/>
              </w:rPr>
              <w:tab/>
            </w:r>
            <w:r>
              <w:rPr>
                <w:rStyle w:val="IndexLink"/>
              </w:rPr>
              <w:t>149</w:t>
            </w:r>
          </w:hyperlink>
        </w:p>
        <w:p>
          <w:pPr>
            <w:pStyle w:val="Contents3"/>
            <w:tabs>
              <w:tab w:val="clear" w:pos="8459"/>
              <w:tab w:val="right" w:pos="9026" w:leader="dot"/>
            </w:tabs>
            <w:rPr/>
          </w:pPr>
          <w:hyperlink w:anchor="__RefHeading___Toc634186_1051229030">
            <w:r>
              <w:rPr>
                <w:webHidden/>
                <w:rStyle w:val="IndexLink"/>
                <w:rtl w:val="true"/>
              </w:rPr>
              <w:t>تذییل</w:t>
            </w:r>
            <w:r>
              <w:rPr>
                <w:rStyle w:val="IndexLink"/>
                <w:rtl w:val="true"/>
              </w:rPr>
              <w:t>:</w:t>
            </w:r>
            <w:r>
              <w:rPr>
                <w:rStyle w:val="IndexLink"/>
                <w:rtl w:val="true"/>
              </w:rPr>
              <w:t>في الفروع المترتبة على شرعية عبادات الصبي المميز</w:t>
            </w:r>
            <w:r>
              <w:rPr>
                <w:rStyle w:val="IndexLink"/>
                <w:rtl w:val="true"/>
              </w:rPr>
              <w:tab/>
            </w:r>
            <w:r>
              <w:rPr>
                <w:rStyle w:val="IndexLink"/>
              </w:rPr>
              <w:t>150</w:t>
            </w:r>
          </w:hyperlink>
        </w:p>
        <w:p>
          <w:pPr>
            <w:pStyle w:val="Contents3"/>
            <w:tabs>
              <w:tab w:val="clear" w:pos="8459"/>
              <w:tab w:val="right" w:pos="9026" w:leader="dot"/>
            </w:tabs>
            <w:rPr/>
          </w:pPr>
          <w:hyperlink w:anchor="__RefHeading___Toc634188_1051229030">
            <w:r>
              <w:rPr>
                <w:webHidden/>
                <w:rStyle w:val="IndexLink"/>
                <w:rtl w:val="true"/>
              </w:rPr>
              <w:t>الفرع الأول في حكم تجهيز الصبي المميز للميت</w:t>
            </w:r>
            <w:r>
              <w:rPr>
                <w:rStyle w:val="IndexLink"/>
                <w:rtl w:val="true"/>
              </w:rPr>
              <w:tab/>
            </w:r>
            <w:r>
              <w:rPr>
                <w:rStyle w:val="IndexLink"/>
              </w:rPr>
              <w:t>151</w:t>
            </w:r>
          </w:hyperlink>
        </w:p>
        <w:p>
          <w:pPr>
            <w:pStyle w:val="Contents3"/>
            <w:tabs>
              <w:tab w:val="clear" w:pos="8459"/>
              <w:tab w:val="right" w:pos="9026" w:leader="dot"/>
            </w:tabs>
            <w:rPr/>
          </w:pPr>
          <w:hyperlink w:anchor="__RefHeading___Toc634190_1051229030">
            <w:r>
              <w:rPr>
                <w:webHidden/>
                <w:rStyle w:val="IndexLink"/>
                <w:rtl w:val="true"/>
              </w:rPr>
              <w:t>بیان ما ورد على المختار والجواب عنه</w:t>
            </w:r>
            <w:r>
              <w:rPr>
                <w:rStyle w:val="IndexLink"/>
                <w:rtl w:val="true"/>
              </w:rPr>
              <w:tab/>
            </w:r>
            <w:r>
              <w:rPr>
                <w:rStyle w:val="IndexLink"/>
              </w:rPr>
              <w:t>152</w:t>
            </w:r>
          </w:hyperlink>
        </w:p>
        <w:p>
          <w:pPr>
            <w:pStyle w:val="Contents3"/>
            <w:tabs>
              <w:tab w:val="clear" w:pos="8459"/>
              <w:tab w:val="right" w:pos="9026" w:leader="dot"/>
            </w:tabs>
            <w:rPr/>
          </w:pPr>
          <w:hyperlink w:anchor="__RefHeading___Toc634192_1051229030">
            <w:r>
              <w:rPr>
                <w:webHidden/>
                <w:rStyle w:val="IndexLink"/>
                <w:rtl w:val="true"/>
              </w:rPr>
              <w:t>الفرع الثاني في حكم صلاة الصبي المميز نيابة عن الميت</w:t>
            </w:r>
            <w:r>
              <w:rPr>
                <w:rStyle w:val="IndexLink"/>
                <w:rtl w:val="true"/>
              </w:rPr>
              <w:tab/>
            </w:r>
            <w:r>
              <w:rPr>
                <w:rStyle w:val="IndexLink"/>
              </w:rPr>
              <w:t>154</w:t>
            </w:r>
          </w:hyperlink>
        </w:p>
        <w:p>
          <w:pPr>
            <w:pStyle w:val="Contents3"/>
            <w:tabs>
              <w:tab w:val="clear" w:pos="8459"/>
              <w:tab w:val="right" w:pos="9026" w:leader="dot"/>
            </w:tabs>
            <w:rPr/>
          </w:pPr>
          <w:hyperlink w:anchor="__RefHeading___Toc634194_1051229030">
            <w:r>
              <w:rPr>
                <w:webHidden/>
                <w:rStyle w:val="IndexLink"/>
                <w:rtl w:val="true"/>
              </w:rPr>
              <w:t>الفرع الثالث في حكم حج الصبي المميز حجة الإسلام</w:t>
            </w:r>
            <w:r>
              <w:rPr>
                <w:rStyle w:val="IndexLink"/>
                <w:rtl w:val="true"/>
              </w:rPr>
              <w:tab/>
            </w:r>
            <w:r>
              <w:rPr>
                <w:rStyle w:val="IndexLink"/>
              </w:rPr>
              <w:t>156</w:t>
            </w:r>
          </w:hyperlink>
        </w:p>
        <w:p>
          <w:pPr>
            <w:pStyle w:val="Contents3"/>
            <w:tabs>
              <w:tab w:val="clear" w:pos="8459"/>
              <w:tab w:val="right" w:pos="9026" w:leader="dot"/>
            </w:tabs>
            <w:rPr/>
          </w:pPr>
          <w:hyperlink w:anchor="__RefHeading___Toc634196_1051229030">
            <w:r>
              <w:rPr>
                <w:webHidden/>
                <w:rStyle w:val="IndexLink"/>
                <w:rtl w:val="true"/>
              </w:rPr>
              <w:t>الفرع الرابع في حكم قضاء الصبي المميز لعبادات أبويه إذا كان أكبر أولادهما</w:t>
            </w:r>
            <w:r>
              <w:rPr>
                <w:rStyle w:val="IndexLink"/>
                <w:rtl w:val="true"/>
              </w:rPr>
              <w:tab/>
            </w:r>
            <w:r>
              <w:rPr>
                <w:rStyle w:val="IndexLink"/>
              </w:rPr>
              <w:t>157</w:t>
            </w:r>
          </w:hyperlink>
        </w:p>
        <w:p>
          <w:pPr>
            <w:pStyle w:val="Contents3"/>
            <w:tabs>
              <w:tab w:val="clear" w:pos="8459"/>
              <w:tab w:val="right" w:pos="9026" w:leader="dot"/>
            </w:tabs>
            <w:rPr/>
          </w:pPr>
          <w:hyperlink w:anchor="__RefHeading___Toc634198_1051229030">
            <w:r>
              <w:rPr>
                <w:webHidden/>
                <w:rStyle w:val="IndexLink"/>
                <w:rtl w:val="true"/>
              </w:rPr>
              <w:t>الفرع الخامس في حكم أذان الصبي المميز وإقامته</w:t>
            </w:r>
            <w:r>
              <w:rPr>
                <w:rStyle w:val="IndexLink"/>
                <w:rtl w:val="true"/>
              </w:rPr>
              <w:tab/>
            </w:r>
            <w:r>
              <w:rPr>
                <w:rStyle w:val="IndexLink"/>
              </w:rPr>
              <w:t>158</w:t>
            </w:r>
          </w:hyperlink>
        </w:p>
        <w:p>
          <w:pPr>
            <w:pStyle w:val="Contents3"/>
            <w:tabs>
              <w:tab w:val="clear" w:pos="8459"/>
              <w:tab w:val="right" w:pos="9026" w:leader="dot"/>
            </w:tabs>
            <w:rPr/>
          </w:pPr>
          <w:hyperlink w:anchor="__RefHeading___Toc634200_1051229030">
            <w:r>
              <w:rPr>
                <w:webHidden/>
                <w:rStyle w:val="IndexLink"/>
                <w:rtl w:val="true"/>
              </w:rPr>
              <w:t>الفرع السادس في حكم نذر الصبي المميز وعهده ويمينه</w:t>
            </w:r>
            <w:r>
              <w:rPr>
                <w:rStyle w:val="IndexLink"/>
                <w:rtl w:val="true"/>
              </w:rPr>
              <w:tab/>
            </w:r>
            <w:r>
              <w:rPr>
                <w:rStyle w:val="IndexLink"/>
              </w:rPr>
              <w:t>161</w:t>
            </w:r>
          </w:hyperlink>
        </w:p>
        <w:p>
          <w:pPr>
            <w:pStyle w:val="Contents3"/>
            <w:tabs>
              <w:tab w:val="clear" w:pos="8459"/>
              <w:tab w:val="right" w:pos="9026" w:leader="dot"/>
            </w:tabs>
            <w:rPr/>
          </w:pPr>
          <w:hyperlink w:anchor="__RefHeading___Toc634202_1051229030">
            <w:r>
              <w:rPr>
                <w:webHidden/>
                <w:rStyle w:val="IndexLink"/>
                <w:rtl w:val="true"/>
              </w:rPr>
              <w:t>الفرع السابع في حكم وقوف الصبي المميز خلال صفت الجماعة مصليا</w:t>
            </w:r>
            <w:r>
              <w:rPr>
                <w:rStyle w:val="IndexLink"/>
                <w:rtl w:val="true"/>
              </w:rPr>
              <w:tab/>
            </w:r>
            <w:r>
              <w:rPr>
                <w:rStyle w:val="IndexLink"/>
              </w:rPr>
              <w:t>163</w:t>
            </w:r>
          </w:hyperlink>
        </w:p>
        <w:p>
          <w:pPr>
            <w:pStyle w:val="Contents3"/>
            <w:tabs>
              <w:tab w:val="clear" w:pos="8459"/>
              <w:tab w:val="right" w:pos="9026" w:leader="dot"/>
            </w:tabs>
            <w:rPr/>
          </w:pPr>
          <w:hyperlink w:anchor="__RefHeading___Toc634204_1051229030">
            <w:r>
              <w:rPr>
                <w:webHidden/>
                <w:rStyle w:val="IndexLink"/>
                <w:rtl w:val="true"/>
              </w:rPr>
              <w:t>تتميم</w:t>
            </w:r>
            <w:r>
              <w:rPr>
                <w:rStyle w:val="IndexLink"/>
                <w:rtl w:val="true"/>
              </w:rPr>
              <w:t xml:space="preserve">: </w:t>
            </w:r>
            <w:r>
              <w:rPr>
                <w:rStyle w:val="IndexLink"/>
                <w:rtl w:val="true"/>
              </w:rPr>
              <w:t>في حكم الصبي المميز بالنسبة إلى الأصول الاعتقادية</w:t>
            </w:r>
            <w:r>
              <w:rPr>
                <w:rStyle w:val="IndexLink"/>
                <w:rtl w:val="true"/>
              </w:rPr>
              <w:tab/>
            </w:r>
            <w:r>
              <w:rPr>
                <w:rStyle w:val="IndexLink"/>
              </w:rPr>
              <w:t>167</w:t>
            </w:r>
          </w:hyperlink>
        </w:p>
        <w:p>
          <w:pPr>
            <w:pStyle w:val="Contents2"/>
            <w:tabs>
              <w:tab w:val="clear" w:pos="8743"/>
              <w:tab w:val="right" w:pos="9026" w:leader="dot"/>
            </w:tabs>
            <w:rPr/>
          </w:pPr>
          <w:hyperlink w:anchor="__RefHeading___Toc634206_1051229030">
            <w:r>
              <w:rPr>
                <w:webHidden/>
                <w:rStyle w:val="IndexLink"/>
                <w:rtl w:val="true"/>
              </w:rPr>
              <w:t>الرسالة السادسة</w:t>
            </w:r>
            <w:r>
              <w:rPr>
                <w:rStyle w:val="IndexLink"/>
                <w:rtl w:val="true"/>
              </w:rPr>
              <w:t xml:space="preserve">: </w:t>
            </w:r>
            <w:r>
              <w:rPr>
                <w:rStyle w:val="IndexLink"/>
                <w:rtl w:val="true"/>
              </w:rPr>
              <w:t>في أن الإعانة على الإثم غیر محرمة في نفسها إلا إذا صارت کالجزء الأخير من العلة التامة للإثم وسببا أقوى لوجوده في الخارج</w:t>
            </w:r>
            <w:r>
              <w:rPr>
                <w:rStyle w:val="IndexLink"/>
                <w:rtl w:val="true"/>
              </w:rPr>
              <w:tab/>
            </w:r>
            <w:r>
              <w:rPr>
                <w:rStyle w:val="IndexLink"/>
              </w:rPr>
              <w:t>172</w:t>
            </w:r>
          </w:hyperlink>
        </w:p>
        <w:p>
          <w:pPr>
            <w:pStyle w:val="Contents3"/>
            <w:tabs>
              <w:tab w:val="clear" w:pos="8459"/>
              <w:tab w:val="right" w:pos="9026" w:leader="dot"/>
            </w:tabs>
            <w:rPr/>
          </w:pPr>
          <w:hyperlink w:anchor="__RefHeading___Toc634208_105122903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634210_1051229030">
            <w:r>
              <w:rPr>
                <w:webHidden/>
                <w:rStyle w:val="IndexLink"/>
                <w:rtl w:val="true"/>
              </w:rPr>
              <w:t>المقدمة في بيان مورد المسألة</w:t>
            </w:r>
            <w:r>
              <w:rPr>
                <w:rStyle w:val="IndexLink"/>
                <w:rtl w:val="true"/>
              </w:rPr>
              <w:tab/>
            </w:r>
            <w:r>
              <w:rPr>
                <w:rStyle w:val="IndexLink"/>
              </w:rPr>
              <w:t>174</w:t>
            </w:r>
          </w:hyperlink>
        </w:p>
        <w:p>
          <w:pPr>
            <w:pStyle w:val="Contents3"/>
            <w:tabs>
              <w:tab w:val="clear" w:pos="8459"/>
              <w:tab w:val="right" w:pos="9026" w:leader="dot"/>
            </w:tabs>
            <w:rPr/>
          </w:pPr>
          <w:hyperlink w:anchor="__RefHeading___Toc634212_1051229030">
            <w:r>
              <w:rPr>
                <w:webHidden/>
                <w:rStyle w:val="IndexLink"/>
                <w:rtl w:val="true"/>
              </w:rPr>
              <w:t>أقسام الإعانة على الإثم</w:t>
            </w:r>
            <w:r>
              <w:rPr>
                <w:rStyle w:val="IndexLink"/>
                <w:rtl w:val="true"/>
              </w:rPr>
              <w:tab/>
            </w:r>
            <w:r>
              <w:rPr>
                <w:rStyle w:val="IndexLink"/>
              </w:rPr>
              <w:t>176</w:t>
            </w:r>
          </w:hyperlink>
        </w:p>
        <w:p>
          <w:pPr>
            <w:pStyle w:val="Contents3"/>
            <w:tabs>
              <w:tab w:val="clear" w:pos="8459"/>
              <w:tab w:val="right" w:pos="9026" w:leader="dot"/>
            </w:tabs>
            <w:rPr/>
          </w:pPr>
          <w:hyperlink w:anchor="__RefHeading___Toc634214_1051229030">
            <w:r>
              <w:rPr>
                <w:webHidden/>
                <w:rStyle w:val="IndexLink"/>
                <w:rtl w:val="true"/>
              </w:rPr>
              <w:t>الكلام حول القسم الأول من الإعانة</w:t>
            </w:r>
            <w:r>
              <w:rPr>
                <w:rStyle w:val="IndexLink"/>
                <w:rtl w:val="true"/>
              </w:rPr>
              <w:tab/>
            </w:r>
            <w:r>
              <w:rPr>
                <w:rStyle w:val="IndexLink"/>
              </w:rPr>
              <w:t>177</w:t>
            </w:r>
          </w:hyperlink>
        </w:p>
        <w:p>
          <w:pPr>
            <w:pStyle w:val="Contents3"/>
            <w:tabs>
              <w:tab w:val="clear" w:pos="8459"/>
              <w:tab w:val="right" w:pos="9026" w:leader="dot"/>
            </w:tabs>
            <w:rPr/>
          </w:pPr>
          <w:hyperlink w:anchor="__RefHeading___Toc634216_1051229030">
            <w:r>
              <w:rPr>
                <w:webHidden/>
                <w:rStyle w:val="IndexLink"/>
                <w:rtl w:val="true"/>
              </w:rPr>
              <w:t>إيراد الخدشة على صاحب العروة قدس سره</w:t>
            </w:r>
            <w:r>
              <w:rPr>
                <w:rStyle w:val="IndexLink"/>
                <w:rtl w:val="true"/>
              </w:rPr>
              <w:tab/>
            </w:r>
            <w:r>
              <w:rPr>
                <w:rStyle w:val="IndexLink"/>
              </w:rPr>
              <w:t>178</w:t>
            </w:r>
          </w:hyperlink>
        </w:p>
        <w:p>
          <w:pPr>
            <w:pStyle w:val="Contents3"/>
            <w:tabs>
              <w:tab w:val="clear" w:pos="8459"/>
              <w:tab w:val="right" w:pos="9026" w:leader="dot"/>
            </w:tabs>
            <w:rPr/>
          </w:pPr>
          <w:hyperlink w:anchor="__RefHeading___Toc634218_1051229030">
            <w:r>
              <w:rPr>
                <w:webHidden/>
                <w:rStyle w:val="IndexLink"/>
                <w:rtl w:val="true"/>
              </w:rPr>
              <w:t>الكلام حول القسم الثاني من الإعانة</w:t>
            </w:r>
            <w:r>
              <w:rPr>
                <w:rStyle w:val="IndexLink"/>
                <w:rtl w:val="true"/>
              </w:rPr>
              <w:tab/>
            </w:r>
            <w:r>
              <w:rPr>
                <w:rStyle w:val="IndexLink"/>
              </w:rPr>
              <w:t>180</w:t>
            </w:r>
          </w:hyperlink>
        </w:p>
        <w:p>
          <w:pPr>
            <w:pStyle w:val="Contents3"/>
            <w:tabs>
              <w:tab w:val="clear" w:pos="8459"/>
              <w:tab w:val="right" w:pos="9026" w:leader="dot"/>
            </w:tabs>
            <w:rPr/>
          </w:pPr>
          <w:hyperlink w:anchor="__RefHeading___Toc634220_1051229030">
            <w:r>
              <w:rPr>
                <w:webHidden/>
                <w:rStyle w:val="IndexLink"/>
                <w:rtl w:val="true"/>
              </w:rPr>
              <w:t>دفع وهم</w:t>
            </w:r>
            <w:r>
              <w:rPr>
                <w:rStyle w:val="IndexLink"/>
                <w:rtl w:val="true"/>
              </w:rPr>
              <w:tab/>
            </w:r>
            <w:r>
              <w:rPr>
                <w:rStyle w:val="IndexLink"/>
              </w:rPr>
              <w:t>182</w:t>
            </w:r>
          </w:hyperlink>
        </w:p>
        <w:p>
          <w:pPr>
            <w:pStyle w:val="Contents3"/>
            <w:tabs>
              <w:tab w:val="clear" w:pos="8459"/>
              <w:tab w:val="right" w:pos="9026" w:leader="dot"/>
            </w:tabs>
            <w:rPr/>
          </w:pPr>
          <w:hyperlink w:anchor="__RefHeading___Toc634222_1051229030">
            <w:r>
              <w:rPr>
                <w:webHidden/>
                <w:rStyle w:val="IndexLink"/>
                <w:rtl w:val="true"/>
              </w:rPr>
              <w:t>تنبيه</w:t>
            </w:r>
            <w:r>
              <w:rPr>
                <w:rStyle w:val="IndexLink"/>
                <w:rtl w:val="true"/>
              </w:rPr>
              <w:t xml:space="preserve">: </w:t>
            </w:r>
            <w:r>
              <w:rPr>
                <w:rStyle w:val="IndexLink"/>
                <w:rtl w:val="true"/>
              </w:rPr>
              <w:t>في حكم إرشاد الجاهل المقصر</w:t>
            </w:r>
            <w:r>
              <w:rPr>
                <w:rStyle w:val="IndexLink"/>
                <w:rtl w:val="true"/>
              </w:rPr>
              <w:tab/>
            </w:r>
            <w:r>
              <w:rPr>
                <w:rStyle w:val="IndexLink"/>
              </w:rPr>
              <w:t>184</w:t>
            </w:r>
          </w:hyperlink>
        </w:p>
        <w:p>
          <w:pPr>
            <w:pStyle w:val="Contents3"/>
            <w:tabs>
              <w:tab w:val="clear" w:pos="8459"/>
              <w:tab w:val="right" w:pos="9026" w:leader="dot"/>
            </w:tabs>
            <w:rPr/>
          </w:pPr>
          <w:hyperlink w:anchor="__RefHeading___Toc634224_1051229030">
            <w:r>
              <w:rPr>
                <w:webHidden/>
                <w:rStyle w:val="IndexLink"/>
                <w:rtl w:val="true"/>
              </w:rPr>
              <w:t>رد عداد المقام من مصاديق الأمر بالمعروف</w:t>
            </w:r>
            <w:r>
              <w:rPr>
                <w:rStyle w:val="IndexLink"/>
                <w:rtl w:val="true"/>
              </w:rPr>
              <w:tab/>
            </w:r>
            <w:r>
              <w:rPr>
                <w:rStyle w:val="IndexLink"/>
              </w:rPr>
              <w:t>185</w:t>
            </w:r>
          </w:hyperlink>
        </w:p>
        <w:p>
          <w:pPr>
            <w:pStyle w:val="Contents3"/>
            <w:tabs>
              <w:tab w:val="clear" w:pos="8459"/>
              <w:tab w:val="right" w:pos="9026" w:leader="dot"/>
            </w:tabs>
            <w:rPr/>
          </w:pPr>
          <w:hyperlink w:anchor="__RefHeading___Toc634226_1051229030">
            <w:r>
              <w:rPr>
                <w:webHidden/>
                <w:rStyle w:val="IndexLink"/>
                <w:rtl w:val="true"/>
              </w:rPr>
              <w:t>رد التمسك بآية النفر</w:t>
            </w:r>
            <w:r>
              <w:rPr>
                <w:rStyle w:val="IndexLink"/>
                <w:rtl w:val="true"/>
              </w:rPr>
              <w:tab/>
            </w:r>
            <w:r>
              <w:rPr>
                <w:rStyle w:val="IndexLink"/>
              </w:rPr>
              <w:t>186</w:t>
            </w:r>
          </w:hyperlink>
        </w:p>
        <w:p>
          <w:pPr>
            <w:pStyle w:val="Contents2"/>
            <w:tabs>
              <w:tab w:val="clear" w:pos="8743"/>
              <w:tab w:val="right" w:pos="9026" w:leader="dot"/>
            </w:tabs>
            <w:rPr/>
          </w:pPr>
          <w:hyperlink w:anchor="__RefHeading___Toc634228_1051229030">
            <w:r>
              <w:rPr>
                <w:webHidden/>
                <w:rStyle w:val="IndexLink"/>
                <w:rtl w:val="true"/>
              </w:rPr>
              <w:t>الملاحق</w:t>
            </w:r>
            <w:r>
              <w:rPr>
                <w:rStyle w:val="IndexLink"/>
                <w:rtl w:val="true"/>
              </w:rPr>
              <w:tab/>
            </w:r>
            <w:r>
              <w:rPr>
                <w:rStyle w:val="IndexLink"/>
              </w:rPr>
              <w:t>188</w:t>
            </w:r>
          </w:hyperlink>
        </w:p>
        <w:p>
          <w:pPr>
            <w:pStyle w:val="Contents3"/>
            <w:tabs>
              <w:tab w:val="clear" w:pos="8459"/>
              <w:tab w:val="right" w:pos="9026" w:leader="dot"/>
            </w:tabs>
            <w:rPr/>
          </w:pPr>
          <w:hyperlink w:anchor="__RefHeading___Toc634230_105122903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634232_1051229030">
            <w:r>
              <w:rPr>
                <w:webHidden/>
                <w:rStyle w:val="IndexLink"/>
                <w:rtl w:val="true"/>
              </w:rPr>
              <w:t>الملحق الأول</w:t>
            </w:r>
            <w:r>
              <w:rPr>
                <w:rStyle w:val="IndexLink"/>
                <w:rtl w:val="true"/>
              </w:rPr>
              <w:t xml:space="preserve">: </w:t>
            </w:r>
            <w:r>
              <w:rPr>
                <w:rStyle w:val="IndexLink"/>
                <w:rtl w:val="true"/>
              </w:rPr>
              <w:t>ضرورة اهتمام الفقيه بالقرآن الكريم في استنباط الأحكام الشرعية</w:t>
            </w:r>
            <w:r>
              <w:rPr>
                <w:rStyle w:val="IndexLink"/>
                <w:rtl w:val="true"/>
              </w:rPr>
              <w:tab/>
            </w:r>
            <w:r>
              <w:rPr>
                <w:rStyle w:val="IndexLink"/>
              </w:rPr>
              <w:t>190</w:t>
            </w:r>
          </w:hyperlink>
        </w:p>
        <w:p>
          <w:pPr>
            <w:pStyle w:val="Contents4"/>
            <w:tabs>
              <w:tab w:val="clear" w:pos="8176"/>
              <w:tab w:val="right" w:pos="9026" w:leader="dot"/>
            </w:tabs>
            <w:rPr/>
          </w:pPr>
          <w:hyperlink w:anchor="__RefHeading___Toc634234_105122903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634236_1051229030">
            <w:r>
              <w:rPr>
                <w:webHidden/>
                <w:rStyle w:val="IndexLink"/>
                <w:rtl w:val="true"/>
              </w:rPr>
              <w:t>ضرورة الاهتمام بآيات الأحكام</w:t>
            </w:r>
            <w:r>
              <w:rPr>
                <w:rStyle w:val="IndexLink"/>
                <w:rtl w:val="true"/>
              </w:rPr>
              <w:tab/>
            </w:r>
            <w:r>
              <w:rPr>
                <w:rStyle w:val="IndexLink"/>
              </w:rPr>
              <w:t>192</w:t>
            </w:r>
          </w:hyperlink>
        </w:p>
        <w:p>
          <w:pPr>
            <w:pStyle w:val="Contents4"/>
            <w:tabs>
              <w:tab w:val="clear" w:pos="8176"/>
              <w:tab w:val="right" w:pos="9026" w:leader="dot"/>
            </w:tabs>
            <w:rPr/>
          </w:pPr>
          <w:hyperlink w:anchor="__RefHeading___Toc634238_1051229030">
            <w:r>
              <w:rPr>
                <w:webHidden/>
                <w:rStyle w:val="IndexLink"/>
                <w:rtl w:val="true"/>
              </w:rPr>
              <w:t>بعض ما صنف في آيات الأحكام</w:t>
            </w:r>
            <w:r>
              <w:rPr>
                <w:rStyle w:val="IndexLink"/>
                <w:rtl w:val="true"/>
              </w:rPr>
              <w:tab/>
            </w:r>
            <w:r>
              <w:rPr>
                <w:rStyle w:val="IndexLink"/>
              </w:rPr>
              <w:t>193</w:t>
            </w:r>
          </w:hyperlink>
        </w:p>
        <w:p>
          <w:pPr>
            <w:pStyle w:val="Contents4"/>
            <w:tabs>
              <w:tab w:val="clear" w:pos="8176"/>
              <w:tab w:val="right" w:pos="9026" w:leader="dot"/>
            </w:tabs>
            <w:rPr/>
          </w:pPr>
          <w:hyperlink w:anchor="__RefHeading___Toc634240_1051229030">
            <w:r>
              <w:rPr>
                <w:webHidden/>
                <w:rStyle w:val="IndexLink"/>
                <w:rtl w:val="true"/>
              </w:rPr>
              <w:t>توجه التكليف إلى المميز</w:t>
            </w:r>
            <w:r>
              <w:rPr>
                <w:rStyle w:val="IndexLink"/>
                <w:rtl w:val="true"/>
              </w:rPr>
              <w:tab/>
            </w:r>
            <w:r>
              <w:rPr>
                <w:rStyle w:val="IndexLink"/>
              </w:rPr>
              <w:t>194</w:t>
            </w:r>
          </w:hyperlink>
        </w:p>
        <w:p>
          <w:pPr>
            <w:pStyle w:val="Contents4"/>
            <w:tabs>
              <w:tab w:val="clear" w:pos="8176"/>
              <w:tab w:val="right" w:pos="9026" w:leader="dot"/>
            </w:tabs>
            <w:rPr/>
          </w:pPr>
          <w:hyperlink w:anchor="__RefHeading___Toc634242_1051229030">
            <w:r>
              <w:rPr>
                <w:webHidden/>
                <w:rStyle w:val="IndexLink"/>
                <w:rtl w:val="true"/>
              </w:rPr>
              <w:t>الاحتمال الآخر في المراد من الآيات</w:t>
            </w:r>
            <w:r>
              <w:rPr>
                <w:rStyle w:val="IndexLink"/>
                <w:rtl w:val="true"/>
              </w:rPr>
              <w:tab/>
            </w:r>
            <w:r>
              <w:rPr>
                <w:rStyle w:val="IndexLink"/>
              </w:rPr>
              <w:t>197</w:t>
            </w:r>
          </w:hyperlink>
        </w:p>
        <w:p>
          <w:pPr>
            <w:pStyle w:val="Contents4"/>
            <w:tabs>
              <w:tab w:val="clear" w:pos="8176"/>
              <w:tab w:val="right" w:pos="9026" w:leader="dot"/>
            </w:tabs>
            <w:rPr/>
          </w:pPr>
          <w:hyperlink w:anchor="__RefHeading___Toc634244_1051229030">
            <w:r>
              <w:rPr>
                <w:webHidden/>
                <w:rStyle w:val="IndexLink"/>
                <w:rtl w:val="true"/>
              </w:rPr>
              <w:t>عدم اشتراط البلوغ في الاعتقادات الدينية</w:t>
            </w:r>
            <w:r>
              <w:rPr>
                <w:rStyle w:val="IndexLink"/>
                <w:rtl w:val="true"/>
              </w:rPr>
              <w:tab/>
            </w:r>
            <w:r>
              <w:rPr>
                <w:rStyle w:val="IndexLink"/>
              </w:rPr>
              <w:t>197</w:t>
            </w:r>
          </w:hyperlink>
        </w:p>
        <w:p>
          <w:pPr>
            <w:pStyle w:val="Contents4"/>
            <w:tabs>
              <w:tab w:val="clear" w:pos="8176"/>
              <w:tab w:val="right" w:pos="9026" w:leader="dot"/>
            </w:tabs>
            <w:rPr/>
          </w:pPr>
          <w:hyperlink w:anchor="__RefHeading___Toc634246_1051229030">
            <w:r>
              <w:rPr>
                <w:webHidden/>
                <w:rStyle w:val="IndexLink"/>
                <w:rtl w:val="true"/>
              </w:rPr>
              <w:t>تذييل</w:t>
            </w:r>
            <w:r>
              <w:rPr>
                <w:rStyle w:val="IndexLink"/>
                <w:rtl w:val="true"/>
              </w:rPr>
              <w:t xml:space="preserve">: </w:t>
            </w:r>
            <w:r>
              <w:rPr>
                <w:rStyle w:val="IndexLink"/>
                <w:rtl w:val="true"/>
              </w:rPr>
              <w:t>فيما یوجب الارتداد</w:t>
            </w:r>
            <w:r>
              <w:rPr>
                <w:rStyle w:val="IndexLink"/>
                <w:rtl w:val="true"/>
              </w:rPr>
              <w:tab/>
            </w:r>
            <w:r>
              <w:rPr>
                <w:rStyle w:val="IndexLink"/>
              </w:rPr>
              <w:t>199</w:t>
            </w:r>
          </w:hyperlink>
        </w:p>
        <w:p>
          <w:pPr>
            <w:pStyle w:val="Contents3"/>
            <w:tabs>
              <w:tab w:val="clear" w:pos="8459"/>
              <w:tab w:val="right" w:pos="9026" w:leader="dot"/>
            </w:tabs>
            <w:rPr/>
          </w:pPr>
          <w:hyperlink w:anchor="__RefHeading___Toc634248_1051229030">
            <w:r>
              <w:rPr>
                <w:webHidden/>
                <w:rStyle w:val="IndexLink"/>
                <w:rtl w:val="true"/>
              </w:rPr>
              <w:t>الملحق الثاني</w:t>
            </w:r>
            <w:r>
              <w:rPr>
                <w:rStyle w:val="IndexLink"/>
                <w:rtl w:val="true"/>
              </w:rPr>
              <w:t xml:space="preserve">: </w:t>
            </w:r>
            <w:r>
              <w:rPr>
                <w:rStyle w:val="IndexLink"/>
                <w:rtl w:val="true"/>
              </w:rPr>
              <w:t>المصطفون في آية الاصطفاء</w:t>
            </w:r>
            <w:r>
              <w:rPr>
                <w:rStyle w:val="IndexLink"/>
                <w:rtl w:val="true"/>
              </w:rPr>
              <w:tab/>
            </w:r>
            <w:r>
              <w:rPr>
                <w:rStyle w:val="IndexLink"/>
              </w:rPr>
              <w:t>202</w:t>
            </w:r>
          </w:hyperlink>
        </w:p>
        <w:p>
          <w:pPr>
            <w:pStyle w:val="Contents4"/>
            <w:tabs>
              <w:tab w:val="clear" w:pos="8176"/>
              <w:tab w:val="right" w:pos="9026" w:leader="dot"/>
            </w:tabs>
            <w:rPr/>
          </w:pPr>
          <w:hyperlink w:anchor="__RefHeading___Toc634250_105122903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634252_1051229030">
            <w:r>
              <w:rPr>
                <w:webHidden/>
                <w:rStyle w:val="IndexLink"/>
                <w:rtl w:val="true"/>
              </w:rPr>
              <w:t>بیان مورد البحث</w:t>
            </w:r>
            <w:r>
              <w:rPr>
                <w:rStyle w:val="IndexLink"/>
                <w:rtl w:val="true"/>
              </w:rPr>
              <w:tab/>
            </w:r>
            <w:r>
              <w:rPr>
                <w:rStyle w:val="IndexLink"/>
              </w:rPr>
              <w:t>204</w:t>
            </w:r>
          </w:hyperlink>
        </w:p>
        <w:p>
          <w:pPr>
            <w:pStyle w:val="Contents4"/>
            <w:tabs>
              <w:tab w:val="clear" w:pos="8176"/>
              <w:tab w:val="right" w:pos="9026" w:leader="dot"/>
            </w:tabs>
            <w:rPr/>
          </w:pPr>
          <w:hyperlink w:anchor="__RefHeading___Toc634254_1051229030">
            <w:r>
              <w:rPr>
                <w:webHidden/>
                <w:rStyle w:val="IndexLink"/>
                <w:rtl w:val="true"/>
              </w:rPr>
              <w:t>المختار في المراد من الآية</w:t>
            </w:r>
            <w:r>
              <w:rPr>
                <w:rStyle w:val="IndexLink"/>
                <w:rtl w:val="true"/>
              </w:rPr>
              <w:tab/>
            </w:r>
            <w:r>
              <w:rPr>
                <w:rStyle w:val="IndexLink"/>
              </w:rPr>
              <w:t>206</w:t>
            </w:r>
          </w:hyperlink>
        </w:p>
        <w:p>
          <w:pPr>
            <w:pStyle w:val="Contents4"/>
            <w:tabs>
              <w:tab w:val="clear" w:pos="8176"/>
              <w:tab w:val="right" w:pos="9026" w:leader="dot"/>
            </w:tabs>
            <w:rPr/>
          </w:pPr>
          <w:hyperlink w:anchor="__RefHeading___Toc634256_1051229030">
            <w:r>
              <w:rPr>
                <w:webHidden/>
                <w:rStyle w:val="IndexLink"/>
                <w:rtl w:val="true"/>
              </w:rPr>
              <w:t>إثبات الأمر الأول</w:t>
            </w:r>
            <w:r>
              <w:rPr>
                <w:rStyle w:val="IndexLink"/>
                <w:rtl w:val="true"/>
              </w:rPr>
              <w:tab/>
            </w:r>
            <w:r>
              <w:rPr>
                <w:rStyle w:val="IndexLink"/>
              </w:rPr>
              <w:t>207</w:t>
            </w:r>
          </w:hyperlink>
        </w:p>
        <w:p>
          <w:pPr>
            <w:pStyle w:val="Contents4"/>
            <w:tabs>
              <w:tab w:val="clear" w:pos="8176"/>
              <w:tab w:val="right" w:pos="9026" w:leader="dot"/>
            </w:tabs>
            <w:rPr/>
          </w:pPr>
          <w:hyperlink w:anchor="__RefHeading___Toc634258_1051229030">
            <w:r>
              <w:rPr>
                <w:webHidden/>
                <w:rStyle w:val="IndexLink"/>
                <w:rtl w:val="true"/>
              </w:rPr>
              <w:t>إثبات الأمر الثاني</w:t>
            </w:r>
            <w:r>
              <w:rPr>
                <w:rStyle w:val="IndexLink"/>
                <w:rtl w:val="true"/>
              </w:rPr>
              <w:tab/>
            </w:r>
            <w:r>
              <w:rPr>
                <w:rStyle w:val="IndexLink"/>
              </w:rPr>
              <w:t>208</w:t>
            </w:r>
          </w:hyperlink>
        </w:p>
        <w:p>
          <w:pPr>
            <w:pStyle w:val="Contents4"/>
            <w:tabs>
              <w:tab w:val="clear" w:pos="8176"/>
              <w:tab w:val="right" w:pos="9026" w:leader="dot"/>
            </w:tabs>
            <w:rPr/>
          </w:pPr>
          <w:hyperlink w:anchor="__RefHeading___Toc634260_1051229030">
            <w:r>
              <w:rPr>
                <w:webHidden/>
                <w:rStyle w:val="IndexLink"/>
                <w:rtl w:val="true"/>
              </w:rPr>
              <w:t>نتيجة البحث</w:t>
            </w:r>
            <w:r>
              <w:rPr>
                <w:rStyle w:val="IndexLink"/>
                <w:rtl w:val="true"/>
              </w:rPr>
              <w:tab/>
            </w:r>
            <w:r>
              <w:rPr>
                <w:rStyle w:val="IndexLink"/>
              </w:rPr>
              <w:t>212</w:t>
            </w:r>
          </w:hyperlink>
        </w:p>
        <w:p>
          <w:pPr>
            <w:pStyle w:val="Contents4"/>
            <w:tabs>
              <w:tab w:val="clear" w:pos="8176"/>
              <w:tab w:val="right" w:pos="9026" w:leader="dot"/>
            </w:tabs>
            <w:rPr/>
          </w:pPr>
          <w:hyperlink w:anchor="__RefHeading___Toc634262_1051229030">
            <w:r>
              <w:rPr>
                <w:webHidden/>
                <w:rStyle w:val="IndexLink"/>
                <w:rtl w:val="true"/>
              </w:rPr>
              <w:t>بيان إشكالات على المختار</w:t>
            </w:r>
            <w:r>
              <w:rPr>
                <w:rStyle w:val="IndexLink"/>
                <w:rtl w:val="true"/>
              </w:rPr>
              <w:tab/>
            </w:r>
            <w:r>
              <w:rPr>
                <w:rStyle w:val="IndexLink"/>
              </w:rPr>
              <w:t>213</w:t>
            </w:r>
          </w:hyperlink>
        </w:p>
        <w:p>
          <w:pPr>
            <w:pStyle w:val="Contents4"/>
            <w:tabs>
              <w:tab w:val="clear" w:pos="8176"/>
              <w:tab w:val="right" w:pos="9026" w:leader="dot"/>
            </w:tabs>
            <w:rPr/>
          </w:pPr>
          <w:hyperlink w:anchor="__RefHeading___Toc634264_1051229030">
            <w:r>
              <w:rPr>
                <w:webHidden/>
                <w:rStyle w:val="IndexLink"/>
                <w:rtl w:val="true"/>
              </w:rPr>
              <w:t>الإشكال الأول</w:t>
            </w:r>
            <w:r>
              <w:rPr>
                <w:rStyle w:val="IndexLink"/>
                <w:rtl w:val="true"/>
              </w:rPr>
              <w:tab/>
            </w:r>
            <w:r>
              <w:rPr>
                <w:rStyle w:val="IndexLink"/>
              </w:rPr>
              <w:t>213</w:t>
            </w:r>
          </w:hyperlink>
        </w:p>
        <w:p>
          <w:pPr>
            <w:pStyle w:val="Contents4"/>
            <w:tabs>
              <w:tab w:val="clear" w:pos="8176"/>
              <w:tab w:val="right" w:pos="9026" w:leader="dot"/>
            </w:tabs>
            <w:rPr/>
          </w:pPr>
          <w:hyperlink w:anchor="__RefHeading___Toc634266_1051229030">
            <w:r>
              <w:rPr>
                <w:webHidden/>
                <w:rStyle w:val="IndexLink"/>
                <w:rtl w:val="true"/>
              </w:rPr>
              <w:t>الإشكال الثاني</w:t>
            </w:r>
            <w:r>
              <w:rPr>
                <w:rStyle w:val="IndexLink"/>
                <w:rtl w:val="true"/>
              </w:rPr>
              <w:tab/>
            </w:r>
            <w:r>
              <w:rPr>
                <w:rStyle w:val="IndexLink"/>
              </w:rPr>
              <w:t>214</w:t>
            </w:r>
          </w:hyperlink>
        </w:p>
        <w:p>
          <w:pPr>
            <w:pStyle w:val="Contents3"/>
            <w:tabs>
              <w:tab w:val="clear" w:pos="8459"/>
              <w:tab w:val="right" w:pos="9026" w:leader="dot"/>
            </w:tabs>
            <w:rPr/>
          </w:pPr>
          <w:hyperlink w:anchor="__RefHeading___Toc634268_1051229030">
            <w:r>
              <w:rPr>
                <w:webHidden/>
                <w:rStyle w:val="IndexLink"/>
                <w:rtl w:val="true"/>
              </w:rPr>
              <w:t>الملحق الثالث</w:t>
            </w:r>
            <w:r>
              <w:rPr>
                <w:rStyle w:val="IndexLink"/>
                <w:rtl w:val="true"/>
              </w:rPr>
              <w:t xml:space="preserve">: </w:t>
            </w:r>
            <w:r>
              <w:rPr>
                <w:rStyle w:val="IndexLink"/>
                <w:rtl w:val="true"/>
              </w:rPr>
              <w:t>كلمةٌ مُحكَمَةٌ حول الآية المباركة</w:t>
            </w:r>
            <w:r>
              <w:rPr>
                <w:rStyle w:val="IndexLink"/>
                <w:rtl w:val="true"/>
              </w:rPr>
              <w:t xml:space="preserve">: « </w:t>
            </w:r>
            <w:r>
              <w:rPr>
                <w:rStyle w:val="IndexLink"/>
                <w:rtl w:val="true"/>
              </w:rPr>
              <w:t>سَلاَمٌ عَلَى إِل يَاسِينَ</w:t>
            </w:r>
            <w:r>
              <w:rPr>
                <w:rStyle w:val="IndexLink"/>
                <w:rtl w:val="true"/>
              </w:rPr>
              <w:t>»</w:t>
              <w:tab/>
            </w:r>
            <w:r>
              <w:rPr>
                <w:rStyle w:val="IndexLink"/>
              </w:rPr>
              <w:t>216</w:t>
            </w:r>
          </w:hyperlink>
        </w:p>
        <w:p>
          <w:pPr>
            <w:pStyle w:val="Contents4"/>
            <w:tabs>
              <w:tab w:val="clear" w:pos="8176"/>
              <w:tab w:val="right" w:pos="9026" w:leader="dot"/>
            </w:tabs>
            <w:rPr/>
          </w:pPr>
          <w:hyperlink w:anchor="__RefHeading___Toc634270_105122903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34272_1051229030">
            <w:r>
              <w:rPr>
                <w:webHidden/>
                <w:rStyle w:val="IndexLink"/>
                <w:rtl w:val="true"/>
              </w:rPr>
              <w:t>كلمتنا حول الآية</w:t>
            </w:r>
            <w:r>
              <w:rPr>
                <w:rStyle w:val="IndexLink"/>
                <w:rtl w:val="true"/>
              </w:rPr>
              <w:tab/>
            </w:r>
            <w:r>
              <w:rPr>
                <w:rStyle w:val="IndexLink"/>
              </w:rPr>
              <w:t>218</w:t>
            </w:r>
          </w:hyperlink>
        </w:p>
        <w:p>
          <w:pPr>
            <w:pStyle w:val="Contents4"/>
            <w:tabs>
              <w:tab w:val="clear" w:pos="8176"/>
              <w:tab w:val="right" w:pos="9026" w:leader="dot"/>
            </w:tabs>
            <w:rPr/>
          </w:pPr>
          <w:hyperlink w:anchor="__RefHeading___Toc634274_1051229030">
            <w:r>
              <w:rPr>
                <w:webHidden/>
                <w:rStyle w:val="IndexLink"/>
                <w:rtl w:val="true"/>
              </w:rPr>
              <w:t>تعرض بعض الآراء الموهومة وردها</w:t>
            </w:r>
            <w:r>
              <w:rPr>
                <w:rStyle w:val="IndexLink"/>
                <w:rtl w:val="true"/>
              </w:rPr>
              <w:tab/>
            </w:r>
            <w:r>
              <w:rPr>
                <w:rStyle w:val="IndexLink"/>
              </w:rPr>
              <w:t>219</w:t>
            </w:r>
          </w:hyperlink>
        </w:p>
        <w:p>
          <w:pPr>
            <w:pStyle w:val="Contents4"/>
            <w:tabs>
              <w:tab w:val="clear" w:pos="8176"/>
              <w:tab w:val="right" w:pos="9026" w:leader="dot"/>
            </w:tabs>
            <w:rPr/>
          </w:pPr>
          <w:hyperlink w:anchor="__RefHeading___Toc634276_1051229030">
            <w:r>
              <w:rPr>
                <w:webHidden/>
                <w:rStyle w:val="IndexLink"/>
                <w:rtl w:val="true"/>
              </w:rPr>
              <w:t>إقامة شواهد أخرى على المدعى</w:t>
            </w:r>
            <w:r>
              <w:rPr>
                <w:rStyle w:val="IndexLink"/>
                <w:rtl w:val="true"/>
              </w:rPr>
              <w:tab/>
            </w:r>
            <w:r>
              <w:rPr>
                <w:rStyle w:val="IndexLink"/>
              </w:rPr>
              <w:t>223</w:t>
            </w:r>
          </w:hyperlink>
        </w:p>
        <w:p>
          <w:pPr>
            <w:pStyle w:val="Contents3"/>
            <w:tabs>
              <w:tab w:val="clear" w:pos="8459"/>
              <w:tab w:val="right" w:pos="9026" w:leader="dot"/>
            </w:tabs>
            <w:rPr/>
          </w:pPr>
          <w:hyperlink w:anchor="__RefHeading___Toc634278_1051229030">
            <w:r>
              <w:rPr>
                <w:webHidden/>
                <w:rStyle w:val="IndexLink"/>
                <w:rtl w:val="true"/>
              </w:rPr>
              <w:t>فهرس الآيات الكريمة</w:t>
            </w:r>
            <w:r>
              <w:rPr>
                <w:rStyle w:val="IndexLink"/>
                <w:rtl w:val="true"/>
              </w:rPr>
              <w:tab/>
            </w:r>
            <w:r>
              <w:rPr>
                <w:rStyle w:val="IndexLink"/>
              </w:rPr>
              <w:t>226</w:t>
            </w:r>
          </w:hyperlink>
        </w:p>
        <w:p>
          <w:pPr>
            <w:pStyle w:val="Contents3"/>
            <w:tabs>
              <w:tab w:val="clear" w:pos="8459"/>
              <w:tab w:val="right" w:pos="9026" w:leader="dot"/>
            </w:tabs>
            <w:rPr/>
          </w:pPr>
          <w:hyperlink w:anchor="__RefHeading___Toc634280_1051229030">
            <w:r>
              <w:rPr>
                <w:webHidden/>
                <w:rStyle w:val="IndexLink"/>
                <w:rtl w:val="true"/>
              </w:rPr>
              <w:t>فهرس مصادر التحقيق</w:t>
            </w:r>
            <w:r>
              <w:rPr>
                <w:rStyle w:val="IndexLink"/>
                <w:rtl w:val="true"/>
              </w:rPr>
              <w:tab/>
            </w:r>
            <w:r>
              <w:rPr>
                <w:rStyle w:val="IndexLink"/>
              </w:rPr>
              <w:t>232</w:t>
            </w:r>
          </w:hyperlink>
        </w:p>
        <w:p>
          <w:pPr>
            <w:pStyle w:val="Contents3"/>
            <w:tabs>
              <w:tab w:val="clear" w:pos="8459"/>
              <w:tab w:val="right" w:pos="9026" w:leader="dot"/>
            </w:tabs>
            <w:rPr/>
          </w:pPr>
          <w:hyperlink w:anchor="__RefHeading___Toc634282_1051229030">
            <w:r>
              <w:rPr>
                <w:webHidden/>
                <w:rStyle w:val="IndexLink"/>
                <w:rtl w:val="true"/>
              </w:rPr>
              <w:t>فهرس الموضوعات</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6_66172"/>
      <w:bookmarkStart w:id="1" w:name="pg7286_66172"/>
      <w:bookmarkEnd w:id="1"/>
    </w:p>
    <w:p>
      <w:pPr>
        <w:pStyle w:val="Heading2"/>
        <w:numPr>
          <w:ilvl w:val="1"/>
          <w:numId w:val="1"/>
        </w:numPr>
        <w:rPr/>
      </w:pPr>
      <w:bookmarkStart w:id="2" w:name="pg7286_66172"/>
      <w:bookmarkStart w:id="3" w:name="__RefHeading___Toc63402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رسالات فقهیه استدلالیه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السیدمحمدحسین المرتضوی‌اللنگرودی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2101898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03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سِتُّ رِسالاتٍ فِقهيَّة استِدلالِيَّة</w:t>
      </w:r>
    </w:p>
    <w:p>
      <w:pPr>
        <w:pStyle w:val="BookText"/>
        <w:rPr/>
      </w:pPr>
      <w:r>
        <w:rPr>
          <w:rFonts w:ascii="Amiri" w:hAnsi="Amiri" w:eastAsia="Amiri" w:cs="Amiri"/>
          <w:color w:val="111111"/>
          <w:sz w:val="28"/>
          <w:sz w:val="28"/>
          <w:szCs w:val="28"/>
          <w:rtl w:val="true"/>
          <w:lang w:bidi="ar-SA"/>
        </w:rPr>
        <w:t>لِسَماحَةِ الفَقيهِ المُحقِق آیَتِ اللهِ السِيِّد محمّد حُسين المرتَضويّ اللنکَروديّ دامَ ظِلّهُ العالي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موسسه النشر الاسلامي التابعة لجماعة المدرسين بقم المشرفة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نحمده في جميع أموره ونستعينه على رعاية حقوقه، و نصلی ونسلم على من أرسله بأمره صادعاً وبذکره ناطقاً، وعلى آله وأهل بيته الذين بهم يستعطى الهدی و يستجلى العمى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فإن التفقه في الدين الحنيف لا يستغني عنه مهما طال به الزمن و تقلبت الأحوال الاجتماعية ؛ لأنه مسلك العبودية وأساس تنظیم شؤون الحياة الإنسانية في جميع أبعادها الفردية والاجتماعية، بل مادام يتعاقب الجديدان تشتد إليه حاجة الإنسان ، ولذا خاطبنا ربنا الرحمن في كتابه الفرقان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وحثنا على ذلك أيضا النبي الكريم وأوصياؤه الهادون، صلوات الله وسلامه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فامتثالا لما ندب إليه لسان الوحي، بدأ من عصر النبي صلي الله عليه وآله دراسة الفقه وتدوينه، وكان نصيب الإمامية المتمسكين بحبل آل الرسول عليهم السلام قصب السبق في هذا المضمار بجميع شؤونه، وفاقت مدرستهم على سائر المدارس إتقاناً و تدقيقاً وتعميقاً لعكوفهم على باب مدينة العلم وكفاهم بذلك فخرا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توفقت مؤسستنا منذ تأسيسها إلى يومنا هذا الإصدار كتب قيمة ورسائل نافعة من تأليف خريجي تلك المدرسة المباركة من علمائنا الأماجد سالفيهم وغابريهم، جزاهم الله عن الشريعة البيضاء خير الجزاء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تلكم الآثار الثمينة عدة رسائل فقهية استدلالية في مسائل شتی من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تعم به البلوى، التي لابد لطالبي العلوم الدينية التعرف لها والاستطلاع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المحقق الجليل والفقيه النبيل سماحة الحجة آية الله السيد محمد حسين المرتضوي اللنگرودي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الماثل بين يديكم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هي المجموعة الثانية من تلك الرسائل القيمة في ستة مباحث مهمة، رأيناها في مظان استفادة المشتغلين ومطامح أنظار المجتهدين، فقررنا طبعه ونشره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أصدرنا من قبل، مجموعتها الأولى حاوية لتسع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آملين أن تكون عند رغبة الباحثين، وسائلين الله تعالی بمنه وكرمه لمؤلفها الكريم السلامة ودوام الإفاضة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النشر الاسلامی التابعة لجماعة المدرسین بقم المشرفة </w:t>
      </w:r>
      <w:bookmarkStart w:id="7" w:name="pg7286_66178"/>
    </w:p>
    <w:p>
      <w:pPr>
        <w:pStyle w:val="Heading2"/>
        <w:numPr>
          <w:ilvl w:val="1"/>
          <w:numId w:val="1"/>
        </w:numPr>
        <w:rPr/>
      </w:pPr>
      <w:bookmarkStart w:id="8" w:name="__RefHeading___Toc634032_1051229030"/>
      <w:bookmarkStart w:id="9" w:name="_Toc3"/>
      <w:bookmarkEnd w:id="7"/>
      <w:bookmarkEnd w:id="8"/>
      <w:r>
        <w:rPr>
          <w:rtl w:val="true"/>
        </w:rPr>
        <w:t>نبذة من حياة المؤلف</w:t>
      </w:r>
      <w:bookmarkEnd w:id="9"/>
    </w:p>
    <w:p>
      <w:pPr>
        <w:pStyle w:val="BookText"/>
        <w:rPr/>
      </w:pPr>
      <w:r>
        <w:rPr>
          <w:rFonts w:ascii="IRNazanin" w:hAnsi="IRNazanin" w:eastAsia="IRNazanin"/>
          <w:color w:val="111111"/>
          <w:sz w:val="28"/>
          <w:sz w:val="28"/>
          <w:szCs w:val="28"/>
          <w:rtl w:val="true"/>
          <w:lang w:bidi="fa-IR"/>
        </w:rPr>
        <w:t>سماحة العلامة آية الله العظمى السيد محمد حسين المرتضوي اللنگرودی مد ظله</w:t>
      </w:r>
    </w:p>
    <w:p>
      <w:pPr>
        <w:pStyle w:val="BookText"/>
        <w:rPr/>
      </w:pPr>
      <w:r>
        <w:rPr>
          <w:rFonts w:ascii="IRNazanin" w:hAnsi="IRNazanin" w:eastAsia="IRNazanin"/>
          <w:color w:val="111111"/>
          <w:sz w:val="28"/>
          <w:sz w:val="28"/>
          <w:szCs w:val="28"/>
          <w:rtl w:val="true"/>
          <w:lang w:bidi="fa-IR"/>
        </w:rPr>
        <w:t xml:space="preserve">ولد بالنجف الأشرف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أسرةٍ شريفةٍ علميةٍ على رأسها والده المعظم فقیه عصره آية الله العظمى السيد مرتضى الحسيني اللنگرودي قدس سره الذي كان يعد من وجوه تلامذة الفقيه الألمعي آية الله العظمی السيد أبي الحسن الأصبهاني والمحقق الكبير آية الله العظمى الميرزا محمد حسین النائيني قدس سرهما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أعقب والده المعظم من الأولاد أربعة؛ كلهم نالوا مرتبة الاجتهاد الرفيعة مشتهرين بالزهد والتقوى، والمترجم له هو أكبرهم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بدأ آية الله العظمى اللنگرودي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حوزة النجف الأشرف بالعلوم الدينية وكان يمتاز عن زملائه بجهدٍ وافرٍ ثم رجع مع والده إلى إيران ومکث في طهران مدة سنين وأتقن خلالها تحصيلاته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فتلمذ في السطح العالي من العلوم الحوزوية على أساتذة كبار، ولازم في دراسة الخارج والده العلامة فقهاً وأصولا، كما حضر في المعقول على العلامتين الآيتين الشيخ محمد تقي الآملي والميرزا أبي الحسن الشعراني قدس سرهما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سافر في نحو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إلى حوزة قم العلمية، فحضر على آية الله </w:t>
      </w:r>
    </w:p>
    <w:p>
      <w:pPr>
        <w:pStyle w:val="BookText"/>
        <w:rPr/>
      </w:pPr>
      <w:r>
        <w:rPr>
          <w:rFonts w:ascii="Amiri" w:hAnsi="Amiri" w:eastAsia="Amiri" w:cs="Amiri"/>
          <w:color w:val="111111"/>
          <w:sz w:val="28"/>
          <w:sz w:val="28"/>
          <w:szCs w:val="28"/>
          <w:rtl w:val="true"/>
          <w:lang w:bidi="ar-SA"/>
        </w:rPr>
        <w:t xml:space="preserve">العظمى البروجردي قدس سره فقها وعلى آية الله العظمى الخميني و آية الله الشيخ عبدالنبي الأراكي قدس سرهما أصولا، ولما هاجر والده بعد بضع سنين إلى قم المقدسة، تلمذ عليه ثانية في درسي الفقه والأصول كما أخذ العلوم العقلية من العلامة آية الله السيد محمد حسين الطباطبائي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عاد المترجم له کرها إلى العاصمة طهران بإصرار جم غفير من المتدينين وأمر والده الكريم والتحق بالمدرسة العلمية الفتحية وقام بإدارة شؤونها وتدریس السطح العالي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المكاسب والكفاية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وخارجا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وبدأ بتدريس الخارج فقها منذ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على جملة من أفاضل طلبة حوزة طهران العلمية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المعظم له إلى جانب ذلك يقوم بالتأليف والتصنيف في مختلف العلوم الدينية وترك لحد الآن كتباً قيمةً وتراثاً علمياً كبيراً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من الله على المعظم له اشتغاله التام بالمطالعة والتحقيق والتأليف أينما حل و ارتحل على خلاف غالب المرتحلين وإن كان الظن يلحق الشيء بالأعم الأغلب وبذلك أصبح جامعا للمعقول والمنقول ومرجعا في العلوم الدينية والأحكام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 المسلمين بطول بقائه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تذكار</w:t>
      </w:r>
    </w:p>
    <w:p>
      <w:pPr>
        <w:pStyle w:val="BookText"/>
        <w:rPr/>
      </w:pPr>
      <w:r>
        <w:rPr>
          <w:rFonts w:ascii="Amiri" w:hAnsi="Amiri" w:eastAsia="Amiri" w:cs="Amiri"/>
          <w:color w:val="111111"/>
          <w:sz w:val="28"/>
          <w:sz w:val="28"/>
          <w:szCs w:val="28"/>
          <w:rtl w:val="true"/>
          <w:lang w:bidi="ar-SA"/>
        </w:rPr>
        <w:t>من الجدير بالذكر أن هذا الكتاب الشريف هو الجزء الثاني للكتاب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اشتمل على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زيارة مشهد سيدنا ومولانا الإمام أبي عبد الله الحسين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حكم تقدم المصلي على مرقد المعصوم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إخراج الحصى ونحوها من المساجد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البلدان الكبيرة جدا غير المتعارفة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الصلاة المعادة واستحبابها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أن الميت الآدمي ليس بنجس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أوقات غسل الجمعة أداء وقضاء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عدم انتقاض الأغسال المندوبة بالأحداث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الشك في الحدث بعد الوضوء وفي الوضوء بعد الحدث</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يشتمل هذا الجزء على الرسائل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التفريق بين الصلاتين المشتركتين في الوقت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النوافل في الأوقات الخمسة الخاصة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جزئية الشهادة بالولاية في فصول الأذان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ما هو المراد من إباحة أهل البيت عليهم السلام الخمس لشيعتهم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شرعية عبادات الصبي المميز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الإعانة على الإثم</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اهتمام الفقيه بالقرآن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المصطفون في آية الاصطفاء</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محكمة حول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بعد الحمد الله تعالى والثناء عليه، والصلاة والسلام على رسوله وعترته صلی الله عليه 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عدة مسائل فقهية استدلالية، وضعتها على سبيل الاختصار، معرضا عن الإطناب الممل والإيجاز المخل، بقدر الطاقة مع بضاعةٍ مزجاةٍ؛ تذكرةً لنفسي وتبصرةً لمن أراد التبصُّر إن شاء الله تعالى، مع تشویش البال وكثرة الآفات والاشتغالات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 لله العلي الأعلى على ما هدانا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الآثم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العلامة الكبرى والآية العظمی السيد مرتضى اللنگرودي قدس سره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محمد حسين الحسيني المرتضوي اللنگرودي عفي عنه</w:t>
      </w:r>
      <w:r>
        <w:rPr>
          <w:rFonts w:eastAsia="IRNazanin" w:cs="IRNazanin"/>
          <w:color w:val="111111"/>
          <w:sz w:val="28"/>
          <w:szCs w:val="28"/>
          <w:rtl w:val="true"/>
          <w:lang w:bidi="fa-IR"/>
        </w:rPr>
        <w:t xml:space="preserve">. </w:t>
      </w:r>
      <w:bookmarkStart w:id="10" w:name="pg7286_66184"/>
    </w:p>
    <w:p>
      <w:pPr>
        <w:pStyle w:val="Heading2"/>
        <w:numPr>
          <w:ilvl w:val="1"/>
          <w:numId w:val="1"/>
        </w:numPr>
        <w:rPr/>
      </w:pPr>
      <w:bookmarkStart w:id="11" w:name="__RefHeading___Toc634034_1051229030"/>
      <w:bookmarkStart w:id="12" w:name="_Toc4"/>
      <w:bookmarkEnd w:id="10"/>
      <w:bookmarkEnd w:id="11"/>
      <w:r>
        <w:rPr>
          <w:rtl w:val="true"/>
        </w:rPr>
        <w:t>الرسالة الأولى</w:t>
      </w:r>
      <w:r>
        <w:rPr>
          <w:rtl w:val="true"/>
        </w:rPr>
        <w:t xml:space="preserve">: </w:t>
      </w:r>
      <w:r>
        <w:rPr>
          <w:rtl w:val="true"/>
        </w:rPr>
        <w:t xml:space="preserve">في المراد من التفريق بين الصلاتين المشتركتين في الوقت </w:t>
      </w:r>
      <w:r>
        <w:rPr>
          <w:rtl w:val="true"/>
        </w:rPr>
        <w:t xml:space="preserve">- </w:t>
      </w:r>
      <w:r>
        <w:rPr>
          <w:rtl w:val="true"/>
        </w:rPr>
        <w:t xml:space="preserve">کالظهرين والعشاءين </w:t>
      </w:r>
      <w:r>
        <w:rPr>
          <w:rtl w:val="true"/>
        </w:rPr>
        <w:t xml:space="preserve">- </w:t>
      </w:r>
      <w:r>
        <w:rPr>
          <w:rtl w:val="true"/>
        </w:rPr>
        <w:t>وأن الجمع بينهما أيضا مستحب</w:t>
      </w:r>
      <w:bookmarkEnd w:id="1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34036_1051229030"/>
      <w:bookmarkStart w:id="14" w:name="_Toc5"/>
      <w:bookmarkEnd w:id="13"/>
      <w:r>
        <w:rPr>
          <w:rtl w:val="true"/>
        </w:rPr>
        <w:t>اشارة</w:t>
      </w:r>
      <w:bookmarkEnd w:id="1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86_66186"/>
      <w:bookmarkStart w:id="16" w:name="pg7286_66186"/>
      <w:bookmarkEnd w:id="16"/>
    </w:p>
    <w:p>
      <w:pPr>
        <w:pStyle w:val="BookText"/>
        <w:rPr/>
      </w:pPr>
      <w:bookmarkStart w:id="17" w:name="pg7286_66186"/>
      <w:bookmarkEnd w:id="17"/>
      <w:r>
        <w:rPr>
          <w:rFonts w:ascii="Amiri" w:hAnsi="Amiri" w:eastAsia="Amiri" w:cs="Amiri"/>
          <w:color w:val="111111"/>
          <w:sz w:val="28"/>
          <w:sz w:val="28"/>
          <w:szCs w:val="28"/>
          <w:rtl w:val="true"/>
          <w:lang w:bidi="ar-SA"/>
        </w:rPr>
        <w:t xml:space="preserve">الرسالة الأولى في المراد من التفريق المستحب بين الصلاتين المشتركتين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والعشاءين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الجمع بينهما أيضا مستحب</w:t>
      </w:r>
    </w:p>
    <w:p>
      <w:pPr>
        <w:pStyle w:val="Heading3"/>
        <w:numPr>
          <w:ilvl w:val="2"/>
          <w:numId w:val="1"/>
        </w:numPr>
        <w:rPr/>
      </w:pPr>
      <w:bookmarkStart w:id="18" w:name="__RefHeading___Toc634038_1051229030"/>
      <w:bookmarkStart w:id="19" w:name="_Toc6"/>
      <w:bookmarkEnd w:id="18"/>
      <w:r>
        <w:rPr>
          <w:rtl w:val="true"/>
        </w:rPr>
        <w:t>إشارة إجمالية إلى ما في المقام</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الأصحاب قدس سره </w:t>
      </w:r>
      <w:r>
        <w:rPr>
          <w:rStyle w:val="FootnoteAnchor"/>
          <w:rtl w:val="true"/>
        </w:rPr>
        <w:footnoteReference w:id="2"/>
      </w:r>
      <w:r>
        <w:rPr>
          <w:rFonts w:ascii="Amiri" w:hAnsi="Amiri" w:eastAsia="Amiri" w:cs="Amiri"/>
          <w:color w:val="111111"/>
          <w:sz w:val="28"/>
          <w:sz w:val="28"/>
          <w:szCs w:val="28"/>
          <w:rtl w:val="true"/>
          <w:lang w:bidi="ar-SA"/>
        </w:rPr>
        <w:t xml:space="preserve">تبعا لآخرين </w:t>
      </w:r>
      <w:r>
        <w:rPr>
          <w:rStyle w:val="FootnoteAnchor"/>
          <w:rtl w:val="true"/>
        </w:rPr>
        <w:footnoteReference w:id="3"/>
      </w:r>
      <w:r>
        <w:rPr>
          <w:rFonts w:ascii="IRNazanin" w:hAnsi="IRNazanin" w:eastAsia="IRNazanin"/>
          <w:color w:val="111111"/>
          <w:sz w:val="28"/>
          <w:sz w:val="28"/>
          <w:szCs w:val="28"/>
          <w:rtl w:val="true"/>
          <w:lang w:bidi="fa-IR"/>
        </w:rPr>
        <w:t xml:space="preserve">، بل تسب إلى المشهور منهم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التفريق بين الصلاتين المشتركين في الوقت مندوب مستحب، وإن الجمع بينهما وإن كان جائزا في نفسه من غير عذرٍ من سفرٍ أو مطرٍ أو مرضٍ، لكنه مرجوح مكروه</w:t>
      </w:r>
      <w:r>
        <w:rPr>
          <w:rFonts w:eastAsia="Amiri" w:cs="Amiri" w:ascii="Amiri" w:hAnsi="Amiri"/>
          <w:color w:val="111111"/>
          <w:sz w:val="28"/>
          <w:szCs w:val="28"/>
          <w:rtl w:val="true"/>
          <w:lang w:bidi="ar-SA"/>
        </w:rPr>
        <w:t xml:space="preserve">. </w:t>
      </w:r>
      <w:bookmarkStart w:id="20" w:name="pg7286_66187"/>
    </w:p>
    <w:p>
      <w:pPr>
        <w:pStyle w:val="BookText"/>
        <w:rPr/>
      </w:pPr>
      <w:bookmarkEnd w:id="20"/>
      <w:r>
        <w:rPr>
          <w:rFonts w:ascii="IRNazanin" w:hAnsi="IRNazanin" w:eastAsia="IRNazanin"/>
          <w:color w:val="111111"/>
          <w:sz w:val="28"/>
          <w:sz w:val="28"/>
          <w:szCs w:val="28"/>
          <w:rtl w:val="true"/>
          <w:lang w:bidi="fa-IR"/>
        </w:rPr>
        <w:t>بل قال الشهيد قدس سره في الذكرى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علم من مذهب الإمامية جواز الجمع بين الصلاتین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تفصيل بين المصادیق، کما سيظهر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 استحباب التفريق بينهما بشهادة النصوص والمصنفات بذلك</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1" w:name="__RefHeading___Toc634040_1051229030"/>
      <w:bookmarkStart w:id="22" w:name="_Toc7"/>
      <w:bookmarkEnd w:id="21"/>
      <w:r>
        <w:rPr>
          <w:rtl w:val="true"/>
        </w:rPr>
        <w:t>أدلة القول باستحباب التفريق</w:t>
      </w:r>
      <w:bookmarkEnd w:id="22"/>
    </w:p>
    <w:p>
      <w:pPr>
        <w:pStyle w:val="BookText"/>
        <w:rPr/>
      </w:pPr>
      <w:r>
        <w:rPr>
          <w:rFonts w:ascii="Amiri" w:hAnsi="Amiri" w:eastAsia="Amiri" w:cs="Amiri"/>
          <w:color w:val="111111"/>
          <w:sz w:val="28"/>
          <w:sz w:val="28"/>
          <w:szCs w:val="28"/>
          <w:rtl w:val="true"/>
          <w:lang w:bidi="ar-SA"/>
        </w:rPr>
        <w:t xml:space="preserve">واستدلوا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الشهيد في الذكرى </w:t>
      </w:r>
      <w:r>
        <w:rPr>
          <w:rStyle w:val="FootnoteAnchor"/>
          <w:rtl w:val="true"/>
        </w:rPr>
        <w:footnoteReference w:id="6"/>
      </w:r>
      <w:r>
        <w:rPr>
          <w:rFonts w:ascii="IRNazanin" w:hAnsi="IRNazanin" w:eastAsia="IRNazanin"/>
          <w:color w:val="111111"/>
          <w:sz w:val="28"/>
          <w:sz w:val="28"/>
          <w:szCs w:val="28"/>
          <w:rtl w:val="true"/>
          <w:lang w:bidi="fa-IR"/>
        </w:rPr>
        <w:t xml:space="preserve">أيضا – بما نقل عن کتاب عبدالله بن سنان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صلي الله عليه وآله كان في السفر يجمع بين المغرب والعشاء والظهر والعصر، إما يفعل ذلك إذا كان مستعجلا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تفريقهما أفضل</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روي عن معاوية </w:t>
      </w:r>
      <w:r>
        <w:rPr>
          <w:rStyle w:val="FootnoteAnchor"/>
          <w:rtl w:val="true"/>
        </w:rPr>
        <w:footnoteReference w:id="8"/>
      </w:r>
      <w:r>
        <w:rPr>
          <w:rFonts w:ascii="Amiri" w:hAnsi="Amiri" w:eastAsia="Amiri" w:cs="Amiri"/>
          <w:color w:val="111111"/>
          <w:sz w:val="28"/>
          <w:sz w:val="28"/>
          <w:szCs w:val="28"/>
          <w:rtl w:val="true"/>
          <w:lang w:bidi="ar-SA"/>
        </w:rPr>
        <w:t>بن ميسرة،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في طول النهار، للرجل </w:t>
      </w:r>
      <w:r>
        <w:rPr>
          <w:rStyle w:val="FootnoteAnchor"/>
          <w:rtl w:val="true"/>
        </w:rPr>
        <w:footnoteReference w:id="9"/>
      </w:r>
      <w:r>
        <w:rPr>
          <w:rFonts w:ascii="Amiri" w:hAnsi="Amiri" w:eastAsia="Amiri" w:cs="Amiri"/>
          <w:color w:val="111111"/>
          <w:sz w:val="28"/>
          <w:sz w:val="28"/>
          <w:szCs w:val="28"/>
          <w:rtl w:val="true"/>
          <w:lang w:bidi="ar-SA"/>
        </w:rPr>
        <w:t xml:space="preserve">أن يصلي الظهر والعصر؟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أحب أن يفعل ذلك كل يوم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3" w:name="pg7286_66188"/>
    </w:p>
    <w:p>
      <w:pPr>
        <w:pStyle w:val="BookText"/>
        <w:rPr/>
      </w:pPr>
      <w:bookmarkEnd w:id="23"/>
      <w:r>
        <w:rPr>
          <w:rFonts w:ascii="IRNazanin" w:hAnsi="IRNazanin" w:eastAsia="IRNazanin"/>
          <w:color w:val="111111"/>
          <w:sz w:val="28"/>
          <w:sz w:val="28"/>
          <w:szCs w:val="28"/>
          <w:rtl w:val="true"/>
          <w:lang w:bidi="fa-IR"/>
        </w:rPr>
        <w:t xml:space="preserve">وبما رواه صفوان الجمال </w:t>
      </w:r>
      <w:r>
        <w:rPr>
          <w:rStyle w:val="FootnoteAnchor"/>
          <w:rtl w:val="true"/>
        </w:rPr>
        <w:footnoteReference w:id="11"/>
      </w:r>
      <w:r>
        <w:rPr>
          <w:rFonts w:ascii="Amiri" w:hAnsi="Amiri" w:eastAsia="Amiri" w:cs="Amiri"/>
          <w:color w:val="111111"/>
          <w:sz w:val="28"/>
          <w:sz w:val="28"/>
          <w:szCs w:val="28"/>
          <w:rtl w:val="true"/>
          <w:lang w:bidi="ar-SA"/>
        </w:rPr>
        <w:t>وسيأتي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وبغيرها مما هو مذكور في الوسائل </w:t>
      </w:r>
      <w:r>
        <w:rPr>
          <w:rStyle w:val="FootnoteAnchor"/>
          <w:rtl w:val="true"/>
        </w:rPr>
        <w:footnoteReference w:id="12"/>
      </w:r>
      <w:r>
        <w:rPr>
          <w:rFonts w:ascii="IRNazanin" w:hAnsi="IRNazanin" w:eastAsia="IRNazanin"/>
          <w:color w:val="111111"/>
          <w:sz w:val="28"/>
          <w:sz w:val="28"/>
          <w:szCs w:val="28"/>
          <w:rtl w:val="true"/>
          <w:lang w:bidi="fa-IR"/>
        </w:rPr>
        <w:t>کموثقة زرارة وسيأتي متنها عن قريب إن شاء الله تعالى، وذلك كله بعد انجبار ضعف السند في أكثر هذه النصوص وقصور دلالة بعضها الآخر بالشهرة المشار إليها</w:t>
      </w:r>
      <w:r>
        <w:rPr>
          <w:rFonts w:eastAsia="IRNazanin" w:cs="IRNazanin"/>
          <w:color w:val="111111"/>
          <w:sz w:val="28"/>
          <w:szCs w:val="28"/>
          <w:rtl w:val="true"/>
          <w:lang w:bidi="fa-IR"/>
        </w:rPr>
        <w:t>.</w:t>
      </w:r>
    </w:p>
    <w:p>
      <w:pPr>
        <w:pStyle w:val="Heading3"/>
        <w:numPr>
          <w:ilvl w:val="2"/>
          <w:numId w:val="1"/>
        </w:numPr>
        <w:rPr/>
      </w:pPr>
      <w:bookmarkStart w:id="24" w:name="__RefHeading___Toc634042_1051229030"/>
      <w:bookmarkStart w:id="25" w:name="_Toc8"/>
      <w:bookmarkEnd w:id="24"/>
      <w:r>
        <w:rPr>
          <w:rtl w:val="true"/>
        </w:rPr>
        <w:t>رد ما استدل به على استحباب التفريق</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أفيد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المداومة على ذلك، لا فضل التفريق في كل يوم؛ وذلك لأن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رواية معاوية بن ميسرة المذكورة سابقا، وموثقة زرارة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فلا أقيل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أنام نوم القيلولة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تزول الشمس، فإذا زالت الشمس صليت نوافلي ثم صليت الظهر ثم صليت نوافلي ثم صليت العصر ثم نمت، وذلك قبل أن يصلي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صلاة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زالت الشمس فقد دخل الوقت، ولكن أكره لك أن تتخذه وقتا دائما</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بيان حكم شخصي للراوي نفسه؛ لأنه عليه السلام لم يقل في مونقة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ظاهرة بل صريحة في أن الكراهة مختصة بزرارة ونظائره من الأصحاب </w:t>
      </w:r>
      <w:bookmarkStart w:id="26" w:name="pg7286_66189"/>
    </w:p>
    <w:p>
      <w:pPr>
        <w:pStyle w:val="BookText"/>
        <w:rPr/>
      </w:pPr>
      <w:bookmarkEnd w:id="26"/>
      <w:r>
        <w:rPr>
          <w:rFonts w:ascii="Amiri" w:hAnsi="Amiri" w:eastAsia="Amiri" w:cs="Amiri"/>
          <w:color w:val="111111"/>
          <w:sz w:val="28"/>
          <w:sz w:val="28"/>
          <w:szCs w:val="28"/>
          <w:rtl w:val="true"/>
          <w:lang w:bidi="ar-SA"/>
        </w:rPr>
        <w:t xml:space="preserve">الخواص رضوان الله تعالى عليهم </w:t>
      </w:r>
      <w:r>
        <w:rPr>
          <w:rStyle w:val="FootnoteAnchor"/>
          <w:rtl w:val="true"/>
        </w:rPr>
        <w:footnoteReference w:id="15"/>
      </w:r>
      <w:r>
        <w:rPr>
          <w:rFonts w:ascii="IRNazanin" w:hAnsi="IRNazanin" w:eastAsia="IRNazanin"/>
          <w:color w:val="111111"/>
          <w:sz w:val="28"/>
          <w:sz w:val="28"/>
          <w:szCs w:val="28"/>
          <w:rtl w:val="true"/>
          <w:lang w:bidi="fa-IR"/>
        </w:rPr>
        <w:t xml:space="preserve">، لئلا يعاتبه الناس بعدم حضوره لصلاة جماعتهم عصرا، وقد كانوا يؤخرون صلاتهم إلى العصر، فلا دلالة لهذه الموثقة ولالظاهر الرواية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رواية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کراهة الجمع مطلقا، وبالإضافة إلى الجميع، ورواية صفوان الجمال المشار إليها ظاهرة بل صريحة في فضل التفريق بمعنى التنقل الذي سيتضح دون التفريق في نفسه؛ فإنه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أبو عبد الله عليه السلام الظهر والعصر عندما زالت الشمس</w:t>
      </w:r>
    </w:p>
    <w:p>
      <w:pPr>
        <w:pStyle w:val="BookText"/>
        <w:rPr/>
      </w:pPr>
      <w:r>
        <w:rPr>
          <w:rFonts w:ascii="Amiri" w:hAnsi="Amiri" w:eastAsia="Amiri" w:cs="Amiri"/>
          <w:color w:val="111111"/>
          <w:sz w:val="28"/>
          <w:sz w:val="28"/>
          <w:szCs w:val="28"/>
          <w:rtl w:val="true"/>
          <w:lang w:bidi="ar-SA"/>
        </w:rPr>
        <w:t xml:space="preserve">بأذان وإقامتين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حاجة، فتنفلوا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أي فأتوا أنتم بالنافلة بين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النصوص قاصرات الدلالة على فضل التفريق وجحانه في نفسه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634044_1051229030"/>
      <w:bookmarkStart w:id="28" w:name="_Toc9"/>
      <w:bookmarkEnd w:id="27"/>
      <w:r>
        <w:rPr>
          <w:rtl w:val="true"/>
        </w:rPr>
        <w:t>ما نسب إلى المشهور من استحباب التفريق وما فيه</w:t>
      </w:r>
      <w:bookmarkEnd w:id="28"/>
    </w:p>
    <w:p>
      <w:pPr>
        <w:pStyle w:val="BookText"/>
        <w:rPr/>
      </w:pPr>
      <w:r>
        <w:rPr>
          <w:rFonts w:ascii="IRNazanin" w:hAnsi="IRNazanin" w:eastAsia="IRNazanin"/>
          <w:color w:val="111111"/>
          <w:sz w:val="28"/>
          <w:sz w:val="28"/>
          <w:szCs w:val="28"/>
          <w:rtl w:val="true"/>
          <w:lang w:bidi="fa-IR"/>
        </w:rPr>
        <w:t xml:space="preserve">وكيف كان، فنسب إلى مشهور الأصحاب قدس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التفريق واستحبابه في نفسه، وأن المستفاد من نصوص المقام کون الجمع مرجوحا مکروها، وإن كان جائزا في نفسه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استحباب التفريق في نفسه وكذا في مرجوحية الجمع بعض الكلام؛ </w:t>
      </w:r>
    </w:p>
    <w:p>
      <w:pPr>
        <w:pStyle w:val="BookText"/>
        <w:rPr/>
      </w:pPr>
      <w:r>
        <w:rPr>
          <w:rFonts w:ascii="Amiri" w:hAnsi="Amiri" w:eastAsia="Amiri" w:cs="Amiri"/>
          <w:color w:val="111111"/>
          <w:sz w:val="28"/>
          <w:sz w:val="28"/>
          <w:szCs w:val="28"/>
          <w:rtl w:val="true"/>
          <w:lang w:bidi="ar-SA"/>
        </w:rPr>
        <w:t>فلا يمكن المساعدة عليهما وإن كانا مورد قبول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الجمع على ما أفاد غير واحد من الأصحاب </w:t>
      </w:r>
      <w:r>
        <w:rPr>
          <w:rStyle w:val="FootnoteAnchor"/>
          <w:rtl w:val="true"/>
        </w:rPr>
        <w:footnoteReference w:id="18"/>
      </w:r>
      <w:r>
        <w:rPr>
          <w:rFonts w:ascii="Amiri" w:hAnsi="Amiri" w:eastAsia="Amiri" w:cs="Amiri"/>
          <w:color w:val="111111"/>
          <w:sz w:val="28"/>
          <w:sz w:val="28"/>
          <w:szCs w:val="28"/>
          <w:rtl w:val="true"/>
          <w:lang w:bidi="ar-SA"/>
        </w:rPr>
        <w:t xml:space="preserve">ممن عاصرناهم قدس 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بمرجوح على نحو الإطلاق، بل قد يكون راجحا ، والآتي به مؤديا للأفضل، فإن المستفاد من النصوص الكثيرة التي عقد في الوسائل بابين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جواز الجمع لعذر </w:t>
      </w:r>
      <w:r>
        <w:rPr>
          <w:rStyle w:val="FootnoteAnchor"/>
          <w:rtl w:val="true"/>
        </w:rPr>
        <w:footnoteReference w:id="19"/>
      </w:r>
      <w:r>
        <w:rPr>
          <w:rFonts w:ascii="Amiri" w:hAnsi="Amiri" w:eastAsia="Amiri" w:cs="Amiri"/>
          <w:color w:val="111111"/>
          <w:sz w:val="28"/>
          <w:sz w:val="28"/>
          <w:szCs w:val="28"/>
          <w:rtl w:val="true"/>
          <w:lang w:bidi="ar-SA"/>
        </w:rPr>
        <w:t xml:space="preserve">وباب جوازه لغير عذر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الجمع بين الصلاتين کان على خلاف الوظيفة الأولية، ثم جوز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بدون أي عذر لمجرد التوسيع على الأمة، لكن لا من حيث كونه جمعا مقابلا للتفريق، بل من حيث كونه إيقاعا للصلاة الثانية قبل وقت فضيلتها؛ فمن شرع في الأولى آخر وقت فضيلتها ثم صلى الثانية أول وقت فضيلتها متصلة بالأولى </w:t>
      </w:r>
      <w:r>
        <w:rPr>
          <w:rStyle w:val="FootnoteAnchor"/>
          <w:rtl w:val="true"/>
        </w:rPr>
        <w:footnoteReference w:id="21"/>
      </w:r>
      <w:r>
        <w:rPr>
          <w:rFonts w:ascii="IRNazanin" w:hAnsi="IRNazanin" w:eastAsia="IRNazanin"/>
          <w:color w:val="111111"/>
          <w:sz w:val="28"/>
          <w:sz w:val="28"/>
          <w:szCs w:val="28"/>
          <w:rtl w:val="true"/>
          <w:lang w:bidi="fa-IR"/>
        </w:rPr>
        <w:t>کان مؤديا للأفضل، وإن كان قد جمع بين الصلاتين ولم يفرق بينهما، فالجمع المفضول المرجوح هو التعجيل بالثانية قبل وقت فضيلتها أو تأخير الأولى بعد وقت فضيلتها متصلة بينهما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المرجوح هو الجمع بين الصلاتين في وقت فضيلة إحداهما دون الأخرى وأما الجمع بينهما بحيث تقع كل واحدةٍ منهما في وقت </w:t>
      </w:r>
    </w:p>
    <w:p>
      <w:pPr>
        <w:pStyle w:val="BookText"/>
        <w:rPr/>
      </w:pPr>
      <w:r>
        <w:rPr>
          <w:rFonts w:ascii="Amiri" w:hAnsi="Amiri" w:eastAsia="Amiri" w:cs="Amiri"/>
          <w:color w:val="111111"/>
          <w:sz w:val="28"/>
          <w:sz w:val="28"/>
          <w:szCs w:val="28"/>
          <w:rtl w:val="true"/>
          <w:lang w:bidi="ar-SA"/>
        </w:rPr>
        <w:t>فضيلتها فليس بمرجوح،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أفيد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أنه بناء على دخول وقت فضيلة العصر بالزوال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بعض النصوص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کدخول وقت فضيلة الظهر به، لا مجال ولا وجه للحكم بمرجوحية الجمع واستحباب التفريق في الظهرین بمعنی إيقاع صلاة العصر قبل وقت فضيلتها، كما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 على دخول وقت فضيلة العصر بعد الفراغ عن فريضة الظهر ونافلة العصر، فالجمع بين الظهرين في وقت فضيلة العصر من دون فصل نافلتها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بينهما في وقت فضيلة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القدم أو القدمين أو المثل؛ بلحاظ اختلاف النصوص الواردة في وقت فضيلة الظهرين </w:t>
      </w:r>
      <w:r>
        <w:rPr>
          <w:rStyle w:val="FootnoteAnchor"/>
          <w:rtl w:val="true"/>
        </w:rPr>
        <w:footnoteReference w:id="25"/>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فلا مرجوحية فيه بوجه كما أفيد </w:t>
      </w:r>
      <w:r>
        <w:rPr>
          <w:rStyle w:val="FootnoteAnchor"/>
          <w:rtl w:val="true"/>
        </w:rPr>
        <w:footnoteReference w:id="26"/>
      </w:r>
      <w:r>
        <w:rPr>
          <w:rFonts w:ascii="IRNazanin" w:hAnsi="IRNazanin" w:eastAsia="IRNazanin"/>
          <w:color w:val="111111"/>
          <w:sz w:val="28"/>
          <w:sz w:val="28"/>
          <w:szCs w:val="28"/>
          <w:rtl w:val="true"/>
          <w:lang w:bidi="fa-IR"/>
        </w:rPr>
        <w:t>، ولعله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تمام الكلام في عدم مرجوحية الجمع على نحو الإطلاق، بل يكون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فضل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مرجوحية الجمع من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بأن </w:t>
      </w:r>
    </w:p>
    <w:p>
      <w:pPr>
        <w:pStyle w:val="BookText"/>
        <w:rPr/>
      </w:pPr>
      <w:r>
        <w:rPr>
          <w:rFonts w:ascii="IRNazanin" w:hAnsi="IRNazanin" w:eastAsia="IRNazanin"/>
          <w:color w:val="111111"/>
          <w:sz w:val="28"/>
          <w:sz w:val="28"/>
          <w:szCs w:val="28"/>
          <w:rtl w:val="true"/>
          <w:lang w:bidi="fa-IR"/>
        </w:rPr>
        <w:t xml:space="preserve">الجمع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جميع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كالتفريق راجحا مستحبا في نفسه، على ما يستظهر من جملة من النصوص المستفيضة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صحاح وغیر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النبي المكرم صلي الله عليه وآله قد كان يجمع بين الصلاتين المشتركتين في الوقت من غير علة وعذر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نحن نتعرض لبعض هذه النصوص الدالة على استحباب الجمع مطلقا مما ورد من طرق الإمامية وطرق العامة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ورد من طرق الإمامية في جمع النبي صلي الله عليه وآله بين الصلاتین</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وآله جمع بين الظهر والعصر بأذان وإقامتين وجمع بين المغرب والعشاء في الحضر من غير علةٍ بأذان واحد وإقامتين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صلي الله عليه وآله صلى الظهر والعصر في مكان واحد من غير علة ولا سبب، فقال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أجرأ القوم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 الصلاة شيء؟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أردت أن أوسع على أمتي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النصوص، وقد عقد لها في كتاب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إليه </w:t>
      </w:r>
      <w:bookmarkStart w:id="29" w:name="pg7286_66193"/>
    </w:p>
    <w:p>
      <w:pPr>
        <w:pStyle w:val="BookText"/>
        <w:rPr/>
      </w:pPr>
      <w:bookmarkEnd w:id="29"/>
      <w:r>
        <w:rPr>
          <w:rFonts w:ascii="Amiri" w:hAnsi="Amiri" w:eastAsia="Amiri" w:cs="Amiri"/>
          <w:color w:val="111111"/>
          <w:sz w:val="28"/>
          <w:sz w:val="28"/>
          <w:szCs w:val="28"/>
          <w:rtl w:val="true"/>
          <w:lang w:bidi="ar-SA"/>
        </w:rPr>
        <w:t xml:space="preserve">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عنونه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الصلاتين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المشتركتين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لها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وعنونه صاحب الجامع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الجمع بين الظهرين والعشاءين بأذان وإقامتين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أحاديث كثيرة متكثرة تزيد على عشرين حديثا، مضافا إلى الإشارة إلى ما تقدم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النصوص تدل على أنه صلي الله عليه وآله جمع بين الصلاتين المشتركتين في الوقت، في وقت واحد من غير عذر ولا علةٍ ولا سبب ولا خوف ولا مطر ولا سفر ولا استعجال معللة بأنه صلي الله عليه وآله أراد بذلك التوسعة والتخفيف على أمته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34046_1051229030"/>
      <w:bookmarkStart w:id="31" w:name="_Toc10"/>
      <w:bookmarkEnd w:id="30"/>
      <w:r>
        <w:rPr>
          <w:rtl w:val="true"/>
        </w:rPr>
        <w:t>ما ورد من طرق العامة في جمع النبي صلي الله عليه واله بين الصلاتین</w:t>
      </w:r>
      <w:bookmarkEnd w:id="31"/>
    </w:p>
    <w:p>
      <w:pPr>
        <w:pStyle w:val="BookText"/>
        <w:rPr/>
      </w:pPr>
      <w:r>
        <w:rPr>
          <w:rFonts w:ascii="IRNazanin" w:hAnsi="IRNazanin" w:eastAsia="IRNazanin"/>
          <w:color w:val="111111"/>
          <w:sz w:val="28"/>
          <w:sz w:val="28"/>
          <w:szCs w:val="28"/>
          <w:rtl w:val="true"/>
          <w:lang w:bidi="fa-IR"/>
        </w:rPr>
        <w:t>وفي صحاح العامة غير واحد من النصوص تدل على أنه صلي الله عليه وآله جمع بينهما من غیر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مسند أحمد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اله عليه وآله جمع بين الظهر والعصر والمغرب والعشاء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على أمته حرج</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سنن النسائي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صلي الله عليه وآله كان يصلي بالمدينة يجمع بين الصلاتین، بين الظهر والعصر والمغرب والعشاء، من غير خوف ولا مطر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على أمته حرج</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وجود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النسائي يدل على أنه صلي الله عليه وآله كان يستمر على 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المنتقى لابن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وآله جمع بين الظهر والعصر والمغرب والعشاء بالمدينة من غير خوف ولا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أرادصلي الله عليه وآله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يدل بفحواه على الجمع للمطر وللخوف و للمرض، وإنما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منطوقه في الجمع لغير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والأخبارالمواقيت ، فيبقى فحواه على 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مواقع للنظر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يدل بفحواه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أن لا يحرج أمته صلي الله عليه وآله من جهة التفريق لا من جهة العذر، فلا يدل بفحواه على الجمع الذي زعمه، أعني الجمع للمطر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ما زعمه ينافي ظاهر النص، 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خوف ولا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لا يخفی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إجماعهم العملي على عدم الجمع لا ينافي جواز الجمع،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الإجماع دليلٌ لُبّيُّ لا صراحة فيه بذلك، ولا سيما </w:t>
      </w:r>
      <w:bookmarkStart w:id="32" w:name="pg7286_66195"/>
    </w:p>
    <w:p>
      <w:pPr>
        <w:pStyle w:val="BookText"/>
        <w:rPr/>
      </w:pPr>
      <w:bookmarkEnd w:id="32"/>
      <w:r>
        <w:rPr>
          <w:rFonts w:ascii="IRNazanin" w:hAnsi="IRNazanin" w:eastAsia="IRNazanin"/>
          <w:color w:val="111111"/>
          <w:sz w:val="28"/>
          <w:sz w:val="28"/>
          <w:szCs w:val="28"/>
          <w:rtl w:val="true"/>
          <w:lang w:bidi="fa-IR"/>
        </w:rPr>
        <w:t xml:space="preserve">مع ما علم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سيأتي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إجماعهم العملي على هذا إنما هو لمخالفة ما صار من سنن النبي صلي الله عليه وآله شعارا للشيعة التابعين لأهل بیت العصمة والطهارة عليهم صلوات المصلين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ولأخبار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تلك الأخبار محكومة بهذا الخبر؛ لكون هذا ناظرا إليها، ومقتضاه حکومته عليها كما هو ظاهر لمن له أدنى دربة، مضافا إلى أن الصلاتين في فرض الجمع تقعان في المواقيت، غاية الأمر في المواقيت المشتركة المعينة في الآيات والأخبار، كما لا يخفى على أهل الخبرة</w:t>
      </w:r>
      <w:r>
        <w:rPr>
          <w:rFonts w:eastAsia="IRNazanin" w:cs="IRNazanin"/>
          <w:color w:val="111111"/>
          <w:sz w:val="28"/>
          <w:szCs w:val="28"/>
          <w:rtl w:val="true"/>
          <w:lang w:bidi="fa-IR"/>
        </w:rPr>
        <w:t>.</w:t>
      </w:r>
    </w:p>
    <w:p>
      <w:pPr>
        <w:pStyle w:val="Heading3"/>
        <w:numPr>
          <w:ilvl w:val="2"/>
          <w:numId w:val="1"/>
        </w:numPr>
        <w:rPr/>
      </w:pPr>
      <w:bookmarkStart w:id="33" w:name="__RefHeading___Toc634048_1051229030"/>
      <w:bookmarkStart w:id="34" w:name="_Toc11"/>
      <w:bookmarkEnd w:id="33"/>
      <w:r>
        <w:rPr>
          <w:rtl w:val="true"/>
        </w:rPr>
        <w:t>تأويلات العامة للأخبار الدالة على جمع النبي صلي الله عليه واله</w:t>
      </w:r>
      <w:bookmarkEnd w:id="34"/>
    </w:p>
    <w:p>
      <w:pPr>
        <w:pStyle w:val="BookText"/>
        <w:rPr/>
      </w:pPr>
      <w:r>
        <w:rPr>
          <w:rFonts w:ascii="Amiri" w:hAnsi="Amiri" w:eastAsia="Amiri" w:cs="Amiri"/>
          <w:color w:val="111111"/>
          <w:sz w:val="28"/>
          <w:sz w:val="28"/>
          <w:szCs w:val="28"/>
          <w:rtl w:val="true"/>
          <w:lang w:bidi="ar-SA"/>
        </w:rPr>
        <w:t xml:space="preserve">وليعلم أن العامة كما في كتاب فتح الباري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هذه النصوص تأویلات واهية ساذجة نظير ما عرفت آنفا من تأويل ابن تيمية، وقد تعرض لها ولردها صاحب کتاب الفتح نفسه واستحسن هو واحدا منها، ومحصلة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وإن كان مستحسنا إلا أنه لابد أن لا يجعل عادهً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أيضا مردود؛ فإنه خلاف ظاهر الاستمرار المستفاد مما في سنن النسائي، كما أشرنا إليه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والإنصاف أن المستفاد من تلك النصوص الكثيرة أن الجمع </w:t>
      </w:r>
      <w:bookmarkStart w:id="35" w:name="pg7286_66196"/>
    </w:p>
    <w:p>
      <w:pPr>
        <w:pStyle w:val="BookText"/>
        <w:rPr/>
      </w:pPr>
      <w:bookmarkEnd w:id="35"/>
      <w:r>
        <w:rPr>
          <w:rFonts w:ascii="IRNazanin" w:hAnsi="IRNazanin" w:eastAsia="IRNazanin"/>
          <w:color w:val="111111"/>
          <w:sz w:val="28"/>
          <w:sz w:val="28"/>
          <w:szCs w:val="28"/>
          <w:rtl w:val="true"/>
          <w:lang w:bidi="fa-IR"/>
        </w:rPr>
        <w:t xml:space="preserve">کالتفريق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ولا شك في أن هذه النصوص من الفريقين بإطلاقها تدل على رجحان الجمع في نفسه مطلقا في جميع الموارد من غير عذر،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مندوب مستحب، ولا سيما أنه نحو تأس برسول الله 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يستحب لكافة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العامة قاطبه – الجمع من غير عذر أيضا، كما يستحب لهم التفريق بلا فرق بينهما في الاستحباب سوى أن التفريق شرع أولا منه سبحانه وتعالى، والجمع شرع ثانيا من طريق الرسول صلي الله عليه وآله بوحي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ما فرضه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فرضه النبي المكرم صلي الله عليه وآله من الركعات في الفرائض اليومية، على ما فصل في محله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634050_1051229030"/>
      <w:bookmarkStart w:id="37" w:name="_Toc12"/>
      <w:bookmarkEnd w:id="36"/>
      <w:r>
        <w:rPr>
          <w:rtl w:val="true"/>
        </w:rPr>
        <w:t>ما يؤيد المختار</w:t>
      </w:r>
      <w:bookmarkEnd w:id="37"/>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ماروي في الخصال عن أمير المؤمنين علي بن</w:t>
      </w:r>
    </w:p>
    <w:p>
      <w:pPr>
        <w:pStyle w:val="BookText"/>
        <w:rPr/>
      </w:pPr>
      <w:r>
        <w:rPr>
          <w:rFonts w:ascii="Amiri" w:hAnsi="Amiri" w:eastAsia="Amiri" w:cs="Amiri"/>
          <w:color w:val="111111"/>
          <w:sz w:val="28"/>
          <w:sz w:val="28"/>
          <w:szCs w:val="28"/>
          <w:rtl w:val="true"/>
          <w:lang w:bidi="ar-SA"/>
        </w:rPr>
        <w:t xml:space="preserve">أبي طالب عله السلام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الصلاتين يزيد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في الكافي عن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عن أبي عبد </w:t>
      </w:r>
    </w:p>
    <w:p>
      <w:pPr>
        <w:pStyle w:val="BookText"/>
        <w:rPr/>
      </w:pPr>
      <w:r>
        <w:rPr>
          <w:rFonts w:ascii="IRNazanin" w:hAnsi="IRNazanin" w:eastAsia="IRNazanin"/>
          <w:color w:val="111111"/>
          <w:sz w:val="28"/>
          <w:sz w:val="28"/>
          <w:szCs w:val="28"/>
          <w:rtl w:val="true"/>
          <w:lang w:bidi="fa-IR"/>
        </w:rPr>
        <w:t xml:space="preserve">الله علیه السلام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بين الصلاتين الظهر والعصر، ترى ما تحب</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ماعرفت من النصوص المروية في صحاحهم الصريحة بالجمع من 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يعملون بها، بل يصرون على عدم العمل إلا مع العذر، وهو من العجائب والغرائب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الأعلام قدس سره </w:t>
      </w:r>
      <w:r>
        <w:rPr>
          <w:rStyle w:val="FootnoteAnchor"/>
          <w:rtl w:val="true"/>
        </w:rPr>
        <w:footnoteReference w:id="3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قد أسقطوا الرواية في مدلولها المطابقي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جواز الجمع من غير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الاعتبار؛ بدعوى أنها مقطوعة الخلاف، مع تمسكهم بمدلولها الالتزامي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جواز الجمع للعذر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عرفت و هومن الغرابة بمكان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تعجبه قدس سره والحكم بأن عملهم هذا من الغرائب وإن كان في محله، بل هو من أغرب الغرائب وأعجب العجائب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ليس ذلك منهم ببعید مستبعد؛ إذ ليس ذلك أول قارورةٍ كسرت بأيديهم في الإسلام العزيز؛ فإنهم لم يعملوا بكثير مما صار من السنن النبوية القطعية شعارا للشيعة، نظير ذكر الصلوات 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اسمه الشریف صلي الله عليه وآله مع أنهم رووا في </w:t>
      </w:r>
    </w:p>
    <w:p>
      <w:pPr>
        <w:pStyle w:val="BookText"/>
        <w:rPr/>
      </w:pPr>
      <w:r>
        <w:rPr>
          <w:rFonts w:ascii="Amiri" w:hAnsi="Amiri" w:eastAsia="Amiri" w:cs="Amiri"/>
          <w:color w:val="111111"/>
          <w:sz w:val="28"/>
          <w:sz w:val="28"/>
          <w:szCs w:val="28"/>
          <w:rtl w:val="true"/>
          <w:lang w:bidi="ar-SA"/>
        </w:rPr>
        <w:t xml:space="preserve">كتبهم عنه صلي الله عليه وآله وجوب الصلاة على الآل عند الصلاة عليه صلي الله عليه وآله ، ومنهم من أوجب الصلاة على الآل في تشهد الصلاة ومع هذا لا يصلون على الآل عند ذكر اسمه الشريف صلي الله عليه وآله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بل نسب إلى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الصلوات على الآل في الصلاة، وأن من لم يصل عليهم 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الوسائل عن عبد الله بن الحسن بن علي عن أبيه عن جده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ولم يصل على آله، لم يجد ريح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الذكر،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نسبة القول بوجوب الصلاة على آل محمد صلي الله عليه وآله في الصلاة إلى الشافعي نظر، مع أن نسبة القول شائعة بينهم كما في الصواعق المحرقة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والأمر يتضح من مراجعة كتاب الأم للشافعي، بل نسب هذا القول في مجموع النووي إلى التربجي، نقلا عن جامع البندنيجي وتقريب الرازي وتهذیب المقدسي وصاحب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ماقلناه كلام المحقق في المعتبر؛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على آل محمد صلي الله عليه وآله واجبة في التشهد وهو مذهب علمائنا وبه قال التويجي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التربجی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الشافعي وإحدى الروايتين عن أحمد 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كتاب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ولذا سموا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المخالفين</w:t>
      </w:r>
      <w:r>
        <w:rPr>
          <w:rFonts w:eastAsia="Amiri" w:cs="Amiri" w:ascii="Amiri" w:hAnsi="Amiri"/>
          <w:color w:val="111111"/>
          <w:sz w:val="28"/>
          <w:szCs w:val="28"/>
          <w:rtl w:val="true"/>
          <w:lang w:bidi="ar-SA"/>
        </w:rPr>
        <w:t>».</w:t>
      </w:r>
      <w:bookmarkStart w:id="38" w:name="pg7286_66199"/>
    </w:p>
    <w:p>
      <w:pPr>
        <w:pStyle w:val="Heading3"/>
        <w:numPr>
          <w:ilvl w:val="2"/>
          <w:numId w:val="1"/>
        </w:numPr>
        <w:rPr/>
      </w:pPr>
      <w:bookmarkStart w:id="39" w:name="__RefHeading___Toc634052_1051229030"/>
      <w:bookmarkStart w:id="40" w:name="_Toc13"/>
      <w:bookmarkEnd w:id="38"/>
      <w:bookmarkEnd w:id="39"/>
      <w:r>
        <w:rPr>
          <w:rtl w:val="true"/>
        </w:rPr>
        <w:t>العامة تاركون للستة لا أهلها</w:t>
      </w:r>
      <w:bookmarkEnd w:id="40"/>
    </w:p>
    <w:p>
      <w:pPr>
        <w:pStyle w:val="BookText"/>
        <w:rPr/>
      </w:pPr>
      <w:r>
        <w:rPr>
          <w:rFonts w:ascii="IRNazanin" w:hAnsi="IRNazanin" w:eastAsia="IRNazanin"/>
          <w:color w:val="111111"/>
          <w:sz w:val="28"/>
          <w:sz w:val="28"/>
          <w:szCs w:val="28"/>
          <w:rtl w:val="true"/>
          <w:lang w:bidi="fa-IR"/>
        </w:rPr>
        <w:t xml:space="preserve">ولقد نقل عن غير واحد من زعمائهم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کالقاضي الفضل بن روزبهان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الستة إذا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الستة النبوية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شعارا للرفضة، أي لشيعة أهل البيت عليهم السلام الجعفرية الاثني عشرية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وفلذلك تركوا الجمع بين الصلاتين مع كثرة رواياتهم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وأعرضوا عنه بحکم زعمائهم المتعصبين، هداهم الله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عن التعصب 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هو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قابلين، بل إذا دار أمرهم بين العمل بسنة النبي صلي الله عليه وآله وبين ما سموه من البدع ستة، يقدمون عملا تلك البدع على سنته صلي الله عليه وآله ولو لم تكن تلك السنن النبوية صلي الله عليه وآله شعار للشيعة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ترى من تعصبهم الأعمى عكوفهم على تحريم المتعتين، مع أنهما كانتا محللتين في زمن الرسول صلي الله عليه وآله بالوحي الإلهي، وعلى التكتف والتكفير في الصلاة </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بعد قول إمام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نعم، في بعض فقرات السورة الذي يشبه الدعاء لابد من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حتى يصح إنشاؤه منه تعالى، فلا يصح أن يقصد بالسورة غير قراءة القرآن من الذكر والدعاء وأنه تبطل بها الصلاة إذا قصد بها غير القرآن، فذكر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السورة لغو غير معقول، إلا أن يراد من الفقرات الدعاء ضمنيا، لكنه لا يجب ولا يراد غالبا، فالوصفان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أنه لغو وغير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بعد کون أصل جعله بدعة، فتدبر جيدا واغتنم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وعدم الجهر بالبسملة في الصلاة عند قراءة سورة الفاتحة، وعلى صلاة التراويح 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وكذا من رواية الفضلاء وهي الحديث الأول من الباب المشار إليه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سألوا أباجعفر الباقر وأبا عبدالله الصادق عليهما السلام عن الصلاة في شهر رمضان نافلة بالليل في جماعة؟ فقالا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وآله كان إذا صلى العشاء الآخرة انصرف 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صلي الله عليه وآله في أول ليلة من شهر رمضان كما كان يصلي فاصطف الناس خلفه، فهرب منهم إلى بيته وتركهم، ففعلوا ذلك ثلاث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قالا –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الصلاة بالليل في شهر رمضان من النافلة في جماعة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كل بدعة ضلالة وكل ضلالة سبيلها إلى النار، ثم هو نزل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جامع أحاديث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نوافل شهر رمضان،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الشرح الكبير لابن قدامة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زید بن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احتجر رسول الله صلي الله عليه وآله في حجيرة بخصفة أو حصير فخرج رسول الله صلي الله عليه وآله يصلي فيها، فتتبع إليه رجال وجاؤوا يصلون بصلاته، ثم جاؤوا ليلة فحضروا وأبطأ رسول الله صلي الله عليه وآله عنهم، فلم يخرج إليهم، فرفعوا أصواتهم وحصبوا الباب، فخرج إليهم رسول الله صلي الله عليه وآله مغضبا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بكم صنيعكم حتى ظننت أنه سيكتب عليكم، فعليكم الصلاة في بيوتكم؛ فإن خير صلاة المرء في بيته إلا المكتوبة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زيد بن ثابت على ما في كنز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صلي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المرء في بيته أفضل من صلاته في مسجدي هذا إلا المكتوبة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إلى غير</w:t>
      </w:r>
    </w:p>
    <w:p>
      <w:pPr>
        <w:pStyle w:val="BookText"/>
        <w:rPr/>
      </w:pPr>
      <w:r>
        <w:rPr>
          <w:rFonts w:ascii="IRNazanin" w:hAnsi="IRNazanin" w:eastAsia="IRNazanin"/>
          <w:color w:val="111111"/>
          <w:sz w:val="28"/>
          <w:sz w:val="28"/>
          <w:szCs w:val="28"/>
          <w:rtl w:val="true"/>
          <w:lang w:bidi="fa-IR"/>
        </w:rPr>
        <w:t>ذلك مما هو کثیر متکثر محفوظ في محله، يقف عليه الخبير المتضلع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إما سموا أهل السنة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غير النبوية، أي منسوبون في الحقيقة إلى السنة بمعنى البدعة دون السنة النبوية صلي الله عليه وآله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لكن المتوهم في أذهان الناس ومن لم يعلم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سيما العوام ونظائرهم من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أنهم منسوبون إلى السنة النبوية صلي الله عليه وآله ولذا يتظاهر بها، ويستفاد من الاشتراك اللفظي الاسم التصنعي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بون بعید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الاستفادة وخلاف الحقيقة، أعني خلاف ما هم عليه عاكفون من الستة البدعية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دوران الأمر بينهما يقدمون البدعية ويعملون بها فحسب، كما هو المشاهد في أمر المتعتين والتكتف ونظائرها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أنهم غير ملتزمين بالعمل بالسنة الأصلية النبوية ولا سيما عند الدوران، وفي الحقيقة أن الشيعي الاثني عشري سني نبوي واقعا؛ فإنه لا يتبع إلا أهل بيت الوحي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أذهب الله عنهم الرجس وطهرهم تطهيرا والذين لا يقولون من عند أنفسهم شيئا، بل ينقلون ويروون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بالوسائط، وإن لا يذكرون الوسائط غالبا للاختصار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المکرم صلی الله عليه وعليهم أجمعين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1" w:name="pg7286_66203"/>
    </w:p>
    <w:p>
      <w:pPr>
        <w:pStyle w:val="BookText"/>
        <w:rPr/>
      </w:pPr>
      <w:bookmarkEnd w:id="41"/>
      <w:r>
        <w:rPr>
          <w:rFonts w:ascii="IRNazanin" w:hAnsi="IRNazanin" w:eastAsia="IRNazanin"/>
          <w:color w:val="111111"/>
          <w:sz w:val="28"/>
          <w:sz w:val="28"/>
          <w:szCs w:val="28"/>
          <w:rtl w:val="true"/>
          <w:lang w:bidi="fa-IR"/>
        </w:rPr>
        <w:t xml:space="preserve">فيا ليت كان العامي مسمى بالبدعي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والشيعي بالعتري؛ فإن الشيعة يتبعون بأمر الرسول المكرم صلي الله عليه وآله في أمثال حديث الثقلين المتواتر بین</w:t>
      </w:r>
    </w:p>
    <w:p>
      <w:pPr>
        <w:pStyle w:val="BookText"/>
        <w:rPr/>
      </w:pPr>
      <w:r>
        <w:rPr>
          <w:rFonts w:ascii="Amiri" w:hAnsi="Amiri" w:eastAsia="Amiri" w:cs="Amiri"/>
          <w:color w:val="111111"/>
          <w:sz w:val="28"/>
          <w:sz w:val="28"/>
          <w:szCs w:val="28"/>
          <w:rtl w:val="true"/>
          <w:lang w:bidi="ar-SA"/>
        </w:rPr>
        <w:t xml:space="preserve">الفريقين العترة الطاهرة عليهم السلام المنتهية مقالاتهم إليه صلي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34054_1051229030"/>
      <w:bookmarkStart w:id="43" w:name="_Toc14"/>
      <w:bookmarkEnd w:id="42"/>
      <w:r>
        <w:rPr>
          <w:rtl w:val="true"/>
        </w:rPr>
        <w:t>الثالث من أدلة المختار</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في أصل استحباب التفريق في نفسه تأملا، بل منعا </w:t>
      </w:r>
      <w:r>
        <w:rPr>
          <w:rStyle w:val="FootnoteAnchor"/>
          <w:rtl w:val="true"/>
        </w:rPr>
        <w:footnoteReference w:id="48"/>
      </w:r>
      <w:r>
        <w:rPr>
          <w:rFonts w:ascii="IRNazanin" w:hAnsi="IRNazanin" w:eastAsia="IRNazanin"/>
          <w:color w:val="111111"/>
          <w:sz w:val="28"/>
          <w:sz w:val="28"/>
          <w:szCs w:val="28"/>
          <w:rtl w:val="true"/>
          <w:lang w:bidi="fa-IR"/>
        </w:rPr>
        <w:t xml:space="preserve">وكذا في انتساب هذا الاستحباب إلى مشهور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بل منع؛ فإن الثابت المنسوب إليهم قدس سرهم استحباب التنفل بين الصلاتين، أي التفريق بينهما بالنافلة أو بالتعقيب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مستند الشيعة وسيذكر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نفس التفريق المحض ومجرد تقسيمهما على الأوقات المعينة المفصلة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وكيف كان، فالتفريق بهذا المعنى يستفاد من غير واحد من النصوص، کرواية محمد بن حکیم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الصلاتين إذا لم يكن بينهما تطوع، فإذا كان بينهما تطوع فلا جمع</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كان بينهما نافلة أو تعقیب فليس بجمع، بل هو تفريق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استفادة هذا المعنى من رواية صفوان الجمال المتقدمة، فراجع</w:t>
      </w:r>
      <w:r>
        <w:rPr>
          <w:rFonts w:eastAsia="Amiri" w:cs="Amiri" w:ascii="Amiri" w:hAnsi="Amiri"/>
          <w:color w:val="111111"/>
          <w:sz w:val="28"/>
          <w:szCs w:val="28"/>
          <w:rtl w:val="true"/>
          <w:lang w:bidi="ar-SA"/>
        </w:rPr>
        <w:t xml:space="preserve">. </w:t>
      </w:r>
      <w:bookmarkStart w:id="44" w:name="pg7286_66205"/>
    </w:p>
    <w:p>
      <w:pPr>
        <w:pStyle w:val="Heading3"/>
        <w:numPr>
          <w:ilvl w:val="2"/>
          <w:numId w:val="1"/>
        </w:numPr>
        <w:rPr/>
      </w:pPr>
      <w:bookmarkStart w:id="45" w:name="__RefHeading___Toc634056_1051229030"/>
      <w:bookmarkStart w:id="46" w:name="_Toc15"/>
      <w:bookmarkEnd w:id="44"/>
      <w:bookmarkEnd w:id="45"/>
      <w:r>
        <w:rPr>
          <w:rtl w:val="true"/>
        </w:rPr>
        <w:t>دفع وهم</w:t>
      </w:r>
      <w:bookmarkEnd w:id="46"/>
    </w:p>
    <w:p>
      <w:pPr>
        <w:pStyle w:val="BookText"/>
        <w:rPr/>
      </w:pPr>
      <w:r>
        <w:rPr>
          <w:rFonts w:ascii="IRNazanin" w:hAnsi="IRNazanin" w:eastAsia="IRNazanin"/>
          <w:color w:val="111111"/>
          <w:sz w:val="28"/>
          <w:sz w:val="28"/>
          <w:szCs w:val="28"/>
          <w:rtl w:val="true"/>
          <w:lang w:bidi="fa-IR"/>
        </w:rPr>
        <w:t>وأما ما روي من التفريق في فعل النبي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رواية ابن سنان المتقدمة، وفي قول الإمام عليه السلام في ذيلها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تفريقهما 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مجمل، هل كان لأجل النافلة أو لنفس التفريق المحض؟ غير مبين المراد، بل الأول هو المناسب لدأبه ودیدنه صلي الله عليه وآله دون الثاني،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الفاضل النراقي قدس سره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تفريقه صلي الله عليه وا له بدونهما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النافلة والتعقيب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موضع الحاجة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فاستحباب مجرد التفريق المحض المتداول بين العامة غير مسلم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34058_1051229030"/>
      <w:bookmarkStart w:id="48" w:name="_Toc16"/>
      <w:bookmarkEnd w:id="47"/>
      <w:r>
        <w:rPr>
          <w:rtl w:val="true"/>
        </w:rPr>
        <w:t>الرابع من أدلة المختار</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في نفسه أولى وأفضل من التفريق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غیر تنفل وتعقيب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تقابلهما وتعارض نصوصهما، أي نصوص الجمع ونصوص التفريق المحض الذي شرعه تبارك وتعالى أولا؛ فإنه بعد تشريع التفريق في الأوقات المعينة المنفصلة يستفاد من النصوص المروية عن الفريقين في أمر الجمع الذي سته النبي المكرم صلي الله عليه وآله بعد تشريع التفريق تسهیلا للأمة المرحومة بوحي من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يَنطِقُ عَنِ الهَوَى إِن هُوَ إِلاَّ وَحيٌ </w:t>
      </w:r>
    </w:p>
    <w:p>
      <w:pPr>
        <w:pStyle w:val="BookText"/>
        <w:rPr/>
      </w:pPr>
      <w:r>
        <w:rPr>
          <w:rFonts w:ascii="Amiri" w:hAnsi="Amiri" w:eastAsia="Amiri" w:cs="Amiri"/>
          <w:color w:val="111111"/>
          <w:sz w:val="28"/>
          <w:sz w:val="28"/>
          <w:szCs w:val="28"/>
          <w:rtl w:val="true"/>
          <w:lang w:bidi="ar-SA"/>
        </w:rPr>
        <w:t>يُوحَی</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المسهل للأمر لابد وأن يكون أولى وأفضل من التفريق المحض الذي شرع أولا بدون ملاحظة أمر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الذي سن و شرع مع ملاحظة التسهيل يكون لا محالة في نفسه أولى وأفضل من التفريق المشرع بدون هذه الملاحظة، 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 ولكل قائل أن تقول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سنه النبي المكرم صلي الله عليه وآله تسهيلا للأمة المرحومة لما كان بإذنه تعالى وإجازته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ما شرعه الله سبحانه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الحكومة أن يكون العمل على طبق مضمون الحاكم دون المحكوم،وأن الجمع على هذا لابد وأن يكون هو المتعين عملا دون التفريق المحض الذي يكون لا محالة مطروحا لا يعمل به؛ نظير حكومة ما فرضه النبي المكرم صلي الله عليه وآله بعدما ولد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تبارك وتعالى من زيادة سبع ركعات على مجموع الصلوات اليومية الخمس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فرضه الله تعالی عند عروجه صلي الله عليه وآله أولا من عشر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صلاة ركعتان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فصل في محله من النصوص </w:t>
      </w:r>
      <w:r>
        <w:rPr>
          <w:rStyle w:val="FootnoteAnchor"/>
          <w:rtl w:val="true"/>
        </w:rPr>
        <w:footnoteReference w:id="53"/>
      </w:r>
      <w:r>
        <w:rPr>
          <w:rFonts w:ascii="IRNazanin" w:hAnsi="IRNazanin" w:eastAsia="IRNazanin"/>
          <w:color w:val="111111"/>
          <w:sz w:val="28"/>
          <w:sz w:val="28"/>
          <w:szCs w:val="28"/>
          <w:rtl w:val="true"/>
          <w:lang w:bidi="fa-IR"/>
        </w:rPr>
        <w:t>والفتاوی بما لا مزيد عليه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فكما أن ما فرضه النبي صلي الله عليه وآله في ذلك المقام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p>
    <w:p>
      <w:pPr>
        <w:pStyle w:val="BookText"/>
        <w:rPr/>
      </w:pPr>
      <w:r>
        <w:rPr>
          <w:rFonts w:ascii="IRNazanin" w:hAnsi="IRNazanin" w:eastAsia="IRNazanin"/>
          <w:color w:val="111111"/>
          <w:sz w:val="28"/>
          <w:sz w:val="28"/>
          <w:szCs w:val="28"/>
          <w:rtl w:val="true"/>
          <w:lang w:bidi="fa-IR"/>
        </w:rPr>
        <w:t xml:space="preserve">حاكما على ما فرضه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ودار العمل المسقط للتكليف على الحاكم دون المحكوم، بداهة أن العمل على ذلك المحكوم غير مسقط لما كلف به من الفرائض اليومية، فكذلك الأمر في المقام، 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تعالی فی محكم كتابه الكريم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مَآ ءَاتَاکُمُ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فالجمع بين الصلاتين المشتركتين في الوقت متعين العمل، وإن التفريق المحض لابد وأن يطرح ولا يعمل به اختیارا ومتعمدا، كما لا يكتفي بما فرضه الله عز وجل أولا من الركعات في الصلوات اليومية، وإن كان المتداول عملا وفتوى خلاف ذلك، لكن بعد أن ساعدنا الدليل القاطع لابد أن لا نبالي بالخلاف، ولعل ما ذكرنا </w:t>
      </w:r>
      <w:r>
        <w:rPr>
          <w:rStyle w:val="FootnoteAnchor"/>
          <w:rtl w:val="true"/>
        </w:rPr>
        <w:footnoteReference w:id="55"/>
      </w:r>
      <w:r>
        <w:rPr>
          <w:rFonts w:ascii="Amiri" w:hAnsi="Amiri" w:eastAsia="Amiri" w:cs="Amiri"/>
          <w:color w:val="111111"/>
          <w:sz w:val="28"/>
          <w:sz w:val="28"/>
          <w:szCs w:val="28"/>
          <w:rtl w:val="true"/>
          <w:lang w:bidi="ar-SA"/>
        </w:rPr>
        <w:t xml:space="preserve">هو السر في عكوف صلحاء السلف وعلماء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المشايخ العظام 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بالجمع والاهتمام به مع الاجتناب عن التفريق المحض المتداول بحيث صار ذلك شعارا لهم ورمزا للتشيع، كما هو ظاهر غير خفي</w:t>
      </w:r>
      <w:r>
        <w:rPr>
          <w:rFonts w:eastAsia="Amiri" w:cs="Amiri" w:ascii="Amiri" w:hAnsi="Amiri"/>
          <w:color w:val="111111"/>
          <w:sz w:val="28"/>
          <w:szCs w:val="28"/>
          <w:rtl w:val="true"/>
          <w:lang w:bidi="ar-SA"/>
        </w:rPr>
        <w:t xml:space="preserve">. </w:t>
      </w:r>
      <w:bookmarkStart w:id="49" w:name="pg7286_66208"/>
    </w:p>
    <w:p>
      <w:pPr>
        <w:pStyle w:val="Heading3"/>
        <w:numPr>
          <w:ilvl w:val="2"/>
          <w:numId w:val="1"/>
        </w:numPr>
        <w:rPr/>
      </w:pPr>
      <w:bookmarkStart w:id="50" w:name="__RefHeading___Toc634060_1051229030"/>
      <w:bookmarkStart w:id="51" w:name="_Toc17"/>
      <w:bookmarkEnd w:id="49"/>
      <w:bookmarkEnd w:id="50"/>
      <w:r>
        <w:rPr>
          <w:rtl w:val="true"/>
        </w:rPr>
        <w:t>نتيجة البحث</w:t>
      </w:r>
      <w:bookmarkEnd w:id="51"/>
    </w:p>
    <w:p>
      <w:pPr>
        <w:pStyle w:val="BookText"/>
        <w:rPr/>
      </w:pPr>
      <w:r>
        <w:rPr>
          <w:rFonts w:ascii="IRNazanin" w:hAnsi="IRNazanin" w:eastAsia="IRNazanin"/>
          <w:color w:val="111111"/>
          <w:sz w:val="28"/>
          <w:sz w:val="28"/>
          <w:szCs w:val="28"/>
          <w:rtl w:val="true"/>
          <w:lang w:bidi="fa-IR"/>
        </w:rPr>
        <w:t>وكيف كان، فبمقتضى ما عرفت من قاطع الدليل لابد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جميع ملل المسلمین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العامة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يعكفوا أيضا على الجمع الذي هومقتضى النصوص الحاكمة على نصوص التفريق المحض، فيجمعون بين الصلاتین المشتركتين في الوقت من غير عذر ولا علة ويطرحون التفريق المفرق للوحدة، فيتحصل بذلك الاتحاد الذي أمرنا به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كان التفريق بالنافلة أو التعقيب المشار إليهما فإنه راجح على الجمع لامحالة؛ بدلالة نصوصهما المفصلة في محالهما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اجعل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تعين العمل بمضمون الجمع الحاكم وطرح التفريق المحض المحكوم، دون مجرد أفضلية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الأجوبة واغتنم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286_66210"/>
      <w:bookmarkStart w:id="53" w:name="pg7286_66210"/>
      <w:bookmarkEnd w:id="53"/>
    </w:p>
    <w:p>
      <w:pPr>
        <w:pStyle w:val="Heading2"/>
        <w:numPr>
          <w:ilvl w:val="1"/>
          <w:numId w:val="1"/>
        </w:numPr>
        <w:rPr/>
      </w:pPr>
      <w:bookmarkStart w:id="54" w:name="pg7286_66210"/>
      <w:bookmarkStart w:id="55" w:name="__RefHeading___Toc634062_1051229030"/>
      <w:bookmarkStart w:id="56" w:name="_Toc18"/>
      <w:bookmarkEnd w:id="54"/>
      <w:bookmarkEnd w:id="55"/>
      <w:r>
        <w:rPr>
          <w:rtl w:val="true"/>
        </w:rPr>
        <w:t>الرسالة الثانية</w:t>
      </w:r>
      <w:r>
        <w:rPr>
          <w:rtl w:val="true"/>
        </w:rPr>
        <w:t xml:space="preserve">: </w:t>
      </w:r>
      <w:r>
        <w:rPr>
          <w:rtl w:val="true"/>
        </w:rPr>
        <w:t>في حكم نوافل الصلوات في خمسة أوقات من اليوم</w:t>
      </w:r>
      <w:r>
        <w:rPr>
          <w:rtl w:val="true"/>
        </w:rPr>
        <w:t>:</w:t>
      </w:r>
      <w:bookmarkEnd w:id="56"/>
    </w:p>
    <w:p>
      <w:pPr>
        <w:pStyle w:val="Heading3"/>
        <w:numPr>
          <w:ilvl w:val="2"/>
          <w:numId w:val="1"/>
        </w:numPr>
        <w:rPr/>
      </w:pPr>
      <w:bookmarkStart w:id="57" w:name="__RefHeading___Toc634064_1051229030"/>
      <w:bookmarkStart w:id="58" w:name="_Toc19"/>
      <w:bookmarkEnd w:id="57"/>
      <w:r>
        <w:rPr>
          <w:rtl w:val="true"/>
        </w:rPr>
        <w:t>اشارة</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صلاتي الصبح والعصر وعند طلوع الشمس و قیامها وغروبها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286_66212"/>
      <w:bookmarkStart w:id="60" w:name="pg7286_66212"/>
      <w:bookmarkEnd w:id="60"/>
    </w:p>
    <w:p>
      <w:pPr>
        <w:pStyle w:val="BookText"/>
        <w:rPr/>
      </w:pPr>
      <w:bookmarkStart w:id="61" w:name="pg7286_66212"/>
      <w:bookmarkEnd w:id="61"/>
      <w:r>
        <w:rPr>
          <w:rFonts w:ascii="Amiri" w:hAnsi="Amiri" w:eastAsia="Amiri" w:cs="Amiri"/>
          <w:color w:val="111111"/>
          <w:sz w:val="28"/>
          <w:sz w:val="28"/>
          <w:szCs w:val="28"/>
          <w:rtl w:val="true"/>
          <w:lang w:bidi="ar-SA"/>
        </w:rPr>
        <w:t>الرسالة الثانية</w:t>
      </w:r>
    </w:p>
    <w:p>
      <w:pPr>
        <w:pStyle w:val="BookText"/>
        <w:rPr/>
      </w:pPr>
      <w:r>
        <w:rPr>
          <w:rFonts w:ascii="IRNazanin" w:hAnsi="IRNazanin" w:eastAsia="IRNazanin"/>
          <w:color w:val="111111"/>
          <w:sz w:val="28"/>
          <w:sz w:val="28"/>
          <w:szCs w:val="28"/>
          <w:rtl w:val="true"/>
          <w:lang w:bidi="fa-IR"/>
        </w:rPr>
        <w:t>في حكم نوافل الصلوات في خمسة أوقات من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صلاتي الصبح والعصر وعند طلوع الشمس و قیامها وغروبها</w:t>
      </w:r>
    </w:p>
    <w:p>
      <w:pPr>
        <w:pStyle w:val="Heading3"/>
        <w:numPr>
          <w:ilvl w:val="2"/>
          <w:numId w:val="1"/>
        </w:numPr>
        <w:rPr/>
      </w:pPr>
      <w:bookmarkStart w:id="62" w:name="__RefHeading___Toc634066_1051229030"/>
      <w:bookmarkStart w:id="63" w:name="_Toc20"/>
      <w:bookmarkEnd w:id="62"/>
      <w:r>
        <w:rPr>
          <w:rtl w:val="true"/>
        </w:rPr>
        <w:t>كراهة النوافل عند العامة والخاصة</w:t>
      </w:r>
      <w:bookmarkEnd w:id="63"/>
    </w:p>
    <w:p>
      <w:pPr>
        <w:pStyle w:val="BookText"/>
        <w:rPr/>
      </w:pPr>
      <w:r>
        <w:rPr>
          <w:rFonts w:ascii="Amiri" w:hAnsi="Amiri" w:eastAsia="Amiri" w:cs="Amiri"/>
          <w:color w:val="111111"/>
          <w:sz w:val="28"/>
          <w:sz w:val="28"/>
          <w:szCs w:val="28"/>
          <w:rtl w:val="true"/>
          <w:lang w:bidi="ar-SA"/>
        </w:rPr>
        <w:t xml:space="preserve">ذهبت العامة إلى أن مطلق نوافل الصلوات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نعم، ذهب الشافعي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بداية المجتهد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الصلوات التي لا تجوز في هذه الأوقات هي النوافل فقط التي تفعل لغير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النوافل المبتدأة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صلاة الجنازة، أي الصلوات ذوات السبب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في هذه الأوقات، ووافقه مالك في ذلك، أي في السنن بعد العصر وبعد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الفرائض المقضية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بعضهم كأبي حنيفة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عنها بالتهي التحريمي في الأوقات الخمسة، بعد</w:t>
      </w:r>
    </w:p>
    <w:p>
      <w:pPr>
        <w:pStyle w:val="BookText"/>
        <w:rPr/>
      </w:pPr>
      <w:r>
        <w:rPr>
          <w:rFonts w:ascii="Amiri" w:hAnsi="Amiri" w:eastAsia="Amiri" w:cs="Amiri"/>
          <w:color w:val="111111"/>
          <w:sz w:val="28"/>
          <w:sz w:val="28"/>
          <w:szCs w:val="28"/>
          <w:rtl w:val="true"/>
          <w:lang w:bidi="ar-SA"/>
        </w:rPr>
        <w:t xml:space="preserve">اتفاقهم في ثلاثة منها </w:t>
      </w:r>
      <w:r>
        <w:rPr>
          <w:rStyle w:val="FootnoteAnchor"/>
          <w:rtl w:val="true"/>
        </w:rPr>
        <w:footnoteReference w:id="59"/>
      </w:r>
      <w:r>
        <w:rPr>
          <w:rFonts w:ascii="Amiri" w:hAnsi="Amiri" w:eastAsia="Amiri" w:cs="Amiri"/>
          <w:color w:val="111111"/>
          <w:sz w:val="28"/>
          <w:sz w:val="28"/>
          <w:szCs w:val="28"/>
          <w:rtl w:val="true"/>
          <w:lang w:bidi="ar-SA"/>
        </w:rPr>
        <w:t xml:space="preserve">واختلافهم فيما عداها من الوقتين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 إلى مشهور أصحابنا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إتيان خصوص النوافل المبتدأة </w:t>
      </w:r>
      <w:r>
        <w:rPr>
          <w:rStyle w:val="FootnoteAnchor"/>
          <w:rtl w:val="true"/>
        </w:rPr>
        <w:footnoteReference w:id="61"/>
      </w:r>
      <w:r>
        <w:rPr>
          <w:rFonts w:ascii="Amiri" w:hAnsi="Amiri" w:eastAsia="Amiri" w:cs="Amiri"/>
          <w:color w:val="111111"/>
          <w:sz w:val="28"/>
          <w:sz w:val="28"/>
          <w:szCs w:val="28"/>
          <w:rtl w:val="true"/>
          <w:lang w:bidi="ar-SA"/>
        </w:rPr>
        <w:t>دون مطلق النوافل من الموقتة في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ذوات السبب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وربما يناقش بأنه لا دلالة في الحث على نفي الكراهة، وإلا لنفاها بالنظر إلى أصل النافلة التي ورد فيها أنها خير موضوع، من شاء أقل ومن شاء أكثر، وأن صلاة ركعتين تدخل الرجل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الجواهر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الحث على الصلاة عقيب الطهارة وبين الحث على الصلاة نفسها بأنها خير موضوع أو تدخل صاحبها الجنة؛ فإن الأولى تعد بنظر العرف ذات السبب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يرجع إلى ما ذكرنا ما عن جامع المقاصد وفوائد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حاصل المراد من السبب هو ما خصه الشارع بوضع وشرعية، خلاف ما يحدثه المكلف من مطلق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مكروه ومنهي بالهي التنزيهي،</w:t>
      </w:r>
    </w:p>
    <w:p>
      <w:pPr>
        <w:pStyle w:val="BookText"/>
        <w:rPr/>
      </w:pPr>
      <w:r>
        <w:rPr>
          <w:rFonts w:ascii="Amiri" w:hAnsi="Amiri" w:eastAsia="Amiri" w:cs="Amiri"/>
          <w:color w:val="111111"/>
          <w:sz w:val="28"/>
          <w:sz w:val="28"/>
          <w:szCs w:val="28"/>
          <w:rtl w:val="true"/>
          <w:lang w:bidi="ar-SA"/>
        </w:rPr>
        <w:t>وليس بمحرم في تلك الأوقات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 لقول المحقق قدس سره عند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یكره النوافل المبتدأة عند طلوع الشمس وعند غروبها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بكراهة المبتدأة عند هذين الوقتين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الأساطين من المتقدمين والمتأخرين شهرة عظيمة كادت تكون إجماعا ، بل هي كذلك في الغنية والمحكي عن الخلاف وظاهر التذكرة، بل في جامع المقاصد والمحكي عن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أهل العلم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بكراهة النافلة المبتدأة في الثلاثة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عند قيام الشمس وبعد صلاتي الصبح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كالسابقين من الوقتين مشهور شهرةً عظيمةً أيضاً نقلاً وتحصيلاً، فتويً وروايةً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4" w:name="pg7286_66215"/>
    </w:p>
    <w:p>
      <w:pPr>
        <w:pStyle w:val="Heading3"/>
        <w:numPr>
          <w:ilvl w:val="2"/>
          <w:numId w:val="1"/>
        </w:numPr>
        <w:rPr/>
      </w:pPr>
      <w:bookmarkStart w:id="65" w:name="__RefHeading___Toc634068_1051229030"/>
      <w:bookmarkStart w:id="66" w:name="_Toc21"/>
      <w:bookmarkEnd w:id="64"/>
      <w:bookmarkEnd w:id="65"/>
      <w:r>
        <w:rPr>
          <w:rtl w:val="true"/>
        </w:rPr>
        <w:t>مناقشة في القول بالكراهة</w:t>
      </w:r>
      <w:bookmarkEnd w:id="66"/>
    </w:p>
    <w:p>
      <w:pPr>
        <w:pStyle w:val="BookText"/>
        <w:rPr/>
      </w:pPr>
      <w:r>
        <w:rPr>
          <w:rFonts w:ascii="IRNazanin" w:hAnsi="IRNazanin" w:eastAsia="IRNazanin"/>
          <w:color w:val="111111"/>
          <w:sz w:val="28"/>
          <w:sz w:val="28"/>
          <w:szCs w:val="28"/>
          <w:rtl w:val="true"/>
          <w:lang w:bidi="fa-IR"/>
        </w:rPr>
        <w:t xml:space="preserve">ولكن استشكل على الحكم بالكراهة جماعة كثيرة منهم 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جم غفير من الفقهاء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أسرارهم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العروة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جماعة أنه يكره الشروع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في التوافل المبتدأة التي لم يرد فيها نص بالخصوص وإنما يستحب الإتيان بها بلحاظ أن الصلاة خير موضوع </w:t>
      </w:r>
      <w:r>
        <w:rPr>
          <w:rStyle w:val="FootnoteAnchor"/>
          <w:rtl w:val="true"/>
        </w:rPr>
        <w:footnoteReference w:id="66"/>
      </w:r>
      <w:r>
        <w:rPr>
          <w:rFonts w:ascii="Amiri" w:hAnsi="Amiri" w:eastAsia="Amiri" w:cs="Amiri"/>
          <w:color w:val="111111"/>
          <w:sz w:val="28"/>
          <w:sz w:val="28"/>
          <w:szCs w:val="28"/>
          <w:rtl w:val="true"/>
          <w:lang w:bidi="ar-SA"/>
        </w:rPr>
        <w:t xml:space="preserve">وقربان كل تقي </w:t>
      </w:r>
      <w:r>
        <w:rPr>
          <w:rStyle w:val="FootnoteAnchor"/>
          <w:rtl w:val="true"/>
        </w:rPr>
        <w:footnoteReference w:id="67"/>
      </w:r>
      <w:r>
        <w:rPr>
          <w:rFonts w:ascii="IRNazanin" w:hAnsi="IRNazanin" w:eastAsia="IRNazanin"/>
          <w:color w:val="111111"/>
          <w:sz w:val="28"/>
          <w:sz w:val="28"/>
          <w:szCs w:val="28"/>
          <w:rtl w:val="true"/>
          <w:lang w:bidi="fa-IR"/>
        </w:rPr>
        <w:t xml:space="preserve">ومعراج المؤمن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 حتى تغرب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حتى تنبسط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الشمس </w:t>
      </w:r>
      <w:r>
        <w:rPr>
          <w:rStyle w:val="FootnoteAnchor"/>
          <w:rtl w:val="true"/>
        </w:rPr>
        <w:footnoteReference w:id="69"/>
      </w:r>
      <w:r>
        <w:rPr>
          <w:rFonts w:ascii="IRNazanin" w:hAnsi="IRNazanin" w:eastAsia="IRNazanin"/>
          <w:color w:val="111111"/>
          <w:sz w:val="28"/>
          <w:sz w:val="28"/>
          <w:szCs w:val="28"/>
          <w:rtl w:val="true"/>
          <w:lang w:bidi="fa-IR"/>
        </w:rPr>
        <w:t>حتى تزول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أي قبيل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bookmarkStart w:id="67" w:name="pg7286_66216"/>
    </w:p>
    <w:p>
      <w:pPr>
        <w:pStyle w:val="BookText"/>
        <w:rPr/>
      </w:pPr>
      <w:bookmarkEnd w:id="67"/>
      <w:r>
        <w:rPr>
          <w:rFonts w:ascii="Amiri" w:hAnsi="Amiri" w:eastAsia="Amiri" w:cs="Amiri"/>
          <w:color w:val="111111"/>
          <w:sz w:val="28"/>
          <w:sz w:val="28"/>
          <w:szCs w:val="28"/>
          <w:rtl w:val="true"/>
          <w:lang w:bidi="ar-SA"/>
        </w:rPr>
        <w:t>وعندي في ثبوت الكراهة في المذكورات إشكال</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34070_1051229030"/>
      <w:bookmarkStart w:id="69" w:name="_Toc22"/>
      <w:bookmarkEnd w:id="68"/>
      <w:r>
        <w:rPr>
          <w:rtl w:val="true"/>
        </w:rPr>
        <w:t>مایستدل به على الكراهة</w:t>
      </w:r>
      <w:bookmarkEnd w:id="69"/>
    </w:p>
    <w:p>
      <w:pPr>
        <w:pStyle w:val="BookText"/>
        <w:rPr/>
      </w:pPr>
      <w:r>
        <w:rPr>
          <w:rFonts w:ascii="Amiri" w:hAnsi="Amiri" w:eastAsia="Amiri" w:cs="Amiri"/>
          <w:color w:val="111111"/>
          <w:sz w:val="28"/>
          <w:sz w:val="28"/>
          <w:szCs w:val="28"/>
          <w:rtl w:val="true"/>
          <w:lang w:bidi="ar-SA"/>
        </w:rPr>
        <w:t>وكيف كان، فيستدل على كراهة النوافل المبتدأة في تلك الأوقات بطائفتين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مرجع التحديد والتوقيت فيها إلى إتيان الفعل الخارجي المختلف باختلاف زمان الإتيان بذلك الفعل، وهما الأولان من تلك الأوقات المذكورة في العروة، أعني بعد صلاتي الصبح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مرجع التحديد والتوقيت فيها إلى الرمان نفسه، أي تكره الصلاة فيها في الوقت نفسه، وهي الثلاثة الباقية، أعني عند طلوع الشمس وعند قيامها وعند غروبها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34072_1051229030"/>
      <w:bookmarkStart w:id="71" w:name="_Toc23"/>
      <w:bookmarkEnd w:id="70"/>
      <w:r>
        <w:rPr>
          <w:rtl w:val="true"/>
        </w:rPr>
        <w:t>الطائفة الأولى من النصوص وما فيها</w:t>
      </w:r>
      <w:bookmarkEnd w:id="71"/>
    </w:p>
    <w:p>
      <w:pPr>
        <w:pStyle w:val="BookText"/>
        <w:rPr/>
      </w:pPr>
      <w:r>
        <w:rPr>
          <w:rFonts w:ascii="Amiri" w:hAnsi="Amiri" w:eastAsia="Amiri" w:cs="Amiri"/>
          <w:color w:val="111111"/>
          <w:sz w:val="28"/>
          <w:sz w:val="28"/>
          <w:szCs w:val="28"/>
          <w:rtl w:val="true"/>
          <w:lang w:bidi="ar-SA"/>
        </w:rPr>
        <w:t xml:space="preserve">أما الطائفة الأولى فعمدتها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أفيد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الحلبي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الفجر حتى تطلع الشمس؛ فإن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بين قرني الشيطان </w:t>
      </w:r>
    </w:p>
    <w:p>
      <w:pPr>
        <w:pStyle w:val="BookText"/>
        <w:rPr/>
      </w:pPr>
      <w:r>
        <w:rPr>
          <w:rFonts w:ascii="Amiri" w:hAnsi="Amiri" w:eastAsia="Amiri" w:cs="Amiri"/>
          <w:color w:val="111111"/>
          <w:sz w:val="28"/>
          <w:sz w:val="28"/>
          <w:szCs w:val="28"/>
          <w:rtl w:val="true"/>
          <w:lang w:bidi="ar-SA"/>
        </w:rPr>
        <w:t>وتغرب بين قرني الشيطان،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العصر حتى تصلي المغرب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عمار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w:t>
      </w:r>
    </w:p>
    <w:p>
      <w:pPr>
        <w:pStyle w:val="BookText"/>
        <w:rPr/>
      </w:pPr>
      <w:r>
        <w:rPr>
          <w:rFonts w:ascii="Amiri" w:hAnsi="Amiri" w:eastAsia="Amiri" w:cs="Amiri"/>
          <w:color w:val="111111"/>
          <w:sz w:val="28"/>
          <w:sz w:val="28"/>
          <w:szCs w:val="28"/>
          <w:rtl w:val="true"/>
          <w:lang w:bidi="ar-SA"/>
        </w:rPr>
        <w:t xml:space="preserve">العصر حتى تصلي المغرب، ولا صلاة بعد الفجر حتى تطلع الشمس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ودلالتهما على المطلوب واضحة في الجملة، 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سندهما بما فصل في بعض المطولات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معارضتان بما سيأتي من التوقيع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يستدل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إدريس قدس سره في آخر السرائر عن جامع البزنطي عن علي بن سلمان </w:t>
      </w:r>
      <w:r>
        <w:rPr>
          <w:rStyle w:val="FootnoteAnchor"/>
          <w:rtl w:val="true"/>
        </w:rPr>
        <w:footnoteReference w:id="75"/>
      </w:r>
      <w:r>
        <w:rPr>
          <w:rFonts w:ascii="Amiri" w:hAnsi="Amiri" w:eastAsia="Amiri" w:cs="Amiri"/>
          <w:color w:val="111111"/>
          <w:sz w:val="28"/>
          <w:sz w:val="28"/>
          <w:szCs w:val="28"/>
          <w:rtl w:val="true"/>
          <w:lang w:bidi="ar-SA"/>
        </w:rPr>
        <w:t xml:space="preserve">عن محمد بن عبدالله بن زرارة عن محمد بن الفضيل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صلى المغرب ليلة فوق سطح من السطوح،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كان يفتي عن آبائك عليهم السلام أنه لا بأس بالصلاة بعد طلوع الفجر إلى طلوع الشمس وبعد العصر إلى أن تغيب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آبائي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بعد تسليم صحة سندها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المساعدة عليها من </w:t>
      </w:r>
    </w:p>
    <w:p>
      <w:pPr>
        <w:pStyle w:val="BookText"/>
        <w:rPr/>
      </w:pPr>
      <w:r>
        <w:rPr>
          <w:rFonts w:ascii="Amiri" w:hAnsi="Amiri" w:eastAsia="Amiri" w:cs="Amiri"/>
          <w:color w:val="111111"/>
          <w:sz w:val="28"/>
          <w:sz w:val="28"/>
          <w:szCs w:val="28"/>
          <w:rtl w:val="true"/>
          <w:lang w:bidi="ar-SA"/>
        </w:rPr>
        <w:t xml:space="preserve">حيث الدلالة، لأن السؤال في الرواية إنما هو عن الصلاة بعد طلوع الفجر، أو بعد العصر، وهو أجنبي عن المقام </w:t>
      </w:r>
      <w:r>
        <w:rPr>
          <w:rStyle w:val="FootnoteAnchor"/>
          <w:rtl w:val="true"/>
        </w:rPr>
        <w:footnoteReference w:id="78"/>
      </w:r>
      <w:r>
        <w:rPr>
          <w:rFonts w:ascii="Amiri" w:hAnsi="Amiri" w:eastAsia="Amiri" w:cs="Amiri"/>
          <w:color w:val="111111"/>
          <w:sz w:val="28"/>
          <w:sz w:val="28"/>
          <w:szCs w:val="28"/>
          <w:rtl w:val="true"/>
          <w:lang w:bidi="ar-SA"/>
        </w:rPr>
        <w:t>؛ إذ المقام إنما هو في إقامة النافلة بعد صلاتي الفجر والعصر لا بعد طلوع الفجر وبعد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أفيد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يراد بالصلاة بعد طلوع الفجر فريضة الفجر، فكأنه عليه السلام كان قد صلي الفريضة في أول الوقت، فسئل عن الترخيص المروي عن آبائه عليهم السلام في الإتيان بالصلاتين إلى آخر وقتهما، فأجاب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عليهم السلام كانوا مهتمين بالفرائض في أوائل أوقاتها ومرعبين لشيعتهم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يستدل به على ذلك أيضا مکاتبة علي بن بلال،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إليه عليه السلام في قضاء النافلة من طلوع الفجر إلى طلوع الشمس ومن بعد العصر إلى أن تغيب الشمس، فكتب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ذلك إلا للمقتضي، فأما لغيره فلا</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المكاتبة وإن كانت معتبرة من حيث السند بتوثيق الشيخ قدس سره لعلي بن </w:t>
      </w:r>
    </w:p>
    <w:p>
      <w:pPr>
        <w:pStyle w:val="BookText"/>
        <w:rPr/>
      </w:pPr>
      <w:r>
        <w:rPr>
          <w:rFonts w:ascii="Amiri" w:hAnsi="Amiri" w:eastAsia="Amiri" w:cs="Amiri"/>
          <w:color w:val="111111"/>
          <w:sz w:val="28"/>
          <w:sz w:val="28"/>
          <w:szCs w:val="28"/>
          <w:rtl w:val="true"/>
          <w:lang w:bidi="ar-SA"/>
        </w:rPr>
        <w:t>بلال البغدادي الواقع في السند ووردت في خصوص قضاء النافلة وتعم غيره من النوافل بتنقيح المناط القطعي وإلغاء الخصوصية، لكنها مضطربة لم يظهر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حملها على القاضي للصلاة ممنوع؛ إذ لم يرد مثله في شيء من الاستعمالات العربية الصحيحة كما قيل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كراهة النافلة في الوقتين اللذين كان مرجع التوقيت والتحديد فيهما إلى الفعل الخارجي لم تثبت بتلك النصوص المستدل بها؛ إما من جهة ضعف السند أو من جهة قصور الدلالة على سبيل منع الخلو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 بانجبار ضعافها سناة بالشهرة العظيمة ولا سيما القدمائية، وعليه تثبت کراهة النافلة المبتدأة فقط في الوقتين، لانعقاد الشهرة عليها بتاتا دون أداء النوافل المرتبة اليومية؛ لانتفاء موضوعها بلحاظ أنه ليس بعد صلاة الفجر وصلاة العصر وقت لشيء من أدائها، كما هو ظاهر، ودون النوافل ذوات السبب؛ لأن مقتضى أدلتها الإتيان بها في أي وقت من الأوقات و عدم حكومة نصوص المقام عليها، فليتأمل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دون قضاء تلك النوافل المرتبة؛ لأن مقتضى أدلتها أيضأ ذلك ولا سيما قضاء نوافل الليل التي منها؛ للتصريح بإتيان قضاء نوافل الليل في الوقتين في غير واحد من النصوص معللا بأن قضاء خصوص نوافل الليل فيهما من سر آل </w:t>
      </w:r>
    </w:p>
    <w:p>
      <w:pPr>
        <w:pStyle w:val="BookText"/>
        <w:rPr/>
      </w:pPr>
      <w:r>
        <w:rPr>
          <w:rFonts w:ascii="Amiri" w:hAnsi="Amiri" w:eastAsia="Amiri" w:cs="Amiri"/>
          <w:color w:val="111111"/>
          <w:sz w:val="28"/>
          <w:sz w:val="28"/>
          <w:szCs w:val="28"/>
          <w:rtl w:val="true"/>
          <w:lang w:bidi="ar-SA"/>
        </w:rPr>
        <w:t xml:space="preserve">محمد عليهم السلام المخزون </w:t>
      </w:r>
      <w:r>
        <w:rPr>
          <w:rStyle w:val="FootnoteAnchor"/>
          <w:rtl w:val="true"/>
        </w:rPr>
        <w:footnoteReference w:id="82"/>
      </w:r>
      <w:r>
        <w:rPr>
          <w:rFonts w:ascii="IRNazanin" w:hAnsi="IRNazanin" w:eastAsia="IRNazanin"/>
          <w:color w:val="111111"/>
          <w:sz w:val="28"/>
          <w:sz w:val="28"/>
          <w:szCs w:val="28"/>
          <w:rtl w:val="true"/>
          <w:lang w:bidi="fa-IR"/>
        </w:rPr>
        <w:t xml:space="preserve">، وكذا دون قضاء الفرائض؛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مقتضی أدلتها أيضا الإتيان بها في أي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منصرفة عن نصوص المقام وخارجة عن محل الكلام، فإن البحث إنما هو في النوافل أداء وقضاء دون الفرائض المقضية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الوقتين الأولين اللذين كان مرجع التحديد والتوقيت فيهما إلى الفعل الخارجي</w:t>
      </w:r>
      <w:r>
        <w:rPr>
          <w:rFonts w:eastAsia="Amiri" w:cs="Amiri" w:ascii="Amiri" w:hAnsi="Amiri"/>
          <w:color w:val="111111"/>
          <w:sz w:val="28"/>
          <w:szCs w:val="28"/>
          <w:rtl w:val="true"/>
          <w:lang w:bidi="ar-SA"/>
        </w:rPr>
        <w:t xml:space="preserve">. </w:t>
      </w:r>
      <w:bookmarkStart w:id="72" w:name="pg7286_66221"/>
    </w:p>
    <w:p>
      <w:pPr>
        <w:pStyle w:val="Heading3"/>
        <w:numPr>
          <w:ilvl w:val="2"/>
          <w:numId w:val="1"/>
        </w:numPr>
        <w:rPr/>
      </w:pPr>
      <w:bookmarkStart w:id="73" w:name="__RefHeading___Toc634074_1051229030"/>
      <w:bookmarkStart w:id="74" w:name="_Toc24"/>
      <w:bookmarkEnd w:id="72"/>
      <w:bookmarkEnd w:id="73"/>
      <w:r>
        <w:rPr>
          <w:rtl w:val="true"/>
        </w:rPr>
        <w:t>الطائفة الثانية من النصوص</w:t>
      </w:r>
      <w:bookmarkEnd w:id="74"/>
    </w:p>
    <w:p>
      <w:pPr>
        <w:pStyle w:val="BookText"/>
        <w:rPr/>
      </w:pPr>
      <w:r>
        <w:rPr>
          <w:rFonts w:ascii="IRNazanin" w:hAnsi="IRNazanin" w:eastAsia="IRNazanin"/>
          <w:color w:val="111111"/>
          <w:sz w:val="28"/>
          <w:sz w:val="28"/>
          <w:szCs w:val="28"/>
          <w:rtl w:val="true"/>
          <w:lang w:bidi="fa-IR"/>
        </w:rPr>
        <w:t>وأما الأوقات الثلاثة الباقية التي يكون مرجع التوقيت والتحديد فيها إلى الزمان نفسه، فکراهة خصوص النافلة المبتدأة فيها كالأولين أيضا منسوبة إلى الشهرة العظيمة كما أشرنا إليها واستدل عليها أيضا بنصوص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قدس سره بإسناده عن شعیب بن واقد عن الحسين بن زید عن جعفر بن محمد عن آبائه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نهی رسول الله صلي الله عليه وآله عن الصلاة عند طلوع الشمس وعند غروبها وعند استوائها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فإنها وإن كانت ضعيفة السند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لكنها منجبرة بالشهرة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ابني مسلم وسنان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على الجنازة في كل ساعة؛ إنها ليست بصلاة ركوع و سجود، وإنما تكره الصلاة عند طلوع الشمس وعند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الخشوع والركوع والسجود؛ لأنها تغرب بين قرني شيطان وتطلع بين قرني شيطان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ورد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إذا سجدوا عند طلوع الشمس، قال إبليس لشياطينه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آدم يصلون لي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فإنهما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على الكراهة في الأوقات الثلاثة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كلتا الصحيحتين الشامل لما عدا المبتدأة، وكذا استثناء يوم الجمعة في خصوص الصحيحة الثانية مطروحان بإعراض المشهور؛ فإن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 الكراهة من بين الصلوات بالمبتدأة من غير استثناء لها في يوم الجمعة، فالإطلاق في الصحيحة الأولى والاستثناء في الثانية إنما صدرا تقية </w:t>
      </w:r>
      <w:r>
        <w:rPr>
          <w:rStyle w:val="FootnoteAnchor"/>
          <w:rtl w:val="true"/>
        </w:rPr>
        <w:footnoteReference w:id="87"/>
      </w:r>
      <w:r>
        <w:rPr>
          <w:rFonts w:ascii="Amiri" w:hAnsi="Amiri" w:eastAsia="Amiri" w:cs="Amiri"/>
          <w:color w:val="111111"/>
          <w:sz w:val="28"/>
          <w:sz w:val="28"/>
          <w:szCs w:val="28"/>
          <w:rtl w:val="true"/>
          <w:lang w:bidi="ar-SA"/>
        </w:rPr>
        <w:t>بعد صدور أصل الكراهة فيهما لبيان الحكم الواقعي، وهذا النحو من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الجمع بين التقية وبيان الواقع في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روايات أهل البيت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بعزيز كما لا يخفى على الخبير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75" w:name="pg7286_66223"/>
    </w:p>
    <w:p>
      <w:pPr>
        <w:pStyle w:val="Heading3"/>
        <w:numPr>
          <w:ilvl w:val="2"/>
          <w:numId w:val="1"/>
        </w:numPr>
        <w:rPr/>
      </w:pPr>
      <w:bookmarkStart w:id="76" w:name="__RefHeading___Toc634076_1051229030"/>
      <w:bookmarkStart w:id="77" w:name="_Toc25"/>
      <w:bookmarkEnd w:id="75"/>
      <w:bookmarkEnd w:id="76"/>
      <w:r>
        <w:rPr>
          <w:rtl w:val="true"/>
        </w:rPr>
        <w:t>دفع دخل</w:t>
      </w:r>
      <w:bookmarkEnd w:id="77"/>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تستفاد الكراهة المصطلحة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الصحيحة الأولى ومن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الصحيحة الثانية، مع أن لفظ الكراهة في لسان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مع التعليل المذكور فيها وفي نحوها كرواية سليمان بن جعفر الجعفري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الحرمة ولا يراد به خصوص الكراهة المصطلحة إلا بالقرينة،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صريح في نفي الحقيقة المحمول على الحرمة؟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الشهرة العظيمة المنعقدة من الأصحاب قدس سرهم على الكراهة المصطلحة تكون قرينة بارزة على أن المراد من إطلاق الكراهة في الصحيحة الأولى الكراهة المصطلحة، ومن نفي الصلاة في الصحيحة الثانية نفي الكمال والفضيلة المحمول على الكراهة لا محالة؛ فإن الشهرة القدمائية ربما يستكشف منها النص المعتبر، كما كان إليه يشير سيدنا الأستاذ العلامة البروجردي قدس سره أثناء الدرس في بعض المباحث، فلا غرو في استكشاف القرينة منها في المقام</w:t>
      </w:r>
      <w:r>
        <w:rPr>
          <w:rFonts w:eastAsia="Amiri" w:cs="Amiri" w:ascii="Amiri" w:hAnsi="Amiri"/>
          <w:color w:val="111111"/>
          <w:sz w:val="28"/>
          <w:szCs w:val="28"/>
          <w:rtl w:val="true"/>
          <w:lang w:bidi="ar-SA"/>
        </w:rPr>
        <w:t xml:space="preserve">. </w:t>
      </w:r>
      <w:bookmarkStart w:id="78" w:name="pg7286_66224"/>
    </w:p>
    <w:p>
      <w:pPr>
        <w:pStyle w:val="Heading3"/>
        <w:numPr>
          <w:ilvl w:val="2"/>
          <w:numId w:val="1"/>
        </w:numPr>
        <w:rPr/>
      </w:pPr>
      <w:bookmarkStart w:id="79" w:name="__RefHeading___Toc634078_1051229030"/>
      <w:bookmarkStart w:id="80" w:name="_Toc26"/>
      <w:bookmarkEnd w:id="78"/>
      <w:bookmarkEnd w:id="79"/>
      <w:r>
        <w:rPr>
          <w:rtl w:val="true"/>
        </w:rPr>
        <w:t>المناقشة في التعليل المذكور في صحيحة ابن مسلم</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التعليل المذكور في الصوص لمنع الصلاة في الوقتين فهو من بقايا الإطلاق الصادر تقية؛ لوجوده في روايات العامة </w:t>
      </w:r>
      <w:r>
        <w:rPr>
          <w:rStyle w:val="FootnoteAnchor"/>
          <w:rtl w:val="true"/>
        </w:rPr>
        <w:footnoteReference w:id="90"/>
      </w:r>
      <w:r>
        <w:rPr>
          <w:rFonts w:ascii="IRNazanin" w:hAnsi="IRNazanin" w:eastAsia="IRNazanin"/>
          <w:color w:val="111111"/>
          <w:sz w:val="28"/>
          <w:sz w:val="28"/>
          <w:szCs w:val="28"/>
          <w:rtl w:val="true"/>
          <w:lang w:bidi="fa-IR"/>
        </w:rPr>
        <w:t>إذ لا يعرف له معنی صحیح سليم ويكون أشبه بمفتعلاتهم، ويؤيد صدوره تقية ما في التوقيع الذي رواه الصدوق قدس سره عن أبي الحسين محمد بن جعفر الأسدي مما ورد من جواب مسائله من محمد بن عثمان العمري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سألت من الصلاة عند طلوع الشمس وعند غروبها فلئن كان كما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بين قرني شیطان وتغرب بين قرني شيطان فما أرغم أنف الشيطان بشيء أفضل من الصلاة، فصلها وأرغم أنف الشيطان</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81" w:name="pg7286_66225"/>
    </w:p>
    <w:p>
      <w:pPr>
        <w:pStyle w:val="BookText"/>
        <w:rPr/>
      </w:pPr>
      <w:bookmarkEnd w:id="81"/>
      <w:r>
        <w:rPr>
          <w:rFonts w:ascii="Amiri" w:hAnsi="Amiri" w:eastAsia="Amiri" w:cs="Amiri"/>
          <w:color w:val="111111"/>
          <w:sz w:val="28"/>
          <w:sz w:val="28"/>
          <w:szCs w:val="28"/>
          <w:rtl w:val="true"/>
          <w:lang w:bidi="ar-SA"/>
        </w:rPr>
        <w:t xml:space="preserve">فإنه يعارضه ويجعل التعليل علي لا محصل له، وإن وجهه في المستمسك بما لايمكن المساعدة عليه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يراد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آخر کني بظاهر التعليل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فمما يختلج بالبال ويساعده الذوق السليم هو أن هذا التوقيع المعارض وإن كان ضعيف السند، إلا أن روائح الصدق منه ساطعة لا يصح طرحه والإعراض عنه، فلو لم يكن صحيحا قابلا للاحتجاج على المدعي فلا أقل من كونه مؤيدة له، كما قيل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34080_1051229030"/>
      <w:bookmarkStart w:id="83" w:name="_Toc27"/>
      <w:bookmarkEnd w:id="82"/>
      <w:r>
        <w:rPr>
          <w:rtl w:val="true"/>
        </w:rPr>
        <w:t>معارض آخر للطائفة الثانية</w:t>
      </w:r>
      <w:bookmarkEnd w:id="83"/>
    </w:p>
    <w:p>
      <w:pPr>
        <w:pStyle w:val="BookText"/>
        <w:rPr/>
      </w:pPr>
      <w:r>
        <w:rPr>
          <w:rFonts w:ascii="Amiri" w:hAnsi="Amiri" w:eastAsia="Amiri" w:cs="Amiri"/>
          <w:color w:val="111111"/>
          <w:sz w:val="28"/>
          <w:sz w:val="28"/>
          <w:szCs w:val="28"/>
          <w:rtl w:val="true"/>
          <w:lang w:bidi="ar-SA"/>
        </w:rPr>
        <w:t>وكذا تعارض الإطلاق والتعليل المذكورين نصوص متعددة تدل على أن أمرالقضاء واسع يجوز أن يأتيه المكلف في أي وقت من أوقات الليل والنهار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أنه 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فاته شيء من الصلوات فذكر عند طلوع الشمس أو عند غروبها؟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حين </w:t>
      </w:r>
    </w:p>
    <w:p>
      <w:pPr>
        <w:pStyle w:val="BookText"/>
        <w:rPr/>
      </w:pP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ومثلها رواية نعمان الرازي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بعضهم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نفي رجحان الظهرين عند الزوال لمسبوقيتهما بالنافلة في غير يوم الجمعة، بل الظاهر منها ذلك بقرينة النصوص الدالة على أن وقت صلاة الظهر بعد القدم والذراع ووقت صلاة العصر بعد القدمين والذراعين </w:t>
      </w:r>
      <w:r>
        <w:rPr>
          <w:rStyle w:val="FootnoteAnchor"/>
          <w:rtl w:val="true"/>
        </w:rPr>
        <w:footnoteReference w:id="97"/>
      </w:r>
      <w:r>
        <w:rPr>
          <w:rFonts w:ascii="Amiri" w:hAnsi="Amiri" w:eastAsia="Amiri" w:cs="Amiri"/>
          <w:color w:val="111111"/>
          <w:sz w:val="28"/>
          <w:sz w:val="28"/>
          <w:szCs w:val="28"/>
          <w:rtl w:val="true"/>
          <w:lang w:bidi="ar-SA"/>
        </w:rPr>
        <w:t>، فبناء على مجرد الاحتمال تكون الصحيحة مجملة، وبناء على الظهور تكون أجنبية عن المقام لا وجه للاستدلال بها على الكراهة في الأوقات الثلاثة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وتؤيده معتبرة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فاتك شيء من تطوع الليل والنهار فاقضه عند زوال الشمس وبعد الظهر عند العصر وبعد المغرب وبعد العتمة ومن آخر السحر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فإنها تدل على جواز قضاء التطوع عند الزوال وصلاحية الوقت له، وهذا الاحتمال أو الظهور وإن كان يوجب طرح الصحيحة عن الاستدلال بها، لكن الذي يسهل الخطب أنه يكفينا في الاستدلال للمقام رواية مناهي النبي صلي الله عليه وآله </w:t>
      </w:r>
      <w:r>
        <w:rPr>
          <w:rStyle w:val="FootnoteAnchor"/>
          <w:rtl w:val="true"/>
        </w:rPr>
        <w:footnoteReference w:id="99"/>
      </w:r>
      <w:r>
        <w:rPr>
          <w:rFonts w:ascii="Amiri" w:hAnsi="Amiri" w:eastAsia="Amiri" w:cs="Amiri"/>
          <w:color w:val="111111"/>
          <w:sz w:val="28"/>
          <w:sz w:val="28"/>
          <w:szCs w:val="28"/>
          <w:rtl w:val="true"/>
          <w:lang w:bidi="ar-SA"/>
        </w:rPr>
        <w:t xml:space="preserve">؛ فإنها وإن كانت ضعيفة السند، 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 منجبرة بالشهرة العظيمة المحصلة من القدماء والمتأخرين رضوان الله تعالى عليهم</w:t>
      </w:r>
      <w:r>
        <w:rPr>
          <w:rFonts w:eastAsia="Amiri" w:cs="Amiri" w:ascii="Amiri" w:hAnsi="Amiri"/>
          <w:color w:val="111111"/>
          <w:sz w:val="28"/>
          <w:szCs w:val="28"/>
          <w:rtl w:val="true"/>
          <w:lang w:bidi="ar-SA"/>
        </w:rPr>
        <w:t xml:space="preserve">. </w:t>
      </w:r>
      <w:bookmarkStart w:id="84" w:name="pg7286_66227"/>
    </w:p>
    <w:p>
      <w:pPr>
        <w:pStyle w:val="Heading3"/>
        <w:numPr>
          <w:ilvl w:val="2"/>
          <w:numId w:val="1"/>
        </w:numPr>
        <w:rPr/>
      </w:pPr>
      <w:bookmarkStart w:id="85" w:name="__RefHeading___Toc634082_1051229030"/>
      <w:bookmarkStart w:id="86" w:name="_Toc28"/>
      <w:bookmarkEnd w:id="84"/>
      <w:bookmarkEnd w:id="85"/>
      <w:r>
        <w:rPr>
          <w:rtl w:val="true"/>
        </w:rPr>
        <w:t>استدراك</w:t>
      </w:r>
      <w:r>
        <w:rPr>
          <w:rtl w:val="true"/>
        </w:rPr>
        <w:t xml:space="preserve">: </w:t>
      </w:r>
      <w:r>
        <w:rPr>
          <w:rtl w:val="true"/>
        </w:rPr>
        <w:t>المناقشة في الاستدلال بالصحيحة الأولى والجواب عنها</w:t>
      </w:r>
      <w:bookmarkEnd w:id="86"/>
    </w:p>
    <w:p>
      <w:pPr>
        <w:pStyle w:val="BookText"/>
        <w:rPr/>
      </w:pPr>
      <w:r>
        <w:rPr>
          <w:rFonts w:ascii="IRNazanin" w:hAnsi="IRNazanin" w:eastAsia="IRNazanin"/>
          <w:color w:val="111111"/>
          <w:sz w:val="28"/>
          <w:sz w:val="28"/>
          <w:szCs w:val="28"/>
          <w:rtl w:val="true"/>
          <w:lang w:bidi="fa-IR"/>
        </w:rPr>
        <w:t>قد يقال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صحيحة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ومايحذو حذوها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قابلة للتصديق بمدلولها في نفسها؛ لاشتمالها على التعليل بأن الشمس تطلع وتغرب بين قرني شيطان ، وهذا لا يمكن الإذعان به إلا إذا كان لطلوعها وغروبها وقت معين و ليس الأمر كذلك، فإنه لأجل كروية الأرض يكون لها في كل ساعة من ساعات الليل طلوع و غروب وزوال وغيرها، وعليه لا يكون لهذا التعليل معنی محصل يستدل به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لطلوعها وغروبها و زوآلها في كل منطقة من الأرض وقتا معينا يمكن الإذعان به فيها، إلا أن التعليل نفسه غير مقبول بما عرفت من التوقيع المذكور</w:t>
      </w:r>
      <w:r>
        <w:rPr>
          <w:rFonts w:eastAsia="Amiri" w:cs="Amiri" w:ascii="Amiri" w:hAnsi="Amiri"/>
          <w:color w:val="111111"/>
          <w:sz w:val="28"/>
          <w:szCs w:val="28"/>
          <w:rtl w:val="true"/>
          <w:lang w:bidi="ar-SA"/>
        </w:rPr>
        <w:t xml:space="preserve">. </w:t>
      </w:r>
      <w:bookmarkStart w:id="87" w:name="pg7286_66228"/>
    </w:p>
    <w:p>
      <w:pPr>
        <w:pStyle w:val="Heading3"/>
        <w:numPr>
          <w:ilvl w:val="2"/>
          <w:numId w:val="1"/>
        </w:numPr>
        <w:rPr/>
      </w:pPr>
      <w:bookmarkStart w:id="88" w:name="__RefHeading___Toc634084_1051229030"/>
      <w:bookmarkStart w:id="89" w:name="_Toc29"/>
      <w:bookmarkEnd w:id="87"/>
      <w:bookmarkEnd w:id="88"/>
      <w:r>
        <w:rPr>
          <w:rtl w:val="true"/>
        </w:rPr>
        <w:t>نتيجة البحث</w:t>
      </w:r>
      <w:bookmarkEnd w:id="89"/>
    </w:p>
    <w:p>
      <w:pPr>
        <w:pStyle w:val="BookText"/>
        <w:rPr/>
      </w:pPr>
      <w:r>
        <w:rPr>
          <w:rFonts w:ascii="Amiri" w:hAnsi="Amiri" w:eastAsia="Amiri" w:cs="Amiri"/>
          <w:color w:val="111111"/>
          <w:sz w:val="28"/>
          <w:sz w:val="28"/>
          <w:szCs w:val="28"/>
          <w:rtl w:val="true"/>
          <w:lang w:bidi="ar-SA"/>
        </w:rPr>
        <w:t xml:space="preserve">وكيف كان، فقد تحصل أنه وإن لم تثبت مما سردنا كراهة الصلوات بل مطلق النوافل في تلك الأوقات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ذوات السبب ولا النوافل المرتبة الموقتة ولا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ثبتت كراهة خصوص النوافل المبتدأة بنصوص منجبرة بالشهرة العظيمة المحققة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 بل بالإجماع المدعي، وإن استشكل فيه صاحب العروة وغير واحد من الفقهاء من المحشين وغيرهم رضوان الله تعالى عليهم أجمعين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الأعلام قدس سره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لم يعتمد على الشهرة ولا على الإجماع المدعي، ورد التشبث بقاعدة التسامح في السنن بأنه لم يقل بها في المستحبات فضلا عن المكروهات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ما في متن العروة من الأشكال على کراهة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المبتدأة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الأوقات الخمسة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الثلاثة الأخيرة والوقتين الأولين</w:t>
      </w:r>
      <w:r>
        <w:rPr>
          <w:rFonts w:eastAsia="IRNazanin" w:cs="IRNazanin"/>
          <w:color w:val="111111"/>
          <w:sz w:val="28"/>
          <w:szCs w:val="28"/>
          <w:rtl w:val="true"/>
          <w:lang w:bidi="fa-IR"/>
        </w:rPr>
        <w:t xml:space="preserve">). </w:t>
      </w:r>
      <w:bookmarkStart w:id="90" w:name="pg7286_66229"/>
    </w:p>
    <w:p>
      <w:pPr>
        <w:pStyle w:val="Heading3"/>
        <w:numPr>
          <w:ilvl w:val="2"/>
          <w:numId w:val="1"/>
        </w:numPr>
        <w:rPr/>
      </w:pPr>
      <w:bookmarkStart w:id="91" w:name="__RefHeading___Toc634086_1051229030"/>
      <w:bookmarkStart w:id="92" w:name="_Toc30"/>
      <w:bookmarkEnd w:id="90"/>
      <w:bookmarkEnd w:id="91"/>
      <w:r>
        <w:rPr>
          <w:rtl w:val="true"/>
        </w:rPr>
        <w:t>تخصيص مورد الحكم بحال الشروع في النافلة</w:t>
      </w:r>
      <w:bookmarkEnd w:id="92"/>
    </w:p>
    <w:p>
      <w:pPr>
        <w:pStyle w:val="BookText"/>
        <w:rPr/>
      </w:pPr>
      <w:r>
        <w:rPr>
          <w:rFonts w:ascii="Amiri" w:hAnsi="Amiri" w:eastAsia="Amiri" w:cs="Amiri"/>
          <w:color w:val="111111"/>
          <w:sz w:val="28"/>
          <w:sz w:val="28"/>
          <w:szCs w:val="28"/>
          <w:rtl w:val="true"/>
          <w:lang w:bidi="ar-SA"/>
        </w:rPr>
        <w:t>هذا كله إذا أراد الإتيان بالنوافل المبتدأة في تلك الأوقات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شرع بالنوافل قبل تلك الأوقات فدخل أحدها وهو في النافلة ففي العروة تبعا للجواهر أنه لا يكره إتمامها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المنساق من الأدلة کراهة الشروع في النافلة في هذه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لودخل عليه أحد هذه الأوقات وهو في الأثناء لم يكره انمامها كما صرح به بعضهم فيماحكي عنه، حتى لو علم من أول الأمردخوله عليه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فإنه أيضا لا يكره</w:t>
      </w:r>
      <w:r>
        <w:rPr>
          <w:rFonts w:eastAsia="IRNazanin" w:cs="IRNazanin"/>
          <w:color w:val="111111"/>
          <w:sz w:val="28"/>
          <w:szCs w:val="28"/>
          <w:rtl w:val="true"/>
          <w:lang w:bidi="fa-IR"/>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استشكل على هذا غير واحد من الأعلام کصاحب المستمسك قدس سره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مقتضى إطلاق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بملاحظة التعليل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كراهة صرف وجود الصلاة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فيعم الشروع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يزاحم </w:t>
      </w:r>
      <w:r>
        <w:rPr>
          <w:rStyle w:val="FootnoteAnchor"/>
          <w:rtl w:val="true"/>
        </w:rPr>
        <w:footnoteReference w:id="104"/>
      </w:r>
      <w:r>
        <w:rPr>
          <w:rFonts w:ascii="Amiri" w:hAnsi="Amiri" w:eastAsia="Amiri" w:cs="Amiri"/>
          <w:color w:val="111111"/>
          <w:sz w:val="28"/>
          <w:sz w:val="28"/>
          <w:szCs w:val="28"/>
          <w:rtl w:val="true"/>
          <w:lang w:bidi="ar-SA"/>
        </w:rPr>
        <w:t>ذلك كراهة قطع النافلة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وأضاف بعضهم </w:t>
      </w:r>
      <w:r>
        <w:rPr>
          <w:rStyle w:val="FootnoteAnchor"/>
          <w:rtl w:val="true"/>
        </w:rPr>
        <w:footnoteReference w:id="106"/>
      </w:r>
      <w:r>
        <w:rPr>
          <w:rFonts w:ascii="Amiri" w:hAnsi="Amiri" w:eastAsia="Amiri" w:cs="Amiri"/>
          <w:color w:val="111111"/>
          <w:sz w:val="28"/>
          <w:sz w:val="28"/>
          <w:szCs w:val="28"/>
          <w:rtl w:val="true"/>
          <w:lang w:bidi="ar-SA"/>
        </w:rPr>
        <w:t xml:space="preserve">أن مقتضى ما في صحيحة ابن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نفي الكمال عند الزوال في جميع الأيام إلا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والدخول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الذي يسهل الخطب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سردنا بما لا مزيد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كون النصوص ملاك الاستدلال في المقام مستقیمأ ولا ما عرفت من العلمين قدس سرهما بل كان ملاك الاستدلال و مناطه هو الشهرة العظيمة قديما وحديثا التي كادت أن تكون إجماعا، وإنما استدل بالنصوص بملاحظة انجبارها بتلك الشهرة وهي وإن كانت عظيمة، لكنها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كيفما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بالتقريب المتقدم إلا دليلا لبيا لا بد من الأخذ بالقدر المتيقن منها، والقدر المتيقن منها في المقام ليس إلا كراهة الشروع دون الاستمرار، فليتأمل جيدا</w:t>
      </w:r>
      <w:r>
        <w:rPr>
          <w:rFonts w:eastAsia="IRNazanin" w:cs="IRNazanin"/>
          <w:color w:val="111111"/>
          <w:sz w:val="28"/>
          <w:szCs w:val="28"/>
          <w:rtl w:val="true"/>
          <w:lang w:bidi="fa-IR"/>
        </w:rPr>
        <w:t xml:space="preserve">. </w:t>
      </w:r>
      <w:bookmarkStart w:id="93" w:name="pg7286_66231"/>
    </w:p>
    <w:p>
      <w:pPr>
        <w:pStyle w:val="Heading3"/>
        <w:numPr>
          <w:ilvl w:val="2"/>
          <w:numId w:val="1"/>
        </w:numPr>
        <w:rPr/>
      </w:pPr>
      <w:bookmarkStart w:id="94" w:name="__RefHeading___Toc634088_1051229030"/>
      <w:bookmarkStart w:id="95" w:name="_Toc31"/>
      <w:bookmarkEnd w:id="93"/>
      <w:bookmarkEnd w:id="94"/>
      <w:r>
        <w:rPr>
          <w:rtl w:val="true"/>
        </w:rPr>
        <w:t>تنبيه</w:t>
      </w:r>
      <w:bookmarkEnd w:id="95"/>
    </w:p>
    <w:p>
      <w:pPr>
        <w:pStyle w:val="BookText"/>
        <w:rPr/>
      </w:pPr>
      <w:r>
        <w:rPr>
          <w:rFonts w:ascii="Amiri" w:hAnsi="Amiri" w:eastAsia="Amiri" w:cs="Amiri"/>
          <w:color w:val="111111"/>
          <w:sz w:val="28"/>
          <w:sz w:val="28"/>
          <w:szCs w:val="28"/>
          <w:rtl w:val="true"/>
          <w:lang w:bidi="ar-SA"/>
        </w:rPr>
        <w:t xml:space="preserve">قد ظهر مما ذكرنا أن النوافل المكروهة في تلك الأوقات إنما هي المبتدأة، وأن غيرها من ذوات السبب وقضاء النوافل ليست بمكروهة، كما أنها ليست مندوبة مستحبة في خصوص تلك الأوقات وإن كانت مستحبة في نفسها، إلا أن خصوص قضاء نوافل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كونها مستحبة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مستحبا في مستحب بمقتضى غير واحد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آنفا وسنذكر بعض متونها صريحا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وقتين من تلك الأوقات الخمسة، أعني بهما فيما بعد صلاة الفجر حتى تطلع الشمس وفيما بعد صلاة العصر حتى تغرب الشمس، وأن قضاء صلاة الليل في هذين الوقتين من سر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تلك النصوص ما رواه الشيخ قدس سره بإسناده عن محمد بن أحمد بن يحيی عن إبراهيم عن محمد بن عمر الزيات عن جميل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الأول عليه السلام عن قضاء صلاة الليل بعد طلوع الفجر إلى طلوع الشمس؟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العصر إلى الليل فهو من سر آل محمد المخزون</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أيضا عن أحمد بن محمد بن عيسى عن أحمد بن النضر وأحمد بن محمد ابن أبي نصر في بعض إسناديهما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القضاء قبل طلوع الشمس وبعد العصر؟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فاقضه؛ فإنه من سر آل محمد صلى الله </w:t>
      </w:r>
    </w:p>
    <w:p>
      <w:pPr>
        <w:pStyle w:val="BookText"/>
        <w:rPr/>
      </w:pPr>
      <w:r>
        <w:rPr>
          <w:rFonts w:ascii="IRNazanin" w:hAnsi="IRNazanin" w:eastAsia="IRNazanin"/>
          <w:color w:val="111111"/>
          <w:sz w:val="28"/>
          <w:sz w:val="28"/>
          <w:szCs w:val="28"/>
          <w:rtl w:val="true"/>
          <w:lang w:bidi="fa-IR"/>
        </w:rPr>
        <w:t>تعالی علیه وعليهم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بعض فقرات هذا النص مفتخر بما قبله من رواية جميل؛ فإن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صلاة الفجر إلى طلوع الشمس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غروب الشمس</w:t>
      </w:r>
      <w:r>
        <w:rPr>
          <w:rFonts w:eastAsia="Amiri" w:cs="Amiri" w:ascii="Amiri" w:hAnsi="Amiri"/>
          <w:color w:val="111111"/>
          <w:sz w:val="28"/>
          <w:szCs w:val="28"/>
          <w:rtl w:val="true"/>
          <w:lang w:bidi="ar-SA"/>
        </w:rPr>
        <w:t xml:space="preserve">. </w:t>
      </w:r>
      <w:bookmarkStart w:id="96" w:name="pg7286_66233"/>
    </w:p>
    <w:p>
      <w:pPr>
        <w:pStyle w:val="Heading3"/>
        <w:numPr>
          <w:ilvl w:val="2"/>
          <w:numId w:val="1"/>
        </w:numPr>
        <w:rPr/>
      </w:pPr>
      <w:bookmarkStart w:id="97" w:name="__RefHeading___Toc634090_1051229030"/>
      <w:bookmarkStart w:id="98" w:name="_Toc32"/>
      <w:bookmarkEnd w:id="96"/>
      <w:bookmarkEnd w:id="97"/>
      <w:r>
        <w:rPr>
          <w:rtl w:val="true"/>
        </w:rPr>
        <w:t>فرع في عدم شمول الحكم بالكراهة لمطلق السجود</w:t>
      </w:r>
      <w:bookmarkEnd w:id="98"/>
    </w:p>
    <w:p>
      <w:pPr>
        <w:pStyle w:val="BookText"/>
        <w:rPr/>
      </w:pPr>
      <w:r>
        <w:rPr>
          <w:rFonts w:ascii="Amiri" w:hAnsi="Amiri" w:eastAsia="Amiri" w:cs="Amiri"/>
          <w:color w:val="111111"/>
          <w:sz w:val="28"/>
          <w:sz w:val="28"/>
          <w:szCs w:val="28"/>
          <w:rtl w:val="true"/>
          <w:lang w:bidi="ar-SA"/>
        </w:rPr>
        <w:t>هل يمكن اندراج مطلق السجود في النافلة المبتدأة المنهي عنها في تلك الأوقات؟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هو العدم، لعدم صدق الصلاة أو النافلة المنهي عنها عليه إلا بإلغاء الخصوصية وتنقيح المناط، ولا سيما مع ما في صحيحة ابن مسلم المتقدمة </w:t>
      </w:r>
      <w:r>
        <w:rPr>
          <w:rStyle w:val="FootnoteAnchor"/>
          <w:rtl w:val="true"/>
        </w:rPr>
        <w:footnoteReference w:id="109"/>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تكره الصلاة عند طلوع الشمس وعند غروبها التي فيها الخشوع والركوع والسجود</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مشکل بملاحظة ما سردنا من أنه لم يكن ملاك الاستدلال في المقام اللصوص حقيقة، بل الشهرة كانت ملاكه، وهي لم تنعقد إلا على النافلة المبتدأة غير الصادقة على السجدة، مضافا إلى أن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کسجدتي التلاوة والشكر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من ذوات الأسباب غير المبتدأة كما عن العلامة قدس سره في التذكرة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الجواهر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يندرج مطلق السجود في الصلاة المنهي عنها قطعا ولذا صرح الفاضل فيما حكي من تذكرته بعدم کراهة سجدة الشكر وسجدة التلاوة معللا ذلك بأنهما ليستا بصلاة وبأن لهما أسبابا</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99" w:name="pg7286_66235"/>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634092_1051229030"/>
      <w:bookmarkStart w:id="101" w:name="_Toc33"/>
      <w:bookmarkEnd w:id="100"/>
      <w:r>
        <w:rPr>
          <w:rtl w:val="true"/>
        </w:rPr>
        <w:t>تذییل</w:t>
      </w:r>
      <w:r>
        <w:rPr>
          <w:rtl w:val="true"/>
        </w:rPr>
        <w:t xml:space="preserve">: </w:t>
      </w:r>
      <w:r>
        <w:rPr>
          <w:rtl w:val="true"/>
        </w:rPr>
        <w:t>في تغاير المقام مع جواز التطوع في وقت الفريضة</w:t>
      </w:r>
      <w:bookmarkEnd w:id="101"/>
    </w:p>
    <w:p>
      <w:pPr>
        <w:pStyle w:val="BookText"/>
        <w:rPr/>
      </w:pPr>
      <w:r>
        <w:rPr>
          <w:rFonts w:ascii="Amiri" w:hAnsi="Amiri" w:eastAsia="Amiri" w:cs="Amiri"/>
          <w:color w:val="111111"/>
          <w:sz w:val="28"/>
          <w:sz w:val="28"/>
          <w:szCs w:val="28"/>
          <w:rtl w:val="true"/>
          <w:lang w:bidi="ar-SA"/>
        </w:rPr>
        <w:t xml:space="preserve">وليعلم أنه وإن كان بين هذه المسألة ومسألة التطوع في وقت الفريضة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تقارب من جهة أن الثابت في محله هنالك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بالنقوض والإبرامات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التطوع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النافلة المبتدأة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لكتهما متغایرتان ذاتا وبينهما بون بعید؛ وذلك لعدم كون الأوقات المكروه فيها خصوص التوافل المبتدأة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أوقاتا يؤتى فيها بالفرائض، بل الفرائض في تلك الأوقات إما فائتة من قبل على الفرض، كما في الوقتين الأولين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صلاتي الصبح والعصر حتى تطلع الشمس أو 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تشرع فيها أصلا، كما في الأوقات الثلاثة الأخيرة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عند طلوع الشمس وقيامها حتى تنبسط أو تزولد</w:t>
      </w:r>
    </w:p>
    <w:p>
      <w:pPr>
        <w:pStyle w:val="BookText"/>
        <w:rPr/>
      </w:pPr>
      <w:r>
        <w:rPr>
          <w:rFonts w:ascii="IRNazanin" w:hAnsi="IRNazanin" w:eastAsia="IRNazanin"/>
          <w:color w:val="111111"/>
          <w:sz w:val="28"/>
          <w:sz w:val="28"/>
          <w:szCs w:val="28"/>
          <w:rtl w:val="true"/>
          <w:lang w:bidi="fa-IR"/>
        </w:rPr>
        <w:t>وعند غروب الشمس قبيل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والمفروض في تلك المسألة على ما حقق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يؤتى بالنافلة المبتدأة في وقت الفريضة التي لم تكن مأتية بها في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لا يسعه المقام، بل موکول إلى محله؛ والإشارة هيهنا إنما كانت استطرادية ولدفع بعض التوهمات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على محمد و آله الطيبين الطاهرين</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286_66238"/>
      <w:bookmarkStart w:id="103" w:name="pg7286_66238"/>
      <w:bookmarkEnd w:id="103"/>
    </w:p>
    <w:p>
      <w:pPr>
        <w:pStyle w:val="Heading2"/>
        <w:numPr>
          <w:ilvl w:val="1"/>
          <w:numId w:val="1"/>
        </w:numPr>
        <w:rPr/>
      </w:pPr>
      <w:bookmarkStart w:id="104" w:name="pg7286_66238"/>
      <w:bookmarkStart w:id="105" w:name="__RefHeading___Toc634094_1051229030"/>
      <w:bookmarkStart w:id="106" w:name="_Toc34"/>
      <w:bookmarkEnd w:id="104"/>
      <w:bookmarkEnd w:id="105"/>
      <w:r>
        <w:rPr>
          <w:rtl w:val="true"/>
        </w:rPr>
        <w:t>الرسالة الثالثة</w:t>
      </w:r>
      <w:r>
        <w:rPr>
          <w:rtl w:val="true"/>
        </w:rPr>
        <w:t xml:space="preserve">: </w:t>
      </w:r>
      <w:r>
        <w:rPr>
          <w:rtl w:val="true"/>
        </w:rPr>
        <w:t>في بيان جزئية الشهادة بالولاية وإمرة المؤمنين لعلي عليه السلام في فصول الأذان والإقامة وتذييل الكلام ببيان الحكم في تشهد الصلاة</w:t>
      </w:r>
      <w:bookmarkEnd w:id="1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634096_1051229030"/>
      <w:bookmarkStart w:id="108" w:name="_Toc35"/>
      <w:bookmarkEnd w:id="107"/>
      <w:r>
        <w:rPr>
          <w:rtl w:val="true"/>
        </w:rPr>
        <w:t>اشارة</w:t>
      </w:r>
      <w:bookmarkEnd w:id="1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7286_66240"/>
      <w:bookmarkStart w:id="110" w:name="pg7286_66240"/>
      <w:bookmarkEnd w:id="110"/>
    </w:p>
    <w:p>
      <w:pPr>
        <w:pStyle w:val="BookText"/>
        <w:rPr/>
      </w:pPr>
      <w:bookmarkStart w:id="111" w:name="pg7286_66240"/>
      <w:bookmarkEnd w:id="111"/>
      <w:r>
        <w:rPr>
          <w:rFonts w:ascii="Amiri" w:hAnsi="Amiri" w:eastAsia="Amiri" w:cs="Amiri"/>
          <w:color w:val="111111"/>
          <w:sz w:val="28"/>
          <w:sz w:val="28"/>
          <w:szCs w:val="28"/>
          <w:rtl w:val="true"/>
          <w:lang w:bidi="ar-SA"/>
        </w:rPr>
        <w:t>الرسالة الثالثة</w:t>
      </w:r>
    </w:p>
    <w:p>
      <w:pPr>
        <w:pStyle w:val="BookText"/>
        <w:rPr/>
      </w:pPr>
      <w:r>
        <w:rPr>
          <w:rFonts w:ascii="Amiri" w:hAnsi="Amiri" w:eastAsia="Amiri" w:cs="Amiri"/>
          <w:color w:val="111111"/>
          <w:sz w:val="28"/>
          <w:sz w:val="28"/>
          <w:szCs w:val="28"/>
          <w:rtl w:val="true"/>
          <w:lang w:bidi="ar-SA"/>
        </w:rPr>
        <w:t xml:space="preserve">في بيان جزئية الشهادة بالولاية </w:t>
      </w:r>
      <w:r>
        <w:rPr>
          <w:rStyle w:val="FootnoteAnchor"/>
          <w:rtl w:val="true"/>
        </w:rPr>
        <w:footnoteReference w:id="114"/>
      </w:r>
      <w:r>
        <w:rPr>
          <w:rFonts w:ascii="Amiri" w:hAnsi="Amiri" w:eastAsia="Amiri" w:cs="Amiri"/>
          <w:color w:val="111111"/>
          <w:sz w:val="28"/>
          <w:sz w:val="28"/>
          <w:szCs w:val="28"/>
          <w:rtl w:val="true"/>
          <w:lang w:bidi="ar-SA"/>
        </w:rPr>
        <w:t>وإمرة المؤمنين لعلي عليه السلام في فصول الأذان والإقامة وتذييل الكلام ببيان الحكم في تشهد الصلاة</w:t>
      </w:r>
    </w:p>
    <w:p>
      <w:pPr>
        <w:pStyle w:val="Heading3"/>
        <w:numPr>
          <w:ilvl w:val="2"/>
          <w:numId w:val="1"/>
        </w:numPr>
        <w:rPr/>
      </w:pPr>
      <w:bookmarkStart w:id="112" w:name="__RefHeading___Toc634098_1051229030"/>
      <w:bookmarkStart w:id="113" w:name="_Toc36"/>
      <w:bookmarkEnd w:id="112"/>
      <w:r>
        <w:rPr>
          <w:rtl w:val="true"/>
        </w:rPr>
        <w:t>أقوال العلماء حول أخبار الجزئية</w:t>
      </w:r>
      <w:bookmarkEnd w:id="1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لم ترد الشهادة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وإمرة المؤمنين ونحوهما </w:t>
      </w:r>
      <w:r>
        <w:rPr>
          <w:rStyle w:val="FootnoteAnchor"/>
          <w:rtl w:val="true"/>
        </w:rPr>
        <w:footnoteReference w:id="115"/>
      </w:r>
      <w:r>
        <w:rPr>
          <w:rFonts w:ascii="Amiri" w:hAnsi="Amiri" w:eastAsia="Amiri" w:cs="Amiri"/>
          <w:color w:val="111111"/>
          <w:sz w:val="28"/>
          <w:sz w:val="28"/>
          <w:szCs w:val="28"/>
          <w:rtl w:val="true"/>
          <w:lang w:bidi="ar-SA"/>
        </w:rPr>
        <w:t xml:space="preserve">في النصوص المعتبرة المتداولة المشتملة على عدد فصول الأذان والإقامة، بل النصوص الحاكية عن فصولهما خالية عنها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بتاتا </w:t>
      </w:r>
      <w:r>
        <w:rPr>
          <w:rStyle w:val="FootnoteAnchor"/>
          <w:rtl w:val="true"/>
        </w:rPr>
        <w:footnoteReference w:id="116"/>
      </w:r>
      <w:r>
        <w:rPr>
          <w:rFonts w:ascii="Amiri" w:hAnsi="Amiri" w:eastAsia="Amiri" w:cs="Amiri"/>
          <w:color w:val="111111"/>
          <w:sz w:val="28"/>
          <w:sz w:val="28"/>
          <w:szCs w:val="28"/>
          <w:rtl w:val="true"/>
          <w:lang w:bidi="ar-SA"/>
        </w:rPr>
        <w:t xml:space="preserve">والأخبار المصرحة بها المروية عن المفوضة </w:t>
      </w:r>
      <w:r>
        <w:rPr>
          <w:rStyle w:val="FootnoteAnchor"/>
          <w:rtl w:val="true"/>
        </w:rPr>
        <w:footnoteReference w:id="117"/>
      </w:r>
      <w:r>
        <w:rPr>
          <w:rFonts w:ascii="Amiri" w:hAnsi="Amiri" w:eastAsia="Amiri" w:cs="Amiri"/>
          <w:color w:val="111111"/>
          <w:sz w:val="28"/>
          <w:sz w:val="28"/>
          <w:szCs w:val="28"/>
          <w:rtl w:val="true"/>
          <w:lang w:bidi="ar-SA"/>
        </w:rPr>
        <w:t xml:space="preserve">إما موضوعة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قدس سره في الفقيه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شواذ الأخبار لا يعمل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الشيخ قدس سره في النهاية والمبسوط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في المنتهى </w:t>
      </w:r>
      <w:r>
        <w:rPr>
          <w:rStyle w:val="FootnoteAnchor"/>
          <w:rtl w:val="true"/>
        </w:rPr>
        <w:footnoteReference w:id="120"/>
      </w:r>
      <w:r>
        <w:rPr>
          <w:rFonts w:ascii="Amiri" w:hAnsi="Amiri" w:eastAsia="Amiri" w:cs="Amiri"/>
          <w:color w:val="111111"/>
          <w:sz w:val="28"/>
          <w:sz w:val="28"/>
          <w:szCs w:val="28"/>
          <w:rtl w:val="true"/>
          <w:lang w:bidi="ar-SA"/>
        </w:rPr>
        <w:t xml:space="preserve">۔ ونحو ذلك كلام غيرهم </w:t>
      </w:r>
      <w:r>
        <w:rPr>
          <w:rStyle w:val="FootnoteAnchor"/>
          <w:rtl w:val="true"/>
        </w:rPr>
        <w:footnoteReference w:id="121"/>
      </w:r>
      <w:r>
        <w:rPr>
          <w:rFonts w:ascii="Amiri" w:hAnsi="Amiri" w:eastAsia="Amiri" w:cs="Amiri"/>
          <w:color w:val="111111"/>
          <w:sz w:val="28"/>
          <w:sz w:val="28"/>
          <w:szCs w:val="28"/>
          <w:rtl w:val="true"/>
          <w:lang w:bidi="ar-SA"/>
        </w:rPr>
        <w:t xml:space="preserve">كما في المستمسك </w:t>
      </w:r>
      <w:r>
        <w:rPr>
          <w:rStyle w:val="FootnoteAnchor"/>
          <w:rtl w:val="true"/>
        </w:rPr>
        <w:footnoteReference w:id="122"/>
      </w:r>
      <w:r>
        <w:rPr>
          <w:rFonts w:ascii="Amiri" w:hAnsi="Amiri" w:eastAsia="Amiri" w:cs="Amiri"/>
          <w:color w:val="111111"/>
          <w:sz w:val="28"/>
          <w:sz w:val="28"/>
          <w:szCs w:val="28"/>
          <w:rtl w:val="true"/>
          <w:lang w:bidi="ar-SA"/>
        </w:rPr>
        <w:t xml:space="preserve">فلايصح التمسك بها حتى بمعونة </w:t>
      </w:r>
    </w:p>
    <w:p>
      <w:pPr>
        <w:pStyle w:val="BookText"/>
        <w:rPr/>
      </w:pP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التسامح في أدلة السنن؛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إمكان إثبات حكم الاستحباب بها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مختصة بصورة بلوغ الثواب فقط، لا بلوغه مع بلوغ عدمه، كما في المقام، هكذا قيل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كانت کبری اختصاص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البلوغ صحيحة، لكن لم يتحقق بلوغ عدم الثواب صغرويا في المقام؛ لعدم رواية تدل على العدم </w:t>
      </w:r>
      <w:r>
        <w:rPr>
          <w:rStyle w:val="FootnoteAnchor"/>
          <w:rtl w:val="true"/>
        </w:rPr>
        <w:footnoteReference w:id="125"/>
      </w:r>
      <w:r>
        <w:rPr>
          <w:rFonts w:ascii="IRNazanin" w:hAnsi="IRNazanin" w:eastAsia="IRNazanin"/>
          <w:color w:val="111111"/>
          <w:sz w:val="28"/>
          <w:sz w:val="28"/>
          <w:szCs w:val="28"/>
          <w:rtl w:val="true"/>
          <w:lang w:bidi="fa-IR"/>
        </w:rPr>
        <w:t xml:space="preserve">، وإنما رمى الصدوق قدس سره راويه بالتفويض ونفى الشيخ قدس سره مشروعيته والعلامة قدس سره التعويل عليه؛ لكون الرواية شاذة لا يعمل بها وهذا المقدار من التضعيف لا يمنع من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تماميتها في نفسها كما هو الصحيح، وإن لم يثبت بها حكم الاستحباب؛ إذ مجرد الشهادة بكذب الراوي لاتمنع من احتمال الصدور الموجب لاحتمال المطلوبية المصحح للتمسك بالقاعدة، فيثاب في العمل بها رجاء وإن لم يحكم عليه بالاستحباب؛ إذ لابد في الحكم من وجود دلیل معتبر لا ما يثبت بالقاعدة</w:t>
      </w:r>
      <w:r>
        <w:rPr>
          <w:rFonts w:eastAsia="IRNazanin" w:cs="IRNazanin"/>
          <w:color w:val="111111"/>
          <w:sz w:val="28"/>
          <w:szCs w:val="28"/>
          <w:rtl w:val="true"/>
          <w:lang w:bidi="fa-IR"/>
        </w:rPr>
        <w:t xml:space="preserve">. </w:t>
      </w:r>
      <w:bookmarkStart w:id="114" w:name="pg7286_66243"/>
    </w:p>
    <w:p>
      <w:pPr>
        <w:pStyle w:val="Heading3"/>
        <w:numPr>
          <w:ilvl w:val="2"/>
          <w:numId w:val="1"/>
        </w:numPr>
        <w:rPr/>
      </w:pPr>
      <w:bookmarkStart w:id="115" w:name="__RefHeading___Toc634100_1051229030"/>
      <w:bookmarkStart w:id="116" w:name="_Toc37"/>
      <w:bookmarkEnd w:id="114"/>
      <w:bookmarkEnd w:id="115"/>
      <w:r>
        <w:rPr>
          <w:rtl w:val="true"/>
        </w:rPr>
        <w:t>دفع وهم</w:t>
      </w:r>
      <w:bookmarkEnd w:id="116"/>
    </w:p>
    <w:p>
      <w:pPr>
        <w:pStyle w:val="BookText"/>
        <w:rPr/>
      </w:pPr>
      <w:r>
        <w:rPr>
          <w:rFonts w:ascii="IRNazanin" w:hAnsi="IRNazanin" w:eastAsia="IRNazanin"/>
          <w:color w:val="111111"/>
          <w:sz w:val="28"/>
          <w:sz w:val="28"/>
          <w:szCs w:val="28"/>
          <w:rtl w:val="true"/>
          <w:lang w:bidi="fa-IR"/>
        </w:rPr>
        <w:t xml:space="preserve">ثم إنه لا يقدح ذکر مثل هذه العبارات في أثنائهما بالموالاة المعتبرة بين فصول كل منهما بحيث تكون صورتهما محفوظة بحسب عرف المتشرعة </w:t>
      </w:r>
      <w:r>
        <w:rPr>
          <w:rStyle w:val="FootnoteAnchor"/>
          <w:rtl w:val="true"/>
        </w:rPr>
        <w:footnoteReference w:id="126"/>
      </w:r>
      <w:r>
        <w:rPr>
          <w:rFonts w:ascii="Amiri" w:hAnsi="Amiri" w:eastAsia="Amiri" w:cs="Amiri"/>
          <w:color w:val="111111"/>
          <w:sz w:val="28"/>
          <w:sz w:val="28"/>
          <w:szCs w:val="28"/>
          <w:rtl w:val="true"/>
          <w:lang w:bidi="ar-SA"/>
        </w:rPr>
        <w:t>فالفصل الطويل المخل بحسب عرفهم بين فصولهما مبطل على ما فصل في محله، وإنما لا تقدح بالموالاة؛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الجواهر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كالصلاة على محمد و آله عند سماع اسمه صلي الله عليه وآله ، فكما لا تقدح تلك بالموالاة العرفية فكذلك هذه، وكتجلیل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وتعظيمه المكرم عند ذكر اسمه عزوجل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ويمكن أن يقال بجزئية هذه الشهادة في الأذان والإقامة بما ذهب إليه بعضهم ؛ فإنه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الأخبار المروية عن المفوضة بزيادة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كانت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صحيحة أيضا كما يظهر من المحقق والعلامة والشهيد رحمه الله؛ فإنهم نسبوها إلى الشذوذ، والشاذ ما يكون صحيحا غير مشهور، مع أن الذي حكم بصحته أيضا شاذ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تقریب قوله قدس سره هو أنه وردت في المقام نصوص معتبرة على استحباب الشهادة الثالثة في الأذان والإقامة وهي تلك الأخبار المروية عن المفوضة، ولكن بملاحظة عدم عمل المشهور بها لمصلحة التقية ونحوها من المصالح </w:t>
      </w:r>
      <w:r>
        <w:rPr>
          <w:rStyle w:val="FootnoteAnchor"/>
          <w:rtl w:val="true"/>
        </w:rPr>
        <w:footnoteReference w:id="129"/>
      </w:r>
      <w:r>
        <w:rPr>
          <w:rFonts w:ascii="Amiri" w:hAnsi="Amiri" w:eastAsia="Amiri" w:cs="Amiri"/>
          <w:color w:val="111111"/>
          <w:sz w:val="28"/>
          <w:sz w:val="28"/>
          <w:szCs w:val="28"/>
          <w:rtl w:val="true"/>
          <w:lang w:bidi="ar-SA"/>
        </w:rPr>
        <w:t>صارت شادة، إلا أنه لا بأس بالعمل بها عند ارتفاع تلك المصالح، فتكون جزئية الشهادة الثالثة في الأذان والإقامة ثابتة بتلك الأخبار المعتبرة في نفسها فيصح الإتيان بها بقصد الورود عند ارتفاع تلك المصالح كما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صاحب الجواهر قدس سره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تسالم الأصحاب قدس 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لولا شهر تهم الناشئة من التقنية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دعوى الجزئية وقال العلامة الشيخ محمد تقي المجلسي قدس سره أيضا في موضع آخر من الروضة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والأولى أن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يقول ما ورد من الكلمات في 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جزء الإيمان لاجزء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ويكون سبب تركه التقية، كما وقع في كثير من الأخبار ترك حي على خير العمل تقية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عن الوحيد البهبهاني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بأنه لاضير في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الأذان أو الإقامة على نحو الإطلاق من </w:t>
      </w:r>
      <w:bookmarkStart w:id="117" w:name="pg7286_66245"/>
    </w:p>
    <w:p>
      <w:pPr>
        <w:pStyle w:val="BookText"/>
        <w:rPr/>
      </w:pPr>
      <w:bookmarkEnd w:id="117"/>
      <w:r>
        <w:rPr>
          <w:rFonts w:ascii="IRNazanin" w:hAnsi="IRNazanin" w:eastAsia="IRNazanin"/>
          <w:color w:val="111111"/>
          <w:sz w:val="28"/>
          <w:sz w:val="28"/>
          <w:szCs w:val="28"/>
          <w:rtl w:val="true"/>
          <w:lang w:bidi="fa-IR"/>
        </w:rPr>
        <w:t xml:space="preserve">غیر تقیید بعدم الشهرة والتقية، مما لا يمكن المساعدة عليه إلا أن يحمل ويقيد بهما كما عرفت من صاحبي الجواهر وروضة المتقين قدس سرهما ، فعلى هذا التقريب دلت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أخبار 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الشهادة الثالثة كانت جزء واقعيا في حقيقة الأذان والإقامة وإنما أسقطت لبعض المصالح وسنصرح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الأخبار بهذا التقريب تؤيد ما سيأتي مما يصح الاستدلال به بالخصوص في المقام، والله تعالى هو الهادي إلى ما هو المرام</w:t>
      </w:r>
      <w:r>
        <w:rPr>
          <w:rFonts w:eastAsia="IRNazanin" w:cs="IRNazanin"/>
          <w:color w:val="111111"/>
          <w:sz w:val="28"/>
          <w:szCs w:val="28"/>
          <w:rtl w:val="true"/>
          <w:lang w:bidi="fa-IR"/>
        </w:rPr>
        <w:t>.</w:t>
      </w:r>
    </w:p>
    <w:p>
      <w:pPr>
        <w:pStyle w:val="Heading3"/>
        <w:numPr>
          <w:ilvl w:val="2"/>
          <w:numId w:val="1"/>
        </w:numPr>
        <w:rPr/>
      </w:pPr>
      <w:bookmarkStart w:id="118" w:name="__RefHeading___Toc634102_1051229030"/>
      <w:bookmarkStart w:id="119" w:name="_Toc38"/>
      <w:bookmarkEnd w:id="118"/>
      <w:r>
        <w:rPr>
          <w:rtl w:val="true"/>
        </w:rPr>
        <w:t>الاستدلال برواية الاحتجاج وما فيه</w:t>
      </w:r>
      <w:bookmarkEnd w:id="119"/>
    </w:p>
    <w:p>
      <w:pPr>
        <w:pStyle w:val="BookText"/>
        <w:rPr/>
      </w:pPr>
      <w:r>
        <w:rPr>
          <w:rFonts w:ascii="IRNazanin" w:hAnsi="IRNazanin" w:eastAsia="IRNazanin"/>
          <w:color w:val="111111"/>
          <w:sz w:val="28"/>
          <w:sz w:val="28"/>
          <w:szCs w:val="28"/>
          <w:rtl w:val="true"/>
          <w:lang w:bidi="fa-IR"/>
        </w:rPr>
        <w:t xml:space="preserve">وقد يستدل للمقام بما يدل على جواز ذكر الشهادة بالولاية بعد ذکر الشهادتين بصورة العموم في كل مقام، كرواية الاحتجاج عن القاسم بن معاوية 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المؤمنین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لضعف سندها لا يمكن أن يثبت بها الجزئية ولو استحبابا ، فإنه يعتبر في الحكم بالجزئية حتى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ضعف سند الرواية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يجوز أن يأتي بها بقصد الرجاء عموما ويثاب عليها، كما تقدم</w:t>
      </w:r>
      <w:r>
        <w:rPr>
          <w:rFonts w:eastAsia="Amiri" w:cs="Amiri" w:ascii="Amiri" w:hAnsi="Amiri"/>
          <w:color w:val="111111"/>
          <w:sz w:val="28"/>
          <w:szCs w:val="28"/>
          <w:rtl w:val="true"/>
          <w:lang w:bidi="ar-SA"/>
        </w:rPr>
        <w:t xml:space="preserve">. </w:t>
      </w:r>
      <w:bookmarkStart w:id="120" w:name="pg7286_66246"/>
    </w:p>
    <w:p>
      <w:pPr>
        <w:pStyle w:val="Heading3"/>
        <w:numPr>
          <w:ilvl w:val="2"/>
          <w:numId w:val="1"/>
        </w:numPr>
        <w:rPr/>
      </w:pPr>
      <w:bookmarkStart w:id="121" w:name="__RefHeading___Toc634104_1051229030"/>
      <w:bookmarkStart w:id="122" w:name="_Toc39"/>
      <w:bookmarkEnd w:id="120"/>
      <w:bookmarkEnd w:id="121"/>
      <w:r>
        <w:rPr>
          <w:rtl w:val="true"/>
        </w:rPr>
        <w:t>أحسن ما یستدل به في المقام</w:t>
      </w:r>
      <w:bookmarkEnd w:id="122"/>
    </w:p>
    <w:p>
      <w:pPr>
        <w:pStyle w:val="BookText"/>
        <w:rPr/>
      </w:pPr>
      <w:r>
        <w:rPr>
          <w:rFonts w:ascii="IRNazanin" w:hAnsi="IRNazanin" w:eastAsia="IRNazanin"/>
          <w:color w:val="111111"/>
          <w:sz w:val="28"/>
          <w:sz w:val="28"/>
          <w:szCs w:val="28"/>
          <w:rtl w:val="true"/>
          <w:lang w:bidi="fa-IR"/>
        </w:rPr>
        <w:t xml:space="preserve">نعم، استدل حقا بما حکی غیر واحد من أعاظم الموثقين </w:t>
      </w:r>
      <w:r>
        <w:rPr>
          <w:rStyle w:val="FootnoteAnchor"/>
          <w:rtl w:val="true"/>
        </w:rPr>
        <w:footnoteReference w:id="134"/>
      </w:r>
      <w:r>
        <w:rPr>
          <w:rFonts w:ascii="IRNazanin" w:hAnsi="IRNazanin" w:eastAsia="IRNazanin"/>
          <w:color w:val="111111"/>
          <w:sz w:val="28"/>
          <w:sz w:val="28"/>
          <w:szCs w:val="28"/>
          <w:rtl w:val="true"/>
          <w:lang w:bidi="fa-IR"/>
        </w:rPr>
        <w:t>عن کتاب السلافة في أمر الخلافة للشيخ عبدالله المراغي المصري من أعلام أهل السنة والجماعة في القرن السابع من روايتين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ذكر في الأذان والإقامة الشهادة بالولاية لعلي عليه السلام بعد الشهادة بالرسالة في زمن النبي صلي الله عليه و اله فدخل رجل عليه فقال له صلي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أمر لم أسمع قبل ذلك، سمعت سلمان في أذانه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العام الشامل للإقامة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بالولاية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صلي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نظيرها 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بعض الأصحاب عنده صلي الله عليه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أباذر في أذانه شهد بولاية علي بن أبي طالب علیه السلام بعد الشهادة بالرسالة،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صلي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معاتبا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أونسیتم قولي في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فَمَن یَنکِثُ فَإِنَّمَا یَنکَثُ عَلَى نَفسِه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وهاتان الروایتان وإن كانتا عاميتين، لكنهما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روائح الصدق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لائحة وقرائن الصحة عنهما ساطعة </w:t>
      </w:r>
      <w:r>
        <w:rPr>
          <w:rStyle w:val="FootnoteAnchor"/>
          <w:rtl w:val="true"/>
        </w:rPr>
        <w:footnoteReference w:id="135"/>
      </w:r>
      <w:r>
        <w:rPr>
          <w:rFonts w:ascii="Amiri" w:hAnsi="Amiri" w:eastAsia="Amiri" w:cs="Amiri"/>
          <w:color w:val="111111"/>
          <w:sz w:val="28"/>
          <w:sz w:val="28"/>
          <w:szCs w:val="28"/>
          <w:rtl w:val="true"/>
          <w:lang w:bidi="ar-SA"/>
        </w:rPr>
        <w:t xml:space="preserve">كما لا يخفى على من له أدنى دربة بفقه الحديث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مؤيدتان بتلك الأخبار المروية عن المفوضة بالتقريب المتقدم بما لا مزيد عليه، فتدلان بالوضوح على أن الشهادة الثالثة كانت من أجزاء الأذان والإقامة واقعا وفي نفس الأمر، لكنه صلي الله عليه وآله في زمانه وماشابهه من الأزمنة لم يأمر باندراجها فيهما غير الخصيصين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بعض المصالح ولئلا يقع الاختلاف من جهة كون المسلمين حديثي عهد بالإسلام </w:t>
      </w:r>
      <w:r>
        <w:rPr>
          <w:rStyle w:val="FootnoteAnchor"/>
          <w:rtl w:val="true"/>
        </w:rPr>
        <w:footnoteReference w:id="137"/>
      </w:r>
      <w:r>
        <w:rPr>
          <w:rFonts w:ascii="Amiri" w:hAnsi="Amiri" w:eastAsia="Amiri" w:cs="Amiri"/>
          <w:color w:val="111111"/>
          <w:sz w:val="28"/>
          <w:sz w:val="28"/>
          <w:szCs w:val="28"/>
          <w:rtl w:val="true"/>
          <w:lang w:bidi="ar-SA"/>
        </w:rPr>
        <w:t xml:space="preserve">، بل جعل صلي الله عليه وآله بدل تلك الشهادة ما يدل عليها بالكناية التي هي أبلغ من التصريح وهو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ولايته عليه السلام وكانت الولاية بهذا العنوان مشهور و متداولة بين المسلمين </w:t>
      </w:r>
      <w:r>
        <w:rPr>
          <w:rStyle w:val="FootnoteAnchor"/>
          <w:rtl w:val="true"/>
        </w:rPr>
        <w:footnoteReference w:id="138"/>
      </w:r>
      <w:r>
        <w:rPr>
          <w:rFonts w:ascii="Amiri" w:hAnsi="Amiri" w:eastAsia="Amiri" w:cs="Amiri"/>
          <w:color w:val="111111"/>
          <w:sz w:val="28"/>
          <w:sz w:val="28"/>
          <w:szCs w:val="28"/>
          <w:rtl w:val="true"/>
          <w:lang w:bidi="ar-SA"/>
        </w:rPr>
        <w:t xml:space="preserve">في حياة الرسول صلي الله عليه وآله وشطر من خلافة أبي بكر فأسقطه عمر بن الخطاب </w:t>
      </w:r>
      <w:r>
        <w:rPr>
          <w:rStyle w:val="FootnoteAnchor"/>
          <w:rtl w:val="true"/>
        </w:rPr>
        <w:footnoteReference w:id="139"/>
      </w:r>
      <w:r>
        <w:rPr>
          <w:rFonts w:ascii="Amiri" w:hAnsi="Amiri" w:eastAsia="Amiri" w:cs="Amiri"/>
          <w:color w:val="111111"/>
          <w:sz w:val="28"/>
          <w:sz w:val="28"/>
          <w:szCs w:val="28"/>
          <w:rtl w:val="true"/>
          <w:lang w:bidi="ar-SA"/>
        </w:rPr>
        <w:t xml:space="preserve">في زمن </w:t>
      </w:r>
    </w:p>
    <w:p>
      <w:pPr>
        <w:pStyle w:val="BookText"/>
        <w:rPr/>
      </w:pPr>
      <w:r>
        <w:rPr>
          <w:rFonts w:ascii="IRNazanin" w:hAnsi="IRNazanin" w:eastAsia="IRNazanin"/>
          <w:color w:val="111111"/>
          <w:sz w:val="28"/>
          <w:sz w:val="28"/>
          <w:szCs w:val="28"/>
          <w:rtl w:val="true"/>
          <w:lang w:bidi="fa-IR"/>
        </w:rPr>
        <w:t xml:space="preserve">خلافة أبي بكر من فصولهما بمغالطة واهية هينة وتحمل أن ذكره فيهما يوجب رغبة الناس إلى الصلاة وإعراضهم عن الجهاد؛ ويدل على ما قلنا من الكناية بخير العمل عن الولاية رواية الصدوق رحمه الله في العلل عن عبد الواحد بن محمد بن عبدوس، عن علي بن محمد بن قتيبة، عن الفضل بن شاذان عن محمد ابن أبي عمير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 من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ما يعم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 العلة الظاهرة أو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أريدهما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العِلَّةَ الظَاهِرَةُ فَلَئَلاَّ يَدَعُ النَّاسَ الجَهادَ اتّكَالاً عَلَى الصَّلاة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الباطنة فإن خير العمل الولاية، فأراد من أمر بترك حي على خير العمل من الأذان أن لا يقع حث عليها ودعاء إليها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3" w:name="pg7286_66250"/>
    </w:p>
    <w:p>
      <w:pPr>
        <w:pStyle w:val="Heading3"/>
        <w:numPr>
          <w:ilvl w:val="2"/>
          <w:numId w:val="1"/>
        </w:numPr>
        <w:rPr/>
      </w:pPr>
      <w:bookmarkStart w:id="124" w:name="__RefHeading___Toc634106_1051229030"/>
      <w:bookmarkStart w:id="125" w:name="_Toc40"/>
      <w:bookmarkEnd w:id="123"/>
      <w:bookmarkEnd w:id="124"/>
      <w:r>
        <w:rPr>
          <w:rtl w:val="true"/>
        </w:rPr>
        <w:t>سبب عدم ذكر هذه الشهادة في الأحاديث المروية عن الأئمة عليهم السلام</w:t>
      </w:r>
      <w:bookmarkEnd w:id="1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عدم اندراج هذه الشهادة بعد زمن النبي صلي الله عليه وآله في عصرالمعصومين عليهم السلام في الأذان والإقامة إنما هو لأجل وجود محذور التقية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بعد إسقاط الثاني بدلها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تذكر في الأحاديث الحاكية لفصول الأذان والإقامة من ناحية العترة الطاهرة صلوات الله عليهم أجمعين، بل أمروا بإخفائها إلى زمان الإفشاء، ولكن المفوضة لم يهتموا بذلك فأفشوها وصار سببا لمثل مقالة الصدوق والشيخ والعلامة قدس سرهم بما عرفت؛ فلا ضير بعد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الشهادة الثالثة بمقتضی آثار معتبرة كانت من أجزاء الأذان والإقامة واقعا وحقيقة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باندارجها فيهما في هذه الأعصار المنتفي فيها محذور التقية في غالب البلاد حتی غير الشيعية بحمد الله ومته تعالى كما لا بأس في أن تذكر فيهما بقصد الجزئية ورجاء الورود، فضلا عن ذكرها برجاء المطلوبية </w:t>
      </w:r>
      <w:r>
        <w:rPr>
          <w:rStyle w:val="FootnoteAnchor"/>
          <w:rtl w:val="true"/>
        </w:rPr>
        <w:footnoteReference w:id="141"/>
      </w:r>
      <w:r>
        <w:rPr>
          <w:rFonts w:ascii="Amiri" w:hAnsi="Amiri" w:eastAsia="Amiri" w:cs="Amiri"/>
          <w:color w:val="111111"/>
          <w:sz w:val="28"/>
          <w:sz w:val="28"/>
          <w:szCs w:val="28"/>
          <w:rtl w:val="true"/>
          <w:lang w:bidi="ar-SA"/>
        </w:rPr>
        <w:t xml:space="preserve">، مضافا إلى أنها معدودة في هذه الأزمنة من شعائر الإيمان ورمز التشيع واستكمال للشهادة بالرسالة، فتكون من هذه الجهة راجحة شرعا،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المستمسك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بعنوان الجزئية، بل بعنوان 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سيما بعد مغالطة عمر بن </w:t>
      </w:r>
    </w:p>
    <w:p>
      <w:pPr>
        <w:pStyle w:val="BookText"/>
        <w:rPr/>
      </w:pPr>
      <w:r>
        <w:rPr>
          <w:rFonts w:ascii="Amiri" w:hAnsi="Amiri" w:eastAsia="Amiri" w:cs="Amiri"/>
          <w:color w:val="111111"/>
          <w:sz w:val="28"/>
          <w:sz w:val="28"/>
          <w:szCs w:val="28"/>
          <w:rtl w:val="true"/>
          <w:lang w:bidi="ar-SA"/>
        </w:rPr>
        <w:t xml:space="preserve">الخطاب في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تذكر في فصولهما كبد لها مرتين مستقلتين بعد الشهادة بالرسالة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ما عن بعض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تعالى لمراضيه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تجویز ذكرها فيهما بالمرة أو تجویزه بصورة العطف على الشهادة بالرسالة، والله هو الهادي إلى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يبعد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لابدية 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تفطن به بعض الأعزة من أن كلا من فصول الحيعلات الثلاث يشير إلى تلك الشهادات الثلاث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فیشیر إلى الشهادة بالوحدانية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الشهادة بالرسالة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وإلى الشهادة بالولاية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يفلح في الآخرة من لم يشهد بالرسالة المحمدية صلي الله عليه وآله ، ولم يأت بخير العمل من لم يقر بالولاية العلوية عليه 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الشهادة بولاية الأئمة المعصومين عليهم السلام منطوية في الشهادة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بالولاية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يحتاج إلى ذكرهم، وإن كان الأولى والأفضل ذکر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 وأبناءه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منه أن تذكر الشهادة بولاية المهدي وآبائه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الشهادة بهذه الكيفية تشمل الصديقة الطاهرة فاطمة الزهراء عليها السلام ؛ لأنها حينئذ مندرجة في الآباء بحكم التغليب، كما هو ظاهر</w:t>
      </w:r>
      <w:r>
        <w:rPr>
          <w:rFonts w:eastAsia="IRNazanin" w:cs="IRNazanin"/>
          <w:color w:val="111111"/>
          <w:sz w:val="28"/>
          <w:szCs w:val="28"/>
          <w:rtl w:val="true"/>
          <w:lang w:bidi="fa-IR"/>
        </w:rPr>
        <w:t xml:space="preserve">. </w:t>
      </w:r>
      <w:bookmarkStart w:id="126" w:name="pg7286_66253"/>
    </w:p>
    <w:p>
      <w:pPr>
        <w:pStyle w:val="Heading3"/>
        <w:numPr>
          <w:ilvl w:val="2"/>
          <w:numId w:val="1"/>
        </w:numPr>
        <w:rPr/>
      </w:pPr>
      <w:bookmarkStart w:id="127" w:name="__RefHeading___Toc634108_1051229030"/>
      <w:bookmarkStart w:id="128" w:name="_Toc41"/>
      <w:bookmarkEnd w:id="126"/>
      <w:bookmarkEnd w:id="127"/>
      <w:r>
        <w:rPr>
          <w:rtl w:val="true"/>
        </w:rPr>
        <w:t>تذییل</w:t>
      </w:r>
      <w:r>
        <w:rPr>
          <w:rtl w:val="true"/>
        </w:rPr>
        <w:t>:</w:t>
      </w:r>
      <w:r>
        <w:rPr>
          <w:rtl w:val="true"/>
        </w:rPr>
        <w:t>في بيان حكم جزئية هذه الشهادة في تشهد الصلاة</w:t>
      </w:r>
      <w:bookmarkEnd w:id="1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يدعي ويقال في تشهد الصلوات أيضأ نظير ما قدمنا في الأذان والإقامة من جواز إتيان الشهادة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الشهادة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برجاء المطلوبية بل برجاء الورود </w:t>
      </w:r>
      <w:r>
        <w:rPr>
          <w:rStyle w:val="FootnoteAnchor"/>
          <w:rtl w:val="true"/>
        </w:rPr>
        <w:footnoteReference w:id="145"/>
      </w:r>
      <w:r>
        <w:rPr>
          <w:rFonts w:ascii="Amiri" w:hAnsi="Amiri" w:eastAsia="Amiri" w:cs="Amiri"/>
          <w:color w:val="111111"/>
          <w:sz w:val="28"/>
          <w:sz w:val="28"/>
          <w:szCs w:val="28"/>
          <w:rtl w:val="true"/>
          <w:lang w:bidi="ar-SA"/>
        </w:rPr>
        <w:t>بل بقصد نفس الورود وإرادة الجزئية المستحبة، مستدلا بما قدمنا من رواية الاحتجاج عن الإمام الصادق علیه السلام الدالة على لزوم ذكر هذه الشهادة بعد الشهادتين بصورة العموم الشامل لمقامنا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تشهد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كانت شاملة لمقام الأذان والإقامة، وكذا استدل بمرسلة أبي بصیر عنه علیه السلام قال أيضا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وَالحَمدُللهِ وَخَيرُ الأسمَاءِ كُلُّهُ للهِ، أشهَدُ أنَّ لا إِلهَ إِلاَّ اللهُ وَحدَهُ لاَ شَريكَ لَهُ، وَأشهَدُ أنَّ مُحَمَّداً عَبدُهُ وَرَسُولُهُ، أرسَلَهُ بِالحَقَّ بَشِيراً وَ نَذِيراً بَينَ يَدَيِ السَّاعَةِ، وَأشهَدُ أنَّ رَبِّي نِعمَ الرَّبُّ وَأنَّ مُحَمَّداً نِعمَ الرَّسُولُ وَأنَّ عَلِيّاً نِعمَ الوَصِيُّ </w:t>
      </w:r>
      <w:r>
        <w:rPr>
          <w:rStyle w:val="FootnoteAnchor"/>
          <w:rtl w:val="true"/>
        </w:rPr>
        <w:footnoteReference w:id="146"/>
      </w:r>
      <w:r>
        <w:rPr>
          <w:rFonts w:ascii="Amiri" w:hAnsi="Amiri" w:eastAsia="Amiri" w:cs="Amiri"/>
          <w:color w:val="111111"/>
          <w:sz w:val="28"/>
          <w:sz w:val="28"/>
          <w:szCs w:val="28"/>
          <w:rtl w:val="true"/>
          <w:lang w:bidi="ar-SA"/>
        </w:rPr>
        <w:t>وَ نِعمَ الإِمامُ، اللَّهُمَّ صَلِّ عَلَى مُحَمَّدٍ وَ آلِ مُحَمَّدٍ، وَتَقَبَّل شَفاعَتَهُ فِي أمَّتِهِ وَارفَع دَرَجَتَهُ،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المروية هذه المرسلة عن كتاب القطرة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المستنبط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w:t>
      </w:r>
    </w:p>
    <w:p>
      <w:pPr>
        <w:pStyle w:val="BookText"/>
        <w:rPr/>
      </w:pP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وضوحا على 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يمكن المساعدة على كلا الاستدلالين؛ لضعف سند الروايتين المستدلتين بهما، بل الثانية منهما شاذة لم تذكر في الجوامع الروائية بتاتا، لا في الكتب الأربعة المتقدمة </w:t>
      </w:r>
      <w:r>
        <w:rPr>
          <w:rStyle w:val="FootnoteAnchor"/>
          <w:rtl w:val="true"/>
        </w:rPr>
        <w:footnoteReference w:id="147"/>
      </w:r>
      <w:r>
        <w:rPr>
          <w:rFonts w:ascii="Amiri" w:hAnsi="Amiri" w:eastAsia="Amiri" w:cs="Amiri"/>
          <w:color w:val="111111"/>
          <w:sz w:val="28"/>
          <w:sz w:val="28"/>
          <w:szCs w:val="28"/>
          <w:rtl w:val="true"/>
          <w:lang w:bidi="ar-SA"/>
        </w:rPr>
        <w:t xml:space="preserve">ولا في الكتب الأربعة المتأخرة </w:t>
      </w:r>
      <w:r>
        <w:rPr>
          <w:rStyle w:val="FootnoteAnchor"/>
          <w:rtl w:val="true"/>
        </w:rPr>
        <w:footnoteReference w:id="148"/>
      </w:r>
      <w:r>
        <w:rPr>
          <w:rFonts w:ascii="IRNazanin" w:hAnsi="IRNazanin" w:eastAsia="IRNazanin"/>
          <w:color w:val="111111"/>
          <w:sz w:val="28"/>
          <w:sz w:val="28"/>
          <w:szCs w:val="28"/>
          <w:rtl w:val="true"/>
          <w:lang w:bidi="fa-IR"/>
        </w:rPr>
        <w:t>ولا في جامع أحاديث الشيعة ولافي نظائرها فلا يمكن الاعتماد عليهما في الحكم باستحباب جزئية الشهادة الثالثة في تشهد الصلاة؛ بداهة عدم صحة الاستدلال بضعاف النصوص على استحباب الجزئية كما أومأنا إليه، ولاسيما مع لحاظ قيام الشهرة العظيمة قديما وحديثا على خلافها، وإن استند وأفتى عدد معدود من متأخري الأصحاب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کالمجلسي الأول في كتابه المشار إليه على ماقيل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جزئيتها في تشهد الصلاة بقصد الورود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الاستناد إليهما في الحكم بالإتيان بها فيه برجاء الورود أو المطلوبه فكذلك لا يصح وإن صححنا الاستناد إلى ضعاف النصوص في المقام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الأذان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مزيد عليه من البيان؛ وذلك للفرق الواضح الفارق بين الأذان أو الإقامة وبين تشهد الصلوات؛ فإنه لم يقم نص ودليل يدل على بطلان الأذان والإقامة بفصل کلام عمدي بين فصول كل منهما، إلا إذا كان الكلام مطولا </w:t>
      </w:r>
    </w:p>
    <w:p>
      <w:pPr>
        <w:pStyle w:val="BookText"/>
        <w:rPr/>
      </w:pPr>
      <w:r>
        <w:rPr>
          <w:rFonts w:ascii="IRNazanin" w:hAnsi="IRNazanin" w:eastAsia="IRNazanin"/>
          <w:color w:val="111111"/>
          <w:sz w:val="28"/>
          <w:sz w:val="28"/>
          <w:szCs w:val="28"/>
          <w:rtl w:val="true"/>
          <w:lang w:bidi="fa-IR"/>
        </w:rPr>
        <w:t>بحيث يخل عرفا بالموالاة المعتبرة في فصولهما، وقد عرفت أن 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کذكر الصلوات على محمد و 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 بهما عرفا، ولكن وردت نصوص معتبرة صريحة في بطلان التشهد والصلاة بتعمد كلام فيه وفيها لم یکن بقرآن أو دعاء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ولكن الأولى عدم ذكر ذلك فيه حتى بقصد الرجاءين؛ فإنه يوجب أن يتكثر مثل ذلك ويخرج تشهد الصلاة عما هو عليه من المأثورة ويصبح غير مأثور، مضافا إلى أن العوام والخواص كالعوام ربما لا يميزون بين قصد الرجاءين وبين قصد الورود الخاص، فيتغلطون ويختلطون، فيحصل الهرج والمرج في أصل تشهد الصلوات نعوذ بالله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شأنه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ولاريب في عدم صدق كل من هذه العناوين الثلاثة على الشهادة الثالثة فهي ککلام الآدمي الذي تبطل الصلاة بذكره فيها وفي تشهدها عمدا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 في بعض النصوص من أن ذکر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Style w:val="FootnoteAnchor"/>
          <w:rtl w:val="true"/>
        </w:rPr>
        <w:footnoteReference w:id="150"/>
      </w:r>
      <w:r>
        <w:rPr>
          <w:rFonts w:ascii="Amiri" w:hAnsi="Amiri" w:eastAsia="Amiri" w:cs="Amiri"/>
          <w:color w:val="111111"/>
          <w:sz w:val="28"/>
          <w:sz w:val="28"/>
          <w:szCs w:val="28"/>
          <w:rtl w:val="true"/>
          <w:lang w:bidi="ar-SA"/>
        </w:rPr>
        <w:t xml:space="preserve">، أو أن ذكرنا ذكر الله تعالى </w:t>
      </w:r>
      <w:r>
        <w:rPr>
          <w:rStyle w:val="FootnoteAnchor"/>
          <w:rtl w:val="true"/>
        </w:rPr>
        <w:footnoteReference w:id="151"/>
      </w:r>
      <w:r>
        <w:rPr>
          <w:rFonts w:ascii="IRNazanin" w:hAnsi="IRNazanin" w:eastAsia="IRNazanin"/>
          <w:color w:val="111111"/>
          <w:sz w:val="28"/>
          <w:sz w:val="28"/>
          <w:szCs w:val="28"/>
          <w:rtl w:val="true"/>
          <w:lang w:bidi="fa-IR"/>
        </w:rPr>
        <w:t xml:space="preserve">ونحوهما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لا يخفی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w:t>
      </w:r>
    </w:p>
    <w:p>
      <w:pPr>
        <w:pStyle w:val="BookText"/>
        <w:rPr/>
      </w:pPr>
      <w:r>
        <w:rPr>
          <w:rFonts w:ascii="IRNazanin" w:hAnsi="IRNazanin" w:eastAsia="IRNazanin"/>
          <w:color w:val="111111"/>
          <w:sz w:val="28"/>
          <w:sz w:val="28"/>
          <w:szCs w:val="28"/>
          <w:rtl w:val="true"/>
          <w:lang w:bidi="fa-IR"/>
        </w:rPr>
        <w:t>نحو الحقيقة، بل من باب التوسع والمجاز كناية عن أهمية ذكر اسمه صلوات الله تعالی علیه و عليهم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الشهادة الثانية، أعني بها الشهادة بالرسالة، وإن لم يصدق عليها أيضا تلك العناوين الثلاثة، لكن جزئيتها في تشهد الصلوات منصوصة بنصوص خاصة معتبرة </w:t>
      </w:r>
      <w:r>
        <w:rPr>
          <w:rStyle w:val="FootnoteAnchor"/>
          <w:rtl w:val="true"/>
        </w:rPr>
        <w:footnoteReference w:id="152"/>
      </w:r>
      <w:r>
        <w:rPr>
          <w:rFonts w:ascii="IRNazanin" w:hAnsi="IRNazanin" w:eastAsia="IRNazanin"/>
          <w:color w:val="111111"/>
          <w:sz w:val="28"/>
          <w:sz w:val="28"/>
          <w:szCs w:val="28"/>
          <w:rtl w:val="true"/>
          <w:lang w:bidi="fa-IR"/>
        </w:rPr>
        <w:t>فلا تقاس عليها الشهادة الثالثة، فلا يجوز الإتيان بها في تشهد الصلوات حتى بالعطف على الشهادة بالرسالة بعنوان تکمیلها بها، والله تعالى هو العالم بحقائق الأحكام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286_66258"/>
      <w:bookmarkStart w:id="130" w:name="pg7286_66258"/>
      <w:bookmarkEnd w:id="130"/>
    </w:p>
    <w:p>
      <w:pPr>
        <w:pStyle w:val="Heading2"/>
        <w:numPr>
          <w:ilvl w:val="1"/>
          <w:numId w:val="1"/>
        </w:numPr>
        <w:rPr/>
      </w:pPr>
      <w:bookmarkStart w:id="131" w:name="pg7286_66258"/>
      <w:bookmarkStart w:id="132" w:name="__RefHeading___Toc634110_1051229030"/>
      <w:bookmarkStart w:id="133" w:name="_Toc42"/>
      <w:bookmarkEnd w:id="131"/>
      <w:bookmarkEnd w:id="132"/>
      <w:r>
        <w:rPr>
          <w:rtl w:val="true"/>
        </w:rPr>
        <w:t>الرسالة الرابعة</w:t>
      </w:r>
      <w:r>
        <w:rPr>
          <w:rtl w:val="true"/>
        </w:rPr>
        <w:t xml:space="preserve">: </w:t>
      </w:r>
      <w:r>
        <w:rPr>
          <w:rtl w:val="true"/>
        </w:rPr>
        <w:t>في ما هو المراد من تحليل أهل البيت علیهم السلام وإباحتهم الخمس لشيعتهم</w:t>
      </w:r>
      <w:bookmarkEnd w:id="1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634112_1051229030"/>
      <w:bookmarkStart w:id="135" w:name="_Toc43"/>
      <w:bookmarkEnd w:id="134"/>
      <w:r>
        <w:rPr>
          <w:rtl w:val="true"/>
        </w:rPr>
        <w:t>اشارة</w:t>
      </w:r>
      <w:bookmarkEnd w:id="1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286_66260"/>
      <w:bookmarkStart w:id="137" w:name="pg7286_66260"/>
      <w:bookmarkEnd w:id="137"/>
    </w:p>
    <w:p>
      <w:pPr>
        <w:pStyle w:val="BookText"/>
        <w:rPr/>
      </w:pPr>
      <w:bookmarkStart w:id="138" w:name="pg7286_66260"/>
      <w:bookmarkEnd w:id="138"/>
      <w:r>
        <w:rPr>
          <w:rFonts w:ascii="Amiri" w:hAnsi="Amiri" w:eastAsia="Amiri" w:cs="Amiri"/>
          <w:color w:val="111111"/>
          <w:sz w:val="28"/>
          <w:sz w:val="28"/>
          <w:szCs w:val="28"/>
          <w:rtl w:val="true"/>
          <w:lang w:bidi="ar-SA"/>
        </w:rPr>
        <w:t>الرسالة الرابعة</w:t>
      </w:r>
    </w:p>
    <w:p>
      <w:pPr>
        <w:pStyle w:val="BookText"/>
        <w:rPr/>
      </w:pPr>
      <w:r>
        <w:rPr>
          <w:rFonts w:ascii="Amiri" w:hAnsi="Amiri" w:eastAsia="Amiri" w:cs="Amiri"/>
          <w:color w:val="111111"/>
          <w:sz w:val="28"/>
          <w:sz w:val="28"/>
          <w:szCs w:val="28"/>
          <w:rtl w:val="true"/>
          <w:lang w:bidi="ar-SA"/>
        </w:rPr>
        <w:t>في ما هو المراد من تحليل اهل البيت عليهم السلام وإباحتهم الخمس لشيعتهم</w:t>
      </w:r>
    </w:p>
    <w:p>
      <w:pPr>
        <w:pStyle w:val="Heading3"/>
        <w:numPr>
          <w:ilvl w:val="2"/>
          <w:numId w:val="1"/>
        </w:numPr>
        <w:rPr/>
      </w:pPr>
      <w:bookmarkStart w:id="139" w:name="__RefHeading___Toc634114_1051229030"/>
      <w:bookmarkStart w:id="140" w:name="_Toc44"/>
      <w:bookmarkEnd w:id="139"/>
      <w:r>
        <w:rPr>
          <w:rtl w:val="true"/>
        </w:rPr>
        <w:t>شكوى صاحب الجواهر في المقام</w:t>
      </w:r>
      <w:bookmarkEnd w:id="140"/>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إجمال عبارات الأصحاب قدس سرهم في هذا المقام وسماجتها وعدم وضوح المراد منها أو عدم صحته، بل يخشى على من أمعن النظر فيها مريدا إرجاعها إلى مقصد صحيح، من بعض الأمراض العظيمة قبل أن يأتي بشيء، وظني انها كذلك مجملة عند كثير من أصحابنا قدس سرهم ، وإن تبعوا في هذه الألفاظ بعض من تقدمهم ممن لا يعلمون مراده، وليتهم تركونا والأخبار، فإن المحصل من المعتبر منها أوضح من عباراتهم قدس سرهم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قدس سره فيما أفاد، ولا سيما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وَلَيتَهُم تَرَكُونا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المعتبر من الأخبار هو الدليل المتبع في المقام، إن لم تكن معرضا عنها بين الأصحاب قدس سرهم، كما هو كذلك وسيتضح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مراجعة </w:t>
      </w:r>
      <w:bookmarkStart w:id="141" w:name="pg7286_66261"/>
    </w:p>
    <w:p>
      <w:pPr>
        <w:pStyle w:val="BookText"/>
        <w:rPr/>
      </w:pPr>
      <w:bookmarkEnd w:id="141"/>
      <w:r>
        <w:rPr>
          <w:rFonts w:ascii="Amiri" w:hAnsi="Amiri" w:eastAsia="Amiri" w:cs="Amiri"/>
          <w:color w:val="111111"/>
          <w:sz w:val="28"/>
          <w:sz w:val="28"/>
          <w:szCs w:val="28"/>
          <w:rtl w:val="true"/>
          <w:lang w:bidi="ar-SA"/>
        </w:rPr>
        <w:t xml:space="preserve">النصوص المعتبرة في المقام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جمعه بعضهم </w:t>
      </w:r>
      <w:r>
        <w:rPr>
          <w:rStyle w:val="FootnoteAnchor"/>
          <w:rtl w:val="true"/>
        </w:rPr>
        <w:footnoteReference w:id="154"/>
      </w:r>
      <w:r>
        <w:rPr>
          <w:rFonts w:ascii="IRNazanin" w:hAnsi="IRNazanin" w:eastAsia="IRNazanin"/>
          <w:color w:val="111111"/>
          <w:sz w:val="28"/>
          <w:sz w:val="28"/>
          <w:szCs w:val="28"/>
          <w:rtl w:val="true"/>
          <w:lang w:bidi="fa-IR"/>
        </w:rPr>
        <w:t xml:space="preserve">قدس الله تعالی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طوائف ثلاث</w:t>
      </w:r>
      <w:r>
        <w:rPr>
          <w:rFonts w:eastAsia="IRNazanin" w:cs="IRNazanin"/>
          <w:color w:val="111111"/>
          <w:sz w:val="28"/>
          <w:szCs w:val="28"/>
          <w:rtl w:val="true"/>
          <w:lang w:bidi="fa-IR"/>
        </w:rPr>
        <w:t>:</w:t>
      </w:r>
    </w:p>
    <w:p>
      <w:pPr>
        <w:pStyle w:val="Heading3"/>
        <w:numPr>
          <w:ilvl w:val="2"/>
          <w:numId w:val="1"/>
        </w:numPr>
        <w:rPr/>
      </w:pPr>
      <w:bookmarkStart w:id="142" w:name="__RefHeading___Toc634116_1051229030"/>
      <w:bookmarkStart w:id="143" w:name="_Toc45"/>
      <w:bookmarkEnd w:id="142"/>
      <w:r>
        <w:rPr>
          <w:rtl w:val="true"/>
        </w:rPr>
        <w:t>الطائفة الأولى من النصوص</w:t>
      </w:r>
      <w:bookmarkEnd w:id="143"/>
    </w:p>
    <w:p>
      <w:pPr>
        <w:pStyle w:val="BookText"/>
        <w:rPr/>
      </w:pPr>
      <w:r>
        <w:rPr>
          <w:rFonts w:ascii="Amiri" w:hAnsi="Amiri" w:eastAsia="Amiri" w:cs="Amiri"/>
          <w:color w:val="111111"/>
          <w:sz w:val="28"/>
          <w:sz w:val="28"/>
          <w:szCs w:val="28"/>
          <w:rtl w:val="true"/>
          <w:lang w:bidi="ar-SA"/>
        </w:rPr>
        <w:t xml:space="preserve">الأولى ما يظهر منه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تعالى عليهم – أباحوا الخمس للشيعة إباحة مطلقة من غير قيد ولا شرط وأن الشيعة في حل من ذلك، لا يجب عليهم دفع الخمس ولا أداؤه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w:t>
      </w:r>
      <w:r>
        <w:rPr>
          <w:rStyle w:val="FootnoteAnchor"/>
          <w:rtl w:val="true"/>
        </w:rPr>
        <w:footnoteReference w:id="155"/>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الناس في بطونهم وفروجهم؛ لأنهم لم يؤدوا إلينا</w:t>
      </w:r>
    </w:p>
    <w:p>
      <w:pPr>
        <w:pStyle w:val="BookText"/>
        <w:rPr/>
      </w:pPr>
      <w:r>
        <w:rPr>
          <w:rFonts w:ascii="IRNazanin" w:hAnsi="IRNazanin" w:eastAsia="IRNazanin"/>
          <w:color w:val="111111"/>
          <w:sz w:val="28"/>
          <w:sz w:val="28"/>
          <w:szCs w:val="28"/>
          <w:rtl w:val="true"/>
          <w:lang w:bidi="fa-IR"/>
        </w:rPr>
        <w:t xml:space="preserve">حقنا </w:t>
      </w:r>
      <w:r>
        <w:rPr>
          <w:rStyle w:val="FootnoteAnchor"/>
          <w:rtl w:val="true"/>
        </w:rPr>
        <w:footnoteReference w:id="156"/>
      </w:r>
      <w:r>
        <w:rPr>
          <w:rFonts w:ascii="IRNazanin" w:hAnsi="IRNazanin" w:eastAsia="IRNazanin"/>
          <w:color w:val="111111"/>
          <w:sz w:val="28"/>
          <w:sz w:val="28"/>
          <w:szCs w:val="28"/>
          <w:rtl w:val="true"/>
          <w:lang w:bidi="fa-IR"/>
        </w:rPr>
        <w:t>، ألا وإن شیعتنا وآباءهم وأبناءهم</w:t>
      </w:r>
      <w:r>
        <w:rPr>
          <w:rStyle w:val="FootnoteAnchor"/>
          <w:rtl w:val="true"/>
        </w:rPr>
        <w:footnoteReference w:id="157"/>
      </w:r>
      <w:r>
        <w:rPr>
          <w:rFonts w:ascii="Amiri" w:hAnsi="Amiri" w:eastAsia="Amiri" w:cs="Amiri"/>
          <w:color w:val="111111"/>
          <w:sz w:val="28"/>
          <w:sz w:val="28"/>
          <w:szCs w:val="28"/>
          <w:rtl w:val="true"/>
          <w:lang w:bidi="ar-SA"/>
        </w:rPr>
        <w:t>من ذلك في حل</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وأما ما في المتن فقد جمع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نقل الصدوق رحمه الله في العلل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وأبناءهم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الشيخ رحمه الله في التهذيب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 ذلك وآباءهم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 عليه السلام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عليه السلام حللهم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ليطيب مولدهم</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ليطيب مولدهم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التحليل وليس بعلته حتى يدور حکم</w:t>
      </w:r>
    </w:p>
    <w:p>
      <w:pPr>
        <w:pStyle w:val="BookText"/>
        <w:rPr/>
      </w:pPr>
      <w:r>
        <w:rPr>
          <w:rFonts w:ascii="IRNazanin" w:hAnsi="IRNazanin" w:eastAsia="IRNazanin"/>
          <w:color w:val="111111"/>
          <w:sz w:val="28"/>
          <w:sz w:val="28"/>
          <w:szCs w:val="28"/>
          <w:rtl w:val="true"/>
          <w:lang w:bidi="fa-IR"/>
        </w:rPr>
        <w:t>التحليل مداره فيختص بأمر النكاح،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هاتان الصحيحتان هما العمدة من هذه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غیرهما كروايتي الحارث بن المغيرة النصري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وتجارات ونحو ذلك، وقد علمت أن لك فيها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 لتطيب ولادتهم، وكل من والى آبائي فهو في حل مما في أيديهم من حقنا، فليبلغ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على أبي جعفر علیه السلام فجلست عنده فإذا بخية قد استأذن عليه فأذن له فدخل فجثا على ركبتيه،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أسألك عن مسألة، والله ما أريد بها إلا فكاك رقبتي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عليه السلام رق له فاستوى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إنا قد أحللنا ذلك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44" w:name="pg7286_66263"/>
    </w:p>
    <w:p>
      <w:pPr>
        <w:pStyle w:val="BookText"/>
        <w:rPr/>
      </w:pPr>
      <w:bookmarkEnd w:id="144"/>
      <w:r>
        <w:rPr>
          <w:rFonts w:ascii="IRNazanin" w:hAnsi="IRNazanin" w:eastAsia="IRNazanin"/>
          <w:color w:val="111111"/>
          <w:sz w:val="28"/>
          <w:sz w:val="28"/>
          <w:szCs w:val="28"/>
          <w:rtl w:val="true"/>
          <w:lang w:bidi="fa-IR"/>
        </w:rPr>
        <w:t xml:space="preserve">والروايتان وإن لم تكونا قاصرتي الدلالة في أمر التحليل والإباحة، لكنهما ضعیفتان سندا، ولم يظهر وجه ما عن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كصاحب الحدائق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التعبير عن الثانية منهما بالموثقة </w:t>
      </w:r>
      <w:r>
        <w:rPr>
          <w:rStyle w:val="FootnoteAnchor"/>
          <w:rtl w:val="true"/>
        </w:rPr>
        <w:footnoteReference w:id="162"/>
      </w:r>
      <w:r>
        <w:rPr>
          <w:rFonts w:ascii="IRNazanin" w:hAnsi="IRNazanin" w:eastAsia="IRNazanin"/>
          <w:color w:val="111111"/>
          <w:sz w:val="28"/>
          <w:sz w:val="28"/>
          <w:szCs w:val="28"/>
          <w:rtl w:val="true"/>
          <w:lang w:bidi="fa-IR"/>
        </w:rPr>
        <w:t xml:space="preserve">، مع 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 سلسلة سندها، على ما أفاد بعضهم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الكثيرة المستفيضة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34118_1051229030"/>
      <w:bookmarkStart w:id="146" w:name="_Toc46"/>
      <w:bookmarkEnd w:id="145"/>
      <w:r>
        <w:rPr>
          <w:rtl w:val="true"/>
        </w:rPr>
        <w:t>بیان ما في أخبار الطائفة الأولى</w:t>
      </w:r>
      <w:bookmarkEnd w:id="146"/>
    </w:p>
    <w:p>
      <w:pPr>
        <w:pStyle w:val="BookText"/>
        <w:rPr/>
      </w:pPr>
      <w:r>
        <w:rPr>
          <w:rFonts w:ascii="Amiri" w:hAnsi="Amiri" w:eastAsia="Amiri" w:cs="Amiri"/>
          <w:color w:val="111111"/>
          <w:sz w:val="28"/>
          <w:sz w:val="28"/>
          <w:szCs w:val="28"/>
          <w:rtl w:val="true"/>
          <w:lang w:bidi="ar-SA"/>
        </w:rPr>
        <w:t xml:space="preserve">وكيف كان، فإن أخبار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أفاد غير واحد من الأعلام قدس سره </w:t>
      </w:r>
      <w:r>
        <w:rPr>
          <w:rStyle w:val="FootnoteAnchor"/>
          <w:rtl w:val="true"/>
        </w:rPr>
        <w:footnoteReference w:id="165"/>
      </w:r>
      <w:r>
        <w:rPr>
          <w:rFonts w:ascii="Amiri" w:hAnsi="Amiri" w:eastAsia="Amiri" w:cs="Amiri"/>
          <w:color w:val="111111"/>
          <w:sz w:val="28"/>
          <w:sz w:val="28"/>
          <w:szCs w:val="28"/>
          <w:rtl w:val="true"/>
          <w:lang w:bidi="ar-SA"/>
        </w:rPr>
        <w:t>۔ غير قابلة للقبول في نفسها وعلى إطلاقها؛ لمنافاتها لأصل تشريع الخمس وهو سد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حاجات السادة المحتاجين من آل الرسول صلي الله عليه وآله ، فإن مقتضى هذه الأخبار عدم وجوب دفع الخمس على الشيعة، والمفروض في الشريعة حرمة الزكاة عليهم وامتناع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الكافرين المنکرین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أداء هذا الحق إليهم، مع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المشهور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مكلفون بفروع الشريعة التي منها الخمس </w:t>
      </w:r>
    </w:p>
    <w:p>
      <w:pPr>
        <w:pStyle w:val="BookText"/>
        <w:rPr/>
      </w:pPr>
      <w:r>
        <w:rPr>
          <w:rFonts w:ascii="Amiri" w:hAnsi="Amiri" w:eastAsia="Amiri" w:cs="Amiri"/>
          <w:color w:val="111111"/>
          <w:sz w:val="28"/>
          <w:sz w:val="28"/>
          <w:szCs w:val="28"/>
          <w:rtl w:val="true"/>
          <w:lang w:bidi="ar-SA"/>
        </w:rPr>
        <w:t xml:space="preserve">ومعاقبون عليها كأصول الشريعة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والأولى الاستدلال عليه بما حاصله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الضرورة الدينية قاضية بأن رسول الله صلي الله عليه وآله إنما بعث إلى كافة الأنام، لا لمجرد إبلاغ أصول الإسلام فحسب، بل لتبليغ تمام حقائقه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أصوله وفروعه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فرق بين أن تكون فروعه من المستقلات العقلية أم غيرها، ومن غير فرق أيضا بين أن تكون مختصة بشريعة الإسلام أم مشتركة بينها وبين سائر الشرائع، وإن فرق بعضهم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 الخوئي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ذلك بما لا يمكن المساعدة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موسوعته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موكول إلى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فالأنام كلهم أجمعون مكلفون بتمام فروع شريعة الإسلام التي منها الخمس، كما أنهم مكلفون بتمام الأصول بلا ریب وإشكال، فيجبان عليهم كلاهما بعد حصول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العقل والبلوغ والاختيار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غاية الأمر أنه يجب عليهم إتيان الفروع بعدتحصيلهم الأصول نظير ما تجب صلاة الفريضة على المكلف على نحو الإطلاق بعد تحصيله الطهارة، فتحصيل الأصول لإتيان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کتحصيل الطهارة لإتيان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الشرائط الوجودية، لا من الشرائط الوجوبية کالاستطاعة بالنسبة إلى الحج؛ فإنه لا يجب الحج إلا بعد حصول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فالكفار يوم القيامة كما يعاقبون على ترك الأصول، يعاقبون على ترك الفروع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دخلوا في حقيقة الإسلام قبل الموت وقبل ظهور أماراته،فمقتضی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هو المشهور الثابت المحقق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يعاقبوا ولا يؤاخذوا بما تركوه في زمن كفرهم وخلافهم وعدم قبولهم لحقيقة شريعة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صاحبها وآله أفضل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للعثور 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المستدرك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أحكام شهر رمضان،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المصدر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الحديث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فمن أين يعيش هؤلاء المحتاجون من</w:t>
      </w:r>
    </w:p>
    <w:p>
      <w:pPr>
        <w:pStyle w:val="BookText"/>
        <w:rPr/>
      </w:pPr>
      <w:r>
        <w:rPr>
          <w:rFonts w:ascii="Amiri" w:hAnsi="Amiri" w:eastAsia="Amiri" w:cs="Amiri"/>
          <w:color w:val="111111"/>
          <w:sz w:val="28"/>
          <w:sz w:val="28"/>
          <w:szCs w:val="28"/>
          <w:rtl w:val="true"/>
          <w:lang w:bidi="ar-SA"/>
        </w:rPr>
        <w:t xml:space="preserve">السادة؟ ولماذا أوجب على المكلفين في النصوص الكثيرة دفع الخمس في الموارد المتفرقة والأجناس المتعددة المضبوطة في محلها؛ كأرباح المكاسب والركاز وغيرها؟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مقتضى تحليل الخمس على من وجب عليه من الشيعة هو أن لا يكون معنى للأمر بالدفع في تلك النصوص الكثيرة المتكثرة إلا بالنسبة إلى غير الشيعة ممن لا ينبعثون بأوامر تلك النصوص، وهل يرى أن تلك النصوص بملاحظة نصوص التحليل إنما صدرت لمجرد بيان الحكم الاقتضائي غير البالغ المرحلة الفعلية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هذه الطائفة من النصوص المحللة للخمس معارضة بما سنتلو عليك من الطائفتين الأخريين، إن شاء الله تبارك و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تضمن بعض نصوص هذه الطائفة تحليل ثلاثة أسهم من ستة الأسهم التي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وَالمَسَاکِينِ وَابنِ السَّبِيلِ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أعني بها نصف الخمس، وهو حصة السادة فقط، لمطلق الشيعة، مثل رواية أبي حمزة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لنا أهل البيت سهاما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w:t>
      </w:r>
      <w:bookmarkStart w:id="147" w:name="pg7286_66266"/>
    </w:p>
    <w:p>
      <w:pPr>
        <w:pStyle w:val="BookText"/>
        <w:rPr/>
      </w:pPr>
      <w:bookmarkEnd w:id="147"/>
      <w:r>
        <w:rPr>
          <w:rFonts w:ascii="IRNazanin" w:hAnsi="IRNazanin" w:eastAsia="IRNazanin"/>
          <w:color w:val="111111"/>
          <w:sz w:val="28"/>
          <w:sz w:val="28"/>
          <w:szCs w:val="28"/>
          <w:rtl w:val="true"/>
          <w:lang w:bidi="fa-IR"/>
        </w:rPr>
        <w:t>حرمناه على جميع الناس ما خلا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لكنها لا تدل على انحصار التحليل في تلك الثلاثة دون غيرها؛ إذ صح واشتهر أن إثبات شيء لا ينفي ما عداه؛ فإثبات تحليل هذه الثلاثة لا ينفي تحليل ما عداها، فلا ينافي تحليل الأسهم الأخرى في غيرها من النصوص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انحصر التحليل في هذه الثلاثة لم يرد على نصوص هذه الطائفة بعض ما ورد على صورة عدم الانحصار، ككونها لمجرد بيان الحكم الاقتضائي، فتدبر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34120_1051229030"/>
      <w:bookmarkStart w:id="149" w:name="_Toc47"/>
      <w:bookmarkEnd w:id="148"/>
      <w:r>
        <w:rPr>
          <w:rtl w:val="true"/>
        </w:rPr>
        <w:t>الطائفة الثانية من النصوص</w:t>
      </w:r>
      <w:bookmarkEnd w:id="149"/>
    </w:p>
    <w:p>
      <w:pPr>
        <w:pStyle w:val="BookText"/>
        <w:rPr/>
      </w:pPr>
      <w:r>
        <w:rPr>
          <w:rFonts w:ascii="Amiri" w:hAnsi="Amiri" w:eastAsia="Amiri" w:cs="Amiri"/>
          <w:color w:val="111111"/>
          <w:sz w:val="28"/>
          <w:sz w:val="28"/>
          <w:szCs w:val="28"/>
          <w:rtl w:val="true"/>
          <w:lang w:bidi="ar-SA"/>
        </w:rPr>
        <w:t xml:space="preserve">الثانية ما يدل على عدم التحليل والإباحة مطلقا ، من غير تقييد واشتراط وأن من لم يدفع خمسهم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معذور بتاتا، بل مسؤول حثيثا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من الخمس لا يعذره الله، اشترى ما لا يحل 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عدم التحليل في هذه المعتبرة مطلق يعم الشيعة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إبراهيم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الثاني عليه السلام </w:t>
      </w:r>
      <w:bookmarkStart w:id="150" w:name="pg7286_66267"/>
    </w:p>
    <w:p>
      <w:pPr>
        <w:pStyle w:val="BookText"/>
        <w:rPr/>
      </w:pPr>
      <w:bookmarkEnd w:id="150"/>
      <w:r>
        <w:rPr>
          <w:rFonts w:ascii="Amiri" w:hAnsi="Amiri" w:eastAsia="Amiri" w:cs="Amiri"/>
          <w:color w:val="111111"/>
          <w:sz w:val="28"/>
          <w:sz w:val="28"/>
          <w:szCs w:val="28"/>
          <w:rtl w:val="true"/>
          <w:lang w:bidi="ar-SA"/>
        </w:rPr>
        <w:t>إذ دخل عليه صالح بن محمد بن سهل، وكان يتولى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درهم في حل؛ فإني قد أنفقتها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 يثب على أموال </w:t>
      </w:r>
      <w:r>
        <w:rPr>
          <w:rStyle w:val="FootnoteAnchor"/>
          <w:rtl w:val="true"/>
        </w:rPr>
        <w:footnoteReference w:id="171"/>
      </w:r>
      <w:r>
        <w:rPr>
          <w:rFonts w:ascii="Amiri" w:hAnsi="Amiri" w:eastAsia="Amiri" w:cs="Amiri"/>
          <w:color w:val="111111"/>
          <w:sz w:val="28"/>
          <w:sz w:val="28"/>
          <w:szCs w:val="28"/>
          <w:rtl w:val="true"/>
          <w:lang w:bidi="ar-SA"/>
        </w:rPr>
        <w:t>آل محمد وأيتامهم ومساكينهم وأبناء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ليسألنهم الله يوم القيامة عن ذلك سؤالا حثيثا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ونفي التحليل في هذه الرواية وإن كان مورده الشيعة ظاهرا ، بملاحظة أن صالح بن محمد بن سهل كان يتولى الوقف له عليه السلام ، لكنه يعم غيرهم بالأولوية وبقرينة الرواية المعتبرة المتقدمة، ولأن المورد كما لا يكون مخصصا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لأنه يذكر غالبا من باب المثال كما هو ظاهر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34122_1051229030"/>
      <w:bookmarkStart w:id="152" w:name="_Toc48"/>
      <w:bookmarkEnd w:id="151"/>
      <w:r>
        <w:rPr>
          <w:rtl w:val="true"/>
        </w:rPr>
        <w:t>طريق الجمع بين نصوص الطائفتين</w:t>
      </w:r>
      <w:r>
        <w:rPr>
          <w:rtl w:val="true"/>
        </w:rPr>
        <w:t xml:space="preserve">: </w:t>
      </w:r>
      <w:r>
        <w:rPr>
          <w:rtl w:val="true"/>
        </w:rPr>
        <w:t>الأولى والثانية وما فيه</w:t>
      </w:r>
      <w:bookmarkEnd w:id="152"/>
    </w:p>
    <w:p>
      <w:pPr>
        <w:pStyle w:val="BookText"/>
        <w:rPr/>
      </w:pPr>
      <w:r>
        <w:rPr>
          <w:rFonts w:ascii="Amiri" w:hAnsi="Amiri" w:eastAsia="Amiri" w:cs="Amiri"/>
          <w:color w:val="111111"/>
          <w:sz w:val="28"/>
          <w:sz w:val="28"/>
          <w:szCs w:val="28"/>
          <w:rtl w:val="true"/>
          <w:lang w:bidi="ar-SA"/>
        </w:rPr>
        <w:t>وكيف كان، فإن نصوص هذه الطائفة بإطلاقاتها تعارض إطلاقات نصوص الطائفة الأولى المبيحة للخمس، فلابد من الجمع والتوفيق بينهما بوجه صحيح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صاحب الحدائق قدس سره أنه اختار الجمع بينهما بحمل الطائفة الأولى على تحليل نصف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الإمام عليه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وحمل الطائفة الثانية على عدم تحليل 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على الشيعة دفع حصة السادة </w:t>
      </w:r>
    </w:p>
    <w:p>
      <w:pPr>
        <w:pStyle w:val="BookText"/>
        <w:rPr/>
      </w:pPr>
      <w:r>
        <w:rPr>
          <w:rFonts w:ascii="IRNazanin" w:hAnsi="IRNazanin" w:eastAsia="IRNazanin"/>
          <w:color w:val="111111"/>
          <w:sz w:val="28"/>
          <w:sz w:val="28"/>
          <w:szCs w:val="28"/>
          <w:rtl w:val="true"/>
          <w:lang w:bidi="fa-IR"/>
        </w:rPr>
        <w:t xml:space="preserve">بمقتضى الطائفة الثانية من الأخبار ويسقط حصةالإمام علیه السلام عنهم بمقتضى الطائفة الأولى بعد عدم سقوطها عن غيرهم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التوفيق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الالتزام به؛ لأنه جمع تبرعي اقتراحي لا شاهد له، بل مقتضى التعليل في بعض أخبار الطائفة الثانية بطيب الولادة ونحوه هو تعلق التحليل بتمام الخمس؛ بداهة كفاية عدم تحليل النصف الآخر الموجود في الأموال في عدم حصول التطيب،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توهم کون اختصاص تحليل حق الإمام عليه السلام بالمعوزين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الأخبار شاهدا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عليه السلام في صحيحة علي بن مهزیار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أعوزه شيء من حقي فهو في حل</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فاسد؛ إذ لا نعلم کون مراد الإمام عليه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الصحيحة هو خصوص حصته علیه السلام ، بعد احتمال أن يكون تمام الخمس حقه والسادة عياله عليه السلام، كما هو مذهب بعض الأصحاب قدس سرهم </w:t>
      </w:r>
      <w:r>
        <w:rPr>
          <w:rStyle w:val="FootnoteAnchor"/>
          <w:rtl w:val="true"/>
        </w:rPr>
        <w:footnoteReference w:id="175"/>
      </w:r>
      <w:r>
        <w:rPr>
          <w:rFonts w:ascii="IRNazanin" w:hAnsi="IRNazanin" w:eastAsia="IRNazanin"/>
          <w:color w:val="111111"/>
          <w:sz w:val="28"/>
          <w:sz w:val="28"/>
          <w:szCs w:val="28"/>
          <w:rtl w:val="true"/>
          <w:lang w:bidi="fa-IR"/>
        </w:rPr>
        <w:t>، مضافا إلى أن التحليل من جهة الإعواز والاضطرار ليس محل الكلام ، بل لا ربط له بالمقام؛ بداهة أن الاضطرار حکم ثانوي يرتفع به الحكم الأولي في كل مقام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الجمع المنقول عن صاحب الحدائق قدس سره لا محل له</w:t>
      </w:r>
      <w:r>
        <w:rPr>
          <w:rFonts w:eastAsia="IRNazanin" w:cs="IRNazanin"/>
          <w:color w:val="111111"/>
          <w:sz w:val="28"/>
          <w:szCs w:val="28"/>
          <w:rtl w:val="true"/>
          <w:lang w:bidi="fa-IR"/>
        </w:rPr>
        <w:t xml:space="preserve">. </w:t>
      </w:r>
      <w:bookmarkStart w:id="153" w:name="pg7286_66269"/>
    </w:p>
    <w:p>
      <w:pPr>
        <w:pStyle w:val="Heading3"/>
        <w:numPr>
          <w:ilvl w:val="2"/>
          <w:numId w:val="1"/>
        </w:numPr>
        <w:rPr/>
      </w:pPr>
      <w:bookmarkStart w:id="154" w:name="__RefHeading___Toc634124_1051229030"/>
      <w:bookmarkStart w:id="155" w:name="_Toc49"/>
      <w:bookmarkEnd w:id="153"/>
      <w:bookmarkEnd w:id="154"/>
      <w:r>
        <w:rPr>
          <w:rtl w:val="true"/>
        </w:rPr>
        <w:t>طريق الجمع الصحيح بين الطائفتين</w:t>
      </w:r>
      <w:bookmarkEnd w:id="155"/>
    </w:p>
    <w:p>
      <w:pPr>
        <w:pStyle w:val="BookText"/>
        <w:rPr/>
      </w:pPr>
      <w:r>
        <w:rPr>
          <w:rFonts w:ascii="Amiri" w:hAnsi="Amiri" w:eastAsia="Amiri" w:cs="Amiri"/>
          <w:color w:val="111111"/>
          <w:sz w:val="28"/>
          <w:sz w:val="28"/>
          <w:szCs w:val="28"/>
          <w:rtl w:val="true"/>
          <w:lang w:bidi="ar-SA"/>
        </w:rPr>
        <w:t xml:space="preserve">والصواب الجمع بما فضل في الطائفة الثالثة، من حمل أخبار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انتقل من الخمس إلى الشيعة ممن لا يعتقد الخمس، كما هو المشهور بين الأصحاب والظاهر من كلماتهم قدس سرهم </w:t>
      </w:r>
      <w:r>
        <w:rPr>
          <w:rStyle w:val="FootnoteAnchor"/>
          <w:rtl w:val="true"/>
        </w:rPr>
        <w:footnoteReference w:id="176"/>
      </w:r>
      <w:r>
        <w:rPr>
          <w:rFonts w:ascii="Amiri" w:hAnsi="Amiri" w:eastAsia="Amiri" w:cs="Amiri"/>
          <w:color w:val="111111"/>
          <w:sz w:val="28"/>
          <w:sz w:val="28"/>
          <w:szCs w:val="28"/>
          <w:rtl w:val="true"/>
          <w:lang w:bidi="ar-SA"/>
        </w:rPr>
        <w:t xml:space="preserve">، وحمل أخبار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ما وجب على المكلف من الخمس؛ فإنه يجب عليه أداؤه من غير أن يكون هناك 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التحليل ناظرة إلى ما انتقل من الخمس إلى الشيعة من الغير ، کالمخالفين والكفار؛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مكلفون بفروع الدين، كما أنهم مكلفون بأصوله، وأخبار النفي ناظرة إلى ما وجب من الخمس على المكلف نفسه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النحو من الجمع بين الطائفتين المذكورتين من النصوص ليس كجمع صاحب الحدائق قدس سره مما لا شاهد له، بل له شاهد و دلیل بارز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نصوص الطائفة الثالثة الآتية كما سيتضح</w:t>
      </w:r>
      <w:r>
        <w:rPr>
          <w:rFonts w:eastAsia="IRNazanin" w:cs="IRNazanin"/>
          <w:color w:val="111111"/>
          <w:sz w:val="28"/>
          <w:szCs w:val="28"/>
          <w:rtl w:val="true"/>
          <w:lang w:bidi="fa-IR"/>
        </w:rPr>
        <w:t xml:space="preserve">. </w:t>
      </w:r>
      <w:bookmarkStart w:id="156" w:name="pg7286_66270"/>
    </w:p>
    <w:p>
      <w:pPr>
        <w:pStyle w:val="Heading3"/>
        <w:numPr>
          <w:ilvl w:val="2"/>
          <w:numId w:val="1"/>
        </w:numPr>
        <w:rPr/>
      </w:pPr>
      <w:bookmarkStart w:id="157" w:name="__RefHeading___Toc634126_1051229030"/>
      <w:bookmarkStart w:id="158" w:name="_Toc50"/>
      <w:bookmarkEnd w:id="156"/>
      <w:bookmarkEnd w:id="157"/>
      <w:r>
        <w:rPr>
          <w:rtl w:val="true"/>
        </w:rPr>
        <w:t>الطائفة الثالثة من النصوص</w:t>
      </w:r>
      <w:bookmarkEnd w:id="158"/>
    </w:p>
    <w:p>
      <w:pPr>
        <w:pStyle w:val="BookText"/>
        <w:rPr/>
      </w:pPr>
      <w:r>
        <w:rPr>
          <w:rFonts w:ascii="Amiri" w:hAnsi="Amiri" w:eastAsia="Amiri" w:cs="Amiri"/>
          <w:color w:val="111111"/>
          <w:sz w:val="28"/>
          <w:sz w:val="28"/>
          <w:szCs w:val="28"/>
          <w:rtl w:val="true"/>
          <w:lang w:bidi="ar-SA"/>
        </w:rPr>
        <w:t>الثالثة ما يدلنا على كيفية الجمع بين نصوص الطائفتين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والصدوق قدس سرهما بإسنادهما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فدخل عليه رجل من القماطين </w:t>
      </w:r>
      <w:r>
        <w:rPr>
          <w:rStyle w:val="FootnoteAnchor"/>
          <w:rtl w:val="true"/>
        </w:rPr>
        <w:footnoteReference w:id="1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 في أيدينا الأموال والأرباح وتجارات نعلم أن حقك فيها ثابت، وأنا عن ذلك مقصرون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أنصفناكم إن كلفناکم ذلك، اليوم</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بعض الأعلام قدس سره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بطريق الشيخ قدس سره ضعيفة السند، إلا أنها معتبرة بطريق الصدوق قدس سره </w:t>
      </w:r>
      <w:r>
        <w:rPr>
          <w:rStyle w:val="FootnoteAnchor"/>
          <w:rtl w:val="true"/>
        </w:rPr>
        <w:footnoteReference w:id="181"/>
      </w:r>
      <w:r>
        <w:rPr>
          <w:rFonts w:ascii="Amiri" w:hAnsi="Amiri" w:eastAsia="Amiri" w:cs="Amiri"/>
          <w:color w:val="111111"/>
          <w:sz w:val="28"/>
          <w:sz w:val="28"/>
          <w:szCs w:val="28"/>
          <w:rtl w:val="true"/>
          <w:lang w:bidi="ar-SA"/>
        </w:rPr>
        <w:t>، وقد دلت على التحليل بالنسبة إلى ما يقع بأيدي الشيعة من الغير، من الأموال وأرباح التجارات المتعلق بها الخمس بشراء ونحوه،فلا يجب على من انتقل إليه من الشيعة دفع خمس ذلك الغير؛ لأنهم عليهم السلام حللوا ذلك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سالم بن مکرم رواها الشيخ قدس سره بإسناده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لي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أبو عبدالله عليه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يسألك أن يعترض الطريق إنما یسألك خادما يشتريها أو امرأة يتزوجها أو ميراثا يصيبه أو تجارة أو شيئا أعطيه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تعلق به حقهم عليهم السلام على ما يفهم من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هذالشيعتنا حلال الشاهد منهم والغائب، والميت منهم و الحي، وما يولد منهم إلى يوم القيامة فهو لهم حلال، أما والله لايحل إلا لمن أحللناله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في الوسائل </w:t>
      </w:r>
      <w:r>
        <w:rPr>
          <w:rStyle w:val="FootnoteAnchor"/>
          <w:rtl w:val="true"/>
        </w:rPr>
        <w:footnoteReference w:id="183"/>
      </w:r>
      <w:r>
        <w:rPr>
          <w:rFonts w:ascii="Amiri" w:hAnsi="Amiri" w:eastAsia="Amiri" w:cs="Amiri"/>
          <w:color w:val="111111"/>
          <w:sz w:val="28"/>
          <w:sz w:val="28"/>
          <w:szCs w:val="28"/>
          <w:rtl w:val="true"/>
          <w:lang w:bidi="ar-SA"/>
        </w:rPr>
        <w:t xml:space="preserve">وكما عن بعض الأعلام قدس سرهم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المکنی تارة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کناه بذلك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 عن الكشي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 عليه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أي ليس فيه أية شبهة وأنه غير سالم ابن أبي سلمة الكندي البجستاني، وإن اشتبه على شيخ الطائفة قدس سره فتخيل أنه ذلك ، فضعفه سهوا </w:t>
      </w:r>
      <w:r>
        <w:rPr>
          <w:rStyle w:val="FootnoteAnchor"/>
          <w:rtl w:val="true"/>
        </w:rPr>
        <w:footnoteReference w:id="187"/>
      </w:r>
      <w:r>
        <w:rPr>
          <w:rFonts w:ascii="IRNazanin" w:hAnsi="IRNazanin" w:eastAsia="IRNazanin"/>
          <w:color w:val="111111"/>
          <w:sz w:val="28"/>
          <w:sz w:val="28"/>
          <w:szCs w:val="28"/>
          <w:rtl w:val="true"/>
          <w:lang w:bidi="fa-IR"/>
        </w:rPr>
        <w:t xml:space="preserve">؛ فإن الجواد قد یكبو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وكيف كان، فهذه الرواية صحيحة معتبرة لا بأس بها وقد دلت صريحة على التحليل في المال المنتقل إلى الشيعة مما تعلق به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ونحوه، كما هو ظاهر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59" w:name="pg7286_66273"/>
    </w:p>
    <w:p>
      <w:pPr>
        <w:pStyle w:val="Heading3"/>
        <w:numPr>
          <w:ilvl w:val="2"/>
          <w:numId w:val="1"/>
        </w:numPr>
        <w:rPr/>
      </w:pPr>
      <w:bookmarkStart w:id="160" w:name="__RefHeading___Toc634128_1051229030"/>
      <w:bookmarkStart w:id="161" w:name="_Toc51"/>
      <w:bookmarkEnd w:id="159"/>
      <w:bookmarkEnd w:id="160"/>
      <w:r>
        <w:rPr>
          <w:rtl w:val="true"/>
        </w:rPr>
        <w:t>بیان المراد من الشيعة المحلل لهم الخمس</w:t>
      </w:r>
      <w:bookmarkEnd w:id="161"/>
    </w:p>
    <w:p>
      <w:pPr>
        <w:pStyle w:val="BookText"/>
        <w:rPr/>
      </w:pPr>
      <w:r>
        <w:rPr>
          <w:rFonts w:ascii="IRNazanin" w:hAnsi="IRNazanin" w:eastAsia="IRNazanin"/>
          <w:color w:val="111111"/>
          <w:sz w:val="28"/>
          <w:sz w:val="28"/>
          <w:szCs w:val="28"/>
          <w:rtl w:val="true"/>
          <w:lang w:bidi="fa-IR"/>
        </w:rPr>
        <w:t xml:space="preserve">ثم إن مقتضى إطلاق عنوان الشيعة في هذه الطائفة من الأخبار الشاهدة للجمع الصحيح هو أن المحلل له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تعالى أمثالهم وزادهم الله تعالی شرفا وعزا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يخص السادة أو الفقراء منهم، بل يعم غيرهما أيضا، أعني سواء كانوا من السادة المنتسبين بالأب إلى هاشم بن عبدالمطلب جد رسول الله صلي الله عليه وآله أم من غيرهم، وسواء كانوا من الفقراء المستحقين أو من الأغنياء المتمکنین، فيحل لكل من انتقل إليه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كلتا الحصتين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سواء كانوا من السادة أم من غيرهم وسواء كانوا مستحقين أم متمكنين،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وضوحه هو الموجب لعدم تعرض الأصحاب قدس سرهم له؛ إذ لم أجد من 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62" w:name="__RefHeading___Toc634130_1051229030"/>
      <w:bookmarkStart w:id="163" w:name="_Toc52"/>
      <w:bookmarkEnd w:id="162"/>
      <w:r>
        <w:rPr>
          <w:rtl w:val="true"/>
        </w:rPr>
        <w:t>نتيجة الجمع بين النصوص</w:t>
      </w:r>
      <w:bookmarkEnd w:id="1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مجموع تلك الطوائف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الضم والجمع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بين الخمس الواجب على المكلف نفسه ابتداء، فلا إباحة ولا تحليل فيه، وبين ما انتقل إلى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شيعيا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الغير ففيه الإباحة والتحليل، وإنما يجب حينئذ على ذلك الغير خمس ذلك، وإن كان من الكفار والمخالفين المنکرین له، على ما تقدم مرارا</w:t>
      </w:r>
      <w:r>
        <w:rPr>
          <w:rFonts w:eastAsia="IRNazanin" w:cs="IRNazanin"/>
          <w:color w:val="111111"/>
          <w:sz w:val="28"/>
          <w:szCs w:val="28"/>
          <w:rtl w:val="true"/>
          <w:lang w:bidi="fa-IR"/>
        </w:rPr>
        <w:t xml:space="preserve">. </w:t>
      </w:r>
      <w:bookmarkStart w:id="164" w:name="pg7286_66274"/>
    </w:p>
    <w:p>
      <w:pPr>
        <w:pStyle w:val="Heading3"/>
        <w:numPr>
          <w:ilvl w:val="2"/>
          <w:numId w:val="1"/>
        </w:numPr>
        <w:rPr/>
      </w:pPr>
      <w:bookmarkStart w:id="165" w:name="__RefHeading___Toc634132_1051229030"/>
      <w:bookmarkStart w:id="166" w:name="_Toc53"/>
      <w:bookmarkEnd w:id="164"/>
      <w:bookmarkEnd w:id="165"/>
      <w:r>
        <w:rPr>
          <w:rtl w:val="true"/>
        </w:rPr>
        <w:t>الأقوال حول المنتقل عنه والمختار فيه</w:t>
      </w:r>
      <w:bookmarkEnd w:id="166"/>
    </w:p>
    <w:p>
      <w:pPr>
        <w:pStyle w:val="BookText"/>
        <w:rPr/>
      </w:pPr>
      <w:r>
        <w:rPr>
          <w:rFonts w:ascii="Amiri" w:hAnsi="Amiri" w:eastAsia="Amiri" w:cs="Amiri"/>
          <w:color w:val="111111"/>
          <w:sz w:val="28"/>
          <w:sz w:val="28"/>
          <w:szCs w:val="28"/>
          <w:rtl w:val="true"/>
          <w:lang w:bidi="ar-SA"/>
        </w:rPr>
        <w:t xml:space="preserve">ثم إن المستفاد من كلمات الأصحاب 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مشهورهم ذهبوا إلى أن المنتقل عنه لابد أن يكون ممن لا يعتقد الخمس أصلا، فخصصوا التحليل بما إذا كان المنتقل عنه من المنکرین کالكفار والمخالفين، ولكن ذهب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الروضة وحكي عن السرائر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التعميم وعدم الاختصاص بذلك وأنه يعم مطلق من لم يخمس ولو عصیانا </w:t>
      </w:r>
      <w:r>
        <w:rPr>
          <w:rStyle w:val="FootnoteAnchor"/>
          <w:rtl w:val="true"/>
        </w:rPr>
        <w:footnoteReference w:id="192"/>
      </w:r>
      <w:r>
        <w:rPr>
          <w:rFonts w:ascii="Amiri" w:hAnsi="Amiri" w:eastAsia="Amiri" w:cs="Amiri"/>
          <w:color w:val="111111"/>
          <w:sz w:val="28"/>
          <w:sz w:val="28"/>
          <w:szCs w:val="28"/>
          <w:rtl w:val="true"/>
          <w:lang w:bidi="ar-SA"/>
        </w:rPr>
        <w:t>، مع كونه معتقدا كفساق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غاية الأمر، أنه يبقى الخمس المحلل لمن انتقل إليه من الشيعة في ذمة من انتقل عنه إليهم، فلا بد له من إبراء ذمته عنه بوجه، وليس كما قد يتوهم من أنهم بریؤون من أداء الخمس بالمرة؛ بل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والمخالفون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يتوبوا وماتوا على ذلك الحال يعاقبون على ترك الخمس كسائر الفروع، نحو عقابهم على الأصول يوم القيامة، على ما تقدم مرارا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هؤلاء القائلون بعدم الاختصاص، بإطلاق صحيحتي يونس بن يعقوب و سالم بن مكرم المتقدمتين؛ فقد أطلق فيهما تحليل خمس الأموال المنتقلة إلى أيدي الشيعة من الغير من غير تقييد بكون ذلك الغير غیر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کالكفار </w:t>
      </w:r>
    </w:p>
    <w:p>
      <w:pPr>
        <w:pStyle w:val="BookText"/>
        <w:rPr/>
      </w:pPr>
      <w:r>
        <w:rPr>
          <w:rFonts w:ascii="Amiri" w:hAnsi="Amiri" w:eastAsia="Amiri" w:cs="Amiri"/>
          <w:color w:val="111111"/>
          <w:sz w:val="28"/>
          <w:sz w:val="28"/>
          <w:szCs w:val="28"/>
          <w:rtl w:val="true"/>
          <w:lang w:bidi="ar-SA"/>
        </w:rPr>
        <w:t xml:space="preserve">والمخالفين، أو معتقدا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كفساق الشيعة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كصاحب المستمسك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الشيعة كانوا يخمسون أموآلهم في زمنهم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بناؤهم على إخراج الخمس في تلك الأعصار ، ولو بملاحظة الغلبة، والظن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بينة ولا مبينة، بل غير مسموعة؛ إذ من أين علم أن جميع الشيعة في تلك الأعصار كانوا يخمسون أموآلهم؟ بل لا يعلم أن غالبهم 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غلبة الوجود لو كانت منشأ لانصراف من انتقل عنه عن المعتقد الفاسق، لأمكن القول بأن وجود النادر منه كاف في الذهاب إلى التعميم،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الأزمنة متشابهة والقرون متقاربة، ويتضمن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هداية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وكفورا، فيؤدي الخمس طائفة ولا يؤديه طائفة أخرى، كما هو المشاهد في العصر الحاضر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يسهل الخطب هو أن نفس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من قدماء الأصحاب 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إطلاق الصحيحتين؛ لاحتمال أنه كان </w:t>
      </w:r>
    </w:p>
    <w:p>
      <w:pPr>
        <w:pStyle w:val="BookText"/>
        <w:rPr/>
      </w:pPr>
      <w:r>
        <w:rPr>
          <w:rFonts w:ascii="IRNazanin" w:hAnsi="IRNazanin" w:eastAsia="IRNazanin"/>
          <w:color w:val="111111"/>
          <w:sz w:val="28"/>
          <w:sz w:val="28"/>
          <w:szCs w:val="28"/>
          <w:rtl w:val="true"/>
          <w:lang w:bidi="fa-IR"/>
        </w:rPr>
        <w:t>عندهم ما يدل على الاختصاص من قرينة أو نص أو نحوهما مما لم يصل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كثيرا ما يستكشف من نفس الشهرة القدمائية نص معتبر یکون منشأ للفتوى أو الاحتياط الوجوبي، والتفصيل موكول إلى محله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فالأحوط وجوبا تقييد إطلاق تحليل الخمس المنتقل إلى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تعالی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المعتقد أعني به المنكرين من الكفار والمخالفين، ودفع خمس ماانتقل إليهم من المعتقد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الساهي الناسي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 وذلك المكان احتمال وجود نص في المقام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هو العالم بحقائق أحكامه</w:t>
      </w:r>
      <w:r>
        <w:rPr>
          <w:rFonts w:eastAsia="IRNazanin" w:cs="IRNazanin"/>
          <w:color w:val="111111"/>
          <w:sz w:val="28"/>
          <w:szCs w:val="28"/>
          <w:rtl w:val="true"/>
          <w:lang w:bidi="fa-IR"/>
        </w:rPr>
        <w:t xml:space="preserve">. </w:t>
      </w:r>
      <w:bookmarkStart w:id="167" w:name="pg7286_66277"/>
    </w:p>
    <w:p>
      <w:pPr>
        <w:pStyle w:val="Heading3"/>
        <w:numPr>
          <w:ilvl w:val="2"/>
          <w:numId w:val="1"/>
        </w:numPr>
        <w:rPr/>
      </w:pPr>
      <w:bookmarkStart w:id="168" w:name="__RefHeading___Toc634134_1051229030"/>
      <w:bookmarkStart w:id="169" w:name="_Toc54"/>
      <w:bookmarkEnd w:id="167"/>
      <w:bookmarkEnd w:id="168"/>
      <w:r>
        <w:rPr>
          <w:rtl w:val="true"/>
        </w:rPr>
        <w:t>تذييل</w:t>
      </w:r>
      <w:bookmarkEnd w:id="1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وبودي أن أذيل البحث ببعض الفروع التي تناسب أصل مسألة الخمس في هذه الرسالة ، وإن لم تناسب أصل بحث تحليل الخمس كل المناسبة؛ مزيدا للفائدة </w:t>
      </w:r>
      <w:bookmarkStart w:id="170" w:name="pg7286_66278"/>
    </w:p>
    <w:p>
      <w:pPr>
        <w:pStyle w:val="Heading3"/>
        <w:numPr>
          <w:ilvl w:val="2"/>
          <w:numId w:val="1"/>
        </w:numPr>
        <w:rPr/>
      </w:pPr>
      <w:bookmarkStart w:id="171" w:name="__RefHeading___Toc634136_1051229030"/>
      <w:bookmarkStart w:id="172" w:name="_Toc55"/>
      <w:bookmarkEnd w:id="170"/>
      <w:bookmarkEnd w:id="171"/>
      <w:r>
        <w:rPr>
          <w:rtl w:val="true"/>
        </w:rPr>
        <w:t>الفرع الأول</w:t>
      </w:r>
      <w:r>
        <w:rPr>
          <w:rtl w:val="true"/>
        </w:rPr>
        <w:t xml:space="preserve">: </w:t>
      </w:r>
      <w:r>
        <w:rPr>
          <w:rtl w:val="true"/>
        </w:rPr>
        <w:t>في حكم إيصال الخمس إلى المرجع الخاص أو غيره وبيان المختار فيه</w:t>
      </w:r>
      <w:bookmarkEnd w:id="172"/>
    </w:p>
    <w:p>
      <w:pPr>
        <w:pStyle w:val="Heading4"/>
        <w:numPr>
          <w:ilvl w:val="3"/>
          <w:numId w:val="1"/>
        </w:numPr>
        <w:rPr/>
      </w:pPr>
      <w:bookmarkStart w:id="173" w:name="__RefHeading___Toc634138_1051229030"/>
      <w:bookmarkStart w:id="174" w:name="_Toc56"/>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هل يجب على المقلد إما إيصال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حصة الإمام عليه السلام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مرجعه الخاص أو نائبه المجاز وإما صرفه بإذنه في موارده المنطبقة؛ بحيث لو أوصل إلى غير مرجعه أو صرفه بغير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صارفا له في موارده الموظفة بإذن فقیه آخر جامع للشرائط غير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تبرأ ذمته؟ أو إن الأمر ليس كذلك، وإن غاية الاحتياط في هذا المقام أن يوصل الخمس إلى فقيه جامع للشرائط أو يصرفه فيما كان بإذنه في موارده المنطبقة، ولكن على الفقيه أن يصرفه فيما كان موافقا لفتاوی مرجع المقلد أو فيما هو أحوط منها؟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هو الثاني وأن المرجع لا يفتي ولا يمكنه الإفتاء بإيصال الخمس إلى نفسه أو إلى نائبه أو بصرفه بإذنه </w:t>
      </w:r>
      <w:r>
        <w:rPr>
          <w:rStyle w:val="FootnoteAnchor"/>
          <w:rtl w:val="true"/>
        </w:rPr>
        <w:footnoteReference w:id="197"/>
      </w:r>
      <w:r>
        <w:rPr>
          <w:rFonts w:ascii="IRNazanin" w:hAnsi="IRNazanin" w:eastAsia="IRNazanin"/>
          <w:color w:val="111111"/>
          <w:sz w:val="28"/>
          <w:sz w:val="28"/>
          <w:szCs w:val="28"/>
          <w:rtl w:val="true"/>
          <w:lang w:bidi="fa-IR"/>
        </w:rPr>
        <w:t xml:space="preserve">؛ وذلك لعدم وجود دليل يدل على ذلك، بل مقتضى الدليل أن يوصله المكلف إلى موارده المنطبقة بإذن فقیه جامع الشرائط، مرجعا كان له أم لا، فهو الذي يكون في عصر الغيبة الكبرى نائبا عاما للإمام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الاحتياط أن يستأذن من هذا النائب العام في ذلك ولو لم يكن مرجعا له</w:t>
      </w:r>
      <w:r>
        <w:rPr>
          <w:rFonts w:eastAsia="IRNazanin" w:cs="IRNazanin"/>
          <w:color w:val="111111"/>
          <w:sz w:val="28"/>
          <w:szCs w:val="28"/>
          <w:rtl w:val="true"/>
          <w:lang w:bidi="fa-IR"/>
        </w:rPr>
        <w:t xml:space="preserve">. </w:t>
      </w:r>
      <w:bookmarkStart w:id="175" w:name="pg7286_66279"/>
    </w:p>
    <w:p>
      <w:pPr>
        <w:pStyle w:val="BookText"/>
        <w:rPr/>
      </w:pPr>
      <w:bookmarkEnd w:id="175"/>
      <w:r>
        <w:rPr>
          <w:rFonts w:ascii="IRNazanin" w:hAnsi="IRNazanin" w:eastAsia="IRNazanin"/>
          <w:color w:val="111111"/>
          <w:sz w:val="28"/>
          <w:sz w:val="28"/>
          <w:szCs w:val="28"/>
          <w:rtl w:val="true"/>
          <w:lang w:bidi="fa-IR"/>
        </w:rPr>
        <w:t xml:space="preserve">نعم، للفقيه غير المرجع أن لا يصرف خمس المقلد في ما يخالف فتوی مرجعه، وللمرجع الإفتاء بأنه لابد أن يصرف المقلد خمسه في الموارد الموافقة الفتاويه أو في الأحوط منها، وكما له أيضا أن لا يجوز إيصال الخمس إلى غير نفسه ممن تكون فتواه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وكيفا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لفتواه </w:t>
      </w:r>
      <w:r>
        <w:rPr>
          <w:rStyle w:val="FootnoteAnchor"/>
          <w:rtl w:val="true"/>
        </w:rPr>
        <w:footnoteReference w:id="198"/>
      </w:r>
      <w:r>
        <w:rPr>
          <w:rFonts w:ascii="IRNazanin" w:hAnsi="IRNazanin" w:eastAsia="IRNazanin"/>
          <w:color w:val="111111"/>
          <w:sz w:val="28"/>
          <w:sz w:val="28"/>
          <w:szCs w:val="28"/>
          <w:rtl w:val="true"/>
          <w:lang w:bidi="fa-IR"/>
        </w:rPr>
        <w:t>، إلا إذا كانت فتوى الغير موافقة للاحتياط أو كان دأبه ودیدنه العمل بالاحتياط أو بفتوى جميع المراجع، فليس للمرجع إلا الإفتاء بذلك وليس للمقلد إلا العمل بفتواه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المسائل العامة البلوى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pStyle w:val="Heading4"/>
        <w:numPr>
          <w:ilvl w:val="3"/>
          <w:numId w:val="1"/>
        </w:numPr>
        <w:rPr/>
      </w:pPr>
      <w:bookmarkStart w:id="176" w:name="__RefHeading___Toc634140_1051229030"/>
      <w:bookmarkStart w:id="177" w:name="_Toc57"/>
      <w:bookmarkEnd w:id="176"/>
      <w:r>
        <w:rPr>
          <w:rtl w:val="true"/>
        </w:rPr>
        <w:t>دفع دخل على القول المختار</w:t>
      </w:r>
      <w:bookmarkEnd w:id="177"/>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قاعدة الاشتغال عدم براءة ذمة المقلد إذا دفع الخمس إلى غیرمرجعه، بخلاف ما إذا دفعه إلى مرجعه؛ فمقتضاه الكفاية والبراءة اليقينية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لأن أمر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حصة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الحضور بيده المباركة، وأما في زمن الغيبة وتعذر الإيصال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الخمس بمقتضى الاحتياط بيد نائبه العام وهو الفقيه الجامع للشرائط، سواء كان مرجعا للمقلد أم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لابد أن يوافق عمل المقلد فتاواهما في مصارف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بين العوام أو الخواص کالعوام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بد أن يؤدى الخمس إلى المرجع البتة و بتاتا، وإن أراد المرجع إلقاءه في بئر أو 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ريب في أن الأولى إيصال كل مقلد خمسه إلى مرجعه، لكن هذا إذا كان المرجع نفسه متصديا لأمر الصرف والإيصال إلى موارده المنطبقة أو كان له نظارة تامة مستقيمة على ذلك، وإلا فيشكل الأمر بعد ملاحظة أن كثيرا من الوسائط يخضمون </w:t>
      </w:r>
      <w:r>
        <w:rPr>
          <w:rStyle w:val="FootnoteAnchor"/>
          <w:rtl w:val="true"/>
        </w:rPr>
        <w:footnoteReference w:id="199"/>
      </w:r>
      <w:r>
        <w:rPr>
          <w:rFonts w:ascii="Amiri" w:hAnsi="Amiri" w:eastAsia="Amiri" w:cs="Amiri"/>
          <w:color w:val="111111"/>
          <w:sz w:val="28"/>
          <w:sz w:val="28"/>
          <w:szCs w:val="28"/>
          <w:rtl w:val="true"/>
          <w:lang w:bidi="ar-SA"/>
        </w:rPr>
        <w:t>مال الله خضم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فلابدحينئذ من الاحتياط بإيصال المقلد الخمس إلى نفس مرجعه أو إيصاله بنفسه بإجازة المرجع إلى موارده المنطبقة أو إيصاله إلى غيره من الفقهاء الجامعين للشرائط المتصدين بأنفسهم أو بإشرافهم المباشر في إيصاله إلى موارده الموظفة، وذلك كله واضح لا إشكال فيه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كان في نية المقلد الدافع للخمس دفعه إلى مرجعه ليصرفه في موارده المنطبقة، فلعله لا يجوز لغير المرجع وإن كان فقيها جامعا للشرائط أن يأخذه ويصرفه بنفسه في تلك الموارد، حتى إذا كان موافقا لمرجعه إلا مع الاستئذان منه أو مع رده للمقلد وعدوله عن نيته الأولية، كما أنه قد ينعكس الأمر ويكون في نيته لعلل وأسباب أن يدفع الخمس إلى غير مرجعه من فقيه جامع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للشرائط ليصرفه في موارده الموظفة، فلعله أيضا لا يجوز للمرجع أو لنائبه المجاز أن يأخذ خمسه ويصرفه في تلك الموارد إلا مع الاستئذان من ذلك الفقيه الجامع المشخص أو مع رده إلى المقلد وعدوله عن نيته الأولية، والله العالم</w:t>
      </w:r>
      <w:r>
        <w:rPr>
          <w:rFonts w:eastAsia="Amiri" w:cs="Amiri" w:ascii="Amiri" w:hAnsi="Amiri"/>
          <w:color w:val="111111"/>
          <w:sz w:val="28"/>
          <w:szCs w:val="28"/>
          <w:rtl w:val="true"/>
          <w:lang w:bidi="ar-SA"/>
        </w:rPr>
        <w:t xml:space="preserve">. </w:t>
      </w:r>
      <w:bookmarkStart w:id="178" w:name="pg7286_66282"/>
    </w:p>
    <w:p>
      <w:pPr>
        <w:pStyle w:val="Heading3"/>
        <w:numPr>
          <w:ilvl w:val="2"/>
          <w:numId w:val="1"/>
        </w:numPr>
        <w:rPr/>
      </w:pPr>
      <w:bookmarkStart w:id="179" w:name="__RefHeading___Toc634142_1051229030"/>
      <w:bookmarkStart w:id="180" w:name="_Toc58"/>
      <w:bookmarkEnd w:id="178"/>
      <w:bookmarkEnd w:id="179"/>
      <w:r>
        <w:rPr>
          <w:rtl w:val="true"/>
        </w:rPr>
        <w:t>الفرع الثاني</w:t>
      </w:r>
      <w:r>
        <w:rPr>
          <w:rtl w:val="true"/>
        </w:rPr>
        <w:t xml:space="preserve">: </w:t>
      </w:r>
      <w:r>
        <w:rPr>
          <w:rtl w:val="true"/>
        </w:rPr>
        <w:t>في وجوب الاستئذان من الفقيه لصرف سهم السادة في مورده و عدمه</w:t>
      </w:r>
      <w:bookmarkEnd w:id="180"/>
    </w:p>
    <w:p>
      <w:pPr>
        <w:pStyle w:val="Heading4"/>
        <w:numPr>
          <w:ilvl w:val="3"/>
          <w:numId w:val="1"/>
        </w:numPr>
        <w:rPr/>
      </w:pPr>
      <w:bookmarkStart w:id="181" w:name="__RefHeading___Toc634144_1051229030"/>
      <w:bookmarkStart w:id="182" w:name="_Toc59"/>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الظاهر أنه لا شك ولا شبهة ولا خلاف في أن مقتضى الاحتياط الوجوبي أنه لابد في صرف حصة الإمام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الاستئذان من الحاكم الشرعي، أعني به الفقيه الجامع للشرائط؛ فإن له النيابة العامة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العصر الذي لا يمكن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إيصالها إلى يده المباركة علیه السلام </w:t>
      </w:r>
      <w:r>
        <w:rPr>
          <w:rStyle w:val="FootnoteAnchor"/>
          <w:rtl w:val="true"/>
        </w:rPr>
        <w:footnoteReference w:id="201"/>
      </w:r>
      <w:r>
        <w:rPr>
          <w:rFonts w:ascii="Amiri" w:hAnsi="Amiri" w:eastAsia="Amiri" w:cs="Amiri"/>
          <w:color w:val="111111"/>
          <w:sz w:val="28"/>
          <w:sz w:val="28"/>
          <w:szCs w:val="28"/>
          <w:rtl w:val="true"/>
          <w:lang w:bidi="ar-SA"/>
        </w:rPr>
        <w:t xml:space="preserve">، كما كان الواجب بلا إشكال ولا خلاف في عصر الحضور الإيصال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من سواه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كانت السادة المحتاجون عياله عليه السلام ؛ وذلك كله لعدم براءة الذمة إلا بالإيصال إليه عليه السلام في عصر الحضور وإلى نائبه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مضافا إلى الأدلة الخاصة القائمة في المقام الدالة على وجوب رد الحقوق إلى أربابها، كما هو ظاهر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النصف الآخر من الخمس بجميع أنواعه وأصنافه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حصة السادة 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في عصر الغيبة أيضا أن يكون صرفه بإذن الفقيه الجامع للشرائط، بحيث لو أوصل إليهم مباشرة من غير استئذان منه لم تبرأ ذمته، أم لا </w:t>
      </w:r>
    </w:p>
    <w:p>
      <w:pPr>
        <w:pStyle w:val="BookText"/>
        <w:rPr/>
      </w:pPr>
      <w:r>
        <w:rPr>
          <w:rFonts w:ascii="Amiri" w:hAnsi="Amiri" w:eastAsia="Amiri" w:cs="Amiri"/>
          <w:color w:val="111111"/>
          <w:sz w:val="28"/>
          <w:sz w:val="28"/>
          <w:szCs w:val="28"/>
          <w:rtl w:val="true"/>
          <w:lang w:bidi="ar-SA"/>
        </w:rPr>
        <w:t>يجب ذلك ويكفي الإيصال إليهم مباشرة؟</w:t>
      </w:r>
    </w:p>
    <w:p>
      <w:pPr>
        <w:pStyle w:val="BookText"/>
        <w:rPr/>
      </w:pPr>
      <w:r>
        <w:rPr>
          <w:rFonts w:ascii="Amiri" w:hAnsi="Amiri" w:eastAsia="Amiri" w:cs="Amiri"/>
          <w:color w:val="111111"/>
          <w:sz w:val="28"/>
          <w:sz w:val="28"/>
          <w:szCs w:val="28"/>
          <w:rtl w:val="true"/>
          <w:lang w:bidi="ar-SA"/>
        </w:rPr>
        <w:t>فيه احتمالان،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ذهاب المشهور من الأصحاب قدس سرهم إلى الثاني </w:t>
      </w:r>
      <w:r>
        <w:rPr>
          <w:rStyle w:val="FootnoteAnchor"/>
          <w:rtl w:val="true"/>
        </w:rPr>
        <w:footnoteReference w:id="202"/>
      </w:r>
      <w:r>
        <w:rPr>
          <w:rFonts w:ascii="Amiri" w:hAnsi="Amiri" w:eastAsia="Amiri" w:cs="Amiri"/>
          <w:color w:val="111111"/>
          <w:sz w:val="28"/>
          <w:sz w:val="28"/>
          <w:szCs w:val="28"/>
          <w:rtl w:val="true"/>
          <w:lang w:bidi="ar-SA"/>
        </w:rPr>
        <w:t xml:space="preserve">، وهو جواز الإيصال إليهم مباشرة في هذا العصر، وذهب غير واحد منهم قدس سرهم </w:t>
      </w:r>
      <w:r>
        <w:rPr>
          <w:rStyle w:val="FootnoteAnchor"/>
          <w:rtl w:val="true"/>
        </w:rPr>
        <w:footnoteReference w:id="203"/>
      </w:r>
      <w:r>
        <w:rPr>
          <w:rFonts w:ascii="Amiri" w:hAnsi="Amiri" w:eastAsia="Amiri" w:cs="Amiri"/>
          <w:color w:val="111111"/>
          <w:sz w:val="28"/>
          <w:sz w:val="28"/>
          <w:szCs w:val="28"/>
          <w:rtl w:val="true"/>
          <w:lang w:bidi="ar-SA"/>
        </w:rPr>
        <w:t xml:space="preserve">إلى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أدلة النيابة العامة للفقيه الجامع للشرائط</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الأظهر هو الثاني؛ إذ وإن تم أصل النيابة العامة للفقيه في هذا العصر، إلا أن للمناقشة في أدلة نيابته العامة إلى هذا الحد مجالا واسعا موکولا بیانه و تفصيله إلى محله</w:t>
      </w:r>
      <w:r>
        <w:rPr>
          <w:rFonts w:eastAsia="IRNazanin" w:cs="IRNazanin"/>
          <w:color w:val="111111"/>
          <w:sz w:val="28"/>
          <w:szCs w:val="28"/>
          <w:rtl w:val="true"/>
          <w:lang w:bidi="fa-IR"/>
        </w:rPr>
        <w:t xml:space="preserve">. </w:t>
      </w:r>
      <w:bookmarkStart w:id="183" w:name="pg7286_66284"/>
    </w:p>
    <w:p>
      <w:pPr>
        <w:pStyle w:val="Heading4"/>
        <w:numPr>
          <w:ilvl w:val="3"/>
          <w:numId w:val="1"/>
        </w:numPr>
        <w:rPr/>
      </w:pPr>
      <w:bookmarkStart w:id="184" w:name="__RefHeading___Toc634146_1051229030"/>
      <w:bookmarkStart w:id="185" w:name="_Toc60"/>
      <w:bookmarkEnd w:id="183"/>
      <w:bookmarkEnd w:id="184"/>
      <w:r>
        <w:rPr>
          <w:rtl w:val="true"/>
        </w:rPr>
        <w:t>دفع وهم</w:t>
      </w:r>
      <w:bookmarkEnd w:id="185"/>
    </w:p>
    <w:p>
      <w:pPr>
        <w:pStyle w:val="BookText"/>
        <w:rPr/>
      </w:pPr>
      <w:r>
        <w:rPr>
          <w:rFonts w:ascii="Amiri" w:hAnsi="Amiri" w:eastAsia="Amiri" w:cs="Amiri"/>
          <w:color w:val="111111"/>
          <w:sz w:val="28"/>
          <w:sz w:val="28"/>
          <w:szCs w:val="28"/>
          <w:rtl w:val="true"/>
          <w:lang w:bidi="ar-SA"/>
        </w:rPr>
        <w:t xml:space="preserve">نعم، استدل في المطولات </w:t>
      </w:r>
      <w:r>
        <w:rPr>
          <w:rStyle w:val="FootnoteAnchor"/>
          <w:rtl w:val="true"/>
        </w:rPr>
        <w:footnoteReference w:id="204"/>
      </w:r>
      <w:r>
        <w:rPr>
          <w:rFonts w:ascii="IRNazanin" w:hAnsi="IRNazanin" w:eastAsia="IRNazanin"/>
          <w:color w:val="111111"/>
          <w:sz w:val="28"/>
          <w:sz w:val="28"/>
          <w:szCs w:val="28"/>
          <w:rtl w:val="true"/>
          <w:lang w:bidi="fa-IR"/>
        </w:rPr>
        <w:t>على وجوب رد حصة السادة إلى الإمام عليه السلام في عصر الحضور بوجوه عديدة غير خال بعضها عن المناقشة، لكن في بعضها الآخر غنى وكفاية، إلا أن انسحاب ذلك إلى الفقيه الجامع في هذا العصر والقول بأنه لابد أيضا من إيصال حصة السادة إليه أو الاستئذان منه غير واضح؛ لإمكان المناقشة في أدلة نيابته إلى هذا الحد، وإن تم أصل النيابة العامة له في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لاحتمال کون وجوب إيصال حصة السادة إلى الإمام عليه السلام في عصر الحضور من الأحكام الخاصة له عليه السلام ، وإثبات ذلك لغيره في هذا العصر مشکل يحتاج إلى دليل خاص مفقود في المقام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كله، فالأحوط والأولى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الاستئذان من الفقيه الجامع في صرف حصة السادة أيضا، كصرف حصة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أن الاستئذان من الفقيه في حصة الإمام عليه السلام في هذا العصر إنما هو مقتضی الاحتياط الوجوبي، وفي حصة السادة مقتضى الاحتياط الاستحبابي</w:t>
      </w:r>
      <w:r>
        <w:rPr>
          <w:rFonts w:eastAsia="IRNazanin" w:cs="IRNazanin"/>
          <w:color w:val="111111"/>
          <w:sz w:val="28"/>
          <w:szCs w:val="28"/>
          <w:rtl w:val="true"/>
          <w:lang w:bidi="fa-IR"/>
        </w:rPr>
        <w:t xml:space="preserve">. </w:t>
      </w:r>
      <w:bookmarkStart w:id="186" w:name="pg7286_66285"/>
    </w:p>
    <w:p>
      <w:pPr>
        <w:pStyle w:val="Heading3"/>
        <w:numPr>
          <w:ilvl w:val="2"/>
          <w:numId w:val="1"/>
        </w:numPr>
        <w:rPr/>
      </w:pPr>
      <w:bookmarkStart w:id="187" w:name="__RefHeading___Toc634148_1051229030"/>
      <w:bookmarkStart w:id="188" w:name="_Toc61"/>
      <w:bookmarkEnd w:id="186"/>
      <w:bookmarkEnd w:id="187"/>
      <w:r>
        <w:rPr>
          <w:rtl w:val="true"/>
        </w:rPr>
        <w:t>الفرع الثالث</w:t>
      </w:r>
      <w:r>
        <w:rPr>
          <w:rtl w:val="true"/>
        </w:rPr>
        <w:t xml:space="preserve">: </w:t>
      </w:r>
      <w:r>
        <w:rPr>
          <w:rtl w:val="true"/>
        </w:rPr>
        <w:t>في بيان اختصاص ماینذر للإمام أو يرثه به</w:t>
      </w:r>
      <w:bookmarkEnd w:id="188"/>
    </w:p>
    <w:p>
      <w:pPr>
        <w:pStyle w:val="BookText"/>
        <w:rPr/>
      </w:pPr>
      <w:r>
        <w:rPr>
          <w:rFonts w:ascii="IRNazanin" w:hAnsi="IRNazanin" w:eastAsia="IRNazanin"/>
          <w:color w:val="111111"/>
          <w:sz w:val="28"/>
          <w:sz w:val="28"/>
          <w:szCs w:val="28"/>
          <w:rtl w:val="true"/>
          <w:lang w:bidi="fa-IR"/>
        </w:rPr>
        <w:t xml:space="preserve">لا يبعد أن يكون حكم ما ينذر لنفس الإمام الغائب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حصته الخاصة من الخمس، فلابد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صرفه من الاستئذان من نائبه العام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به الفقيه الجامع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فيه أية حصة للسادة،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يرثه الإمام عليه السلام ممن لا وارث له؛ فإن كل الإرث مختص به عليه السلام أيضا </w:t>
      </w:r>
      <w:r>
        <w:rPr>
          <w:rStyle w:val="FootnoteAnchor"/>
          <w:rtl w:val="true"/>
        </w:rPr>
        <w:footnoteReference w:id="205"/>
      </w:r>
      <w:r>
        <w:rPr>
          <w:rFonts w:ascii="IRNazanin" w:hAnsi="IRNazanin" w:eastAsia="IRNazanin"/>
          <w:color w:val="111111"/>
          <w:sz w:val="28"/>
          <w:sz w:val="28"/>
          <w:szCs w:val="28"/>
          <w:rtl w:val="true"/>
          <w:lang w:bidi="fa-IR"/>
        </w:rPr>
        <w:t>، وليس فيه شيء من حصة السادة، وأمره بيد الفقيه الجامع للشرائط احتیاطا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ما يرثه عليه السلام عن والده الإمام العسكري ووالدته المكرمة عليهما السلام بعد ملاحظة كونه عليه السلام هو الوارث الفرد المتفرد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يصل كل ما ترك والداه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وحده، من غير أن يشاركه فيه أحد غيره، ولكن لا مصداق له خارجا في الأيدي، سوى السرداب المقدس والحرم الشريف في بلدة سامراء ونظائرهما، وسيذكر حكمه مع اختلاف بعض الأنظار فيه في الفرع التالي إن شاء الله تبارك وتعالی</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يتداول في هذه الأزمنة من تشريك الإمام عليه السلام في الأموال خوفا من التلف، فيدفعون مقدارا منها بعنوان يسمى في الفارسية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أنه تعهد يتعهدون بدفعه إليه عليه السلام بذلك العنوان، فهو أيضا يختص به علیه السلام کالنذر المتقدم وليس فيه حصة السادات، فلا بد أن يحتاط فيه أيضا بالاستئذان من الفقيه الجامع للشرائط في هذا العصر، والله تعالى هو العالم</w:t>
      </w:r>
      <w:r>
        <w:rPr>
          <w:rFonts w:eastAsia="IRNazanin" w:cs="IRNazanin"/>
          <w:color w:val="111111"/>
          <w:sz w:val="28"/>
          <w:szCs w:val="28"/>
          <w:rtl w:val="true"/>
          <w:lang w:bidi="fa-IR"/>
        </w:rPr>
        <w:t xml:space="preserve">. </w:t>
      </w:r>
      <w:bookmarkStart w:id="189" w:name="pg7286_66287"/>
    </w:p>
    <w:p>
      <w:pPr>
        <w:pStyle w:val="Heading3"/>
        <w:numPr>
          <w:ilvl w:val="2"/>
          <w:numId w:val="1"/>
        </w:numPr>
        <w:rPr/>
      </w:pPr>
      <w:bookmarkStart w:id="190" w:name="__RefHeading___Toc634150_1051229030"/>
      <w:bookmarkStart w:id="191" w:name="_Toc62"/>
      <w:bookmarkEnd w:id="189"/>
      <w:bookmarkEnd w:id="190"/>
      <w:r>
        <w:rPr>
          <w:rtl w:val="true"/>
        </w:rPr>
        <w:t>الفرع الرابع</w:t>
      </w:r>
      <w:r>
        <w:rPr>
          <w:rtl w:val="true"/>
        </w:rPr>
        <w:t xml:space="preserve">: </w:t>
      </w:r>
      <w:r>
        <w:rPr>
          <w:rtl w:val="true"/>
        </w:rPr>
        <w:t>في حكم التصرف في سائر أموال المعصومين عليهم السلام في عصر الغيبة</w:t>
      </w:r>
      <w:bookmarkEnd w:id="191"/>
    </w:p>
    <w:p>
      <w:pPr>
        <w:pStyle w:val="Heading4"/>
        <w:numPr>
          <w:ilvl w:val="3"/>
          <w:numId w:val="1"/>
        </w:numPr>
        <w:rPr/>
      </w:pPr>
      <w:bookmarkStart w:id="192" w:name="__RefHeading___Toc634152_1051229030"/>
      <w:bookmarkStart w:id="193" w:name="_Toc6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جواز التصرف في سائر أموال المعصومين عليهم السلام في</w:t>
      </w:r>
    </w:p>
    <w:p>
      <w:pPr>
        <w:pStyle w:val="BookText"/>
        <w:rPr/>
      </w:pPr>
      <w:r>
        <w:rPr>
          <w:rFonts w:ascii="Amiri" w:hAnsi="Amiri" w:eastAsia="Amiri" w:cs="Amiri"/>
          <w:color w:val="111111"/>
          <w:sz w:val="28"/>
          <w:sz w:val="28"/>
          <w:szCs w:val="28"/>
          <w:rtl w:val="true"/>
          <w:lang w:bidi="ar-SA"/>
        </w:rPr>
        <w:t>عصر الغيبة على قولين أو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علم برضاهم عليهم السلام بالتصرف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ملكا</w:t>
      </w:r>
    </w:p>
    <w:p>
      <w:pPr>
        <w:pStyle w:val="BookText"/>
        <w:rPr/>
      </w:pPr>
      <w:r>
        <w:rPr>
          <w:rFonts w:ascii="IRNazanin" w:hAnsi="IRNazanin" w:eastAsia="IRNazanin"/>
          <w:color w:val="111111"/>
          <w:sz w:val="28"/>
          <w:sz w:val="28"/>
          <w:szCs w:val="28"/>
          <w:rtl w:val="true"/>
          <w:lang w:bidi="fa-IR"/>
        </w:rPr>
        <w:t xml:space="preserve">خاصة لهم عليهم السلام من دون انتقال إلى وارث غيرهم عليهم السلام كالسرداب المقدس والحرم الشريف في بلدة سامراء ونحوهما مما انتقل الملک فيه من الإمام العسكري عليه السلام إلى ولده الفرد المتفرد الإمام الحجة أرواح من سواه فداه وعجل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التصرف فيه، وبين غيره مما لم يعلم برضاهم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انتقل إلى وارث آخر غير الإمام علیه السلام ، كدار الإمام الصادق عليه السلام بالمدينة على ما قيل بأنه لا علم بالرضا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التصرف فيه</w:t>
      </w:r>
      <w:r>
        <w:rPr>
          <w:rFonts w:eastAsia="IRNazanin" w:cs="IRNazanin"/>
          <w:color w:val="111111"/>
          <w:sz w:val="28"/>
          <w:szCs w:val="28"/>
          <w:rtl w:val="true"/>
          <w:lang w:bidi="fa-IR"/>
        </w:rPr>
        <w:t>.</w:t>
      </w:r>
    </w:p>
    <w:p>
      <w:pPr>
        <w:pStyle w:val="Heading4"/>
        <w:numPr>
          <w:ilvl w:val="3"/>
          <w:numId w:val="1"/>
        </w:numPr>
        <w:rPr/>
      </w:pPr>
      <w:bookmarkStart w:id="194" w:name="__RefHeading___Toc634154_1051229030"/>
      <w:bookmarkStart w:id="195" w:name="_Toc64"/>
      <w:bookmarkEnd w:id="194"/>
      <w:r>
        <w:rPr>
          <w:rtl w:val="true"/>
        </w:rPr>
        <w:t>المختار في المقام وبيان أدلته</w:t>
      </w:r>
      <w:bookmarkEnd w:id="1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من هذين القولين هو التاني؛ إذ لا دليل على المنع مطلقا سوى أصالة عدم التصرف في ملك الغير بغير رضاه، وهي غير جارية في المقام، للعلم برضاهم عليهم السلام فيما كان ملكا لهم خاصة لم ينتقل إلى وارث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سيما بالنسبة إلى شيعتهم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عرفت من السرداب والحرم الشريفين ونحوهما </w:t>
      </w:r>
    </w:p>
    <w:p>
      <w:pPr>
        <w:pStyle w:val="BookText"/>
        <w:rPr/>
      </w:pPr>
      <w:r>
        <w:rPr>
          <w:rFonts w:ascii="IRNazanin" w:hAnsi="IRNazanin" w:eastAsia="IRNazanin"/>
          <w:color w:val="111111"/>
          <w:sz w:val="28"/>
          <w:sz w:val="28"/>
          <w:szCs w:val="28"/>
          <w:rtl w:val="true"/>
          <w:lang w:bidi="fa-IR"/>
        </w:rPr>
        <w:t>مما یری تصرف المسلمين خلفا عن سلف فيها من غیر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فرض الشك في الرضا تجري أصالة صحة تصرف المسلمين فيها، فمقتضى الأصل حمل فعل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أفعال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الصحة، بل هذا الأصل يجري فيما لو كان الملك منتقلا إلى غير الإمام عليه السلام أيضا، كدار الإمام الصادق عليه السلام المشار إليها، بل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السيدة خديجة عليها السلام في مكة المكرمة، ودار الإمام أمير المؤمنين علي عليه السلام في الكوفة، وبيت الأحزان لسيدة النساء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وغير ذلك، فمرجع التفصيل الذي ذكرناه إلى القول بالجواز المطلق، وإن شئت اجعله قولا ثالثا في المسألة، كما أومأنا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التفصيل أو الجواز المطلق أيضا كون تلك الأمكنة المقدسة مشاعر للعبادة، وقد ذكر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إحياء الموات</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أنه لو صار ملك أحد مشعرا للعبادة ، فقد خرج عن ملکه؛ فإنه يدل على أن صاحبه فکه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يستفاد من النصوص الواردة في باب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زیاراتهم عليهم السلام</w:t>
      </w:r>
    </w:p>
    <w:p>
      <w:pPr>
        <w:pStyle w:val="BookText"/>
        <w:rPr/>
      </w:pPr>
      <w:r>
        <w:rPr>
          <w:rFonts w:ascii="Amiri" w:hAnsi="Amiri" w:eastAsia="Amiri" w:cs="Amiri"/>
          <w:color w:val="111111"/>
          <w:sz w:val="28"/>
          <w:sz w:val="28"/>
          <w:szCs w:val="28"/>
          <w:rtl w:val="true"/>
          <w:lang w:bidi="ar-SA"/>
        </w:rPr>
        <w:t xml:space="preserve">في السرداب والحرم الشريفين </w:t>
      </w:r>
      <w:r>
        <w:rPr>
          <w:rStyle w:val="FootnoteAnchor"/>
          <w:rtl w:val="true"/>
        </w:rPr>
        <w:footnoteReference w:id="207"/>
      </w:r>
      <w:r>
        <w:rPr>
          <w:rFonts w:ascii="Amiri" w:hAnsi="Amiri" w:eastAsia="Amiri" w:cs="Amiri"/>
          <w:color w:val="111111"/>
          <w:sz w:val="28"/>
          <w:sz w:val="28"/>
          <w:szCs w:val="28"/>
          <w:rtl w:val="true"/>
          <w:lang w:bidi="ar-SA"/>
        </w:rPr>
        <w:t>۔ القول بالتفصيل أو الجواز المطلق، كما هو ظاهر غير خفي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الشيخ المفيد قدس سره من الفتوى بعدم جواز التصرف في ذلك؛ حيث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حكي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زيارة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فقف بظاهر الشباك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ماعن الشيخ الطوسي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الاحتياط في ذلك لا يمكن المساعدة عليهما، بل لو صح منع الشيخ المفيد رحمه الله ، كان اللازم الوقوف عند باب الصحن دون ظاهر الشباك؛ إذ الدار لم تكن منحصرة في ظاهر الشباك، كما لا يخفی</w:t>
      </w:r>
      <w:r>
        <w:rPr>
          <w:rFonts w:eastAsia="IRNazanin" w:cs="IRNazanin"/>
          <w:color w:val="111111"/>
          <w:sz w:val="28"/>
          <w:szCs w:val="28"/>
          <w:rtl w:val="true"/>
          <w:lang w:bidi="fa-IR"/>
        </w:rPr>
        <w:t>.</w:t>
      </w:r>
      <w:bookmarkStart w:id="196" w:name="pg7286_66290"/>
    </w:p>
    <w:p>
      <w:pPr>
        <w:pStyle w:val="Heading4"/>
        <w:numPr>
          <w:ilvl w:val="3"/>
          <w:numId w:val="1"/>
        </w:numPr>
        <w:rPr/>
      </w:pPr>
      <w:bookmarkStart w:id="197" w:name="__RefHeading___Toc634156_1051229030"/>
      <w:bookmarkStart w:id="198" w:name="_Toc65"/>
      <w:bookmarkEnd w:id="196"/>
      <w:bookmarkEnd w:id="197"/>
      <w:r>
        <w:rPr>
          <w:rtl w:val="true"/>
        </w:rPr>
        <w:t>قصة عجيبة لها ربط بالمقام</w:t>
      </w:r>
      <w:bookmarkEnd w:id="198"/>
    </w:p>
    <w:p>
      <w:pPr>
        <w:pStyle w:val="BookText"/>
        <w:rPr/>
      </w:pPr>
      <w:r>
        <w:rPr>
          <w:rFonts w:ascii="Amiri" w:hAnsi="Amiri" w:eastAsia="Amiri" w:cs="Amiri"/>
          <w:color w:val="111111"/>
          <w:sz w:val="28"/>
          <w:sz w:val="28"/>
          <w:szCs w:val="28"/>
          <w:rtl w:val="true"/>
          <w:lang w:bidi="ar-SA"/>
        </w:rPr>
        <w:t xml:space="preserve">ثم إن هاهنا قصة عجيبة نقلت عن الشيخ الجليل خضر شلال قدس سره تدل على لزوم تأخر الزائر عن ضريح الإمام علي الهادي عليه السلام عند زيارته أوردها العلامة النوري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جعفر آل بحر العلوم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 في شرح خطبة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أنقلها عن الأول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الجليل خضر شلال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لاريب في أرجحية التأخر عن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عليه السلام بمقدار ذراع أو أزيد عند زيارته عليه السلام ؛ لما بلغنا أنه مقدم على الشباك المنصوب في عصرنا </w:t>
      </w:r>
      <w:r>
        <w:rPr>
          <w:rStyle w:val="FootnoteAnchor"/>
          <w:rtl w:val="true"/>
        </w:rPr>
        <w:footnoteReference w:id="208"/>
      </w:r>
      <w:r>
        <w:rPr>
          <w:rFonts w:ascii="Amiri" w:hAnsi="Amiri" w:eastAsia="Amiri" w:cs="Amiri"/>
          <w:color w:val="111111"/>
          <w:sz w:val="28"/>
          <w:sz w:val="28"/>
          <w:szCs w:val="28"/>
          <w:rtl w:val="true"/>
          <w:lang w:bidi="ar-SA"/>
        </w:rPr>
        <w:t xml:space="preserve">ويرشد إليه أني تشرفت بزيارته عليه السلام مع جماعة من العلماء والصلحاء وفيهم من يحمل العلم من العلويين </w:t>
      </w:r>
      <w:r>
        <w:rPr>
          <w:rStyle w:val="FootnoteAnchor"/>
          <w:rtl w:val="true"/>
        </w:rPr>
        <w:footnoteReference w:id="209"/>
      </w:r>
      <w:r>
        <w:rPr>
          <w:rFonts w:ascii="IRNazanin" w:hAnsi="IRNazanin" w:eastAsia="IRNazanin"/>
          <w:color w:val="111111"/>
          <w:sz w:val="28"/>
          <w:sz w:val="28"/>
          <w:szCs w:val="28"/>
          <w:rtl w:val="true"/>
          <w:lang w:bidi="fa-IR"/>
        </w:rPr>
        <w:t>فأخبرني بما يقضي بتشویشه واضطرابه من أنه وقف قريبا من الضريح المشرف مستدبرا للقبلة وإذا بصوت من الضريح يأمره بالتنحي عن موقفه وماذاك إلا لذاك</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286_66292"/>
      <w:bookmarkStart w:id="200" w:name="pg7286_66292"/>
      <w:bookmarkEnd w:id="200"/>
    </w:p>
    <w:p>
      <w:pPr>
        <w:pStyle w:val="Heading2"/>
        <w:numPr>
          <w:ilvl w:val="1"/>
          <w:numId w:val="1"/>
        </w:numPr>
        <w:rPr/>
      </w:pPr>
      <w:bookmarkStart w:id="201" w:name="pg7286_66292"/>
      <w:bookmarkStart w:id="202" w:name="__RefHeading___Toc634158_1051229030"/>
      <w:bookmarkStart w:id="203" w:name="_Toc66"/>
      <w:bookmarkEnd w:id="201"/>
      <w:bookmarkEnd w:id="202"/>
      <w:r>
        <w:rPr>
          <w:rtl w:val="true"/>
        </w:rPr>
        <w:t>الرسالة الخامسة</w:t>
      </w:r>
      <w:r>
        <w:rPr>
          <w:rtl w:val="true"/>
        </w:rPr>
        <w:t xml:space="preserve">: </w:t>
      </w:r>
      <w:r>
        <w:rPr>
          <w:rtl w:val="true"/>
        </w:rPr>
        <w:t>في شرعية عبادات الصبي المميز و ما يترتب عليها من الفروع</w:t>
      </w:r>
      <w:bookmarkEnd w:id="2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634160_1051229030"/>
      <w:bookmarkStart w:id="205" w:name="_Toc67"/>
      <w:bookmarkEnd w:id="204"/>
      <w:r>
        <w:rPr>
          <w:rtl w:val="true"/>
        </w:rPr>
        <w:t>اشارة</w:t>
      </w:r>
      <w:bookmarkEnd w:id="2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286_66294"/>
      <w:bookmarkStart w:id="207" w:name="pg7286_66294"/>
      <w:bookmarkEnd w:id="207"/>
    </w:p>
    <w:p>
      <w:pPr>
        <w:pStyle w:val="BookText"/>
        <w:rPr/>
      </w:pPr>
      <w:bookmarkStart w:id="208" w:name="pg7286_66294"/>
      <w:bookmarkEnd w:id="208"/>
      <w:r>
        <w:rPr>
          <w:rFonts w:ascii="Amiri" w:hAnsi="Amiri" w:eastAsia="Amiri" w:cs="Amiri"/>
          <w:color w:val="111111"/>
          <w:sz w:val="28"/>
          <w:sz w:val="28"/>
          <w:szCs w:val="28"/>
          <w:rtl w:val="true"/>
          <w:lang w:bidi="ar-SA"/>
        </w:rPr>
        <w:t>الرسالة الخامسة</w:t>
      </w:r>
    </w:p>
    <w:p>
      <w:pPr>
        <w:pStyle w:val="BookText"/>
        <w:rPr/>
      </w:pPr>
      <w:r>
        <w:rPr>
          <w:rFonts w:ascii="Amiri" w:hAnsi="Amiri" w:eastAsia="Amiri" w:cs="Amiri"/>
          <w:color w:val="111111"/>
          <w:sz w:val="28"/>
          <w:sz w:val="28"/>
          <w:szCs w:val="28"/>
          <w:rtl w:val="true"/>
          <w:lang w:bidi="ar-SA"/>
        </w:rPr>
        <w:t>في شرعية عبادات الصبي المميز وما يترتب عليها من الفروع</w:t>
      </w:r>
    </w:p>
    <w:p>
      <w:pPr>
        <w:pStyle w:val="Heading3"/>
        <w:numPr>
          <w:ilvl w:val="2"/>
          <w:numId w:val="1"/>
        </w:numPr>
        <w:rPr/>
      </w:pPr>
      <w:bookmarkStart w:id="209" w:name="__RefHeading___Toc634162_1051229030"/>
      <w:bookmarkStart w:id="210" w:name="_Toc68"/>
      <w:bookmarkEnd w:id="209"/>
      <w:r>
        <w:rPr>
          <w:rtl w:val="true"/>
        </w:rPr>
        <w:t>تعیین محل البحث و مسلك المشهور فيه</w:t>
      </w:r>
      <w:bookmarkEnd w:id="210"/>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عبادات الصبي المميز شرعية ذات مصلحة غير ملزمة يثاب عليها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عبادات البالغين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كانت أم 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مستحبة للصبي غير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عباداتهم الواجبة تكون أشد استحبابا له من عباداتهم المستحبة، كما أن عباداتهم المكروهة بمعنى أقل ثوابا أو مزاحمة لما هو أهم تكون أخف استحبابا له كما هو ظاهر، بل كل ما كان واجبا عليهم ولو لم يكن بعبادة يكون مستحبا له، وكل ما كان محرما عليهم كذلك يكون مكروها له إلا ما اختص بهم أو خرج بدلیل خاص كما سيتضح في خلال البحث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وقبل الخوض في البحث لابد من تقديم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الصبي غير البالغ في عنوان المسألة الصبي المميز وهو الذي يفهم ويقصد ما يريد ويتكلم برأيه بما يعنيه، بحيث يعرف معاني ألفاظه بنفسه، دون الطفل الرضيع أو بعد الفطام قبل ذلك بحيث يكون تکلمه تبعا لوالديه متلقنا كل ما لقن إليه على نهج الطيور المعلمة كالطوطي؛ بداهة أن ما يصدر من هذا القبيل من الطفل لم يكن مقصودا له، مع أن المقصود بالبحث ما يكون صادرا بالقصد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العبادات في العنوان هو ما يعتبر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قصد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والامتثال كما لا يخفی، کالصلاة والصيام والطهارات الثلاث ونظائرها لا مثل إزالة النجاسات وغيرها من التوصليات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أومأنا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مطلق العبادات واجبة كانت على البالغين أم مستحبة أم مكروهة </w:t>
      </w:r>
      <w:r>
        <w:rPr>
          <w:rStyle w:val="FootnoteAnchor"/>
          <w:rtl w:val="true"/>
        </w:rPr>
        <w:footnoteReference w:id="212"/>
      </w:r>
      <w:r>
        <w:rPr>
          <w:rFonts w:ascii="Amiri" w:hAnsi="Amiri" w:eastAsia="Amiri" w:cs="Amiri"/>
          <w:color w:val="111111"/>
          <w:sz w:val="28"/>
          <w:sz w:val="28"/>
          <w:szCs w:val="28"/>
          <w:rtl w:val="true"/>
          <w:lang w:bidi="ar-SA"/>
        </w:rPr>
        <w:t>، إلا أنه ربما يقتصر في أثناء البحث على ذكر خصوص العبادات الواجبة ويستكشف منها غيرها تلويحا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الكلام من العبادات الواجبة على البالغين أو المستحبة عليهم في المقام ما يعم الكفائية، كصلاة الميت وغسله؛ فلا يختص بالعينية بقسميها من التعيينية والتخييرية، وإن كان ربما يتوهم، بل لعله يتفوه به </w:t>
      </w:r>
    </w:p>
    <w:p>
      <w:pPr>
        <w:pStyle w:val="BookText"/>
        <w:rPr/>
      </w:pPr>
      <w:r>
        <w:rPr>
          <w:rFonts w:ascii="IRNazanin" w:hAnsi="IRNazanin" w:eastAsia="IRNazanin"/>
          <w:color w:val="111111"/>
          <w:sz w:val="28"/>
          <w:sz w:val="28"/>
          <w:szCs w:val="28"/>
          <w:rtl w:val="true"/>
          <w:lang w:bidi="fa-IR"/>
        </w:rPr>
        <w:t>وسيتضح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العبادة العينية بقسميها، ما يعم مطلق البالغين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كالصلوات اليومية ونوافلها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يختص ببعضهم كما يختص بالولد الأكبر ما يجب عليه عينا من الصلوات والصيام الفائتة عن والده وسيأتي توضيح ذلك في خلال البحث إن شاء الله تبارك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شرعية عبادات الصبي المميز التي وقع الاختلاف فيها هو أنه هل تشمله مطلقات الأحكام الأولية، وتتوجه إليه بنحو غير إلزامي خطابات أوامر العبادات الواردة في الشريعة المقدسة؟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هل شرع في حقه تلك الأحكام والعبادات بحيث يصدق على ما أتی به منها امتثال الأوامر المولوية على نحو الاستحباب؟ </w:t>
      </w:r>
      <w:bookmarkStart w:id="211" w:name="pg7286_66297"/>
    </w:p>
    <w:p>
      <w:pPr>
        <w:pStyle w:val="Heading3"/>
        <w:numPr>
          <w:ilvl w:val="2"/>
          <w:numId w:val="1"/>
        </w:numPr>
        <w:rPr/>
      </w:pPr>
      <w:bookmarkStart w:id="212" w:name="__RefHeading___Toc634164_1051229030"/>
      <w:bookmarkStart w:id="213" w:name="_Toc69"/>
      <w:bookmarkEnd w:id="211"/>
      <w:bookmarkEnd w:id="212"/>
      <w:r>
        <w:rPr>
          <w:rtl w:val="true"/>
        </w:rPr>
        <w:t>الأقوال في المسألة</w:t>
      </w:r>
      <w:bookmarkEnd w:id="213"/>
    </w:p>
    <w:p>
      <w:pPr>
        <w:pStyle w:val="BookText"/>
        <w:rPr/>
      </w:pPr>
      <w:r>
        <w:rPr>
          <w:rFonts w:ascii="Amiri" w:hAnsi="Amiri" w:eastAsia="Amiri" w:cs="Amiri"/>
          <w:color w:val="111111"/>
          <w:sz w:val="28"/>
          <w:sz w:val="28"/>
          <w:szCs w:val="28"/>
          <w:rtl w:val="true"/>
          <w:lang w:bidi="ar-SA"/>
        </w:rPr>
        <w:t>ثم إن المحتملات والأقوال في عبادات الصبي المميز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عباداته شرعية أصلا، بل تمرينية محضة لا مصلحة فيها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شرعية، لكن لا من حيث عناوينها الأولية، بل شرعية تمرينية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شرعية ذات مصلحة ملزمة كعبادات البالغين </w:t>
      </w:r>
      <w:r>
        <w:rPr>
          <w:rStyle w:val="FootnoteAnchor"/>
          <w:rtl w:val="true"/>
        </w:rPr>
        <w:footnoteReference w:id="215"/>
      </w:r>
      <w:r>
        <w:rPr>
          <w:rFonts w:ascii="IRNazanin" w:hAnsi="IRNazanin" w:eastAsia="IRNazanin"/>
          <w:color w:val="111111"/>
          <w:sz w:val="28"/>
          <w:sz w:val="28"/>
          <w:szCs w:val="28"/>
          <w:rtl w:val="true"/>
          <w:lang w:bidi="fa-IR"/>
        </w:rPr>
        <w:t>مع فرق بينهما سيتضح في خلال البحث إن شاء الله تبارك وتعالی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عباداته ذات مصلحة غير ملزمة، كما عليه مشهور الأصحاب قدس سرهم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14" w:name="pg7286_66298"/>
    </w:p>
    <w:p>
      <w:pPr>
        <w:pStyle w:val="Heading3"/>
        <w:numPr>
          <w:ilvl w:val="2"/>
          <w:numId w:val="1"/>
        </w:numPr>
        <w:rPr/>
      </w:pPr>
      <w:bookmarkStart w:id="215" w:name="__RefHeading___Toc634166_1051229030"/>
      <w:bookmarkStart w:id="216" w:name="_Toc70"/>
      <w:bookmarkEnd w:id="214"/>
      <w:bookmarkEnd w:id="215"/>
      <w:r>
        <w:rPr>
          <w:rtl w:val="true"/>
        </w:rPr>
        <w:t>الكلام حول القول الأول</w:t>
      </w:r>
      <w:bookmarkEnd w:id="216"/>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عباداته ليست بذات مصلحة أصلا لا ملزمة ولا غير ملزمة وأنه لم يوجه إليه خطاب من قبل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لا وجوبا ولا ندبا، ولا مستقيما ولا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سيظهر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فليست عباداته شرعية، بل تمرينية محضة بمعنى أنه لا خطاب ولا ملاك في عباداته حتى ملاك التمرين وأن الشارع تعالی أهمله كالمجانين والبهائم؛ وذلك لعدم شمول الأدلة العامة الأولية والمطلقات الدالة على الأحكام </w:t>
      </w:r>
      <w:r>
        <w:rPr>
          <w:rStyle w:val="FootnoteAnchor"/>
          <w:rtl w:val="true"/>
        </w:rPr>
        <w:footnoteReference w:id="217"/>
      </w:r>
      <w:r>
        <w:rPr>
          <w:rFonts w:ascii="Amiri" w:hAnsi="Amiri" w:eastAsia="Amiri" w:cs="Amiri"/>
          <w:color w:val="111111"/>
          <w:sz w:val="28"/>
          <w:sz w:val="28"/>
          <w:szCs w:val="28"/>
          <w:rtl w:val="true"/>
          <w:lang w:bidi="ar-SA"/>
        </w:rPr>
        <w:t xml:space="preserve">للصبي أو انصرافها عنه </w:t>
      </w:r>
      <w:r>
        <w:rPr>
          <w:rStyle w:val="FootnoteAnchor"/>
          <w:rtl w:val="true"/>
        </w:rPr>
        <w:footnoteReference w:id="218"/>
      </w:r>
      <w:r>
        <w:rPr>
          <w:rFonts w:ascii="Amiri" w:hAnsi="Amiri" w:eastAsia="Amiri" w:cs="Amiri"/>
          <w:color w:val="111111"/>
          <w:sz w:val="28"/>
          <w:sz w:val="28"/>
          <w:szCs w:val="28"/>
          <w:rtl w:val="true"/>
          <w:lang w:bidi="ar-SA"/>
        </w:rPr>
        <w:t>وعليه لا يدخل الصبي في موضوع تلك الأحكام المذكورة، بل يكون خارجا عنها تخصصا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شمولها للصبي المميز وعدم انصرافها عنه،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يخصصها ويقيدها ما يدل على رفع القلم عنه من نصوص معتبرة سنذكر بعضها عن قريب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يخرج الصبي أيضا عن تلك العمومات والمطلقات، لكن تخصيصا لا تخصصا، و تختص أحكامها واجبة كانت أم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بالبالغين؛ إذ كما أن مقتضی وضع قلم التكليف عند البلوغ هو إثبات مطلق التكاليف الواجبة </w:t>
      </w:r>
    </w:p>
    <w:p>
      <w:pPr>
        <w:pStyle w:val="BookText"/>
        <w:rPr/>
      </w:pPr>
      <w:r>
        <w:rPr>
          <w:rFonts w:ascii="IRNazanin" w:hAnsi="IRNazanin" w:eastAsia="IRNazanin"/>
          <w:color w:val="111111"/>
          <w:sz w:val="28"/>
          <w:sz w:val="28"/>
          <w:szCs w:val="28"/>
          <w:rtl w:val="true"/>
          <w:lang w:bidi="fa-IR"/>
        </w:rPr>
        <w:t xml:space="preserve">والمستحبة في حق البالغين، كذلك يكون مقتضی رفع قلم التكليف قبل البلوغ هو رفع مطلقها في حق غير البالغين، فيكون حال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ولو كان مميزا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المجنون والصبي غير المميز في عدم كون عباداته شرعية بالمرة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وردت في المقام خطابات خاصة موجهة إلى أولياء الصبيان المميزين غير تلك الخطابات الأولية تأمرهم بأن يأمروا صبيانهم بالعبادة نظير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مروهم بالصلاة وهم أبناء سبع</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وإن قد يستدل بها لشرعية عباداتهم، لكنها وردت للتمرين المحض ولم ترد لأن يأمر الأولياء صبيانهم بالعبادة لمصلحة في نفسها، بل وردت لأن يأمروهم بها لأن يتمرنوا ويتعودوا بها لكيلا يكون إتيانها ثقيلا عليهم بعد البلوغ، ففي الحقيقة يستحب ذلك للأولياء وهم يثابون في أن يمرنوهم ويعودوهم على العبادة، ولا استحباب ولا ثواب للصبیان، فلا ملاك العبادتهم ولا خطاب لهم بها من ناحية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وجوبا ولا ندبا ، فلا تستفاد شرعية عباداتهم من جهة هذه الخطابات أيضا، فلا وجه للقول بأن عبادات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كانوا ممیزین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غاية ما يستدل به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الخطابات الأولية تشمل بعمومها وإطلاقها العرفي غير </w:t>
      </w:r>
    </w:p>
    <w:p>
      <w:pPr>
        <w:pStyle w:val="BookText"/>
        <w:rPr/>
      </w:pPr>
      <w:r>
        <w:rPr>
          <w:rFonts w:ascii="IRNazanin" w:hAnsi="IRNazanin" w:eastAsia="IRNazanin"/>
          <w:color w:val="111111"/>
          <w:sz w:val="28"/>
          <w:sz w:val="28"/>
          <w:szCs w:val="28"/>
          <w:rtl w:val="true"/>
          <w:lang w:bidi="fa-IR"/>
        </w:rPr>
        <w:t xml:space="preserve">البالغين کشمولها للبالغين من غير فرق ولا انصراف فيها منهم إليهم؛ لأن من المعلوم بداهة أن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يتخذ في مقام تبليغ الأحكام طريقا خاصا يخالف طريق أهل العرف الذين لا يفرقون في توجيه الخطاب بين البالغين والمميزين من غير البالغين، بل ليست طريقته تعالى في ذلك إلا طريقتهم، ولذا يكون المعيار في مداليل الألفاظ الشرعية هو فهم العرف الذي ببابك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رفع القلم وإن كان ظاهره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رفع قلم مطلق التكليف حتى الاستحباب عن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مصلحة لعباداته أصلا لا ملزمة ولا غير ملزمة؛ فإن الأحكام 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التحقيق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بمركبات حتى يبقى بعد رفع بعض أجزاءها بعضها الآخر، بل هي بسائط يرتفع أصلها بالمرة بمجرد الرفع، إلا أنه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بقرائن مقامية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رفع خصوص الوجوب والمصلحة الملزمة الحاصلة للعبادات الواجبة على البالغين، وأن الإلزام والإيجاب مرفوع عنه فقط، دون الاستحباب والندب؛ فالعبادات وإن كانت واجبة في حق البالغين، تكون بمقتضی حدیث رفع القلم وبمعونة القرائن الحالية والمقامية التي منها الامتنان، مستحبة في حق الصبي المميز، كما في رفع التكليف في باب الحرج على المشهور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الخطابات الخاصة وإن كانت موجهة إلى الأولياء بأمرهم صبيانهم بالعبادة، لكنها في الحقيقة موجهة إلى الصبیان، وأن الأمر الوارد بأمر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الصبيان بالعبادة أمر بعبادة الصبيان واقعا؛ لما حقق في الأصول </w:t>
      </w:r>
      <w:r>
        <w:rPr>
          <w:rStyle w:val="FootnoteAnchor"/>
          <w:rtl w:val="true"/>
        </w:rPr>
        <w:footnoteReference w:id="221"/>
      </w:r>
      <w:r>
        <w:rPr>
          <w:rFonts w:ascii="IRNazanin" w:hAnsi="IRNazanin" w:eastAsia="IRNazanin"/>
          <w:color w:val="111111"/>
          <w:sz w:val="28"/>
          <w:sz w:val="28"/>
          <w:szCs w:val="28"/>
          <w:rtl w:val="true"/>
          <w:lang w:bidi="fa-IR"/>
        </w:rPr>
        <w:t>من أن الأمر بالأمر بالشيء أمر بذلك الشيء حقيقة؛ فعبادة الصبي المميز تكون من جهة هذه الخطابات الخاصة أيضا ذات مصلحة غير ملزمة لهم فتكون شرعية، وسيأتي إن شاء الله تعالی تفصيل ذلك عند بيان القول الرابع</w:t>
      </w:r>
      <w:r>
        <w:rPr>
          <w:rFonts w:eastAsia="IRNazanin" w:cs="IRNazanin"/>
          <w:color w:val="111111"/>
          <w:sz w:val="28"/>
          <w:szCs w:val="28"/>
          <w:rtl w:val="true"/>
          <w:lang w:bidi="fa-IR"/>
        </w:rPr>
        <w:t xml:space="preserve">. </w:t>
      </w:r>
      <w:bookmarkStart w:id="217" w:name="pg7286_66302"/>
    </w:p>
    <w:p>
      <w:pPr>
        <w:pStyle w:val="Heading3"/>
        <w:numPr>
          <w:ilvl w:val="2"/>
          <w:numId w:val="1"/>
        </w:numPr>
        <w:rPr/>
      </w:pPr>
      <w:bookmarkStart w:id="218" w:name="__RefHeading___Toc634168_1051229030"/>
      <w:bookmarkStart w:id="219" w:name="_Toc71"/>
      <w:bookmarkEnd w:id="217"/>
      <w:bookmarkEnd w:id="218"/>
      <w:r>
        <w:rPr>
          <w:rtl w:val="true"/>
        </w:rPr>
        <w:t>الكلام حول القول الثاني</w:t>
      </w:r>
      <w:bookmarkEnd w:id="219"/>
    </w:p>
    <w:p>
      <w:pPr>
        <w:pStyle w:val="BookText"/>
        <w:rPr/>
      </w:pPr>
      <w:r>
        <w:rPr>
          <w:rFonts w:ascii="IRNazanin" w:hAnsi="IRNazanin" w:eastAsia="IRNazanin"/>
          <w:color w:val="111111"/>
          <w:sz w:val="28"/>
          <w:sz w:val="28"/>
          <w:szCs w:val="28"/>
          <w:rtl w:val="true"/>
          <w:lang w:bidi="fa-IR"/>
        </w:rPr>
        <w:t>وأما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عباداته ليست تمرينية محضة ولا شرعية أصلية، بل تكون شرعية تمرينية، يأتي بها بعنوان التعود وتمرين النفس، لا بعنوانها الأولي؛ فإن للعبادة عنوانین، والصبي المميز إما يشرع له أن يأتي بها بعنوان التمرين والتعود حتى لا تشق عليه بعد البلوغ، لا بعنوانها الأصلي الذي شرعت العبادة لذلك العنوان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في هذا القول ليس مشروعية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صلاة، بل من حيث حصول التمرين والتعود في كل يوم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دعوی بلا بينة؛ إذ لا دليل يدل على ذلك بالخصوص؛ فإن مقتضی شمول أدلة الأحكام الأولية لعبادة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الصحيح المختار و أومأنا إليه و سيأتي شرحه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مشروعيتها بالعنوان الأولي الأصلي، لا بهذا العنوان الفرعي التمريني</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ستذكر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أنه على الأولياء أن يأمروا الصبيان بإتيان الصلاة لمصلحة التمرين،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موجهة إلى الأولياء لا إلى الصبيان، بمعنى أنه يستحب للأولياء أن يأمروا الصبیان بها المصلحة التمرين، مضافا إلى أن المشروعية بهذا المعنى لا تجزي ولا تغني عن عبادة البالغين، فلا تترتب عليها الفروع المترتبة على المشروعية بالمعنى المشهور المنصور بالبيان الآتي إن شاء الله تبارك وتعالی</w:t>
      </w:r>
      <w:r>
        <w:rPr>
          <w:rFonts w:eastAsia="IRNazanin" w:cs="IRNazanin"/>
          <w:color w:val="111111"/>
          <w:sz w:val="28"/>
          <w:szCs w:val="28"/>
          <w:rtl w:val="true"/>
          <w:lang w:bidi="fa-IR"/>
        </w:rPr>
        <w:t xml:space="preserve">. </w:t>
      </w:r>
      <w:bookmarkStart w:id="220" w:name="pg7286_66303"/>
    </w:p>
    <w:p>
      <w:pPr>
        <w:pStyle w:val="Heading3"/>
        <w:numPr>
          <w:ilvl w:val="2"/>
          <w:numId w:val="1"/>
        </w:numPr>
        <w:rPr/>
      </w:pPr>
      <w:bookmarkStart w:id="221" w:name="__RefHeading___Toc634170_1051229030"/>
      <w:bookmarkStart w:id="222" w:name="_Toc72"/>
      <w:bookmarkEnd w:id="220"/>
      <w:bookmarkEnd w:id="221"/>
      <w:r>
        <w:rPr>
          <w:rtl w:val="true"/>
        </w:rPr>
        <w:t>الكلام حول القول الثالث</w:t>
      </w:r>
      <w:bookmarkEnd w:id="2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عباداته شرعية ذات مصلحة ملزمة؛ وذلك لشمول الأدلة العامة وإطلاقات الأوامر المتعلقة بالعبادات لها وعدم انصرافها عنها بالتقريب المتقدم، إلا أن المقيدات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مادل على رفع القلم عن الصبي حتى يبلغ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رفع تنجزها وإيجابها عنه تلطفا وامتنانا ، مع بقاء المصلحة الملزمة على حالها؛ فالصبي المميز عند أرباب هذا القول خرج بمعونة هذه المقيدات عن موضوع تلك الأوامر والتكاليف الإلزامية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المصلحة الملزمة بحالها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بالتخصيص لا بالتخصص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هو </w:t>
      </w:r>
      <w:r>
        <w:rPr>
          <w:rStyle w:val="FootnoteAnchor"/>
          <w:rtl w:val="true"/>
        </w:rPr>
        <w:footnoteReference w:id="224"/>
      </w:r>
      <w:r>
        <w:rPr>
          <w:rFonts w:ascii="Amiri" w:hAnsi="Amiri" w:eastAsia="Amiri" w:cs="Amiri"/>
          <w:color w:val="111111"/>
          <w:sz w:val="28"/>
          <w:sz w:val="28"/>
          <w:szCs w:val="28"/>
          <w:rtl w:val="true"/>
          <w:lang w:bidi="ar-SA"/>
        </w:rPr>
        <w:t xml:space="preserve">الحال في القول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استئناف العبادة التي يبلغ الصبي في أثنائها، وكذا العبادة المأتي بها بتمامها قبل البلوغ ثم بلغ بعد إتمامها في الوقت؛ وذلك لأن المصلحة الملزمة على الفرض فيما أتی به في مفروض الفرعين موجودة وإنما التنجز كان مرتفعا عنه بحديث رفع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باب الحرج 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القول الأول والثاني، فإنه يترتب عليهما </w:t>
      </w:r>
    </w:p>
    <w:p>
      <w:pPr>
        <w:pStyle w:val="BookText"/>
        <w:rPr/>
      </w:pPr>
      <w:r>
        <w:rPr>
          <w:rFonts w:ascii="IRNazanin" w:hAnsi="IRNazanin" w:eastAsia="IRNazanin"/>
          <w:color w:val="111111"/>
          <w:sz w:val="28"/>
          <w:sz w:val="28"/>
          <w:szCs w:val="28"/>
          <w:rtl w:val="true"/>
          <w:lang w:bidi="fa-IR"/>
        </w:rPr>
        <w:t>وجوب الاستئناف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لفرض عدم وجود المصلحة فيها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فلان ما أتى به إنما كان بعنوان التمرين ولم يتعلق به الأمر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بخلاف القول الرابع الآتي شرحه إن شاء الله تعالى؛ لفرض عدم المصلحة الملزمة فيها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الملزمة ترتفع برفع التنجز والإيجاب، والقول ببقائها بعد الرفع عجیب وإن كان الرفع من باب الامتنان والتلطف، بداهة أن بقاء الإلزام مع رفع الإيجاب غير معقول،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التكليفية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اشتهر في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بمركبة من الأجناس والفصول، بل بسائط بحتة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مثلا غير قابلة لا للتجزئة إلى طلب ومنع من الترك ولا للتقسيم إلى إلزام ومحبوبية حتى تبقى المحبوبية عند ارتفاع الإلزام، نظير ما قد يذكر في محله </w:t>
      </w:r>
      <w:r>
        <w:rPr>
          <w:rStyle w:val="FootnoteAnchor"/>
          <w:rtl w:val="true"/>
        </w:rPr>
        <w:footnoteReference w:id="227"/>
      </w:r>
      <w:r>
        <w:rPr>
          <w:rFonts w:ascii="Amiri" w:hAnsi="Amiri" w:eastAsia="Amiri" w:cs="Amiri"/>
          <w:color w:val="111111"/>
          <w:sz w:val="28"/>
          <w:sz w:val="28"/>
          <w:szCs w:val="28"/>
          <w:rtl w:val="true"/>
          <w:lang w:bidi="ar-SA"/>
        </w:rPr>
        <w:t>من أنه إذا نسخ الوجوب بقي الجواز</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الوجوب عند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اشتهر قدیما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طلب الفعل مع المنع من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الحرمة ليست طلب الترك مع المنع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مركبا من الطلب والمنع حتى يرتفع المنع بحديث رفع القلم ويبقى الطلب بحاله، بل الوجوب عبارة عن البعث الشديد إلى الفعل، كما أن الحرمة عبارة عن الزجر الشديد عنه </w:t>
      </w:r>
      <w:r>
        <w:rPr>
          <w:rStyle w:val="FootnoteAnchor"/>
          <w:rtl w:val="true"/>
        </w:rPr>
        <w:footnoteReference w:id="228"/>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كلا من البعث والزجر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مرکبین ، بل أمران بسيطان لهما مراتب فينتزع الوجوب من المرتبة الشديدة من البعث، والندب من الخفيفة منه، وكذا الحرمة من المرتبة الشديدة من الزجر، والكراهة من الخفيفة منه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الإباحة فهي عبارة عن حكم الشارع بالرخص في الفعل والترك </w:t>
      </w:r>
      <w:r>
        <w:rPr>
          <w:rStyle w:val="FootnoteAnchor"/>
          <w:rtl w:val="true"/>
        </w:rPr>
        <w:footnoteReference w:id="229"/>
      </w:r>
      <w:r>
        <w:rPr>
          <w:rFonts w:ascii="IRNazanin" w:hAnsi="IRNazanin" w:eastAsia="IRNazanin"/>
          <w:color w:val="111111"/>
          <w:sz w:val="28"/>
          <w:sz w:val="28"/>
          <w:szCs w:val="28"/>
          <w:rtl w:val="true"/>
          <w:lang w:bidi="fa-IR"/>
        </w:rPr>
        <w:t xml:space="preserve">، لا مجرد عدم حکم اقتضائي كما قد يتوهم، فهذا التعريف عن الإباحة يدفع ما ربما يتفوه به من أن الإباحة من بين الأحكام الخمسة التكليفية ليست بحكم شرعي، فعليه لو ارتفع في المقام بحديث رفع القلم وجوب العبادات والبعث الشديد إليها المستتبع لرفع مصالحها عن الصبي المميز فلا بد من أن يرفع الوجوب بالمرة وترتفع المصالح بحذافيرها حتى غير الملزمة فضلا عن الملزمة، فلا تبقى هناك </w:t>
      </w:r>
    </w:p>
    <w:p>
      <w:pPr>
        <w:pStyle w:val="BookText"/>
        <w:rPr/>
      </w:pPr>
      <w:r>
        <w:rPr>
          <w:rFonts w:ascii="Amiri" w:hAnsi="Amiri" w:eastAsia="Amiri" w:cs="Amiri"/>
          <w:color w:val="111111"/>
          <w:sz w:val="28"/>
          <w:sz w:val="28"/>
          <w:szCs w:val="28"/>
          <w:rtl w:val="true"/>
          <w:lang w:bidi="ar-SA"/>
        </w:rPr>
        <w:t>مصلحة لا ملزمة ولا غير ملزمة، فيرجع هذا القول إلى القول الأول الذي اتضح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الأعلام قدس سره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من المدركات العقلية وليست مجعولة للشارع مباشرة، بل جعله تعالى للأحكام إنما هو نفس اعتباره شيئا على ذمة المكلفين يكون منشأ لانتزاع تلك الأحكام، فينتزع العقل الأحكام الخمسة من ذلك الاعتبار الشرعي، غاية الأمر إن نصب الشارع قرينة على الترخيص في الترك، ينتزع العقل منه الاستحباب وإن لم ينصب قرينة عليه، ينتزع منه الوجوب، فلا معنى لرفع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الإلزام العقلي بحديث رفع القلم، ولكن لا يخلو هذا من تأمل لو لم نقل من منع، والتفصيل موكول إلى محله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التحقيق العميق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بساطة الأحكام وارتفاعها بالحديث بالمرة وعدم بقاء شيء منها بعد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غير قابل للإنكار، إلا أن في المقام قرائن حالية وشواهد 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أن رفع قلم التكليف في الحديث إنما هو من باب الامتنان، ومقتضاه رفع الإلزام لا رفع أصل الحكم برمته، نظير رفع التكليف في باب الحرج عند المشهور؛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بمعونة القرائن إلى ارتفاع الإلزام وبقاء الملاك ولذا قالوا بأنه لو تحمل المكلف هنالك الحرج وأتي بالعمل الحرجي يكون العمل صحيحا مجزيا لا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غبار عليه، كذلك في المقام يكون عمل الصبي المميز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رفع القلم عنه امتنانا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شرعيا لا غبار عليه، ولذا عرفت وستعرف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تبارك وتقدس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رفع القلم منصرف إلى رفع المصلحة الملزمة لا مطلق المصلحة حتى غير الملزمة، ولعله إلى ما ذكرنا يرجع ما قد يقال </w:t>
      </w:r>
      <w:r>
        <w:rPr>
          <w:rStyle w:val="FootnoteAnchor"/>
          <w:rtl w:val="true"/>
        </w:rPr>
        <w:footnoteReference w:id="231"/>
      </w:r>
      <w:r>
        <w:rPr>
          <w:rFonts w:ascii="Amiri" w:hAnsi="Amiri" w:eastAsia="Amiri" w:cs="Amiri"/>
          <w:color w:val="111111"/>
          <w:sz w:val="28"/>
          <w:sz w:val="28"/>
          <w:szCs w:val="28"/>
          <w:rtl w:val="true"/>
          <w:lang w:bidi="ar-SA"/>
        </w:rPr>
        <w:t>من أن الإنصاف أن حديث الرفع، وإن كان ظاهره بحسب المتفاهم العرفي رفع مشروعية عبادات الصبي المميز بالمرة مطلقا ، لكن القرائن المقامية قائمة على أن المراد منه رفع خصوص العبادات الإلزامية لا مطلقها لكي تشمل غير الإلزامية أيضا</w:t>
      </w:r>
      <w:r>
        <w:rPr>
          <w:rFonts w:eastAsia="Amiri" w:cs="Amiri" w:ascii="Amiri" w:hAnsi="Amiri"/>
          <w:color w:val="111111"/>
          <w:sz w:val="28"/>
          <w:szCs w:val="28"/>
          <w:rtl w:val="true"/>
          <w:lang w:bidi="ar-SA"/>
        </w:rPr>
        <w:t xml:space="preserve">. </w:t>
      </w:r>
      <w:bookmarkStart w:id="223" w:name="pg7286_66308"/>
    </w:p>
    <w:p>
      <w:pPr>
        <w:pStyle w:val="Heading3"/>
        <w:numPr>
          <w:ilvl w:val="2"/>
          <w:numId w:val="1"/>
        </w:numPr>
        <w:rPr/>
      </w:pPr>
      <w:bookmarkStart w:id="224" w:name="__RefHeading___Toc634172_1051229030"/>
      <w:bookmarkStart w:id="225" w:name="_Toc73"/>
      <w:bookmarkEnd w:id="223"/>
      <w:bookmarkEnd w:id="224"/>
      <w:r>
        <w:rPr>
          <w:rtl w:val="true"/>
        </w:rPr>
        <w:t>الكلام حول القول الرابع وهو المختار</w:t>
      </w:r>
      <w:bookmarkEnd w:id="225"/>
    </w:p>
    <w:p>
      <w:pPr>
        <w:pStyle w:val="BookText"/>
        <w:rPr/>
      </w:pPr>
      <w:r>
        <w:rPr>
          <w:rFonts w:ascii="Amiri" w:hAnsi="Amiri" w:eastAsia="Amiri" w:cs="Amiri"/>
          <w:color w:val="111111"/>
          <w:sz w:val="28"/>
          <w:sz w:val="28"/>
          <w:szCs w:val="28"/>
          <w:rtl w:val="true"/>
          <w:lang w:bidi="ar-SA"/>
        </w:rPr>
        <w:t xml:space="preserve">وأما القول الرابع فهو الصحيح المختار 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مشروعية عباداته من دون مصلحة ملزمة لها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أن تكون عباداته شرعية مندوبة حتى إذا كانت واجبة على غيره من البالغين؛ وذلك لوجوه تقدمت الإشارة إليها خلال البحث عن الأقوال الثلاثة نقضا وإبراما ، ونعيدها هاهنا مع مزید توضیح</w:t>
      </w:r>
      <w:r>
        <w:rPr>
          <w:rFonts w:eastAsia="IRNazanin" w:cs="IRNazanin"/>
          <w:color w:val="111111"/>
          <w:sz w:val="28"/>
          <w:szCs w:val="28"/>
          <w:rtl w:val="true"/>
          <w:lang w:bidi="fa-IR"/>
        </w:rPr>
        <w:t>.</w:t>
      </w:r>
    </w:p>
    <w:p>
      <w:pPr>
        <w:pStyle w:val="Heading3"/>
        <w:numPr>
          <w:ilvl w:val="2"/>
          <w:numId w:val="1"/>
        </w:numPr>
        <w:rPr/>
      </w:pPr>
      <w:bookmarkStart w:id="226" w:name="__RefHeading___Toc634174_1051229030"/>
      <w:bookmarkStart w:id="227" w:name="_Toc74"/>
      <w:bookmarkEnd w:id="226"/>
      <w:r>
        <w:rPr>
          <w:rtl w:val="true"/>
        </w:rPr>
        <w:t>وجوه الاستدلال على المختار</w:t>
      </w:r>
      <w:bookmarkEnd w:id="227"/>
    </w:p>
    <w:p>
      <w:pPr>
        <w:pStyle w:val="Heading3"/>
        <w:numPr>
          <w:ilvl w:val="2"/>
          <w:numId w:val="1"/>
        </w:numPr>
        <w:rPr/>
      </w:pPr>
      <w:bookmarkStart w:id="228" w:name="__RefHeading___Toc634176_1051229030"/>
      <w:bookmarkStart w:id="229" w:name="_Toc75"/>
      <w:bookmarkEnd w:id="228"/>
      <w:r>
        <w:rPr>
          <w:rtl w:val="true"/>
        </w:rPr>
        <w:t>الوجه الأول</w:t>
      </w:r>
      <w:bookmarkEnd w:id="2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فلكون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 لنفس عمومات الأوامر الأولية و إطلاقاتها المتعلقة بالعبادات؛ فإنها تشمل غير البالغين کشمولها للبالغين من غير مخصص ولا مقيد لتلك العمومات والإطلاقات، ومن غير انصرافها إلى البالغين </w:t>
      </w:r>
      <w:r>
        <w:rPr>
          <w:rStyle w:val="FootnoteAnchor"/>
          <w:rtl w:val="true"/>
        </w:rPr>
        <w:footnoteReference w:id="232"/>
      </w:r>
      <w:r>
        <w:rPr>
          <w:rFonts w:ascii="Amiri" w:hAnsi="Amiri" w:eastAsia="Amiri" w:cs="Amiri"/>
          <w:color w:val="111111"/>
          <w:sz w:val="28"/>
          <w:sz w:val="28"/>
          <w:szCs w:val="28"/>
          <w:rtl w:val="true"/>
          <w:lang w:bidi="ar-SA"/>
        </w:rPr>
        <w:t xml:space="preserve">وقد تقدم أن دعوى الانصراف إلى خصوصهم غير مسموعة؛ بداهة عدم اتخاذ الشارع المقدس في مقام تبليغ الأحكام وتوجيه الخطابات طريقا </w:t>
      </w:r>
    </w:p>
    <w:p>
      <w:pPr>
        <w:pStyle w:val="BookText"/>
        <w:rPr/>
      </w:pPr>
      <w:r>
        <w:rPr>
          <w:rFonts w:ascii="Amiri" w:hAnsi="Amiri" w:eastAsia="Amiri" w:cs="Amiri"/>
          <w:color w:val="111111"/>
          <w:sz w:val="28"/>
          <w:sz w:val="28"/>
          <w:szCs w:val="28"/>
          <w:rtl w:val="true"/>
          <w:lang w:bidi="ar-SA"/>
        </w:rPr>
        <w:t>خاصا يغاير طريق أهل العرف والمحاورة، بل تقدم أن طريقته تعالى في ذلك عين طريقتهم المتداولة وهي أنهم لا يفرقون في توجيه الخطابات بين البالغين وغير البالغين، بل لا يفهمون البلوغ، والملاك عندهم في التوجيه هو التمييز الشامل للبالغ وغير البالغ؛ إذ البلوغ من مخترعات الشرع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مناسبة الحكم والموضوع أن المراد من غير البالغين خصوص المميزين منهم؛ بداهة أن غير المميزين منهم غير قابلين لتوجيه الخطاب إليهم، كالمجانين</w:t>
      </w:r>
    </w:p>
    <w:p>
      <w:pPr>
        <w:pStyle w:val="BookText"/>
        <w:rPr/>
      </w:pPr>
      <w:r>
        <w:rPr>
          <w:rFonts w:ascii="Amiri" w:hAnsi="Amiri" w:eastAsia="Amiri" w:cs="Amiri"/>
          <w:color w:val="111111"/>
          <w:sz w:val="28"/>
          <w:sz w:val="28"/>
          <w:szCs w:val="28"/>
          <w:rtl w:val="true"/>
          <w:lang w:bidi="ar-SA"/>
        </w:rPr>
        <w:t>والبهائم، كما أن الأمر كذلك في عرف أهل المحاورة وأنهم لا يوجهون خطاباتهم إلى غير المميزين منهم، كما لا يوجهونها إلى المجانين والبهائم، وهو ظاهر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ثبت من هذا الوجه بعض المدعي وهو مجرد نفس شرعية جمیع عبادات الصبي المميز، ولم يثبت منه تمام المدعي وهو كون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مستحبة أيضا، إذ يمكن أن يتوهم من مساواة البالغين مع المميزين في الخطابات أن في عبادات المميزين ما ربما يكون واجبا، كما في عبادات البالغين، مع أن تمام المدعى والمطلوب کون جمیع عبادات المميزين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الواجبة على البالغين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مستحبة عليهم، ولكن يمكن استفادة استحباب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تمام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مناسبة الحكم والموضوع واستظهار أن غیر البالغين لا يناسب أن يكون في عباداتهم ما يجب عليهم کالبالغين، بل لعله يمكن استفادة ذلك من اتحاد طريقة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طريقة أهل العرف؛ </w:t>
      </w:r>
      <w:bookmarkStart w:id="230" w:name="pg7286_66310"/>
    </w:p>
    <w:p>
      <w:pPr>
        <w:pStyle w:val="BookText"/>
        <w:rPr/>
      </w:pPr>
      <w:bookmarkEnd w:id="230"/>
      <w:r>
        <w:rPr>
          <w:rFonts w:ascii="IRNazanin" w:hAnsi="IRNazanin" w:eastAsia="IRNazanin"/>
          <w:color w:val="111111"/>
          <w:sz w:val="28"/>
          <w:sz w:val="28"/>
          <w:szCs w:val="28"/>
          <w:rtl w:val="true"/>
          <w:lang w:bidi="fa-IR"/>
        </w:rPr>
        <w:t xml:space="preserve">بتقريب أن الطريقة الممضاة هي أن أهل المحاورة، وإن كانوا لا يفرقون بين المميزين والبالغين في توجيه الخطابات، لكنهم لا يريدون من المميزين طبعا ما يريدون من البالغين في ضمن خطاباتهم من البعث الشديد الذي ينتزع منه الوجوب، بل يريدون من المميزين في ضمن خطاباتهم البعث الخفيف المنتزع منه الاستحباب، فثبت من هذا الوجه مع الضميمتين أن عبادات الصبي المميز مطلقا كما تكون شرعية تكون مستحبة أيضا برمتها، ولا سيما بعد ملاحظة انضمام الوجه التالي إلى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به حدیث رفع قلم التكليف الإلزامي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المطلوب بتمام المدعي</w:t>
      </w:r>
      <w:r>
        <w:rPr>
          <w:rFonts w:eastAsia="IRNazanin" w:cs="IRNazanin"/>
          <w:color w:val="111111"/>
          <w:sz w:val="28"/>
          <w:szCs w:val="28"/>
          <w:rtl w:val="true"/>
          <w:lang w:bidi="fa-IR"/>
        </w:rPr>
        <w:t>.</w:t>
      </w:r>
    </w:p>
    <w:p>
      <w:pPr>
        <w:pStyle w:val="Heading3"/>
        <w:numPr>
          <w:ilvl w:val="2"/>
          <w:numId w:val="1"/>
        </w:numPr>
        <w:rPr/>
      </w:pPr>
      <w:bookmarkStart w:id="231" w:name="__RefHeading___Toc634178_1051229030"/>
      <w:bookmarkStart w:id="232" w:name="_Toc76"/>
      <w:bookmarkEnd w:id="231"/>
      <w:r>
        <w:rPr>
          <w:rtl w:val="true"/>
        </w:rPr>
        <w:t>الوجه الثاني</w:t>
      </w:r>
      <w:bookmarkEnd w:id="232"/>
    </w:p>
    <w:p>
      <w:pPr>
        <w:pStyle w:val="BookText"/>
        <w:rPr/>
      </w:pPr>
      <w:r>
        <w:rPr>
          <w:rFonts w:ascii="IRNazanin" w:hAnsi="IRNazanin" w:eastAsia="IRNazanin"/>
          <w:color w:val="111111"/>
          <w:sz w:val="28"/>
          <w:sz w:val="28"/>
          <w:szCs w:val="28"/>
          <w:rtl w:val="true"/>
          <w:lang w:bidi="fa-IR"/>
        </w:rPr>
        <w:t>وأما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فلوجود حدیث رفع القلم امتنانا عن الصبي حتى يبلغ؛ فإن مقتضاه خروج الصبي المميز تخصیصا عن تلك العمومات والإطلاقات الأولية التي قربنا شمولها بطبعها له بالتقاريب المتقدمة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رفع الأحكام العامة الأولية عن الصبي المميز، وقد حقق و فضل بما لا مزيد عليه أن الأحكام التكليفية الخمسة كلها بسائط وليست بمركبات،ومقتضی رفع البسيط هو رفعه بالمرة من غير أن يبقى منه شيء إلا أن هناك قرائن مقامية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كون رفع القلم عنه للامتنان، كرفع التكليف في باب الحرج عن البالغين 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المرفوع من الأحكام خصوص </w:t>
      </w:r>
      <w:bookmarkStart w:id="233" w:name="pg7286_66311"/>
    </w:p>
    <w:p>
      <w:pPr>
        <w:pStyle w:val="BookText"/>
        <w:rPr/>
      </w:pPr>
      <w:bookmarkEnd w:id="233"/>
      <w:r>
        <w:rPr>
          <w:rFonts w:ascii="Amiri" w:hAnsi="Amiri" w:eastAsia="Amiri" w:cs="Amiri"/>
          <w:color w:val="111111"/>
          <w:sz w:val="28"/>
          <w:sz w:val="28"/>
          <w:szCs w:val="28"/>
          <w:rtl w:val="true"/>
          <w:lang w:bidi="ar-SA"/>
        </w:rPr>
        <w:t xml:space="preserve">لزومها ووجوبها دون أصلها، فلا يجب عليه ما يجب على البالغين، بل يستحب له ذلك، وأما ما كان مستحبا لهم فهو باق على استحبابه له، غاية الأمر يكون أخف استحبابا له من الأول، كما أن العبادة المكروهة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أقل ثوابا أو مزاحمه لما هو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أخف استحبابا له من المرتبتين، وفي الحقيقة رفع عن الصبي المميز ما كان واجبا على البالغين فصار مستحبا له، وما كان مستحبا لهم صار أخف استحبابا له، و هكذا كل ذلك مستفاد مما يستظهر من مناسبة الحكم والموضوع، فليتدبر</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634180_1051229030"/>
      <w:bookmarkStart w:id="235" w:name="_Toc77"/>
      <w:bookmarkEnd w:id="234"/>
      <w:r>
        <w:rPr>
          <w:rtl w:val="true"/>
        </w:rPr>
        <w:t>الوجه الثالث</w:t>
      </w:r>
      <w:bookmarkEnd w:id="235"/>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في نصوص خاصة معتبرة أن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سبيل الندب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يستظهر من قرائن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الصبيان بأمر صبيانهم بالصلاة،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وإليك بعض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يترك حتى يتم له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إذا كانوا أبناء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صبيانكم بالصلاة إذا كانوا أبناء عشر سنين، والحديث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بلغوا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حقق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أومأنا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بالأمر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كان أم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بذلك الشيء كذلك حقيقة، فيستفاد من هذه النصوص أن الصبيان مأمورون بالصلاة ندبا وأن الأولياء أمروا بأن يأمروا صبيانهم بنفس الصلاة، وأن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أمر الصبیان بنفس الصلاة بوجه غیر مستقیم، لمصلحة غير ملزمة في نفسها، وإن كانت قضاء الصلاة أنفسهم فيما إذا فاتت منهم الصلاة في أيام تمييزهم الماضية؛ فإنه يستحب لهم قضاؤها أيضا كما استحب لهم الأداء من غير فرق بينهما، كما لا يخفى</w:t>
      </w:r>
      <w:r>
        <w:rPr>
          <w:rFonts w:eastAsia="IRNazanin" w:cs="IRNazanin"/>
          <w:color w:val="111111"/>
          <w:sz w:val="28"/>
          <w:szCs w:val="28"/>
          <w:rtl w:val="true"/>
          <w:lang w:bidi="fa-IR"/>
        </w:rPr>
        <w:t xml:space="preserve">. </w:t>
      </w:r>
      <w:bookmarkStart w:id="236" w:name="pg7286_66313"/>
    </w:p>
    <w:p>
      <w:pPr>
        <w:pStyle w:val="Heading3"/>
        <w:numPr>
          <w:ilvl w:val="2"/>
          <w:numId w:val="1"/>
        </w:numPr>
        <w:rPr/>
      </w:pPr>
      <w:bookmarkStart w:id="237" w:name="__RefHeading___Toc634182_1051229030"/>
      <w:bookmarkStart w:id="238" w:name="_Toc78"/>
      <w:bookmarkEnd w:id="236"/>
      <w:bookmarkEnd w:id="237"/>
      <w:r>
        <w:rPr>
          <w:rtl w:val="true"/>
        </w:rPr>
        <w:t>دفع دخل</w:t>
      </w:r>
      <w:bookmarkEnd w:id="238"/>
    </w:p>
    <w:p>
      <w:pPr>
        <w:pStyle w:val="BookText"/>
        <w:rPr/>
      </w:pPr>
      <w:r>
        <w:rPr>
          <w:rFonts w:ascii="IRNazanin" w:hAnsi="IRNazanin" w:eastAsia="IRNazanin"/>
          <w:color w:val="111111"/>
          <w:sz w:val="28"/>
          <w:sz w:val="28"/>
          <w:szCs w:val="28"/>
          <w:rtl w:val="true"/>
          <w:lang w:bidi="fa-IR"/>
        </w:rPr>
        <w:t>الظاهر بل من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خصوص الصلاة في هذه النصوص من باب المثال، إذ من المعلوم بالقرائن أنه لا خصوصية لها في المقام، فيعم أمر الشارع تعالى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إلغاء تلك الخصوصية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العبادات وأن مطلق عبادات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تكن بصلاة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مصلحة غير ملزمة في نفسها كما أن هذه النصوص وإن كانت منصرفة إلى العبادات الواجبة على البالغين، لكن لاخصوصية لها أيضا فبإلغاء خصوصية الوجوب وبقرينة مناسبة الحكم والموضوع تشمل المندوبة لهم أيضا، فتستحب للصبيان جميع الصلوات والعبادات الواجبة والمندوبة والمكروهة على غيرهم من البالغين، مع حفظ مراتب الاستحباب شده وضعفا ، بل يستفاد من 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سيما من ملاحظة إلغاء الخصوصية التي في النصوص الصريحة في الصلاة الظاهرة في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كذلك في جميع الأحكام التكليفية حتى المحرمات فضلا عن المكروهات والمباحات، ولا يختص بالصلاة ولا بالواجبات فتشرع للصبيان جميع ما شرع للبالغين إلا ما خرج أو اختص بهم مما علم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غاية الأمر محرماتهم تكره على الصبيان أشد كراهة من مکروهاتهم عليهم، والمباحات باقية على إباحتها ورخصتها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خطابات الأحكام التكليفية الخمسة حتى غير العبادات، موجهة إلى الصبي کالبالغين، غاية الأمر لا بنحو الإلزام، وعليه فيكون الواجب عليهم مستحبا له والحرام عليهم مكروها له، والمباح۔ کالمستحب والمكروه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على ما هو عليه، فمرجع الأحكام الخمسة في حقه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والمكروه والمباح مع حفظ المراتب بالتقاريب المتقدمة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ثبت من تلك النصوص المعتبرة أن عبادات الصبیان المميزين شرعية ذات مصلحة غير ملزمة شديدة أو خفيفة، والله تعالى هو العالم بحقائق أحكامه</w:t>
      </w:r>
      <w:r>
        <w:rPr>
          <w:rFonts w:eastAsia="IRNazanin" w:cs="IRNazanin"/>
          <w:color w:val="111111"/>
          <w:sz w:val="28"/>
          <w:szCs w:val="28"/>
          <w:rtl w:val="true"/>
          <w:lang w:bidi="fa-IR"/>
        </w:rPr>
        <w:t xml:space="preserve">. </w:t>
      </w:r>
      <w:bookmarkStart w:id="239" w:name="pg7286_66315"/>
    </w:p>
    <w:p>
      <w:pPr>
        <w:pStyle w:val="Heading3"/>
        <w:numPr>
          <w:ilvl w:val="2"/>
          <w:numId w:val="1"/>
        </w:numPr>
        <w:rPr/>
      </w:pPr>
      <w:bookmarkStart w:id="240" w:name="__RefHeading___Toc634184_1051229030"/>
      <w:bookmarkStart w:id="241" w:name="_Toc79"/>
      <w:bookmarkEnd w:id="239"/>
      <w:bookmarkEnd w:id="240"/>
      <w:r>
        <w:rPr>
          <w:rtl w:val="true"/>
        </w:rPr>
        <w:t>تنبيه</w:t>
      </w:r>
      <w:bookmarkEnd w:id="241"/>
    </w:p>
    <w:p>
      <w:pPr>
        <w:pStyle w:val="BookText"/>
        <w:rPr/>
      </w:pPr>
      <w:r>
        <w:rPr>
          <w:rFonts w:ascii="IRNazanin" w:hAnsi="IRNazanin" w:eastAsia="IRNazanin"/>
          <w:color w:val="111111"/>
          <w:sz w:val="28"/>
          <w:sz w:val="28"/>
          <w:szCs w:val="28"/>
          <w:rtl w:val="true"/>
          <w:lang w:bidi="fa-IR"/>
        </w:rPr>
        <w:t xml:space="preserve">وليعلم أن بعض الواجبات الشرعية لا بد وأن يتحقق في الخارج جزما ، وأن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وجوده و تحققه على سبيل البت والجزم مثل رد الأمانات وحفظ النفوس المحترمة التي يحرم قتلها ونظائرهما، كما أن بعض المحرمات تكون بمثابة لا بد وأن يترك لا محالة، ولا يريد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يتحقق في الخارج جزما وبتا مثل قتل النفوس المحترمة وشرب الخمور المسكرة والزنا واللواط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تحرم هذه المحرمات الكذائية ولا تجب تلك الواجبات الغلاظية على الصبي المميز؛ لرفع التكليف عنه، وإنما تستحب له الأولى وتكره الثانية عليه، نظیر سائر الواجبات والمحرمات الشرعية بلا فرق بينهما وبين سائرها إلا من جهة أولياء الصبيان؛ فإنه يجب عليهم من أجل وجود قرائن مقامية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مقتضی مناسبة الحكم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الصبيان على إتيان تلك الواجبات زائدا على أمرهم بها، وردعهم عن فعل تلك المحرمات زائدا على نهيهم عنها </w:t>
      </w:r>
      <w:r>
        <w:rPr>
          <w:rStyle w:val="FootnoteAnchor"/>
          <w:rtl w:val="true"/>
        </w:rPr>
        <w:footnoteReference w:id="235"/>
      </w:r>
      <w:r>
        <w:rPr>
          <w:rFonts w:ascii="IRNazanin" w:hAnsi="IRNazanin" w:eastAsia="IRNazanin"/>
          <w:color w:val="111111"/>
          <w:sz w:val="28"/>
          <w:sz w:val="28"/>
          <w:szCs w:val="28"/>
          <w:rtl w:val="true"/>
          <w:lang w:bidi="fa-IR"/>
        </w:rPr>
        <w:t xml:space="preserve">حتى يتحقق ماهو مراد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وتركا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البحث عن عبادات الصبي المميز من جهة شرعيتها، وقد ثبتت بما لا مزيد عليه</w:t>
      </w:r>
      <w:r>
        <w:rPr>
          <w:rFonts w:eastAsia="Amiri" w:cs="Amiri" w:ascii="Amiri" w:hAnsi="Amiri"/>
          <w:color w:val="111111"/>
          <w:sz w:val="28"/>
          <w:szCs w:val="28"/>
          <w:rtl w:val="true"/>
          <w:lang w:bidi="ar-SA"/>
        </w:rPr>
        <w:t xml:space="preserve">. </w:t>
      </w:r>
      <w:bookmarkStart w:id="242" w:name="pg7286_66316"/>
    </w:p>
    <w:p>
      <w:pPr>
        <w:pStyle w:val="Heading3"/>
        <w:numPr>
          <w:ilvl w:val="2"/>
          <w:numId w:val="1"/>
        </w:numPr>
        <w:rPr/>
      </w:pPr>
      <w:bookmarkStart w:id="243" w:name="__RefHeading___Toc634186_1051229030"/>
      <w:bookmarkStart w:id="244" w:name="_Toc80"/>
      <w:bookmarkEnd w:id="242"/>
      <w:bookmarkEnd w:id="243"/>
      <w:r>
        <w:rPr>
          <w:rtl w:val="true"/>
        </w:rPr>
        <w:t>تذییل</w:t>
      </w:r>
      <w:r>
        <w:rPr>
          <w:rtl w:val="true"/>
        </w:rPr>
        <w:t>:</w:t>
      </w:r>
      <w:r>
        <w:rPr>
          <w:rtl w:val="true"/>
        </w:rPr>
        <w:t>في الفروع المترتبة على شرعية عبادات الصبي المميز</w:t>
      </w:r>
      <w:bookmarkEnd w:id="2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البحث عن عبادات الصبي المميز من جهة الفروع المترتبة على شرعيتها فنشير إلى بعض من كثير هامستمدا منه تعالی </w:t>
      </w:r>
      <w:bookmarkStart w:id="245" w:name="pg7286_66317"/>
    </w:p>
    <w:p>
      <w:pPr>
        <w:pStyle w:val="Heading3"/>
        <w:numPr>
          <w:ilvl w:val="2"/>
          <w:numId w:val="1"/>
        </w:numPr>
        <w:rPr/>
      </w:pPr>
      <w:bookmarkStart w:id="246" w:name="__RefHeading___Toc634188_1051229030"/>
      <w:bookmarkStart w:id="247" w:name="_Toc81"/>
      <w:bookmarkEnd w:id="245"/>
      <w:bookmarkEnd w:id="246"/>
      <w:r>
        <w:rPr>
          <w:rtl w:val="true"/>
        </w:rPr>
        <w:t>الفرع الأول في حكم تجهيز الصبي المميز للميت</w:t>
      </w:r>
      <w:bookmarkEnd w:id="247"/>
    </w:p>
    <w:p>
      <w:pPr>
        <w:pStyle w:val="BookText"/>
        <w:rPr/>
      </w:pPr>
      <w:r>
        <w:rPr>
          <w:rFonts w:ascii="IRNazanin" w:hAnsi="IRNazanin" w:eastAsia="IRNazanin"/>
          <w:color w:val="111111"/>
          <w:sz w:val="28"/>
          <w:sz w:val="28"/>
          <w:szCs w:val="28"/>
          <w:rtl w:val="true"/>
          <w:lang w:bidi="fa-IR"/>
        </w:rPr>
        <w:t xml:space="preserve">لا ريب في أن تجهيز الميت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من التعبديات التي يعتبر فيها قصد القربة كتغسيله والصلاة عليه ونحوهما أو من التوصليات غير المعتبر فيها قصد القربة کتحنيطه وتكفينه وتدفینه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 من الواجبات الكفائية على البالغين،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شرعية عبادات الصبي المميز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المستحبات الكفائية عليه على ماتقدم، كما أن وضع الجريدة مع الميت من المستحبات الكفائية عليه 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بناء على شرعية عبادات الصبي المميز اختلف في أنه هل يجزي و يغني ويكفي تغسیله المبيت وصلاته عليه </w:t>
      </w:r>
      <w:r>
        <w:rPr>
          <w:rStyle w:val="FootnoteAnchor"/>
          <w:rtl w:val="true"/>
        </w:rPr>
        <w:footnoteReference w:id="236"/>
      </w:r>
      <w:r>
        <w:rPr>
          <w:rFonts w:ascii="Amiri" w:hAnsi="Amiri" w:eastAsia="Amiri" w:cs="Amiri"/>
          <w:color w:val="111111"/>
          <w:sz w:val="28"/>
          <w:sz w:val="28"/>
          <w:szCs w:val="28"/>
          <w:rtl w:val="true"/>
          <w:lang w:bidi="ar-SA"/>
        </w:rPr>
        <w:t>عن غيره من البالغين بعد وجوبهما الكفائي عليهم واستحبابهما الكفائي عليه؟</w:t>
      </w:r>
    </w:p>
    <w:p>
      <w:pPr>
        <w:pStyle w:val="BookText"/>
        <w:rPr/>
      </w:pPr>
      <w:r>
        <w:rPr>
          <w:rFonts w:ascii="Amiri" w:hAnsi="Amiri" w:eastAsia="Amiri" w:cs="Amiri"/>
          <w:color w:val="111111"/>
          <w:sz w:val="28"/>
          <w:sz w:val="28"/>
          <w:szCs w:val="28"/>
          <w:rtl w:val="true"/>
          <w:lang w:bidi="ar-SA"/>
        </w:rPr>
        <w:t>الصحيح هو الاجتزاء والكفاية بعد فرض شرعية عباداته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قلنا بأنها تمرينية فلا يجزي ولا يكفي وأما على الشرعية فلا يرى إشكال في الأجزاء؛ بداهة عدم الفرق فيه بين عمل من وجب عليه كفايه ومن </w:t>
      </w:r>
      <w:bookmarkStart w:id="248" w:name="pg7286_66318"/>
    </w:p>
    <w:p>
      <w:pPr>
        <w:pStyle w:val="BookText"/>
        <w:rPr/>
      </w:pPr>
      <w:bookmarkEnd w:id="248"/>
      <w:r>
        <w:rPr>
          <w:rFonts w:ascii="Amiri" w:hAnsi="Amiri" w:eastAsia="Amiri" w:cs="Amiri"/>
          <w:color w:val="111111"/>
          <w:sz w:val="28"/>
          <w:sz w:val="28"/>
          <w:szCs w:val="28"/>
          <w:rtl w:val="true"/>
          <w:lang w:bidi="ar-SA"/>
        </w:rPr>
        <w:t>استحب عليه كذلك، فكما يجزي عمل من وجب عليه كفاية عن عمل غيره، كذلك يجزي عمل من استحب عليه كفايه عن عمل غيره حتى من البالغين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634190_1051229030"/>
      <w:bookmarkStart w:id="250" w:name="_Toc82"/>
      <w:bookmarkEnd w:id="249"/>
      <w:r>
        <w:rPr>
          <w:rtl w:val="true"/>
        </w:rPr>
        <w:t>بیان ما ورد على المختار والجواب عنه</w:t>
      </w:r>
      <w:bookmarkEnd w:id="250"/>
    </w:p>
    <w:p>
      <w:pPr>
        <w:pStyle w:val="BookText"/>
        <w:rPr/>
      </w:pPr>
      <w:r>
        <w:rPr>
          <w:rFonts w:ascii="IRNazanin" w:hAnsi="IRNazanin" w:eastAsia="IRNazanin"/>
          <w:color w:val="111111"/>
          <w:sz w:val="28"/>
          <w:sz w:val="28"/>
          <w:szCs w:val="28"/>
          <w:rtl w:val="true"/>
          <w:lang w:bidi="fa-IR"/>
        </w:rPr>
        <w:t xml:space="preserve">ولكن قد يستشكل ويقال بعدم الإجزاء والكفاية مطلقا حتى على القول بالشرعية؛ بتقريب أن الأمر بغسل الميت وصلاته خاص بالبالغين و موجه إليهم، ومسقطية تغسيل الصبي وصلاته عن الأمر المتوجه إلى 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کانا شرعيين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إلى دليل مفقود في المقام؛ إذ مجرد شرعية عباداته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تسقط ذلك، فإن المسقطية مسألة أخرى غير مسألة الشرعية ولا ملازمة بينهما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لكنه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المساعدة عليه؛ لما تقدم من أن غير 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لخطاب التكليف مطلقا، سواء كان التكليف واجبا أم غير واجب، ثم الواجب عينيا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تعيينا أو تخييرا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 كفائتا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أنه يكون الواجب في حق غير البالغ مستحبا، فيكون الواجب العيني بقسميه في حقه مستحبا عينيا بقسميه،والواجب الكفائي في حقه مستحبا كفائيا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الأمر بتغسیل المیت وصلاته ونحوهما من الواجبات الكفائية، بالبالغين كما لا تكون الواجبات العينية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تعيينا أو تخييرا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مختصة بهم، بل الكفائية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أومأنا إليه في طي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 غير البالغين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سواء في ذلك، بناء على شرعية عباداتهم كما هو المشهورالمنصور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يسقط الواجب العيني بفعل الغير؛ فإنه مقتضی عينية وجوبه، ولكن مقتضى الواجب الكفائي هو السقوط بفعل الغير، وكذلك مقتضى المستحب الكفائي، بل الواجب الكفائي على البالغين كما يسقط بعينه بفعل من استحب عليه نفس ذلك الواجب كذلك في المقام، بناء على شرعية واستحباب عبادات غير البالغين المميزين، كما ينعكس الأمر أيضا في سقوط ما هو المستحب الكفائي لغير البالغين بفعل من وجب عليه ذلك المستحب من البالغين؛ بداهة أنه كما يسقط الواجب الكفائي بفعل واحد ممن يجب عليه كفايه، كذلك يسقط أيضا بفعل واحد ممن يستحب له ذلك بعينه كفايه من غير فرق بينهما ومن غير أن يحتاج تلك المسقطات إلى دليل على حدة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الدالة على شرعية عبادات الصبي تدل على شرعية عباداته مطلقا ، بل قد يسقط الفعل المستحب من واحد واجبا عينيا عن غيره بدلیل خاص، كما لو تبرع شخص وأتى بما وجب على الولد الأكبر عينا من قبل والديه؛ فإنه بتبرعه المستحب عليه يسقط الواجب العيني التخييري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المباشرة والاستئجارونحوهما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الولد الأكبر، فليتأمل</w:t>
      </w:r>
      <w:r>
        <w:rPr>
          <w:rFonts w:eastAsia="IRNazanin" w:cs="IRNazanin"/>
          <w:color w:val="111111"/>
          <w:sz w:val="28"/>
          <w:szCs w:val="28"/>
          <w:rtl w:val="true"/>
          <w:lang w:bidi="fa-IR"/>
        </w:rPr>
        <w:t xml:space="preserve">. </w:t>
      </w:r>
      <w:bookmarkStart w:id="251" w:name="pg7286_66320"/>
    </w:p>
    <w:p>
      <w:pPr>
        <w:pStyle w:val="Heading3"/>
        <w:numPr>
          <w:ilvl w:val="2"/>
          <w:numId w:val="1"/>
        </w:numPr>
        <w:rPr/>
      </w:pPr>
      <w:bookmarkStart w:id="252" w:name="__RefHeading___Toc634192_1051229030"/>
      <w:bookmarkStart w:id="253" w:name="_Toc83"/>
      <w:bookmarkEnd w:id="251"/>
      <w:bookmarkEnd w:id="252"/>
      <w:r>
        <w:rPr>
          <w:rtl w:val="true"/>
        </w:rPr>
        <w:t>الفرع الثاني في حكم صلاة الصبي المميز نيابة عن الميت</w:t>
      </w:r>
      <w:bookmarkEnd w:id="253"/>
    </w:p>
    <w:p>
      <w:pPr>
        <w:pStyle w:val="BookText"/>
        <w:rPr/>
      </w:pPr>
      <w:r>
        <w:rPr>
          <w:rFonts w:ascii="Amiri" w:hAnsi="Amiri" w:eastAsia="Amiri" w:cs="Amiri"/>
          <w:color w:val="111111"/>
          <w:sz w:val="28"/>
          <w:sz w:val="28"/>
          <w:szCs w:val="28"/>
          <w:rtl w:val="true"/>
          <w:lang w:bidi="ar-SA"/>
        </w:rPr>
        <w:t>هل يصح استئجار الصبي المميز لقضاء صلاة الميت؟ وهل تفرغ بعمله الاستئجاري أو التبرعي ذمة الميت بعد البناء على شرعية عباداته؟</w:t>
      </w:r>
    </w:p>
    <w:p>
      <w:pPr>
        <w:pStyle w:val="BookText"/>
        <w:rPr/>
      </w:pPr>
      <w:r>
        <w:rPr>
          <w:rFonts w:ascii="Amiri" w:hAnsi="Amiri" w:eastAsia="Amiri" w:cs="Amiri"/>
          <w:color w:val="111111"/>
          <w:sz w:val="28"/>
          <w:sz w:val="28"/>
          <w:szCs w:val="28"/>
          <w:rtl w:val="true"/>
          <w:lang w:bidi="ar-SA"/>
        </w:rPr>
        <w:t xml:space="preserve">قد استشكل بعضهم </w:t>
      </w:r>
      <w:r>
        <w:rPr>
          <w:rStyle w:val="FootnoteAnchor"/>
          <w:rtl w:val="true"/>
        </w:rPr>
        <w:footnoteReference w:id="238"/>
      </w:r>
      <w:r>
        <w:rPr>
          <w:rFonts w:ascii="Amiri" w:hAnsi="Amiri" w:eastAsia="Amiri" w:cs="Amiri"/>
          <w:color w:val="111111"/>
          <w:sz w:val="28"/>
          <w:sz w:val="28"/>
          <w:szCs w:val="28"/>
          <w:rtl w:val="true"/>
          <w:lang w:bidi="ar-SA"/>
        </w:rPr>
        <w:t xml:space="preserve">بأن الأدلة العامة الأولية ومطلقاتها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مثل الأمر بالنيابة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الصبي المميز وخاصة بالبالغين وأن مسألة شرعية عباداته غير مسألة مسقطيتها للأمر الموجه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ما عرفت في الفرع السابق بما لا مزيد عليه من أنه لا وجه الاختصاص تلك الأدلة بالبالغين ولا انصراف لها إليهم، بل تعم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يستشكل </w:t>
      </w:r>
      <w:r>
        <w:rPr>
          <w:rStyle w:val="FootnoteAnchor"/>
          <w:rtl w:val="true"/>
        </w:rPr>
        <w:footnoteReference w:id="239"/>
      </w:r>
      <w:r>
        <w:rPr>
          <w:rFonts w:ascii="Amiri" w:hAnsi="Amiri" w:eastAsia="Amiri" w:cs="Amiri"/>
          <w:color w:val="111111"/>
          <w:sz w:val="28"/>
          <w:sz w:val="28"/>
          <w:szCs w:val="28"/>
          <w:rtl w:val="true"/>
          <w:lang w:bidi="ar-SA"/>
        </w:rPr>
        <w:t>بأن النصوص الواردة في أمر أولياء الصبيان بأمر صبيانهم بالصلاة لا تشمل المقام وأن الصلاة التي أمر الصبي المميز بها هناك منصرفة عن الصلاة النيابية إلى الصلوات اليومية، فليست صلاته النيابية بشرعية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بمنع انصراف الصلاة عنها إلى اليومية بعد إطلاقها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خصوصية للصلوات اليومية، بل بإلغاء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غيرها من الصلوات بل جميع العبادات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الاجتزاء والكفاية وفراغ ذمة الميت عنها وأن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 للمصلحة التامة بدون نقص فيها، غاية الأمر رفع الشارع تعالى الإلزام عنهم تلطفا وامتنانا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بما لا مزيد عليه</w:t>
      </w:r>
      <w:r>
        <w:rPr>
          <w:rFonts w:eastAsia="Amiri" w:cs="Amiri" w:ascii="Amiri" w:hAnsi="Amiri"/>
          <w:color w:val="111111"/>
          <w:sz w:val="28"/>
          <w:szCs w:val="28"/>
          <w:rtl w:val="true"/>
          <w:lang w:bidi="ar-SA"/>
        </w:rPr>
        <w:t xml:space="preserve">. </w:t>
      </w:r>
      <w:bookmarkStart w:id="254" w:name="pg7286_66322"/>
    </w:p>
    <w:p>
      <w:pPr>
        <w:pStyle w:val="Heading3"/>
        <w:numPr>
          <w:ilvl w:val="2"/>
          <w:numId w:val="1"/>
        </w:numPr>
        <w:rPr/>
      </w:pPr>
      <w:bookmarkStart w:id="255" w:name="__RefHeading___Toc634194_1051229030"/>
      <w:bookmarkStart w:id="256" w:name="_Toc84"/>
      <w:bookmarkEnd w:id="254"/>
      <w:bookmarkEnd w:id="255"/>
      <w:r>
        <w:rPr>
          <w:rtl w:val="true"/>
        </w:rPr>
        <w:t>الفرع الثالث في حكم حج الصبي المميز حجة الإسلام</w:t>
      </w:r>
      <w:bookmarkEnd w:id="2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مقتضیات شرعية عبادات الصبي أنه لو استطاع وحج في زمان تمییزه كان حجه مجزيا عن حجة إسلامه ولا يجب عليه ذلك بعد البلوغ، وإن لم يسقط عن الاستطاعة بعد، لكن الظاهر أن الأصحاب قدس سرهم تسالموا على عدم الاجتزاء به </w:t>
      </w:r>
      <w:r>
        <w:rPr>
          <w:rStyle w:val="FootnoteAnchor"/>
          <w:rtl w:val="true"/>
        </w:rPr>
        <w:footnoteReference w:id="240"/>
      </w:r>
      <w:r>
        <w:rPr>
          <w:rFonts w:ascii="Amiri" w:hAnsi="Amiri" w:eastAsia="Amiri" w:cs="Amiri"/>
          <w:color w:val="111111"/>
          <w:sz w:val="28"/>
          <w:sz w:val="28"/>
          <w:szCs w:val="28"/>
          <w:rtl w:val="true"/>
          <w:lang w:bidi="ar-SA"/>
        </w:rPr>
        <w:t xml:space="preserve">،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24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لخصوصية في حجة الإسلام لا تحصل إلا بأن يكون الحاج بالغا ، كما أن الأمر كذلك في اشتراط الحرية أيضا، فليس عدم إجزائه من جهة عدم مصلحة و ملاك في حجه بعد البناء على شرعية عباداته التي منها الحج،كما لا يخفی</w:t>
      </w:r>
      <w:r>
        <w:rPr>
          <w:rFonts w:eastAsia="IRNazanin" w:cs="IRNazanin"/>
          <w:color w:val="111111"/>
          <w:sz w:val="28"/>
          <w:szCs w:val="28"/>
          <w:rtl w:val="true"/>
          <w:lang w:bidi="fa-IR"/>
        </w:rPr>
        <w:t xml:space="preserve">. </w:t>
      </w:r>
      <w:bookmarkStart w:id="257" w:name="pg7286_66323"/>
    </w:p>
    <w:p>
      <w:pPr>
        <w:pStyle w:val="Heading3"/>
        <w:numPr>
          <w:ilvl w:val="2"/>
          <w:numId w:val="1"/>
        </w:numPr>
        <w:rPr/>
      </w:pPr>
      <w:bookmarkStart w:id="258" w:name="__RefHeading___Toc634196_1051229030"/>
      <w:bookmarkStart w:id="259" w:name="_Toc85"/>
      <w:bookmarkEnd w:id="257"/>
      <w:bookmarkEnd w:id="258"/>
      <w:r>
        <w:rPr>
          <w:rtl w:val="true"/>
        </w:rPr>
        <w:t>الفرع الرابع في حكم قضاء الصبي المميز لعبادات أبويه إذا كان أكبر أولادهما</w:t>
      </w:r>
      <w:bookmarkEnd w:id="259"/>
    </w:p>
    <w:p>
      <w:pPr>
        <w:pStyle w:val="BookText"/>
        <w:rPr/>
      </w:pPr>
      <w:r>
        <w:rPr>
          <w:rFonts w:ascii="IRNazanin" w:hAnsi="IRNazanin" w:eastAsia="IRNazanin"/>
          <w:color w:val="111111"/>
          <w:sz w:val="28"/>
          <w:sz w:val="28"/>
          <w:szCs w:val="28"/>
          <w:rtl w:val="true"/>
          <w:lang w:bidi="fa-IR"/>
        </w:rPr>
        <w:t xml:space="preserve">إذا كان الصبي غير البالغ أكبر أولاد والديه، لا يجب عليه بعد موتهما قضاء عباداتهما قبل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يجب عليه بعد البلوغ؛ فإن العنوان المصرح به في دليل الوجوب أنه يقضي عنه أولى الناس بمیراثه </w:t>
      </w:r>
      <w:r>
        <w:rPr>
          <w:rStyle w:val="FootnoteAnchor"/>
          <w:rtl w:val="true"/>
        </w:rPr>
        <w:footnoteReference w:id="242"/>
      </w:r>
      <w:r>
        <w:rPr>
          <w:rFonts w:ascii="IRNazanin" w:hAnsi="IRNazanin" w:eastAsia="IRNazanin"/>
          <w:color w:val="111111"/>
          <w:sz w:val="28"/>
          <w:sz w:val="28"/>
          <w:szCs w:val="28"/>
          <w:rtl w:val="true"/>
          <w:lang w:bidi="fa-IR"/>
        </w:rPr>
        <w:t>وهذا العنوان وإن كان صادقا على الولد الأكبر بعد بلوغه وقبله حال تمییزه بلا فرق بينهما في الصدق، إلا أن غير البالغ رفع عنه قلم التكليف والإلزام تفضلا وامتنانا ولم يرفع عنه مطلق الأحكام على ما تقدم بما لا مزيد عليه، فلا يجب عليه شيء قبل البلوغ، ولكن لا يبعد القول باستحبابها عليه إذا كان مميزا بعد البناء على مشروعية عباداته، كما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مقتضى شرعية عباداته أنه لو أتي بها في زمان صباوته و تمییزه يجزي ولا يجب عليه إعادتها بعد البلوغ، كما تقدم بيانه في الفرع الثالث</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تسالم الأصحاب قدس سرهم هناك على عدم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يعلم تسالمهم على عدم الإجزاء في المقام، فلعل الظاهر هو الإجزاء والسقوط بعد البلوغ،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 xml:space="preserve">. </w:t>
      </w:r>
      <w:bookmarkStart w:id="260" w:name="pg7286_66324"/>
    </w:p>
    <w:p>
      <w:pPr>
        <w:pStyle w:val="Heading3"/>
        <w:numPr>
          <w:ilvl w:val="2"/>
          <w:numId w:val="1"/>
        </w:numPr>
        <w:rPr/>
      </w:pPr>
      <w:bookmarkStart w:id="261" w:name="__RefHeading___Toc634198_1051229030"/>
      <w:bookmarkStart w:id="262" w:name="_Toc86"/>
      <w:bookmarkEnd w:id="260"/>
      <w:bookmarkEnd w:id="261"/>
      <w:r>
        <w:rPr>
          <w:rtl w:val="true"/>
        </w:rPr>
        <w:t>الفرع الخامس في حكم أذان الصبي المميز وإقامته</w:t>
      </w:r>
      <w:bookmarkEnd w:id="2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الإشكال في الاجتزاء بأذان الصبي المميز سماعا وجماعة كما لا إشكال في الاجتزاء بأذانه حكاية </w:t>
      </w:r>
      <w:r>
        <w:rPr>
          <w:rStyle w:val="FootnoteAnchor"/>
          <w:rtl w:val="true"/>
        </w:rPr>
        <w:footnoteReference w:id="243"/>
      </w:r>
      <w:r>
        <w:rPr>
          <w:rFonts w:ascii="Amiri" w:hAnsi="Amiri" w:eastAsia="Amiri" w:cs="Amiri"/>
          <w:color w:val="111111"/>
          <w:sz w:val="28"/>
          <w:sz w:val="28"/>
          <w:szCs w:val="28"/>
          <w:rtl w:val="true"/>
          <w:lang w:bidi="ar-SA"/>
        </w:rPr>
        <w:t xml:space="preserve">؛ لوضوح أن الحاكي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أفيد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الحالة مؤدن حقيقه، من غير فرق بين أذاني الإعلام والإعظام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أذان الصلاة جماعة أو فرادی، مستحبا كان أم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لم نقل بشرعية عباداته، فضلا عما إذا قلنا بذلك، كما هو الصحيح المشهور على ما تقدم؛ وذلك لانعقاد الإجماع بقسميه على عدم اشتراط البلوغ في الأذان كما عن صاحب الجواهر قدس سره </w:t>
      </w:r>
      <w:r>
        <w:rPr>
          <w:rStyle w:val="FootnoteAnchor"/>
          <w:rtl w:val="true"/>
        </w:rPr>
        <w:footnoteReference w:id="246"/>
      </w:r>
      <w:r>
        <w:rPr>
          <w:rFonts w:ascii="Amiri" w:hAnsi="Amiri" w:eastAsia="Amiri" w:cs="Amiri"/>
          <w:color w:val="111111"/>
          <w:sz w:val="28"/>
          <w:sz w:val="28"/>
          <w:szCs w:val="28"/>
          <w:rtl w:val="true"/>
          <w:lang w:bidi="ar-SA"/>
        </w:rPr>
        <w:t xml:space="preserve">ولنصوص خاصة تدل على ذلك، وقد عقد لها صاحب الوسائل قدس سره بابا </w:t>
      </w:r>
      <w:r>
        <w:rPr>
          <w:rStyle w:val="FootnoteAnchor"/>
          <w:rtl w:val="true"/>
        </w:rPr>
        <w:footnoteReference w:id="247"/>
      </w:r>
      <w:r>
        <w:rPr>
          <w:rFonts w:ascii="Amiri" w:hAnsi="Amiri" w:eastAsia="Amiri" w:cs="Amiri"/>
          <w:color w:val="111111"/>
          <w:sz w:val="28"/>
          <w:sz w:val="28"/>
          <w:szCs w:val="28"/>
          <w:rtl w:val="true"/>
          <w:lang w:bidi="ar-SA"/>
        </w:rPr>
        <w:t xml:space="preserve">، بل الأذان الإعلامي لا بأس بالاجتزاء به بلاكلام، لاتحاد الصبي مع البالغ في تحصيل غايته وهي الإعلام بعد عدم كونه أمرا عباديا يعتبر فيه قصد القربة زائدا على قصد </w:t>
      </w:r>
    </w:p>
    <w:p>
      <w:pPr>
        <w:pStyle w:val="BookText"/>
        <w:rPr/>
      </w:pPr>
      <w:r>
        <w:rPr>
          <w:rFonts w:ascii="Amiri" w:hAnsi="Amiri" w:eastAsia="Amiri" w:cs="Amiri"/>
          <w:color w:val="111111"/>
          <w:sz w:val="28"/>
          <w:sz w:val="28"/>
          <w:szCs w:val="28"/>
          <w:rtl w:val="true"/>
          <w:lang w:bidi="ar-SA"/>
        </w:rPr>
        <w:t>أصل العمل حتى يدخل في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التقييد في بعض تلك النصوص </w:t>
      </w:r>
      <w:r>
        <w:rPr>
          <w:rStyle w:val="FootnoteAnchor"/>
          <w:rtl w:val="true"/>
        </w:rPr>
        <w:footnoteReference w:id="248"/>
      </w:r>
      <w:r>
        <w:rPr>
          <w:rFonts w:ascii="Amiri" w:hAnsi="Amiri" w:eastAsia="Amiri" w:cs="Amiri"/>
          <w:color w:val="111111"/>
          <w:sz w:val="28"/>
          <w:sz w:val="28"/>
          <w:szCs w:val="28"/>
          <w:rtl w:val="true"/>
          <w:lang w:bidi="ar-SA"/>
        </w:rPr>
        <w:t xml:space="preserve">بعشر سنين،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رعاية التمييز؛ إذ لا تمييز قبله عادة، ولا معارض لتلك النصوص إلا من حيث الائتمام المصرح به في بعضها كموثقة إسحاق بن عمار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الغلام قبل أن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صلاته، ولكن فسدت صلاة من خلفه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أي صلاة من يأتم به من البالغين دون الصبيان كما لا يخفی؛ وحيث لا إطلاق في نصوص الجماعة بالنسبة إلى الإمام حتى يرجع إليه في تصحيح الائتمام بالصبي بعد التساقط بالتعارض </w:t>
      </w:r>
      <w:r>
        <w:rPr>
          <w:rStyle w:val="FootnoteAnchor"/>
          <w:rtl w:val="true"/>
        </w:rPr>
        <w:footnoteReference w:id="251"/>
      </w:r>
      <w:r>
        <w:rPr>
          <w:rFonts w:ascii="Amiri" w:hAnsi="Amiri" w:eastAsia="Amiri" w:cs="Amiri"/>
          <w:color w:val="111111"/>
          <w:sz w:val="28"/>
          <w:sz w:val="28"/>
          <w:szCs w:val="28"/>
          <w:rtl w:val="true"/>
          <w:lang w:bidi="ar-SA"/>
        </w:rPr>
        <w:t>فلا محالة يحكم بعدم صحة ائتمام البالغين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حيث الاجتزاء بأذانه لما هو مورد البحث، فلا معارض لها، فلا إشكال في الاجتزاء بأذانه سماعا وجماعة، وإن كان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ترکه؛ خروجا عن مخالفة غير واحد من أعلام الأصحاب قدس سرهم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أذان الصبي المميز</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إقامته فلا إشكال أيضا في الاجتزاء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سماعا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مشروعية عباداته كما 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يشكل، بل لا يصح الاجتزاء بها مطلقا بناء على تمرينية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الاجتزاء بأذانه لصلاة البالغين جماعة وسماعا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الاجتزاء بأذانه وإقامته لصلاة نفسه أو لصلاة جماعة الصبيان فلا ريب فيه ولا إشكال؛ فإن حالهما حال بقية الأجزاء والشرائط العبادية المجزئة لنفسهولو كانت تمرينية، فضلا عما هو الصحيح من كون عباداته شرعية كما لا يخفی</w:t>
      </w:r>
      <w:r>
        <w:rPr>
          <w:rFonts w:eastAsia="IRNazanin" w:cs="IRNazanin"/>
          <w:color w:val="111111"/>
          <w:sz w:val="28"/>
          <w:szCs w:val="28"/>
          <w:rtl w:val="true"/>
          <w:lang w:bidi="fa-IR"/>
        </w:rPr>
        <w:t xml:space="preserve">. </w:t>
      </w:r>
      <w:bookmarkStart w:id="263" w:name="pg7286_66327"/>
    </w:p>
    <w:p>
      <w:pPr>
        <w:pStyle w:val="Heading3"/>
        <w:numPr>
          <w:ilvl w:val="2"/>
          <w:numId w:val="1"/>
        </w:numPr>
        <w:rPr/>
      </w:pPr>
      <w:bookmarkStart w:id="264" w:name="__RefHeading___Toc634200_1051229030"/>
      <w:bookmarkStart w:id="265" w:name="_Toc87"/>
      <w:bookmarkEnd w:id="263"/>
      <w:bookmarkEnd w:id="264"/>
      <w:r>
        <w:rPr>
          <w:rtl w:val="true"/>
        </w:rPr>
        <w:t>الفرع السادس في حكم نذر الصبي المميز وعهده ويمينه</w:t>
      </w:r>
      <w:bookmarkEnd w:id="265"/>
    </w:p>
    <w:p>
      <w:pPr>
        <w:pStyle w:val="BookText"/>
        <w:rPr/>
      </w:pPr>
      <w:r>
        <w:rPr>
          <w:rFonts w:ascii="Amiri" w:hAnsi="Amiri" w:eastAsia="Amiri" w:cs="Amiri"/>
          <w:color w:val="111111"/>
          <w:sz w:val="28"/>
          <w:sz w:val="28"/>
          <w:szCs w:val="28"/>
          <w:rtl w:val="true"/>
          <w:lang w:bidi="ar-SA"/>
        </w:rPr>
        <w:t>مقتضى شرعية عبادات الصبي المميز هو أن يصح له النذر وأخواه من العهد واليمين، فله أن ينذر ويحلف ويتعهد ويفعل ما هو عبادة غير مالية وإن لم يجب عليه الوفاء، بل يستحب له؛ لمكان رفع التكليف الإلزامي عنه على ما تقدم شرحه وتفصيله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بعضهم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قائل بصحتها، وأن الظاهر انعقاد الإجماع على اشتراط البلوغ فيها </w:t>
      </w:r>
      <w:r>
        <w:rPr>
          <w:rStyle w:val="FootnoteAnchor"/>
          <w:rtl w:val="true"/>
        </w:rPr>
        <w:footnoteReference w:id="253"/>
      </w:r>
      <w:r>
        <w:rPr>
          <w:rFonts w:ascii="IRNazanin" w:hAnsi="IRNazanin" w:eastAsia="IRNazanin"/>
          <w:color w:val="111111"/>
          <w:sz w:val="28"/>
          <w:sz w:val="28"/>
          <w:szCs w:val="28"/>
          <w:rtl w:val="true"/>
          <w:lang w:bidi="fa-IR"/>
        </w:rPr>
        <w:t>فيكون الإجماع المدعی مانعا عما هو المقتضي للصحة، فتبطل هذه الأمور من الصبي المميز لأجل الإجماع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العمدة في وجه بطلانها، لا ما قد يتوهم أو يقال </w:t>
      </w:r>
      <w:r>
        <w:rPr>
          <w:rStyle w:val="FootnoteAnchor"/>
          <w:rtl w:val="true"/>
        </w:rPr>
        <w:footnoteReference w:id="255"/>
      </w:r>
      <w:r>
        <w:rPr>
          <w:rFonts w:ascii="Amiri" w:hAnsi="Amiri" w:eastAsia="Amiri" w:cs="Amiri"/>
          <w:color w:val="111111"/>
          <w:sz w:val="28"/>
          <w:sz w:val="28"/>
          <w:szCs w:val="28"/>
          <w:rtl w:val="true"/>
          <w:lang w:bidi="ar-SA"/>
        </w:rPr>
        <w:t>في وجه البطلان من کون وجوب الوفاء من مقومات صحتها،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ولا ريب في عدم الوجوب، حتى بناء على شرعية عباداته، ومع عدم الوجوب وانتفاء ما هو القوام لا تصح عنه ولا تتحقق منه </w:t>
      </w:r>
    </w:p>
    <w:p>
      <w:pPr>
        <w:pStyle w:val="BookText"/>
        <w:rPr/>
      </w:pPr>
      <w:r>
        <w:rPr>
          <w:rFonts w:ascii="IRNazanin" w:hAnsi="IRNazanin" w:eastAsia="IRNazanin"/>
          <w:color w:val="111111"/>
          <w:sz w:val="28"/>
          <w:sz w:val="28"/>
          <w:szCs w:val="28"/>
          <w:rtl w:val="true"/>
          <w:lang w:bidi="fa-IR"/>
        </w:rPr>
        <w:t xml:space="preserve">تلك الأمور؛ وذلك لأن وجوب الوفاء ليس من مقوماتها، بل يكون من أحكامها المترتبة عليها شرعا، وفي المقام رفع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الوجوب عنه رأفة وامتنانا وأما أصل الصحة على سبيل الاستحباب فلا غبار عليها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وجه البطلان هو الإجماع،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محصله غير معلوم الحصول، و منقوله غير محقق القبول</w:t>
      </w:r>
      <w:r>
        <w:rPr>
          <w:rFonts w:eastAsia="Amiri" w:cs="Amiri" w:ascii="Amiri" w:hAnsi="Amiri"/>
          <w:color w:val="111111"/>
          <w:sz w:val="28"/>
          <w:szCs w:val="28"/>
          <w:rtl w:val="true"/>
          <w:lang w:bidi="ar-SA"/>
        </w:rPr>
        <w:t xml:space="preserve">. </w:t>
      </w:r>
      <w:bookmarkStart w:id="266" w:name="pg7286_66329"/>
    </w:p>
    <w:p>
      <w:pPr>
        <w:pStyle w:val="Heading3"/>
        <w:numPr>
          <w:ilvl w:val="2"/>
          <w:numId w:val="1"/>
        </w:numPr>
        <w:rPr/>
      </w:pPr>
      <w:bookmarkStart w:id="267" w:name="__RefHeading___Toc634202_1051229030"/>
      <w:bookmarkStart w:id="268" w:name="_Toc88"/>
      <w:bookmarkEnd w:id="266"/>
      <w:bookmarkEnd w:id="267"/>
      <w:r>
        <w:rPr>
          <w:rtl w:val="true"/>
        </w:rPr>
        <w:t>الفرع السابع في حكم وقوف الصبي المميز خلال صفت الجماعة مصليا</w:t>
      </w:r>
      <w:bookmarkEnd w:id="268"/>
    </w:p>
    <w:p>
      <w:pPr>
        <w:pStyle w:val="BookText"/>
        <w:rPr/>
      </w:pPr>
      <w:r>
        <w:rPr>
          <w:rFonts w:ascii="Amiri" w:hAnsi="Amiri" w:eastAsia="Amiri" w:cs="Amiri"/>
          <w:color w:val="111111"/>
          <w:sz w:val="28"/>
          <w:sz w:val="28"/>
          <w:szCs w:val="28"/>
          <w:rtl w:val="true"/>
          <w:lang w:bidi="ar-SA"/>
        </w:rPr>
        <w:t xml:space="preserve">بناء على شرعية عبادات الصبي لا يكون وقوفه مصليا في صفوف الجماعة حائلا ، بل يصح أن تتصل بصلاته صفوف الجماعة المنتهية إلى إمامها، كما عليه مشهور الفقهاء رضوان الله تعالى عليهم </w:t>
      </w:r>
      <w:r>
        <w:rPr>
          <w:rStyle w:val="FootnoteAnchor"/>
          <w:rtl w:val="true"/>
        </w:rPr>
        <w:footnoteReference w:id="257"/>
      </w:r>
      <w:r>
        <w:rPr>
          <w:rFonts w:ascii="Amiri" w:hAnsi="Amiri" w:eastAsia="Amiri" w:cs="Amiri"/>
          <w:color w:val="111111"/>
          <w:sz w:val="28"/>
          <w:sz w:val="28"/>
          <w:szCs w:val="28"/>
          <w:rtl w:val="true"/>
          <w:lang w:bidi="ar-SA"/>
        </w:rPr>
        <w:t xml:space="preserve">؛ لذهابهم إلى أنه لا يضر الفصل بالصبي المميز ما لم يعلم بطلان صلاته </w:t>
      </w:r>
      <w:r>
        <w:rPr>
          <w:rStyle w:val="FootnoteAnchor"/>
          <w:rtl w:val="true"/>
        </w:rPr>
        <w:footnoteReference w:id="258"/>
      </w:r>
      <w:r>
        <w:rPr>
          <w:rFonts w:ascii="Amiri" w:hAnsi="Amiri" w:eastAsia="Amiri" w:cs="Amiri"/>
          <w:color w:val="111111"/>
          <w:sz w:val="28"/>
          <w:sz w:val="28"/>
          <w:szCs w:val="28"/>
          <w:rtl w:val="true"/>
          <w:lang w:bidi="ar-SA"/>
        </w:rPr>
        <w:t>أو مع العلم بصحة صلاته،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بناء على شرعية عبادته، مضافا إلى أنه لا يكون بصلاته حائلا بين صفوف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كسائر المصلين البالغين موجبا لاتصال الصفوف، فلا يخل فصله بصفوف الجماعة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ناحية الحائل والحيلولة ولا من ناحية البعد والفاصلة؛ فعدم إخلال فصله من كلتا الناحيتين مبني على شرعية عباداته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على تمرینیتها فيشكل، بل يخل من كلتا الناحيتين؛ لأن صلاته حينئذ تكون صورة صلاة وليست بصلاة حقيقة</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يستدل </w:t>
      </w:r>
      <w:r>
        <w:rPr>
          <w:rStyle w:val="FootnoteAnchor"/>
          <w:rtl w:val="true"/>
        </w:rPr>
        <w:footnoteReference w:id="259"/>
      </w:r>
      <w:r>
        <w:rPr>
          <w:rFonts w:ascii="IRNazanin" w:hAnsi="IRNazanin" w:eastAsia="IRNazanin"/>
          <w:color w:val="111111"/>
          <w:sz w:val="28"/>
          <w:sz w:val="28"/>
          <w:szCs w:val="28"/>
          <w:rtl w:val="true"/>
          <w:lang w:bidi="fa-IR"/>
        </w:rPr>
        <w:t xml:space="preserve">لعدم الإخلال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التمرينية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الإمام علیه السلام في خبر أبي البختري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عن يمين الرجل في الصلاة إذا ضبط الصف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لكنه وإن كان تام الدلالة،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الأعلام قدس سره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السند لا يصح الاعتماد عليه، فثبت أن عدم الإخلال من كلتا الجهتين إنما هو مبني على شرعية عباداته فحسب، ولا ينافي ذلك ما اشتهر منهم قدس سرهم من كراهة تمكين الصبيان من الصف الأول </w:t>
      </w:r>
      <w:r>
        <w:rPr>
          <w:rStyle w:val="FootnoteAnchor"/>
          <w:rtl w:val="true"/>
        </w:rPr>
        <w:footnoteReference w:id="262"/>
      </w:r>
      <w:r>
        <w:rPr>
          <w:rFonts w:ascii="Amiri" w:hAnsi="Amiri" w:eastAsia="Amiri" w:cs="Amiri"/>
          <w:color w:val="111111"/>
          <w:sz w:val="28"/>
          <w:sz w:val="28"/>
          <w:szCs w:val="28"/>
          <w:rtl w:val="true"/>
          <w:lang w:bidi="ar-SA"/>
        </w:rPr>
        <w:t xml:space="preserve">ولو كانوا مميزين </w:t>
      </w:r>
      <w:r>
        <w:rPr>
          <w:rStyle w:val="FootnoteAnchor"/>
          <w:rtl w:val="true"/>
        </w:rPr>
        <w:footnoteReference w:id="263"/>
      </w:r>
      <w:r>
        <w:rPr>
          <w:rFonts w:ascii="IRNazanin" w:hAnsi="IRNazanin" w:eastAsia="IRNazanin"/>
          <w:color w:val="111111"/>
          <w:sz w:val="28"/>
          <w:sz w:val="28"/>
          <w:szCs w:val="28"/>
          <w:rtl w:val="true"/>
          <w:lang w:bidi="fa-IR"/>
        </w:rPr>
        <w:t xml:space="preserve">؛ 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أن الكراهة إنما هي بدلیل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أصل صحة عبادته باقية مع الكراهة بمعنى أقل ثوابا ،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يجوز للبالغين الائتمام به حتى بناء على شرعية عباداته وصحة صلاته؛ لماتقدم آنفا من دلالة نصوص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إسحاق بن عمار المتقدمة في 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ائتمام البالغين به وأنه تفسد صلاتهم، وإن جازت صلاته وصلاة من ائتم به من غير البالغين بحيث لولا النص لما فسدت صلاتهم بمقتضى شرعية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البحث فروع ومسائل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كثيرة متكثرة تأتي في مختلف أبواب الفقه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شرعية عبادات الصبي المميز، أعرضنا عنها لعدم سعة هذا المختصر مخافة التطويل والإطناب و اتكالا على فهم ذوي الألباب، بل لعله لا حاجة إلى ذكرها في هذا الباب، بعد إمكان اقتباسها مما ذكرنا من الفروع بلا ارتياب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أومأنا في خلال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شرعية عباداته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تكون جميع الواجبات والمستحبات المذكورة في خلال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ما اختصت بالبالغين أو خرجت بالدليل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تأليف الشهيد الأول قدس سره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على ألف واجب من واجبات أحكام الصلاة،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على ما يزيد عن ثلاثة آلاف من مستحباتها، وشرحهما الشهيد الثاني قدس سره بأحسن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ماقيل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الواجبات والمستحبات و غيرهما من سائر العبادات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المختصات بالبالغين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مستحبة على الصبي المميز بناء على شرعية عباداته</w:t>
      </w:r>
      <w:r>
        <w:rPr>
          <w:rFonts w:eastAsia="Amiri" w:cs="Amiri" w:ascii="Amiri" w:hAnsi="Amiri"/>
          <w:color w:val="111111"/>
          <w:sz w:val="28"/>
          <w:szCs w:val="28"/>
          <w:rtl w:val="true"/>
          <w:lang w:bidi="ar-SA"/>
        </w:rPr>
        <w:t xml:space="preserve">. </w:t>
      </w:r>
      <w:bookmarkStart w:id="269" w:name="pg7286_66333"/>
    </w:p>
    <w:p>
      <w:pPr>
        <w:pStyle w:val="Heading3"/>
        <w:numPr>
          <w:ilvl w:val="2"/>
          <w:numId w:val="1"/>
        </w:numPr>
        <w:rPr/>
      </w:pPr>
      <w:bookmarkStart w:id="270" w:name="__RefHeading___Toc634204_1051229030"/>
      <w:bookmarkStart w:id="271" w:name="_Toc89"/>
      <w:bookmarkEnd w:id="269"/>
      <w:bookmarkEnd w:id="270"/>
      <w:r>
        <w:rPr>
          <w:rtl w:val="true"/>
        </w:rPr>
        <w:t>تتميم</w:t>
      </w:r>
      <w:r>
        <w:rPr>
          <w:rtl w:val="true"/>
        </w:rPr>
        <w:t xml:space="preserve">: </w:t>
      </w:r>
      <w:r>
        <w:rPr>
          <w:rtl w:val="true"/>
        </w:rPr>
        <w:t>في حكم الصبي المميز بالنسبة إلى الأصول الاعتقادية</w:t>
      </w:r>
      <w:bookmarkEnd w:id="271"/>
    </w:p>
    <w:p>
      <w:pPr>
        <w:pStyle w:val="BookText"/>
        <w:rPr/>
      </w:pPr>
      <w:r>
        <w:rPr>
          <w:rFonts w:ascii="IRNazanin" w:hAnsi="IRNazanin" w:eastAsia="IRNazanin"/>
          <w:color w:val="111111"/>
          <w:sz w:val="28"/>
          <w:sz w:val="28"/>
          <w:szCs w:val="28"/>
          <w:rtl w:val="true"/>
          <w:lang w:bidi="fa-IR"/>
        </w:rPr>
        <w:t>قد ظهر مما سردنا في البحث أنه يعتبر في الأحكام الفرعية أن يكون المكلف بالغا وأن البلوغ موضوعها، وأن الصبي المميز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رفع قلم التكليف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بمورد للإلزامية من تلك الأحكام وإلا لكان مشمولا لها بالتقريب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الأحكام الأصلية والأصول الاعتقادية فلا يعتبر فيها البلوغ، بل يعتبر فيها الرشد الصادق على التمييز، فيكفي فيها ذلك وإن لم يبلغ حد البلوغ الذي وضعه بيد الشارع تعالی؛ وذلك لشمول هذه الأحكام الأصولية للصبي المميز بالتقريب المتقدم في الأحكام الفرعية من غير فرق،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 تكليف الفرعية عنه بحديث رفع القلم، ولكن لم يرفع عنه هذه الأحكام؛ لأن هذه الأحكام في الحقيقة ليست بشرعية محضة بل عقلية، وما صدر منه تعالی من الأمر بها ليس بمولوي، بل إرشاد إلى حكم العقل بها وإمضاء له على ما هو عليه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الواجبات الشرعية ألطاف في الواجبات العقلية </w:t>
      </w:r>
      <w:r>
        <w:rPr>
          <w:rStyle w:val="FootnoteAnchor"/>
          <w:rtl w:val="true"/>
        </w:rPr>
        <w:footnoteReference w:id="265"/>
      </w:r>
      <w:r>
        <w:rPr>
          <w:rFonts w:ascii="Amiri" w:hAnsi="Amiri" w:eastAsia="Amiri" w:cs="Amiri"/>
          <w:color w:val="111111"/>
          <w:sz w:val="28"/>
          <w:sz w:val="28"/>
          <w:szCs w:val="28"/>
          <w:rtl w:val="true"/>
          <w:lang w:bidi="ar-SA"/>
        </w:rPr>
        <w:t xml:space="preserve">،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إعمال المولوية بتحديد البلوغ وإخراج الصبي المميز عنها كإخراجه عن الفرعية، فلا دليل شرعي كما لا برهان عقلي على خروجه من </w:t>
      </w:r>
    </w:p>
    <w:p>
      <w:pPr>
        <w:pStyle w:val="BookText"/>
        <w:rPr/>
      </w:pPr>
      <w:r>
        <w:rPr>
          <w:rFonts w:ascii="IRNazanin" w:hAnsi="IRNazanin" w:eastAsia="IRNazanin"/>
          <w:color w:val="111111"/>
          <w:sz w:val="28"/>
          <w:sz w:val="28"/>
          <w:szCs w:val="28"/>
          <w:rtl w:val="true"/>
          <w:lang w:bidi="fa-IR"/>
        </w:rPr>
        <w:t>الأصلية، بل الدليل العقلي قائم وحاكم على أنه من جهة تمييزه ورشده محکوم بها من غير تحديد بالبلوغ الذي أشرنا آنفا إلى أنه من وظائف الشرع الأنور في مورده ولا مسرح للعقل هناك، فلا موجب لإخراجه عن تلك الأحكام اقتراحا والقول بعدم وجوبها عليه تحكما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فرضنا عدم وجوبها عليه وخروجه عن الإلزام بها بالفرض فنقول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لا تصح عنه على سبيل الندب، کما صححنا الأحكام الفرعية بعد رفع قلم تكليفها الإلزامي عنه؟ وقربنا الصحة الندبية هناك بما لا مزيد عليه، فهي لو لم تكن واجبة عليه فرضا فلا أقل صحيحة عنه بلا غبار عليه، وإن توهم كثير من العامة وأصروا على خلافه بلا روية، فلا يعبؤون ولا يهتمون بإسلام الإمام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الملك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الشيخين؛ فإنه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النصوص المتواترة والتواريخ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الإسلام والإيمان في حال الصباوة قبل كل أحد </w:t>
      </w:r>
      <w:r>
        <w:rPr>
          <w:rStyle w:val="FootnoteAnchor"/>
          <w:rtl w:val="true"/>
        </w:rPr>
        <w:footnoteReference w:id="266"/>
      </w:r>
      <w:r>
        <w:rPr>
          <w:rFonts w:ascii="IRNazanin" w:hAnsi="IRNazanin" w:eastAsia="IRNazanin"/>
          <w:color w:val="111111"/>
          <w:sz w:val="28"/>
          <w:sz w:val="28"/>
          <w:szCs w:val="28"/>
          <w:rtl w:val="true"/>
          <w:lang w:bidi="fa-IR"/>
        </w:rPr>
        <w:t xml:space="preserve">، وهذا الخلاف الاقتراحي منهم من أعجب العجائب، ولا سيما بعد ملاحظة أنه عليه السلام من بين الصبيان کان ممتازا في نفسه ووليد البيت وموردا لكثير من عنایاته تعالى الخاصة، وهذا مع قطع النظر عن ولايته المطلقة وإمامته الإلهية التي أعطاها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عليه السلام كإعطاء النبوة لبعض الأنبياء علیهم السلام صبيا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فتحصل أنه لا موجب ولا وجه لاعتبار البلوغ في وجوب هذه الأحكام الأصولية الاعتقادية ولا في صحتها، بل تجب و تصح عن الصبي المميز تلك الأحكام بلاشبهة ولا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فالصبي المميز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كغير المميز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 حيث الحكم الفرعي تابعا الأحدأبويه إذا كان مسلما ولكليهما إذا كانا كافرين، إلا أنه لو كان أبوا الصبي المميز كافرين فأظهر الإسلام والشهادتين حال التمييز أو أظهر الإيمان والشهادات الثلاث حاله يقبل منه ويخرج بذلك عن التبعية ويحكم بإسلامه وإيمانه من غير انتظار للبلوغ، وإن لم يجب عليه بعد ما يجب على البالغين من الأحكام الفرعية الإلزامية، كما أنه لو ارتد ولد المسلم والمؤمن ومن كان 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مؤمنين خرج عن التبعية أيضا وحكم بكفره، بل بارتداده الفطري وإن لم يجر عليه القتل وغيره مما يجري على البالغين المرتدين فطريا أو مليا من الأحكام المترتبة على الارتداد؛ فإنها من الأحكام الفرعية المعتبر فيها البلوغ، كما لا يخفی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أصول الاعتقاد الدينية هو الرشد الشامل للتمييز، فكما أن الصبي المميز إذا أسلم وآمن يحكم بإسلامه وإيمانه، كذلك لو ارتد وكفر يحكم بكفره وارتداده، و به صرح بعض الأعلام قدس سره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أقر ولد الكافر بالإسلام وأظهر الشهادتين على لسانه فلا محالة يحكم بطهارته وإسلامه؛ لإطلاق ما دل على تحقق الإسلام بالإقرار بالشهادتين كما يحكم بتهوده وتنصره </w:t>
      </w:r>
    </w:p>
    <w:p>
      <w:pPr>
        <w:pStyle w:val="BookText"/>
        <w:rPr/>
      </w:pPr>
      <w:r>
        <w:rPr>
          <w:rFonts w:ascii="Amiri" w:hAnsi="Amiri" w:eastAsia="Amiri" w:cs="Amiri"/>
          <w:color w:val="111111"/>
          <w:sz w:val="28"/>
          <w:sz w:val="28"/>
          <w:szCs w:val="28"/>
          <w:rtl w:val="true"/>
          <w:lang w:bidi="ar-SA"/>
        </w:rPr>
        <w:t>إذا اعترف بهما على نفسه من غير فرق في ذلك بين البالغ وغير البالغ</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وكذا يتحقق الإيمان بالإقرار بالشهادات، فلا يتبع والديه الكافرين في جواز الأسروالاسترقاق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يتبعهما ما لم يكن يظهر الإسلام والإيمان، كما في تبعيته لهما في جواز الأسر والاسترقاق الذي تسالم عليه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بالسيرة القطعية في حروب المسلمين؛ حيث إنهم كما كانوا يأسرون البالغين من الكفار، كانوا يأسرون صبيانهم وأولادهم ولو لم يكونوا بالغين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يعد الولد المميز كافرا مرتدا لو أظهر الكفر ولو كان أحد أبويه مسلما ، ولا ينافي ذلك عدم تكليفه بالأحكام الفرعية وعدم كونه معاقبا بشيء من أفعاله الشخصية مما يعاقب به البالغون كما أنه كذلك يعامل معه معاملة ما أعد للمرتدین البالغين من الأحكام الفرعية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ولد الكافرين إذا أظهر الإسلام والإيمان وكان رشيدا مميزا يقبل منه فيحكم بإسلامه وطهارته ويخرج عن التبعية في الأسر والاسترقاق ونحوهما، ولكن لا يجب عليه ما يجب على البالغين المسلمين المؤمنين من الأحكام الفرعية وكذا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أظهر الكفر من كان أحد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مؤمنا يحكم بكفره، بل بارتداده الفطري أو الملي، ولكن لا يجري عليه ما يجري على البالغين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المرتدين مليا أو فطريا من القتل وغيره،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بأحكامه، والحمد لله أولا وآخرا وظاهرا و باطنا</w:t>
      </w:r>
      <w:r>
        <w:rPr>
          <w:rFonts w:eastAsia="Amiri" w:cs="Amiri" w:ascii="Amiri" w:hAnsi="Amiri"/>
          <w:color w:val="111111"/>
          <w:sz w:val="28"/>
          <w:szCs w:val="28"/>
          <w:rtl w:val="true"/>
          <w:lang w:bidi="ar-SA"/>
        </w:rPr>
        <w:t xml:space="preserve">. </w:t>
      </w:r>
      <w:bookmarkStart w:id="272" w:name="pg7286_66338"/>
    </w:p>
    <w:p>
      <w:pPr>
        <w:pStyle w:val="Heading2"/>
        <w:numPr>
          <w:ilvl w:val="1"/>
          <w:numId w:val="1"/>
        </w:numPr>
        <w:rPr/>
      </w:pPr>
      <w:bookmarkStart w:id="273" w:name="__RefHeading___Toc634206_1051229030"/>
      <w:bookmarkStart w:id="274" w:name="_Toc90"/>
      <w:bookmarkEnd w:id="272"/>
      <w:bookmarkEnd w:id="273"/>
      <w:r>
        <w:rPr>
          <w:rtl w:val="true"/>
        </w:rPr>
        <w:t>الرسالة السادسة</w:t>
      </w:r>
      <w:r>
        <w:rPr>
          <w:rtl w:val="true"/>
        </w:rPr>
        <w:t xml:space="preserve">: </w:t>
      </w:r>
      <w:r>
        <w:rPr>
          <w:rtl w:val="true"/>
        </w:rPr>
        <w:t>في أن الإعانة على الإثم غیر محرمة في نفسها إلا إذا صارت کالجزء الأخير من العلة التامة للإثم وسببا أقوى لوجوده في الخارج</w:t>
      </w:r>
      <w:bookmarkEnd w:id="27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634208_1051229030"/>
      <w:bookmarkStart w:id="276" w:name="_Toc91"/>
      <w:bookmarkEnd w:id="275"/>
      <w:r>
        <w:rPr>
          <w:rtl w:val="true"/>
        </w:rPr>
        <w:t>اشارة</w:t>
      </w:r>
      <w:bookmarkEnd w:id="2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7286_66340"/>
      <w:bookmarkStart w:id="278" w:name="pg7286_66340"/>
      <w:bookmarkEnd w:id="278"/>
    </w:p>
    <w:p>
      <w:pPr>
        <w:pStyle w:val="BookText"/>
        <w:rPr/>
      </w:pPr>
      <w:bookmarkStart w:id="279" w:name="pg7286_66340"/>
      <w:bookmarkEnd w:id="279"/>
      <w:r>
        <w:rPr>
          <w:rFonts w:ascii="Amiri" w:hAnsi="Amiri" w:eastAsia="Amiri" w:cs="Amiri"/>
          <w:color w:val="111111"/>
          <w:sz w:val="28"/>
          <w:sz w:val="28"/>
          <w:szCs w:val="28"/>
          <w:rtl w:val="true"/>
          <w:lang w:bidi="ar-SA"/>
        </w:rPr>
        <w:t>الرسالة السادسة</w:t>
      </w:r>
    </w:p>
    <w:p>
      <w:pPr>
        <w:pStyle w:val="BookText"/>
        <w:rPr/>
      </w:pPr>
      <w:r>
        <w:rPr>
          <w:rFonts w:ascii="IRNazanin" w:hAnsi="IRNazanin" w:eastAsia="IRNazanin"/>
          <w:color w:val="111111"/>
          <w:sz w:val="28"/>
          <w:sz w:val="28"/>
          <w:szCs w:val="28"/>
          <w:rtl w:val="true"/>
          <w:lang w:bidi="fa-IR"/>
        </w:rPr>
        <w:t>في أن الإعانة على الإثم غیر محرمة في نفسها إلا إذا صارت کالجزء الأخير من العلة التامة للإثم وسببا أقوي لوجوده في الخارج</w:t>
      </w:r>
    </w:p>
    <w:p>
      <w:pPr>
        <w:pStyle w:val="Heading3"/>
        <w:numPr>
          <w:ilvl w:val="2"/>
          <w:numId w:val="1"/>
        </w:numPr>
        <w:rPr/>
      </w:pPr>
      <w:bookmarkStart w:id="280" w:name="__RefHeading___Toc634210_1051229030"/>
      <w:bookmarkStart w:id="281" w:name="_Toc92"/>
      <w:bookmarkEnd w:id="280"/>
      <w:r>
        <w:rPr>
          <w:rtl w:val="true"/>
        </w:rPr>
        <w:t>المقدمة في بيان مورد المسألة</w:t>
      </w:r>
      <w:bookmarkEnd w:id="281"/>
    </w:p>
    <w:p>
      <w:pPr>
        <w:pStyle w:val="BookText"/>
        <w:rPr/>
      </w:pPr>
      <w:r>
        <w:rPr>
          <w:rFonts w:ascii="Amiri" w:hAnsi="Amiri" w:eastAsia="Amiri" w:cs="Amiri"/>
          <w:color w:val="111111"/>
          <w:sz w:val="28"/>
          <w:sz w:val="28"/>
          <w:szCs w:val="28"/>
          <w:rtl w:val="true"/>
          <w:lang w:bidi="ar-SA"/>
        </w:rPr>
        <w:t>وقبل الخوض في ذلك لا بد من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الإثم هاهنا الإثم بما هو إثم، أعني الذي لم يكن فيه ظلم للغير وتعد إليه، مثل شرب الخمر أو الماء النجس أو أكل لحم الخنزير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 كان فيه ظلم وتعد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ولا إشكال في أنه من أكبر الكبائر وأعظم المعاصي و محرم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الإعانة عليه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تكن سببا أقوى من المباشر لوجود الظلم في الخارج، بل ولو كانت بوسائط عديدة بعيدة فضلا عن القريبة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ومنهي عنها في الشريعة، بل ربما يعد بعض الإعانات القريبة من الظلم نفسه، کالكتابة في أمر ظلم الظلمة، ويقال بأن الإعانة حينئذ تكون مثل نحت قلم کاتبه وتقريب وسائط الكتابة له، وقد ورد في ذلك نصوص كثيرة متكثرة وأخبار متظافرة متكاثرة كادت تزيد وتتجاوز عن حد التواتر، مضبوطة في محالها </w:t>
      </w:r>
      <w:r>
        <w:rPr>
          <w:rStyle w:val="FootnoteAnchor"/>
          <w:rtl w:val="true"/>
        </w:rPr>
        <w:footnoteReference w:id="269"/>
      </w:r>
      <w:r>
        <w:rPr>
          <w:rFonts w:ascii="Amiri" w:hAnsi="Amiri" w:eastAsia="Amiri" w:cs="Amiri"/>
          <w:color w:val="111111"/>
          <w:sz w:val="28"/>
          <w:sz w:val="28"/>
          <w:szCs w:val="28"/>
          <w:rtl w:val="true"/>
          <w:lang w:bidi="ar-SA"/>
        </w:rPr>
        <w:t xml:space="preserve">ولعله يغنينا عن ذلك كله ما ورد في قضية صفوان الجمال المعروفة </w:t>
      </w:r>
      <w:r>
        <w:rPr>
          <w:rStyle w:val="FootnoteAnchor"/>
          <w:rtl w:val="true"/>
        </w:rPr>
        <w:footnoteReference w:id="270"/>
      </w:r>
      <w:r>
        <w:rPr>
          <w:rFonts w:ascii="Amiri" w:hAnsi="Amiri" w:eastAsia="Amiri" w:cs="Amiri"/>
          <w:color w:val="111111"/>
          <w:sz w:val="28"/>
          <w:sz w:val="28"/>
          <w:szCs w:val="28"/>
          <w:rtl w:val="true"/>
          <w:lang w:bidi="ar-SA"/>
        </w:rPr>
        <w:t>من الإشارة إلى حكم إعانة الظلمة وأعوانهم من النهي الأكيد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الإثم مجردا عن الظلم والتعدي إلى الغير، وإتيان المعصية الكذائية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كانت أو صغيرة 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ظلما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الكتاب العزيز حكاية عن آدم ولقمان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ظَلَمنا أنفُسَنا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الشَّركَ لَظُلمٌ </w:t>
      </w:r>
      <w:bookmarkStart w:id="282" w:name="pg7286_66342"/>
    </w:p>
    <w:p>
      <w:pPr>
        <w:pStyle w:val="BookText"/>
        <w:rPr/>
      </w:pPr>
      <w:bookmarkEnd w:id="282"/>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وغير ذلك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النحو من الظلم للنفس ما لم يكن في نفسه ظلما وتعديا إلى الغير، منصرف عن الظلم الذي أشرنا وسردنا حرمته وحرمة الإعانات عليه بالأدلة، وهذا هو المقصود بالبحث هنا ولا بد من التكلم فيه، فنقول</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34212_1051229030"/>
      <w:bookmarkStart w:id="284" w:name="_Toc93"/>
      <w:bookmarkEnd w:id="283"/>
      <w:r>
        <w:rPr>
          <w:rtl w:val="true"/>
        </w:rPr>
        <w:t>أقسام الإعانة على الإثم</w:t>
      </w:r>
      <w:bookmarkEnd w:id="284"/>
    </w:p>
    <w:p>
      <w:pPr>
        <w:pStyle w:val="BookText"/>
        <w:rPr/>
      </w:pPr>
      <w:r>
        <w:rPr>
          <w:rFonts w:ascii="IRNazanin" w:hAnsi="IRNazanin" w:eastAsia="IRNazanin"/>
          <w:color w:val="111111"/>
          <w:sz w:val="28"/>
          <w:sz w:val="28"/>
          <w:szCs w:val="28"/>
          <w:rtl w:val="true"/>
          <w:lang w:bidi="fa-IR"/>
        </w:rPr>
        <w:t>لا كلام في أن هذا الإثم المجرد عن الظلم والتعدي إلى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كثرته المتكثرة المعدودة في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مبغوض للشارع تعالی و تقدس، ويجب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الإثم ليس إلا ما هو كذلك وإنما الكلام في هذا المقام في أن الإعانة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كالإعانة على الظلم والتعدي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أيضا أم لا؟</w:t>
      </w:r>
    </w:p>
    <w:p>
      <w:pPr>
        <w:pStyle w:val="BookText"/>
        <w:rPr/>
      </w:pPr>
      <w:r>
        <w:rPr>
          <w:rFonts w:ascii="IRNazanin" w:hAnsi="IRNazanin" w:eastAsia="IRNazanin"/>
          <w:color w:val="111111"/>
          <w:sz w:val="28"/>
          <w:sz w:val="28"/>
          <w:szCs w:val="28"/>
          <w:rtl w:val="true"/>
          <w:lang w:bidi="fa-IR"/>
        </w:rPr>
        <w:t xml:space="preserve">التحقيق أن الإعانة في المقام على نحوین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يتخلل في البين اختيار للمباشر المعان له، كما لو أعانه المعين بتمكينه من الماء النجس أو ببيع العنب منه أو بإعارة السكين إياه أو نحوذلك مما يشترك فيه الحلال والحرام، فصرفه المعان له في الحرام باختياره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يشرب الماء النجس أو يخمر العنب أو يستعمل الآلة المشتركة في الحرام وهكذا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يتخلل له اختیار في البين، كما لو مكنه المعين من تلك الأمور التي يشترك فيها الحرام والحلال بعد أن سلب الاختيار منه من شدة العطش أو حدة الغضب أو نحو ذلك</w:t>
      </w:r>
      <w:r>
        <w:rPr>
          <w:rFonts w:eastAsia="IRNazanin" w:cs="IRNazanin"/>
          <w:color w:val="111111"/>
          <w:sz w:val="28"/>
          <w:szCs w:val="28"/>
          <w:rtl w:val="true"/>
          <w:lang w:bidi="fa-IR"/>
        </w:rPr>
        <w:t xml:space="preserve">. </w:t>
      </w:r>
      <w:bookmarkStart w:id="285" w:name="pg7286_66343"/>
    </w:p>
    <w:p>
      <w:pPr>
        <w:pStyle w:val="Heading3"/>
        <w:numPr>
          <w:ilvl w:val="2"/>
          <w:numId w:val="1"/>
        </w:numPr>
        <w:rPr/>
      </w:pPr>
      <w:bookmarkStart w:id="286" w:name="__RefHeading___Toc634214_1051229030"/>
      <w:bookmarkStart w:id="287" w:name="_Toc94"/>
      <w:bookmarkEnd w:id="285"/>
      <w:bookmarkEnd w:id="286"/>
      <w:r>
        <w:rPr>
          <w:rtl w:val="true"/>
        </w:rPr>
        <w:t>الكلام حول القسم الأول من الإعانة</w:t>
      </w:r>
      <w:bookmarkEnd w:id="287"/>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فالإعانة عليه بما يشترك فيه الحلال والحرام غیر محرمة والمعين بإعانته هذه غير آثم إذا لم يكن بإعانته قاصدا للحرام؛ فإن مجرد الإعانة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كانت الإعانة مشتركة في الحلال والحرام وبعد ما كان الفاعل المباشر مختارا في الفعل والترك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لها ولم يثبت حرمتها ولم يدل على حرمتها دلیل، وقد حقق في محله أن اختيار الفاعل المباشرهو الجزء الأخير من العلة التامة للعمل، والمفروض وجوده للمباشر وعدم سلبه عنه فلا أثر للإعانة حينئذ ، حتى إذا أعانه مع العلم بأنه يصرفه في الحرام، بداهة أن العلم أيضا لا أثر له ولا يقلب الإعانة عما هي عليه ولا يسلب من المعان له الاختيار،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يتوهم أنه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يأثم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 من الإعانة أن يتحقق الحرام من المباشر في الخارج؛ بدعوى أنه لا يلزم منه سوى خبث السريرة له، لكنه توهم فاسد کاسد؛ إذ التحقيق أن عمل المعين مع هذا القصد يخرج من باب الإعانة على الإثم ويدخل في باب التعاون عليه، وفرق واضح بينهما؛ إذ التعاون على الإثم هو أن يصدر عمل واحد محرم من شخصين أو أشخاص عديدة يعين كل واحد الآخر بحيث ينتسب الحرام إلى كل واحد واحد؛ وذلك كما لو اجتمعا أو اجتمعوا على هدم مسجد أو قتل نفس محترمة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الإعانة على الإثم وهي أن يصدر العمل المحرم من واحد ويعينه شخص آخر على ذلك من غير أن ينتسب الحرام إليه؛ فالتعاون هو اجتماع </w:t>
      </w:r>
      <w:bookmarkStart w:id="288" w:name="pg7286_66344"/>
    </w:p>
    <w:p>
      <w:pPr>
        <w:pStyle w:val="BookText"/>
        <w:rPr/>
      </w:pPr>
      <w:bookmarkEnd w:id="288"/>
      <w:r>
        <w:rPr>
          <w:rFonts w:ascii="IRNazanin" w:hAnsi="IRNazanin" w:eastAsia="IRNazanin"/>
          <w:color w:val="111111"/>
          <w:sz w:val="28"/>
          <w:sz w:val="28"/>
          <w:szCs w:val="28"/>
          <w:rtl w:val="true"/>
          <w:lang w:bidi="fa-IR"/>
        </w:rPr>
        <w:t>غير واحد على إصدار عمل واحد محترم و عصیان فارد مسلم، والمقام یکون كذلك؛ إذ في الحقيقة بعد قصد المعين من الإعانة تحقق الحرام من المباشر في الخارج يصدر الحرام الواحد من شخصين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المعين بعمله وقصده، ومن المعان له بمباشر ته واختياره، ولا ريب في أن هذا التعاون محترم في نفسه في الكتاب والسنة؛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تَعاوَنُوا عَلَى الإِثمِ وَالعُدوانِ </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وغير ذلك مما هو مضبوط في محله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34216_1051229030"/>
      <w:bookmarkStart w:id="290" w:name="_Toc95"/>
      <w:bookmarkEnd w:id="289"/>
      <w:r>
        <w:rPr>
          <w:rtl w:val="true"/>
        </w:rPr>
        <w:t>إيراد الخدشة على صاحب العروة قدس سره</w:t>
      </w:r>
      <w:bookmarkEnd w:id="290"/>
    </w:p>
    <w:p>
      <w:pPr>
        <w:pStyle w:val="BookText"/>
        <w:rPr/>
      </w:pPr>
      <w:r>
        <w:rPr>
          <w:rFonts w:ascii="Amiri" w:hAnsi="Amiri" w:eastAsia="Amiri" w:cs="Amiri"/>
          <w:color w:val="111111"/>
          <w:sz w:val="28"/>
          <w:sz w:val="28"/>
          <w:szCs w:val="28"/>
          <w:rtl w:val="true"/>
          <w:lang w:bidi="ar-SA"/>
        </w:rPr>
        <w:t xml:space="preserve">ومما ذكرنا يعلم ضعف قول بعضهم </w:t>
      </w:r>
      <w:r>
        <w:rPr>
          <w:rStyle w:val="FootnoteAnchor"/>
          <w:rtl w:val="true"/>
        </w:rPr>
        <w:footnoteReference w:id="275"/>
      </w:r>
      <w:r>
        <w:rPr>
          <w:rFonts w:ascii="Amiri" w:hAnsi="Amiri" w:eastAsia="Amiri" w:cs="Amiri"/>
          <w:color w:val="111111"/>
          <w:sz w:val="28"/>
          <w:sz w:val="28"/>
          <w:szCs w:val="28"/>
          <w:rtl w:val="true"/>
          <w:lang w:bidi="ar-SA"/>
        </w:rPr>
        <w:t>في مسألة عدم وجوب التستر على الرجال مع حرمة النظر على النساء من أنه مع العلم بتعمدهن في النظر يجب عليهم التستر من باب حرمة الإعانة على الإثم؛ لما عرفت من أنه لا دليل على حرمة مجرد الإعانة على الإثم المجردة عن الظلم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يعلم ضعف کلام من تأمل في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تسليم أن المتيقن من حرمة الإعانة هو أن تكون مع قصد الإعانة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مع قصد الحرام من عمل الإعانة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في حرمة الإعانة بدون ذلك القصد تأملا</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توضيح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عرفت بما لا مزيد عليه أنها مع ذلك القصد يدخل تحت عنوان التعاون على الإثم المحرم بلا ریب وإشكال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المعين لم يأثم بإعانته على النحو الأول من الإعانة ولم يأتي بحرام تكليفي ما لم يقصد بإعانته الحرام، وإن علم بوقوع الحرام من المعان له، وإنما الآثم المرتكب للحرام هو المباشر المختار المعان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الإعانة على النحو الأول</w:t>
      </w:r>
      <w:r>
        <w:rPr>
          <w:rFonts w:eastAsia="Amiri" w:cs="Amiri" w:ascii="Amiri" w:hAnsi="Amiri"/>
          <w:color w:val="111111"/>
          <w:sz w:val="28"/>
          <w:szCs w:val="28"/>
          <w:rtl w:val="true"/>
          <w:lang w:bidi="ar-SA"/>
        </w:rPr>
        <w:t xml:space="preserve">. </w:t>
      </w:r>
      <w:bookmarkStart w:id="291" w:name="pg7286_66346"/>
    </w:p>
    <w:p>
      <w:pPr>
        <w:pStyle w:val="Heading3"/>
        <w:numPr>
          <w:ilvl w:val="2"/>
          <w:numId w:val="1"/>
        </w:numPr>
        <w:rPr/>
      </w:pPr>
      <w:bookmarkStart w:id="292" w:name="__RefHeading___Toc634218_1051229030"/>
      <w:bookmarkStart w:id="293" w:name="_Toc96"/>
      <w:bookmarkEnd w:id="291"/>
      <w:bookmarkEnd w:id="292"/>
      <w:r>
        <w:rPr>
          <w:rtl w:val="true"/>
        </w:rPr>
        <w:t>الكلام حول القسم الثاني من الإعانة</w:t>
      </w:r>
      <w:bookmarkEnd w:id="293"/>
    </w:p>
    <w:p>
      <w:pPr>
        <w:pStyle w:val="BookText"/>
        <w:rPr/>
      </w:pPr>
      <w:r>
        <w:rPr>
          <w:rFonts w:ascii="IRNazanin" w:hAnsi="IRNazanin" w:eastAsia="IRNazanin"/>
          <w:color w:val="111111"/>
          <w:sz w:val="28"/>
          <w:sz w:val="28"/>
          <w:szCs w:val="28"/>
          <w:rtl w:val="true"/>
          <w:lang w:bidi="fa-IR"/>
        </w:rPr>
        <w:t xml:space="preserve">وأما على النحو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فالإعانة بما يشترك فيه الحلال والحرام محرمة حينئذ ويكون الآثم هو المعين مطلقا وإن فرض بعيدا أنه لم يعلم أو لم يقصد بإعانته وقوع الحرام في الخارج؛ وذلك لأنها السبب الأقوى للحرام دون الفاعل المباشر المعان له؛ لسلب الاختيار عنه على الفرض وارتفاع التكليف عنه؛ إذ من الواضح أن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کالبلوغ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الشرائط العامة للتكليف </w:t>
      </w:r>
      <w:r>
        <w:rPr>
          <w:rStyle w:val="FootnoteAnchor"/>
          <w:rtl w:val="true"/>
        </w:rPr>
        <w:footnoteReference w:id="277"/>
      </w:r>
      <w:r>
        <w:rPr>
          <w:rFonts w:ascii="Amiri" w:hAnsi="Amiri" w:eastAsia="Amiri" w:cs="Amiri"/>
          <w:color w:val="111111"/>
          <w:sz w:val="28"/>
          <w:sz w:val="28"/>
          <w:szCs w:val="28"/>
          <w:rtl w:val="true"/>
          <w:lang w:bidi="ar-SA"/>
        </w:rPr>
        <w:t xml:space="preserve">، ولكن ما لم يكن مقصرا في مقدمات سلب الاختيار عن نفسه وإلا فهو معاقب في ذلك وإن لم يتوجه التكليف إليه بعد سلب الاختيار، فإن الامتناع بالاختيار لا ينافي الاختيار عقابا لا خطابا على ما حقق في محله </w:t>
      </w:r>
      <w:r>
        <w:rPr>
          <w:rStyle w:val="FootnoteAnchor"/>
          <w:rtl w:val="true"/>
        </w:rPr>
        <w:footnoteReference w:id="278"/>
      </w:r>
      <w:r>
        <w:rPr>
          <w:rFonts w:ascii="Amiri" w:hAnsi="Amiri" w:eastAsia="Amiri" w:cs="Amiri"/>
          <w:color w:val="111111"/>
          <w:sz w:val="28"/>
          <w:sz w:val="28"/>
          <w:szCs w:val="28"/>
          <w:rtl w:val="true"/>
          <w:lang w:bidi="ar-SA"/>
        </w:rPr>
        <w:t>، فتدبر ولعل تقصيره هذا في مقدمات العمل مع إعانة المعين إياه في العمل يدرجان المسألة في باب التعاون على الإثم المحرم في نفسه صريحا في الشريعة المقدسة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سلب عنه الاختيار مقصرا في مقدمات سلب اختياره لا يبعد أن يعد مقصرا في فعل الإثم، لكن لا بحيث لا يستند الإثم إلى المعين، بل يستند إلى كليهما، ويكون حينئذ كل منهما مقصرا آثما، فيخرج المقام </w:t>
      </w:r>
    </w:p>
    <w:p>
      <w:pPr>
        <w:pStyle w:val="BookText"/>
        <w:rPr/>
      </w:pPr>
      <w:r>
        <w:rPr>
          <w:rFonts w:ascii="Amiri" w:hAnsi="Amiri" w:eastAsia="Amiri" w:cs="Amiri"/>
          <w:color w:val="111111"/>
          <w:sz w:val="28"/>
          <w:sz w:val="28"/>
          <w:szCs w:val="28"/>
          <w:rtl w:val="true"/>
          <w:lang w:bidi="ar-SA"/>
        </w:rPr>
        <w:t>من باب الإعانة على الإثم ويدخل تحت المعاونة والتعاون عليه، وقد عرفت الفرق بينهما آنفا بما لا مزيد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فإذا لم يكن هذا المسلوب الاختیار مقصرا في المقدمات يكون الآثم هو المعين لا غير؛ لفقد الجزء الأخير من علة الإثم عن المباشر وقيام إعانة المعين مقامه في العلنية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يظهر فساد توهم أن الإثم على 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عن الفاعل المباشر إلى السبب المعين لمكان سلب الاختيار عن المباشر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التكليف مع سلب الاختيار عن المكلف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يتوجه إليه رأسا حتى ينتقل إلى السبب، بل يكون المعين هو السبب للإثم وهو الأقوى من المباشر في حال سلب الاختيار منه، بحيث لا يكون للمباشر حينئذ إثم و عصیان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وليعلم أنه كما أن المجنون والصبي لا يكونان في الواقع مكلفين، كذلك الناسي والغافل لمكان النسيان والغفلة لا يكونان مكلفين بحسب الواقع، والجاهل القاصر لمكان جهله القصوري بالحكم لا يكون بحسب الظاهر مكلفا؛ وذلك لعدم قدرتهم على امتثال المنسي والمغفول عنه والمجهول، وإلا فهو بحسب الواقع مكلف بالحكم؛ لاشتراك الجاهل والعالم في الحكم الواقعي بحسب مذهب الحق المحقق، فلو شرب الناسي والغافل أو الجاهل القاصر الخمر أو النجس مثلا لم يكونوا آثمین کالمسلوب الاختيار المتقدم بيانه وكالمجنون والصبي</w:t>
      </w:r>
      <w:r>
        <w:rPr>
          <w:rFonts w:eastAsia="IRNazanin" w:cs="IRNazanin"/>
          <w:color w:val="111111"/>
          <w:sz w:val="28"/>
          <w:szCs w:val="28"/>
          <w:rtl w:val="true"/>
          <w:lang w:bidi="fa-IR"/>
        </w:rPr>
        <w:t xml:space="preserve">. </w:t>
      </w:r>
      <w:bookmarkStart w:id="294" w:name="pg7286_66348"/>
    </w:p>
    <w:p>
      <w:pPr>
        <w:pStyle w:val="Heading3"/>
        <w:numPr>
          <w:ilvl w:val="2"/>
          <w:numId w:val="1"/>
        </w:numPr>
        <w:rPr/>
      </w:pPr>
      <w:bookmarkStart w:id="295" w:name="__RefHeading___Toc634220_1051229030"/>
      <w:bookmarkStart w:id="296" w:name="_Toc97"/>
      <w:bookmarkEnd w:id="294"/>
      <w:bookmarkEnd w:id="295"/>
      <w:r>
        <w:rPr>
          <w:rtl w:val="true"/>
        </w:rPr>
        <w:t>دفع وهم</w:t>
      </w:r>
      <w:bookmarkEnd w:id="296"/>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في مسلوب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سببا أقوى من الفاعل المباشر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عدم تنبيه الغافل أو الناسي أو عدم إرشاد الجاهل يكون سببا أقوى من الفاعل المباشر إذا كان غافلا أو ناسيا أو جاهلا قاصرا؟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كذلك؛ إذ كل من عدم التنبيه وعدم الإرشاد لا يكون من مصاديق الإعانة ولا يعد إعانة على ما يرتكبه الناسي والغافل والجاهل نسيانا وغفلة وجهلا ولا تصدق الإعانة على ذلك عرفا،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وإنهما أمران عدمیان، والإعانة لابد وأن تكون أمرا وجوديا ، فعند عدمي التنبيه والإرشاد لا إعانة ولا سبب أقوى من الفاعل المباشر هاهنا، ولذا لا يجب </w:t>
      </w:r>
      <w:r>
        <w:rPr>
          <w:rStyle w:val="FootnoteAnchor"/>
          <w:rtl w:val="true"/>
        </w:rPr>
        <w:footnoteReference w:id="279"/>
      </w:r>
      <w:r>
        <w:rPr>
          <w:rFonts w:ascii="Amiri" w:hAnsi="Amiri" w:eastAsia="Amiri" w:cs="Amiri"/>
          <w:color w:val="111111"/>
          <w:sz w:val="28"/>
          <w:sz w:val="28"/>
          <w:szCs w:val="28"/>
          <w:rtl w:val="true"/>
          <w:lang w:bidi="ar-SA"/>
        </w:rPr>
        <w:t xml:space="preserve">تنبيه الغافل والناسي ولا إرشاد الجاهل القاصر </w:t>
      </w:r>
      <w:r>
        <w:rPr>
          <w:rStyle w:val="FootnoteAnchor"/>
          <w:rtl w:val="true"/>
        </w:rPr>
        <w:footnoteReference w:id="280"/>
      </w:r>
      <w:r>
        <w:rPr>
          <w:rFonts w:ascii="Amiri" w:hAnsi="Amiri" w:eastAsia="Amiri" w:cs="Amiri"/>
          <w:color w:val="111111"/>
          <w:sz w:val="28"/>
          <w:sz w:val="28"/>
          <w:szCs w:val="28"/>
          <w:rtl w:val="true"/>
          <w:lang w:bidi="ar-SA"/>
        </w:rPr>
        <w:t>كما لا يجب إيقاظ النائم وهو واضح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الجاهل القاصر لا ينحصر فيمن يكون وراء الجبل وأمثاله على ما اشتهر، بل يعم الجاهل المركب أعني به من لا يعلم ولا يعلم أنه لا يعلم، فإنه لم يقصر في مقدمات جهله هذا، فيكون جاهلا قاصرا غير مقصر؛ بداهة أنه ربما يقطع بأنه غيرجاهل والقاطع لا يرى إلا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فلنرجع إلى أصل البحث وأنه تحصل أن الإعانة على النحو الثاني تكون من موارد أقوائية السبب من المباشر فتكون محترمة والمعين هو الآثم، بخلاف النحو الأول؛ فإن المباشر هناك أقوى ويكون هو الآثم ولا أثر للسبب ولا حرمة للإعانة ولا يكون المعين آثما وإن علم حين الإعانة تحقق الحرام من المباشر، إلا إذا نوى بالاعانة تحقق الحرام،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في باب المعاونة والتعاون على الإثم المحرم في نفسه في الكتاب والسنة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تعرف أن بيع العنب ممن يعلم أنه يعمله خمرا إعانة ولكن لا تكون بمحرمة ولا يبطل البيع بذلك؛ لتخلل اختيار المباشر للتخمير وأما بيعه منه على أن يعمله خمرا فهو محرم لا من باب الإعانة؛ لتخلل الاختيار حينئذ أيضا، بل من باب التعاون على الإثم الذي عرفت مرارا أنه محرم في الكتاب والسنة، فيبطل البيع بذلك بلا إشكال وارتياب</w:t>
      </w:r>
      <w:r>
        <w:rPr>
          <w:rFonts w:eastAsia="Amiri" w:cs="Amiri" w:ascii="Amiri" w:hAnsi="Amiri"/>
          <w:color w:val="111111"/>
          <w:sz w:val="28"/>
          <w:szCs w:val="28"/>
          <w:rtl w:val="true"/>
          <w:lang w:bidi="ar-SA"/>
        </w:rPr>
        <w:t xml:space="preserve">. </w:t>
      </w:r>
      <w:bookmarkStart w:id="297" w:name="pg7286_66350"/>
    </w:p>
    <w:p>
      <w:pPr>
        <w:pStyle w:val="Heading3"/>
        <w:numPr>
          <w:ilvl w:val="2"/>
          <w:numId w:val="1"/>
        </w:numPr>
        <w:rPr/>
      </w:pPr>
      <w:bookmarkStart w:id="298" w:name="__RefHeading___Toc634222_1051229030"/>
      <w:bookmarkStart w:id="299" w:name="_Toc98"/>
      <w:bookmarkEnd w:id="297"/>
      <w:bookmarkEnd w:id="298"/>
      <w:r>
        <w:rPr>
          <w:rtl w:val="true"/>
        </w:rPr>
        <w:t>تنبيه</w:t>
      </w:r>
      <w:r>
        <w:rPr>
          <w:rtl w:val="true"/>
        </w:rPr>
        <w:t xml:space="preserve">: </w:t>
      </w:r>
      <w:r>
        <w:rPr>
          <w:rtl w:val="true"/>
        </w:rPr>
        <w:t>في حكم إرشاد الجاهل المقصر</w:t>
      </w:r>
      <w:bookmarkEnd w:id="299"/>
    </w:p>
    <w:p>
      <w:pPr>
        <w:pStyle w:val="BookText"/>
        <w:rPr/>
      </w:pPr>
      <w:r>
        <w:rPr>
          <w:rFonts w:ascii="IRNazanin" w:hAnsi="IRNazanin" w:eastAsia="IRNazanin"/>
          <w:color w:val="111111"/>
          <w:sz w:val="28"/>
          <w:sz w:val="28"/>
          <w:szCs w:val="28"/>
          <w:rtl w:val="true"/>
          <w:lang w:bidi="fa-IR"/>
        </w:rPr>
        <w:t>قد ثبت من مطاوي ما ذكرنا أن إرشاد الجاهل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کتنبيه الناسي والغافل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واجب </w:t>
      </w:r>
      <w:r>
        <w:rPr>
          <w:rStyle w:val="FootnoteAnchor"/>
          <w:rtl w:val="true"/>
        </w:rPr>
        <w:footnoteReference w:id="281"/>
      </w:r>
      <w:r>
        <w:rPr>
          <w:rFonts w:ascii="Amiri" w:hAnsi="Amiri" w:eastAsia="Amiri" w:cs="Amiri"/>
          <w:color w:val="111111"/>
          <w:sz w:val="28"/>
          <w:sz w:val="28"/>
          <w:szCs w:val="28"/>
          <w:rtl w:val="true"/>
          <w:lang w:bidi="ar-SA"/>
        </w:rPr>
        <w:t xml:space="preserve">، بقي الكلام في أنه هل إرشاد الجاهل المقصر أيضا غير واجب </w:t>
      </w:r>
      <w:r>
        <w:rPr>
          <w:rStyle w:val="FootnoteAnchor"/>
          <w:rtl w:val="true"/>
        </w:rPr>
        <w:footnoteReference w:id="282"/>
      </w:r>
      <w:r>
        <w:rPr>
          <w:rFonts w:ascii="Amiri" w:hAnsi="Amiri" w:eastAsia="Amiri" w:cs="Amiri"/>
          <w:color w:val="111111"/>
          <w:sz w:val="28"/>
          <w:sz w:val="28"/>
          <w:szCs w:val="28"/>
          <w:rtl w:val="true"/>
          <w:lang w:bidi="ar-SA"/>
        </w:rPr>
        <w:t>مطلقا أو أنه واجب عينا أو كفاية؟</w:t>
      </w:r>
    </w:p>
    <w:p>
      <w:pPr>
        <w:pStyle w:val="BookText"/>
        <w:rPr/>
      </w:pPr>
      <w:r>
        <w:rPr>
          <w:rFonts w:ascii="Amiri" w:hAnsi="Amiri" w:eastAsia="Amiri" w:cs="Amiri"/>
          <w:color w:val="111111"/>
          <w:sz w:val="28"/>
          <w:sz w:val="28"/>
          <w:szCs w:val="28"/>
          <w:rtl w:val="true"/>
          <w:lang w:bidi="ar-SA"/>
        </w:rPr>
        <w:t>التحقيق أنه إذا كان الجاهل المقصر مسترشدا وسائط عما جهل من الحكم فإرشاده وإعلامه واجب، ولاسيما على من استرشده حتى إذا لم يكن التكليف مما ابتلي به العموم، بل لم يكن من الأحكام الإلزامية كالواجبات والمحرمات بأن كان من المندوبات والمكروهات؛ لقيام السيرة على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قيامها على وجوب الإرشاد على غير من استرشده غیر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في غير الإلزاميات، بعد لزوم زيادة الفرع على الأصل حينئذ مع أنه لا بد من الملازمة العرفية بين عدم وجوب الشيء وعدم وجوب ملازمه؟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قائمة على لزوم هداية المستهدي وأنه لا بد على المسؤول عنه أن يجيب سؤال سائله، ولو كان السؤال حكما غير إلزامي، ولو نوقش قيام السيرة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حيثية وجوب إرشاد مسترشدالحكم غير </w:t>
      </w:r>
      <w:bookmarkStart w:id="300" w:name="pg7286_66351"/>
    </w:p>
    <w:p>
      <w:pPr>
        <w:pStyle w:val="BookText"/>
        <w:rPr/>
      </w:pPr>
      <w:bookmarkEnd w:id="300"/>
      <w:r>
        <w:rPr>
          <w:rFonts w:ascii="Amiri" w:hAnsi="Amiri" w:eastAsia="Amiri" w:cs="Amiri"/>
          <w:color w:val="111111"/>
          <w:sz w:val="28"/>
          <w:sz w:val="28"/>
          <w:szCs w:val="28"/>
          <w:rtl w:val="true"/>
          <w:lang w:bidi="ar-SA"/>
        </w:rPr>
        <w:t xml:space="preserve">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مناقشة في قيام السيرة القطعية على وجوب إرشاد ما عدا ذلك من الأحكام الإلزامية كما لا يخفى على الخبير المتضلع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يجب إرشاد المسترشد عن موضوعات الأحكام إلا ما كان منها بيد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يستحب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الجاهل المقصر غير المسترشد وغير السائل عما جهل من الأحكام حتى من الأحكام الإلزامية فهو كالجاهل القاصر، لم يجب على أحد إعلامه وإرشاده لا عينا ولا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يستحب فعل الإرشاد؛ بداهة أنه أمر مرغوب فيه ومطلوب للشارع تبارك وتعالی</w:t>
      </w:r>
      <w:r>
        <w:rPr>
          <w:rFonts w:eastAsia="IRNazanin" w:cs="IRNazanin"/>
          <w:color w:val="111111"/>
          <w:sz w:val="28"/>
          <w:szCs w:val="28"/>
          <w:rtl w:val="true"/>
          <w:lang w:bidi="fa-IR"/>
        </w:rPr>
        <w:t>.</w:t>
      </w:r>
    </w:p>
    <w:p>
      <w:pPr>
        <w:pStyle w:val="Heading3"/>
        <w:numPr>
          <w:ilvl w:val="2"/>
          <w:numId w:val="1"/>
        </w:numPr>
        <w:rPr/>
      </w:pPr>
      <w:bookmarkStart w:id="301" w:name="__RefHeading___Toc634224_1051229030"/>
      <w:bookmarkStart w:id="302" w:name="_Toc99"/>
      <w:bookmarkEnd w:id="301"/>
      <w:r>
        <w:rPr>
          <w:rtl w:val="true"/>
        </w:rPr>
        <w:t>رد عداد المقام من مصاديق الأمر بالمعروف</w:t>
      </w:r>
      <w:bookmarkEnd w:id="302"/>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يجب الإرشاد عند عدم الاسترشاد مع أنه من مصاديق الأمر بالمعروف والنهي عن المنكر الواجبين كفاية بل عينا على الكل عند تحقق شرائطهما المضبوطة في محلها؟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فرقا بينهما وإن بابه غير بابهما؛ إذ فيهما يتخلف الحكم عن علم وعمد، وفيه يتخلف الحكم عن جهل وقصور أو جهل و تقصير وبينهما بون بعيد ولذلك يجبان مع وجود شرائطهما الخاصة، والمدعي في الإرشاد أنه عند عدم الاسترشاد لا يجب على أحد ؛ وذلك لعدم دليل قاطع يدل على الوجوب، بل </w:t>
      </w:r>
      <w:bookmarkStart w:id="303" w:name="pg7286_66352"/>
    </w:p>
    <w:p>
      <w:pPr>
        <w:pStyle w:val="BookText"/>
        <w:rPr/>
      </w:pPr>
      <w:bookmarkEnd w:id="303"/>
      <w:r>
        <w:rPr>
          <w:rFonts w:ascii="Amiri" w:hAnsi="Amiri" w:eastAsia="Amiri" w:cs="Amiri"/>
          <w:color w:val="111111"/>
          <w:sz w:val="28"/>
          <w:sz w:val="28"/>
          <w:szCs w:val="28"/>
          <w:rtl w:val="true"/>
          <w:lang w:bidi="ar-SA"/>
        </w:rPr>
        <w:t xml:space="preserve">السيرة من زمن الأئمة عليهم السلام قائمة على عدمه؛ إذ لم يعهد أن واحدا منهم عليهم السلام أو من بطانتهم شد الرحال لإبلاغ الجهال القاصرين والمقصرين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المتمردين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امتلا العالم منهم؛ فإن أكثرهم لا يعلمون، وكذا لم يعهد من أحد في سائر الأعصار إلى عصرنا هذا إرشاد هؤلاء الجهلة المملوءة في أقطار هذا العالم الكبير، ولا سيما الجهلة بالعقائد وسائر حقائق الدين الحنيف، مع أنه ورد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634226_1051229030"/>
      <w:bookmarkStart w:id="305" w:name="_Toc100"/>
      <w:bookmarkEnd w:id="304"/>
      <w:r>
        <w:rPr>
          <w:rtl w:val="true"/>
        </w:rPr>
        <w:t>رد التمسك بآية النفر</w:t>
      </w:r>
      <w:bookmarkEnd w:id="3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يجدي في المقام التشبث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لأنه وأمثاله تدل على وجوب إرشاد النافرين أو طائفة من كل فرقة وإنذارهم لخصوص قومهم إذا رجعوا إليهم، ولا يدل على وجوب إرشاد السائرين من جميع الأقوام والملل من الجهال القاصرين 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كذلك لذاع وشاع، وللزم على كل من تفقه أو تعلم شيئا من الدين طي الطرق والمنازل </w:t>
      </w:r>
    </w:p>
    <w:p>
      <w:pPr>
        <w:pStyle w:val="BookText"/>
        <w:rPr/>
      </w:pPr>
      <w:r>
        <w:rPr>
          <w:rFonts w:ascii="Amiri" w:hAnsi="Amiri" w:eastAsia="Amiri" w:cs="Amiri"/>
          <w:color w:val="111111"/>
          <w:sz w:val="28"/>
          <w:sz w:val="28"/>
          <w:szCs w:val="28"/>
          <w:rtl w:val="true"/>
          <w:lang w:bidi="ar-SA"/>
        </w:rPr>
        <w:t>لإنذار الجهال القاصرين والمقصرين وإرشادهم، ولما قامت السيرة المشار إليها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لم يرد أي أثر أو رواية يدلنا على أن الأئمة عليهم السلام ومن يتلو تلوهم، بل وغيرهم من السلف أقاموا ونهضوا على إرشاد هؤلاء الجهلة طي الأعصار في الأقطار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لعله كان واجبا على الأنبياء العظام عليهم السلام ؛ لأن كلا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w:t>
      </w:r>
    </w:p>
    <w:p>
      <w:pPr>
        <w:pStyle w:val="BookText"/>
        <w:rPr/>
      </w:pPr>
      <w:r>
        <w:rPr>
          <w:rFonts w:ascii="Amiri" w:hAnsi="Amiri" w:eastAsia="Amiri" w:cs="Amiri"/>
          <w:color w:val="111111"/>
          <w:sz w:val="28"/>
          <w:sz w:val="28"/>
          <w:szCs w:val="28"/>
          <w:rtl w:val="true"/>
          <w:lang w:bidi="ar-SA"/>
        </w:rPr>
        <w:t>نبينا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طبيبا دوارا بطبه </w:t>
      </w:r>
      <w:r>
        <w:rPr>
          <w:rStyle w:val="FootnoteAnchor"/>
          <w:rtl w:val="true"/>
        </w:rPr>
        <w:footnoteReference w:id="286"/>
      </w:r>
      <w:r>
        <w:rPr>
          <w:rFonts w:ascii="IRNazanin" w:hAnsi="IRNazanin" w:eastAsia="IRNazanin"/>
          <w:color w:val="111111"/>
          <w:sz w:val="28"/>
          <w:sz w:val="28"/>
          <w:szCs w:val="28"/>
          <w:rtl w:val="true"/>
          <w:lang w:bidi="fa-IR"/>
        </w:rPr>
        <w:t>بخلاف غيرهم عليهم السلام كالإمام عليه السلام فضلا عمن يتلو تلوهم من العلماء و فضلا عن السائرين الذين يعلمون شيئا من الأحكام، 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كلا من العلماء والأئمة عليهم السلام کالكعبة المعظمة يزار ولا يزور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وله الشكر على ما هدانا لهذا</w:t>
      </w:r>
      <w:r>
        <w:rPr>
          <w:rFonts w:eastAsia="Amiri" w:cs="Amiri" w:ascii="Amiri" w:hAnsi="Amiri"/>
          <w:color w:val="111111"/>
          <w:sz w:val="28"/>
          <w:szCs w:val="28"/>
          <w:rtl w:val="true"/>
          <w:lang w:bidi="ar-SA"/>
        </w:rPr>
        <w:t xml:space="preserve">. </w:t>
      </w:r>
      <w:bookmarkStart w:id="306" w:name="pg7286_66354"/>
    </w:p>
    <w:p>
      <w:pPr>
        <w:pStyle w:val="Heading2"/>
        <w:numPr>
          <w:ilvl w:val="1"/>
          <w:numId w:val="1"/>
        </w:numPr>
        <w:rPr/>
      </w:pPr>
      <w:bookmarkStart w:id="307" w:name="__RefHeading___Toc634228_1051229030"/>
      <w:bookmarkStart w:id="308" w:name="_Toc101"/>
      <w:bookmarkEnd w:id="306"/>
      <w:bookmarkEnd w:id="307"/>
      <w:r>
        <w:rPr>
          <w:rtl w:val="true"/>
        </w:rPr>
        <w:t>الملاحق</w:t>
      </w:r>
      <w:bookmarkEnd w:id="308"/>
    </w:p>
    <w:p>
      <w:pPr>
        <w:pStyle w:val="Heading3"/>
        <w:numPr>
          <w:ilvl w:val="2"/>
          <w:numId w:val="1"/>
        </w:numPr>
        <w:rPr/>
      </w:pPr>
      <w:bookmarkStart w:id="309" w:name="__RefHeading___Toc634230_1051229030"/>
      <w:bookmarkStart w:id="310" w:name="_Toc102"/>
      <w:bookmarkEnd w:id="309"/>
      <w:r>
        <w:rPr>
          <w:rtl w:val="true"/>
        </w:rPr>
        <w:t>اشارة</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اهتمام الفقيه بالقرآن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المصطفون في آية الاصطفاء</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محكمة حول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7286_66356"/>
      <w:bookmarkStart w:id="312" w:name="pg7286_66356"/>
      <w:bookmarkEnd w:id="312"/>
    </w:p>
    <w:p>
      <w:pPr>
        <w:pStyle w:val="Heading3"/>
        <w:numPr>
          <w:ilvl w:val="2"/>
          <w:numId w:val="1"/>
        </w:numPr>
        <w:rPr/>
      </w:pPr>
      <w:bookmarkStart w:id="313" w:name="pg7286_66356"/>
      <w:bookmarkStart w:id="314" w:name="__RefHeading___Toc634232_1051229030"/>
      <w:bookmarkStart w:id="315" w:name="_Toc103"/>
      <w:bookmarkEnd w:id="313"/>
      <w:bookmarkEnd w:id="314"/>
      <w:r>
        <w:rPr>
          <w:rtl w:val="true"/>
        </w:rPr>
        <w:t>الملحق الأول</w:t>
      </w:r>
      <w:r>
        <w:rPr>
          <w:rtl w:val="true"/>
        </w:rPr>
        <w:t xml:space="preserve">: </w:t>
      </w:r>
      <w:r>
        <w:rPr>
          <w:rtl w:val="true"/>
        </w:rPr>
        <w:t>ضرورة اهتمام الفقيه بالقرآن الكريم في استنباط الأحكام الشرعية</w:t>
      </w:r>
      <w:bookmarkEnd w:id="31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634234_1051229030"/>
      <w:bookmarkStart w:id="317" w:name="_Toc104"/>
      <w:bookmarkEnd w:id="316"/>
      <w:r>
        <w:rPr>
          <w:rtl w:val="true"/>
        </w:rPr>
        <w:t>اشارة</w:t>
      </w:r>
      <w:bookmarkEnd w:id="3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7286_66358"/>
      <w:bookmarkStart w:id="319" w:name="pg7286_66358"/>
      <w:bookmarkEnd w:id="319"/>
    </w:p>
    <w:p>
      <w:pPr>
        <w:pStyle w:val="BookText"/>
        <w:rPr/>
      </w:pPr>
      <w:bookmarkStart w:id="320" w:name="pg7286_66358"/>
      <w:bookmarkEnd w:id="320"/>
      <w:r>
        <w:rPr>
          <w:rFonts w:ascii="IRNazanin" w:hAnsi="IRNazanin" w:eastAsia="IRNazanin"/>
          <w:color w:val="111111"/>
          <w:sz w:val="28"/>
          <w:sz w:val="28"/>
          <w:szCs w:val="28"/>
          <w:rtl w:val="true"/>
          <w:lang w:bidi="fa-IR"/>
        </w:rPr>
        <w:t>الملحق الأول</w:t>
      </w:r>
    </w:p>
    <w:p>
      <w:pPr>
        <w:pStyle w:val="BookText"/>
        <w:rPr/>
      </w:pPr>
      <w:r>
        <w:rPr>
          <w:rFonts w:ascii="Amiri" w:hAnsi="Amiri" w:eastAsia="Amiri" w:cs="Amiri"/>
          <w:color w:val="111111"/>
          <w:sz w:val="28"/>
          <w:sz w:val="28"/>
          <w:szCs w:val="28"/>
          <w:rtl w:val="true"/>
          <w:lang w:bidi="ar-SA"/>
        </w:rPr>
        <w:t>في ضرورة اهتمام الفقيه بالقرآن الكريم</w:t>
      </w:r>
    </w:p>
    <w:p>
      <w:pPr>
        <w:pStyle w:val="BookText"/>
        <w:rPr/>
      </w:pPr>
      <w:r>
        <w:rPr>
          <w:rFonts w:ascii="Amiri" w:hAnsi="Amiri" w:eastAsia="Amiri" w:cs="Amiri"/>
          <w:color w:val="111111"/>
          <w:sz w:val="28"/>
          <w:sz w:val="28"/>
          <w:szCs w:val="28"/>
          <w:rtl w:val="true"/>
          <w:lang w:bidi="ar-SA"/>
        </w:rPr>
        <w:t>في استنباط الأحكام الشرعية</w:t>
      </w:r>
    </w:p>
    <w:p>
      <w:pPr>
        <w:pStyle w:val="Heading4"/>
        <w:numPr>
          <w:ilvl w:val="3"/>
          <w:numId w:val="1"/>
        </w:numPr>
        <w:rPr/>
      </w:pPr>
      <w:bookmarkStart w:id="321" w:name="__RefHeading___Toc634236_1051229030"/>
      <w:bookmarkStart w:id="322" w:name="_Toc105"/>
      <w:bookmarkEnd w:id="321"/>
      <w:r>
        <w:rPr>
          <w:rtl w:val="true"/>
        </w:rPr>
        <w:t>ضرورة الاهتمام بآيات الأحكام</w:t>
      </w:r>
      <w:bookmarkEnd w:id="322"/>
    </w:p>
    <w:p>
      <w:pPr>
        <w:pStyle w:val="BookText"/>
        <w:rPr/>
      </w:pPr>
      <w:r>
        <w:rPr>
          <w:rFonts w:ascii="Amiri" w:hAnsi="Amiri" w:eastAsia="Amiri" w:cs="Amiri"/>
          <w:color w:val="111111"/>
          <w:sz w:val="28"/>
          <w:sz w:val="28"/>
          <w:szCs w:val="28"/>
          <w:rtl w:val="true"/>
          <w:lang w:bidi="ar-SA"/>
        </w:rPr>
        <w:t>اعلم أنه على الفقيه أن يهتم بالقرآن الكريم أشد الاهتمام وأن يكثر التعمق والتدبر في آياته الساطعة خصوصا ما اشتمل منها على الأحكام الشرعية وأن لا يقتصر على ما ضبط في الكتب الفقهية والتفسيرية من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كان يوصي به سيدنا الأستاذ العلامة الكبير المحقق البروجردي قدس سره تلامذته في أثناء الدرس ويصر عليه؛ حيث كان قدس سره يقول لهم تأكيدا ، مؤكدا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تدبروا و تفكروا في آيات القرآن المشتملة على الأحكام الشرعية وأن لا تقتصروا على ما جمعه وضبطه فقهاؤنا العظام قدس سرهم لحد الآن في كتبهم</w:t>
      </w:r>
      <w:r>
        <w:rPr>
          <w:rFonts w:eastAsia="Amiri" w:cs="Amiri" w:ascii="Amiri" w:hAnsi="Amiri"/>
          <w:color w:val="111111"/>
          <w:sz w:val="28"/>
          <w:szCs w:val="28"/>
          <w:rtl w:val="true"/>
          <w:lang w:bidi="ar-SA"/>
        </w:rPr>
        <w:t xml:space="preserve">». </w:t>
      </w:r>
      <w:bookmarkStart w:id="323" w:name="pg7286_66359"/>
    </w:p>
    <w:p>
      <w:pPr>
        <w:pStyle w:val="Heading4"/>
        <w:numPr>
          <w:ilvl w:val="3"/>
          <w:numId w:val="1"/>
        </w:numPr>
        <w:rPr/>
      </w:pPr>
      <w:bookmarkStart w:id="324" w:name="__RefHeading___Toc634238_1051229030"/>
      <w:bookmarkStart w:id="325" w:name="_Toc106"/>
      <w:bookmarkEnd w:id="323"/>
      <w:bookmarkEnd w:id="324"/>
      <w:r>
        <w:rPr>
          <w:rtl w:val="true"/>
        </w:rPr>
        <w:t>بعض ما صنف في آيات الأحكام</w:t>
      </w:r>
      <w:bookmarkEnd w:id="325"/>
    </w:p>
    <w:p>
      <w:pPr>
        <w:pStyle w:val="BookText"/>
        <w:rPr/>
      </w:pPr>
      <w:r>
        <w:rPr>
          <w:rFonts w:ascii="IRNazanin" w:hAnsi="IRNazanin" w:eastAsia="IRNazanin"/>
          <w:color w:val="111111"/>
          <w:sz w:val="28"/>
          <w:sz w:val="28"/>
          <w:szCs w:val="28"/>
          <w:rtl w:val="true"/>
          <w:lang w:bidi="fa-IR"/>
        </w:rPr>
        <w:t xml:space="preserve">وأول من صنف کتابا مستقلا في آيات الأحكام هو العلامة أبو النضر محمد بن السائب الكلبي الكوفي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الإمامين الهمامين الصادقين عليهما السلام </w:t>
      </w:r>
      <w:r>
        <w:rPr>
          <w:rStyle w:val="FootnoteAnchor"/>
          <w:rtl w:val="true"/>
        </w:rPr>
        <w:footnoteReference w:id="288"/>
      </w:r>
      <w:r>
        <w:rPr>
          <w:rFonts w:ascii="IRNazanin" w:hAnsi="IRNazanin" w:eastAsia="IRNazanin"/>
          <w:color w:val="111111"/>
          <w:sz w:val="28"/>
          <w:sz w:val="28"/>
          <w:szCs w:val="28"/>
          <w:rtl w:val="true"/>
          <w:lang w:bidi="fa-IR"/>
        </w:rPr>
        <w:t xml:space="preserve">، كما أن العلامة المقداد بن عبدالله السيوري الحلي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کتابا مبسوطا قيما في هذا الباب وسماه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 في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العلامة أحمد بن محمد الأردبيلي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ألف كتابا حول هذا الموضوع سماه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في أحكام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من العلماء الكرام قدس الله تبارك وتعالى أسرارهم وشكر مساعيهم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ما حكي عن أستاذنا العلامة الطباطبائي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القرآن نزل بلسان عربي وسیع ذي محتوی کثير والله تعالی بقدرته التامة غير المتناهية استخدم ألفاظ هذه اللغة وكلماتها في تبيين مراده فالإنسان لو </w:t>
      </w:r>
      <w:bookmarkStart w:id="326" w:name="pg7286_66360"/>
    </w:p>
    <w:p>
      <w:pPr>
        <w:pStyle w:val="BookText"/>
        <w:rPr/>
      </w:pPr>
      <w:bookmarkEnd w:id="326"/>
      <w:r>
        <w:rPr>
          <w:rFonts w:ascii="IRNazanin" w:hAnsi="IRNazanin" w:eastAsia="IRNazanin"/>
          <w:color w:val="111111"/>
          <w:sz w:val="28"/>
          <w:sz w:val="28"/>
          <w:szCs w:val="28"/>
          <w:rtl w:val="true"/>
          <w:lang w:bidi="fa-IR"/>
        </w:rPr>
        <w:t>تدبر فيه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أنه لا يستطيع أن يفهم مراد الله سبحانه و تعالی کما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معارف مهمة ويحظى بفوائد 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كان، فإني لما كنت متذكرا لما أوصى به سيدنا الأستاذ من كثرة التدبر في القرآن وآيات أحكامه، بدأت بالتدبر في القرآن الكريم وفي آياته الشامخة بقدر بضاعتي المزجاة فانكشف لي أحكام فقهية لم أجدها بالصراحة والوضوح في ما بين أيدينا من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يدل عدم الوجدان على 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فسررت بذلك وشكرت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ينبغي أن أذكر شطرا قصيرا مما استفدته من هذا السفر العظيم من الأحكام الشرعية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34240_1051229030"/>
      <w:bookmarkStart w:id="328" w:name="_Toc107"/>
      <w:bookmarkEnd w:id="327"/>
      <w:r>
        <w:rPr>
          <w:rtl w:val="true"/>
        </w:rPr>
        <w:t>توجه التكليف إلى المميز</w:t>
      </w:r>
      <w:bookmarkEnd w:id="32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ولا خلاف في أن البلوغ شرط التكاليف وأن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مكلف بالأحكام الشرعية الفقهية من الواجبات والمحرمات والمستحبات والمكروهات والمباحات </w:t>
      </w:r>
      <w:r>
        <w:rPr>
          <w:rStyle w:val="FootnoteAnchor"/>
          <w:rtl w:val="true"/>
        </w:rPr>
        <w:footnoteReference w:id="289"/>
      </w:r>
      <w:r>
        <w:rPr>
          <w:rFonts w:ascii="IRNazanin" w:hAnsi="IRNazanin" w:eastAsia="IRNazanin"/>
          <w:color w:val="111111"/>
          <w:sz w:val="28"/>
          <w:sz w:val="28"/>
          <w:szCs w:val="28"/>
          <w:rtl w:val="true"/>
          <w:lang w:bidi="fa-IR"/>
        </w:rPr>
        <w:t xml:space="preserve">، لكن يظهر من الآيتين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النور أنه تعالی خصص هذا العام ووجه شيئا </w:t>
      </w:r>
      <w:r>
        <w:rPr>
          <w:rStyle w:val="FootnoteAnchor"/>
          <w:rtl w:val="true"/>
        </w:rPr>
        <w:footnoteReference w:id="290"/>
      </w:r>
      <w:r>
        <w:rPr>
          <w:rFonts w:ascii="Amiri" w:hAnsi="Amiri" w:eastAsia="Amiri" w:cs="Amiri"/>
          <w:color w:val="111111"/>
          <w:sz w:val="28"/>
          <w:sz w:val="28"/>
          <w:szCs w:val="28"/>
          <w:rtl w:val="true"/>
          <w:lang w:bidi="ar-SA"/>
        </w:rPr>
        <w:t xml:space="preserve">من التكليف إلى الصبي </w:t>
      </w:r>
    </w:p>
    <w:p>
      <w:pPr>
        <w:pStyle w:val="BookText"/>
        <w:rPr/>
      </w:pPr>
      <w:r>
        <w:rPr>
          <w:rFonts w:ascii="Amiri" w:hAnsi="Amiri" w:eastAsia="Amiri" w:cs="Amiri"/>
          <w:color w:val="111111"/>
          <w:sz w:val="28"/>
          <w:sz w:val="28"/>
          <w:szCs w:val="28"/>
          <w:rtl w:val="true"/>
          <w:lang w:bidi="ar-SA"/>
        </w:rPr>
        <w:t>المميز؛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لِيَستَأذِنكُمُ الَّذِينَ مَلَكَت أيمَانُکُم </w:t>
      </w:r>
      <w:r>
        <w:rPr>
          <w:rStyle w:val="FootnoteAnchor"/>
          <w:rtl w:val="true"/>
        </w:rPr>
        <w:footnoteReference w:id="291"/>
      </w:r>
      <w:r>
        <w:rPr>
          <w:rFonts w:ascii="Amiri" w:hAnsi="Amiri" w:eastAsia="Amiri" w:cs="Amiri"/>
          <w:color w:val="111111"/>
          <w:sz w:val="28"/>
          <w:sz w:val="28"/>
          <w:szCs w:val="28"/>
          <w:rtl w:val="true"/>
          <w:lang w:bidi="ar-SA"/>
        </w:rPr>
        <w:t xml:space="preserve">وَالَّذِينَ لَم يَبلُغُوا </w:t>
      </w:r>
      <w:r>
        <w:rPr>
          <w:rStyle w:val="FootnoteAnchor"/>
          <w:rtl w:val="true"/>
        </w:rPr>
        <w:footnoteReference w:id="292"/>
      </w:r>
      <w:r>
        <w:rPr>
          <w:rFonts w:ascii="Amiri" w:hAnsi="Amiri" w:eastAsia="Amiri" w:cs="Amiri"/>
          <w:color w:val="111111"/>
          <w:sz w:val="28"/>
          <w:sz w:val="28"/>
          <w:szCs w:val="28"/>
          <w:rtl w:val="true"/>
          <w:lang w:bidi="ar-SA"/>
        </w:rPr>
        <w:t xml:space="preserve">الحُلُمَ مِنکُم ثَلاثَ مَرّاتٍ مِن قَبلِ صَلاةِ الفَجرِ وَ حينَ تَضَعُونَ ثِیابَکُم مِنَ الظَّهِيرَةِ وَ مِن بَعدِ صَلاةِ العِشاءِ </w:t>
      </w:r>
      <w:r>
        <w:rPr>
          <w:rStyle w:val="FootnoteAnchor"/>
          <w:rtl w:val="true"/>
        </w:rPr>
        <w:footnoteReference w:id="293"/>
      </w:r>
      <w:r>
        <w:rPr>
          <w:rFonts w:ascii="Amiri" w:hAnsi="Amiri" w:eastAsia="Amiri" w:cs="Amiri"/>
          <w:color w:val="111111"/>
          <w:sz w:val="28"/>
          <w:sz w:val="28"/>
          <w:szCs w:val="28"/>
          <w:rtl w:val="true"/>
          <w:lang w:bidi="ar-SA"/>
        </w:rPr>
        <w:t xml:space="preserve">ثَلاثُ عَوراتٍ </w:t>
      </w:r>
      <w:r>
        <w:rPr>
          <w:rStyle w:val="FootnoteAnchor"/>
          <w:rtl w:val="true"/>
        </w:rPr>
        <w:footnoteReference w:id="294"/>
      </w:r>
      <w:r>
        <w:rPr>
          <w:rFonts w:ascii="Amiri" w:hAnsi="Amiri" w:eastAsia="Amiri" w:cs="Amiri"/>
          <w:color w:val="111111"/>
          <w:sz w:val="28"/>
          <w:sz w:val="28"/>
          <w:szCs w:val="28"/>
          <w:rtl w:val="true"/>
          <w:lang w:bidi="ar-SA"/>
        </w:rPr>
        <w:t xml:space="preserve">لَكُم لَيسَ عَلَيكُم وَلاَ عَلَيهِم جُناحٌ بَعدَهُنَّ طَوّافُونَ عَلَيکُم بَعضُكُم عَلَى بَعضٍ كَذلِكَ يُبَيِّنُ اللهُ لَكُمُ الآياتِ وَاللهُ عَليمٌ حَكيمٌ وَإِذَا بَلَغَ الأطفالُ مِنکُمُ الحُلُمَ فَليَستَأذِنُوا </w:t>
      </w:r>
      <w:r>
        <w:rPr>
          <w:rStyle w:val="FootnoteAnchor"/>
          <w:rtl w:val="true"/>
        </w:rPr>
        <w:footnoteReference w:id="295"/>
      </w:r>
      <w:r>
        <w:rPr>
          <w:rFonts w:ascii="Amiri" w:hAnsi="Amiri" w:eastAsia="Amiri" w:cs="Amiri"/>
          <w:color w:val="111111"/>
          <w:sz w:val="28"/>
          <w:sz w:val="28"/>
          <w:szCs w:val="28"/>
          <w:rtl w:val="true"/>
          <w:lang w:bidi="ar-SA"/>
        </w:rPr>
        <w:t>كَمَا استَأذَنَ الَّذِينَ مِن قَبلِهِم كَذلِكَ يُبَيِّنُ اللهُ لَكُم آياتِهِ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لِيَستَأذِنکُمُ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وجوب الاستئذان من الناس في الأوقات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أوقات خلوتهم وعدم سترهم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المميزين من أولادهم الذكور والإناث، فضلا عن غير أولادهم من الأجانب؛ فإنه لم يرض لهم الدخول </w:t>
      </w:r>
    </w:p>
    <w:p>
      <w:pPr>
        <w:pStyle w:val="BookText"/>
        <w:rPr/>
      </w:pPr>
      <w:r>
        <w:rPr>
          <w:rFonts w:ascii="Amiri" w:hAnsi="Amiri" w:eastAsia="Amiri" w:cs="Amiri"/>
          <w:color w:val="111111"/>
          <w:sz w:val="28"/>
          <w:sz w:val="28"/>
          <w:szCs w:val="28"/>
          <w:rtl w:val="true"/>
          <w:lang w:bidi="ar-SA"/>
        </w:rPr>
        <w:t xml:space="preserve">بغير استئذان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الأوقات الثلاثة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الذي يخلع الناس فيه ثيابهم غالبا ليستريحوا وهو وقت القيلولة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العشاء وهو وقت نوم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الأوقات للإنسان حالة خاصة لا يستر نفسه فيها غالبأ على خلاف سائر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الأوقات الثلاثة لا جناح علیکم ولا عليهم في الدخول بدون إذن وأن يرد بعضكم على بعض بكثرة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هذه الآيات أن هذا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واجبا أو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استثناء بحق غير البالغين، كما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مكلفون بقسم من المحرمات، کشرب الخمر والزنا واللواط ونظائرها</w:t>
      </w:r>
      <w:r>
        <w:rPr>
          <w:rFonts w:eastAsia="IRNazanin" w:cs="IRNazanin"/>
          <w:color w:val="111111"/>
          <w:sz w:val="28"/>
          <w:szCs w:val="28"/>
          <w:rtl w:val="true"/>
          <w:lang w:bidi="fa-IR"/>
        </w:rPr>
        <w:t xml:space="preserve">. </w:t>
      </w:r>
      <w:bookmarkStart w:id="329" w:name="pg7286_66363"/>
    </w:p>
    <w:p>
      <w:pPr>
        <w:pStyle w:val="Heading4"/>
        <w:numPr>
          <w:ilvl w:val="3"/>
          <w:numId w:val="1"/>
        </w:numPr>
        <w:rPr/>
      </w:pPr>
      <w:bookmarkStart w:id="330" w:name="__RefHeading___Toc634242_1051229030"/>
      <w:bookmarkStart w:id="331" w:name="_Toc108"/>
      <w:bookmarkEnd w:id="329"/>
      <w:bookmarkEnd w:id="330"/>
      <w:r>
        <w:rPr>
          <w:rtl w:val="true"/>
        </w:rPr>
        <w:t>الاحتمال الآخر في المراد من الآيات</w:t>
      </w:r>
      <w:bookmarkEnd w:id="331"/>
    </w:p>
    <w:p>
      <w:pPr>
        <w:pStyle w:val="BookText"/>
        <w:rPr/>
      </w:pPr>
      <w:r>
        <w:rPr>
          <w:rFonts w:ascii="IRNazanin" w:hAnsi="IRNazanin" w:eastAsia="IRNazanin"/>
          <w:color w:val="111111"/>
          <w:sz w:val="28"/>
          <w:sz w:val="28"/>
          <w:szCs w:val="28"/>
          <w:rtl w:val="true"/>
          <w:lang w:bidi="fa-IR"/>
        </w:rPr>
        <w:t>نعم، ربمايحتمل أن يكون مراده تعالی توجیه التكليف إلى الأولياء الشرعيين والعرفيين بأن يوظفوا أولادهم بأن لايدخلوا عليهم في هذه الأوقات الثلاثة بغير إذن كما عليهم أن يربوهم على عدم ارتكاب تلك الذنوب أو الاقتراب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الاحتمال خلاف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عدم اشتراط التكليف بالبلوغ في بعض الموارد الخاصة، بل يتجه كفاية التمييز فيه إذا كان ظاهر الدليل يساعد على ذلك، كما لا يشترط البلوغ في الاعتقادات الدينية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34244_1051229030"/>
      <w:bookmarkStart w:id="333" w:name="_Toc109"/>
      <w:bookmarkEnd w:id="332"/>
      <w:r>
        <w:rPr>
          <w:rtl w:val="true"/>
        </w:rPr>
        <w:t>عدم اشتراط البلوغ في الاعتقادات الدينية</w:t>
      </w:r>
      <w:bookmarkEnd w:id="3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التحقيق أنه لا يشترط البلوغ في العقائد الدينية التي هي الفقه الأكبر، بل يكفي فيها مجرد التمييز، ولذا يكون أطفال الكفار غير البالغين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المميزون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محکومین بالكفر تبعا لآبائهم ما داموا لم يختاروا الإسلام، فأما إذا اختاروا الإسلام يخرجون عن تبعية آبائهم ويكون إسلامهم صحيحا ومعتبرا </w:t>
      </w:r>
      <w:r>
        <w:rPr>
          <w:rStyle w:val="FootnoteAnchor"/>
          <w:rtl w:val="true"/>
        </w:rPr>
        <w:footnoteReference w:id="299"/>
      </w:r>
      <w:r>
        <w:rPr>
          <w:rFonts w:ascii="Amiri" w:hAnsi="Amiri" w:eastAsia="Amiri" w:cs="Amiri"/>
          <w:color w:val="111111"/>
          <w:sz w:val="28"/>
          <w:sz w:val="28"/>
          <w:szCs w:val="28"/>
          <w:rtl w:val="true"/>
          <w:lang w:bidi="ar-SA"/>
        </w:rPr>
        <w:t xml:space="preserve">، كما نقل في الجواهر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w:t>
      </w:r>
    </w:p>
    <w:p>
      <w:pPr>
        <w:pStyle w:val="BookText"/>
        <w:rPr/>
      </w:pPr>
      <w:r>
        <w:rPr>
          <w:rFonts w:ascii="Amiri" w:hAnsi="Amiri" w:eastAsia="Amiri" w:cs="Amiri"/>
          <w:color w:val="111111"/>
          <w:sz w:val="28"/>
          <w:sz w:val="28"/>
          <w:szCs w:val="28"/>
          <w:rtl w:val="true"/>
          <w:lang w:bidi="ar-SA"/>
        </w:rPr>
        <w:t xml:space="preserve">الصبي المراهق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 أطفال المسلمين الذين يحكم عليهم بالإسلام بتبعية أحد الأبوين؛ فإنهم إذا نطقوا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محكومون بالارتداد </w:t>
      </w:r>
      <w:r>
        <w:rPr>
          <w:rStyle w:val="FootnoteAnchor"/>
          <w:rtl w:val="true"/>
        </w:rPr>
        <w:footnoteReference w:id="301"/>
      </w:r>
      <w:r>
        <w:rPr>
          <w:rFonts w:ascii="Amiri" w:hAnsi="Amiri" w:eastAsia="Amiri" w:cs="Amiri"/>
          <w:color w:val="111111"/>
          <w:sz w:val="28"/>
          <w:sz w:val="28"/>
          <w:szCs w:val="28"/>
          <w:rtl w:val="true"/>
          <w:lang w:bidi="ar-SA"/>
        </w:rPr>
        <w:t xml:space="preserve">، كما أن الشيخ الطوسي قدس سره قال بارتداد المراهق ووجوب قتله لو لم يتب </w:t>
      </w:r>
      <w:r>
        <w:rPr>
          <w:rStyle w:val="FootnoteAnchor"/>
          <w:rtl w:val="true"/>
        </w:rPr>
        <w:footnoteReference w:id="302"/>
      </w:r>
      <w:r>
        <w:rPr>
          <w:rFonts w:ascii="Amiri" w:hAnsi="Amiri" w:eastAsia="Amiri" w:cs="Amiri"/>
          <w:color w:val="111111"/>
          <w:sz w:val="28"/>
          <w:sz w:val="28"/>
          <w:szCs w:val="28"/>
          <w:rtl w:val="true"/>
          <w:lang w:bidi="ar-SA"/>
        </w:rPr>
        <w:t>خلافا للمشهور القائل بعدم العبرة بارتداده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مقتضى الاحتياط الواجب أن لا يجرى عليه حد الارتداد حتى يبلغ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بحقائق أحكامه</w:t>
      </w:r>
      <w:r>
        <w:rPr>
          <w:rFonts w:eastAsia="IRNazanin" w:cs="IRNazanin"/>
          <w:color w:val="111111"/>
          <w:sz w:val="28"/>
          <w:szCs w:val="28"/>
          <w:rtl w:val="true"/>
          <w:lang w:bidi="fa-IR"/>
        </w:rPr>
        <w:t xml:space="preserve">. </w:t>
      </w:r>
      <w:bookmarkStart w:id="334" w:name="pg7286_66365"/>
    </w:p>
    <w:p>
      <w:pPr>
        <w:pStyle w:val="Heading4"/>
        <w:numPr>
          <w:ilvl w:val="3"/>
          <w:numId w:val="1"/>
        </w:numPr>
        <w:rPr/>
      </w:pPr>
      <w:bookmarkStart w:id="335" w:name="__RefHeading___Toc634246_1051229030"/>
      <w:bookmarkStart w:id="336" w:name="_Toc110"/>
      <w:bookmarkEnd w:id="334"/>
      <w:bookmarkEnd w:id="335"/>
      <w:r>
        <w:rPr>
          <w:rtl w:val="true"/>
        </w:rPr>
        <w:t>تذييل</w:t>
      </w:r>
      <w:r>
        <w:rPr>
          <w:rtl w:val="true"/>
        </w:rPr>
        <w:t xml:space="preserve">: </w:t>
      </w:r>
      <w:r>
        <w:rPr>
          <w:rtl w:val="true"/>
        </w:rPr>
        <w:t>فيما یوجب الارتداد</w:t>
      </w:r>
      <w:bookmarkEnd w:id="336"/>
    </w:p>
    <w:p>
      <w:pPr>
        <w:pStyle w:val="BookText"/>
        <w:rPr/>
      </w:pPr>
      <w:r>
        <w:rPr>
          <w:rFonts w:ascii="Amiri" w:hAnsi="Amiri" w:eastAsia="Amiri" w:cs="Amiri"/>
          <w:color w:val="111111"/>
          <w:sz w:val="28"/>
          <w:sz w:val="28"/>
          <w:szCs w:val="28"/>
          <w:rtl w:val="true"/>
          <w:lang w:bidi="ar-SA"/>
        </w:rPr>
        <w:t>إن الارتداد يتحقق بإنكار المبدأ تعالى أو المعاد أو رسالة النبي الأكرم صلي الله عليه وآله أو ضرورة من ضروريات الدين مع العلم بضرورتها التي يرجع إنكارها إلى إنكار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فالارتداد 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إنكار الضروري بلحاظ وجود شبهة في كونه ضرورة من ضروريات الدين مثل إنكار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عوامهم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المطلقة وسائر الأئمة المعصومين عليهم السلام ؛ فإنه لا يوجب الارتداد خصوصا إذا كان إنكارهم بالجهل المركب الذي لا يكون في مقدماته تقصير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هر کس که نداند و نداند که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مرکب ابد الدهر بماند</w:t>
      </w:r>
    </w:p>
    <w:p>
      <w:pPr>
        <w:pStyle w:val="BookText"/>
        <w:rPr/>
      </w:pPr>
      <w:r>
        <w:rPr>
          <w:rFonts w:ascii="Amiri" w:hAnsi="Amiri" w:eastAsia="Amiri" w:cs="Amiri"/>
          <w:color w:val="111111"/>
          <w:sz w:val="28"/>
          <w:sz w:val="28"/>
          <w:szCs w:val="28"/>
          <w:rtl w:val="true"/>
          <w:lang w:bidi="ar-SA"/>
        </w:rPr>
        <w:t>وترجمته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شخص لا يعلم ولا يعلم أنه لا يعلم فإنه يبقى في الجهل المركب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أن يقال في المصرع الثاني من الشعر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نداند و نداند 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جاهل قاصر بود، تقصیر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بالجهل المركب قاصر غير مقصر؛ لأنه في حالة استضعاف فكري وبصورة عفوية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شك في أن طائفة من المسلمين في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والتابعين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أمر رسول الله صلي الله عليه وآله في ولاية أميرالمؤمنین علیه السلام </w:t>
      </w:r>
    </w:p>
    <w:p>
      <w:pPr>
        <w:pStyle w:val="BookText"/>
        <w:rPr/>
      </w:pPr>
      <w:r>
        <w:rPr>
          <w:rFonts w:ascii="Amiri" w:hAnsi="Amiri" w:eastAsia="Amiri" w:cs="Amiri"/>
          <w:color w:val="111111"/>
          <w:sz w:val="28"/>
          <w:sz w:val="28"/>
          <w:szCs w:val="28"/>
          <w:rtl w:val="true"/>
          <w:lang w:bidi="ar-SA"/>
        </w:rPr>
        <w:t xml:space="preserve">واضحا لديهم ومع هذا أنكروا ولايته وربما كانوا مصرين على إنكارهم إلى آخر عمرهم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مرتدون في الواقع ونفس الأمر وكذلك الذين كانوا من بعدهم وهم على قطع ويقين من ولاية أمير المؤمنين عليه السلام ومع ذلك أنكروها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يحكم عليهم من قبل شيعة أهل البيت عليهم السلام بالارتداد؛ وذلك لأنه لم يعلم منهم أن إنكارهم لولايته عليه السلام هل كان عن قطع ويقين أم عن جهل و شبهة؟</w:t>
      </w:r>
    </w:p>
    <w:p>
      <w:pPr>
        <w:pStyle w:val="BookText"/>
        <w:rPr/>
      </w:pPr>
      <w:r>
        <w:rPr>
          <w:rFonts w:ascii="Amiri" w:hAnsi="Amiri" w:eastAsia="Amiri" w:cs="Amiri"/>
          <w:color w:val="111111"/>
          <w:sz w:val="28"/>
          <w:sz w:val="28"/>
          <w:szCs w:val="28"/>
          <w:rtl w:val="true"/>
          <w:lang w:bidi="ar-SA"/>
        </w:rPr>
        <w:t>هدانا الله جميعا إلى الصراط المستقيم وأبعدنا عن التعصب الأعمى الشيطاني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العالمين</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7286_66368"/>
      <w:bookmarkStart w:id="338" w:name="pg7286_66368"/>
      <w:bookmarkEnd w:id="338"/>
    </w:p>
    <w:p>
      <w:pPr>
        <w:pStyle w:val="Heading3"/>
        <w:numPr>
          <w:ilvl w:val="2"/>
          <w:numId w:val="1"/>
        </w:numPr>
        <w:rPr/>
      </w:pPr>
      <w:bookmarkStart w:id="339" w:name="pg7286_66368"/>
      <w:bookmarkStart w:id="340" w:name="__RefHeading___Toc634248_1051229030"/>
      <w:bookmarkStart w:id="341" w:name="_Toc111"/>
      <w:bookmarkEnd w:id="339"/>
      <w:bookmarkEnd w:id="340"/>
      <w:r>
        <w:rPr>
          <w:rtl w:val="true"/>
        </w:rPr>
        <w:t>الملحق الثاني</w:t>
      </w:r>
      <w:r>
        <w:rPr>
          <w:rtl w:val="true"/>
        </w:rPr>
        <w:t xml:space="preserve">: </w:t>
      </w:r>
      <w:r>
        <w:rPr>
          <w:rtl w:val="true"/>
        </w:rPr>
        <w:t>المصطفون في آية الاصطفاء</w:t>
      </w:r>
      <w:bookmarkEnd w:id="34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634250_1051229030"/>
      <w:bookmarkStart w:id="343" w:name="_Toc112"/>
      <w:bookmarkEnd w:id="342"/>
      <w:r>
        <w:rPr>
          <w:rtl w:val="true"/>
        </w:rPr>
        <w:t>اشارة</w:t>
      </w:r>
      <w:bookmarkEnd w:id="34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7286_66370"/>
      <w:bookmarkStart w:id="345" w:name="pg7286_66370"/>
      <w:bookmarkEnd w:id="345"/>
    </w:p>
    <w:p>
      <w:pPr>
        <w:pStyle w:val="BookText"/>
        <w:rPr/>
      </w:pPr>
      <w:bookmarkStart w:id="346" w:name="pg7286_66370"/>
      <w:bookmarkEnd w:id="346"/>
      <w:r>
        <w:rPr>
          <w:rFonts w:ascii="IRNazanin" w:hAnsi="IRNazanin" w:eastAsia="IRNazanin"/>
          <w:color w:val="111111"/>
          <w:sz w:val="28"/>
          <w:sz w:val="28"/>
          <w:szCs w:val="28"/>
          <w:rtl w:val="true"/>
          <w:lang w:bidi="fa-IR"/>
        </w:rPr>
        <w:t>الملحق الثانی المصطفون في آية الاصطفاء</w:t>
      </w:r>
    </w:p>
    <w:p>
      <w:pPr>
        <w:pStyle w:val="Heading4"/>
        <w:numPr>
          <w:ilvl w:val="3"/>
          <w:numId w:val="1"/>
        </w:numPr>
        <w:rPr/>
      </w:pPr>
      <w:bookmarkStart w:id="347" w:name="__RefHeading___Toc634252_1051229030"/>
      <w:bookmarkStart w:id="348" w:name="_Toc113"/>
      <w:bookmarkEnd w:id="347"/>
      <w:r>
        <w:rPr>
          <w:rtl w:val="true"/>
        </w:rPr>
        <w:t>بیان مورد البحث</w:t>
      </w:r>
      <w:bookmarkEnd w:id="348"/>
    </w:p>
    <w:p>
      <w:pPr>
        <w:pStyle w:val="BookText"/>
        <w:rPr/>
      </w:pPr>
      <w:r>
        <w:rPr>
          <w:rFonts w:ascii="Amiri" w:hAnsi="Amiri" w:eastAsia="Amiri" w:cs="Amiri"/>
          <w:color w:val="111111"/>
          <w:sz w:val="28"/>
          <w:sz w:val="28"/>
          <w:szCs w:val="28"/>
          <w:rtl w:val="true"/>
          <w:lang w:bidi="ar-SA"/>
        </w:rPr>
        <w:t xml:space="preserve">لا يخفى على الخبير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مراجعة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المصطفين في آية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موضح، بل الأقوال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متشتتة لا محل لها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من أن المراد من المصطفين هم آل إبراهيم وآل عمران بعد اصطفاء شخص آدم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تعالی و تقدس اصطفاهم بجعل الأنبياء عليهم السلام فيهم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من أن المراد منهم نفس صاحب الآل، وأنه تعالی اصطفی نفس إبراهيم ونفس عمران على العالمين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من أن المراد منهم جميع الأنبياء من لدن آدم إلى الخاتم عليهم السلام ؛ فإن الله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اصطفاهم بالصفات الصالحة؛ من جهة أن قلوبهم کانت أخشع من قلوب غيرهم فاختارهم للرسالة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المتمسكون بدينه عليه السلام وهو دین</w:t>
      </w:r>
    </w:p>
    <w:p>
      <w:pPr>
        <w:pStyle w:val="BookText"/>
        <w:rPr/>
      </w:pPr>
      <w:r>
        <w:rPr>
          <w:rFonts w:ascii="IRNazanin" w:hAnsi="IRNazanin" w:eastAsia="IRNazanin"/>
          <w:color w:val="111111"/>
          <w:sz w:val="28"/>
          <w:sz w:val="28"/>
          <w:szCs w:val="28"/>
          <w:rtl w:val="true"/>
          <w:lang w:bidi="fa-IR"/>
        </w:rPr>
        <w:t xml:space="preserve">الإسلام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اله عليه السلام أولاده، أي إسماعيل وإسحاق والأسباط إلى خاتم الأنبياء والأوصياء عليهم صلوات الله تبارك وتعالى، ومقتضاه أن يكون المراد من آل عمران أيضا أولاده، أعني موسى وهارون، أو مریم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نبينا وآله وعليهم السلام </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إلى غير ذلك من الأقوال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سيما مفسري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أرعدوا وأبرقوا في المقام بما لا مزيد عليه، ولكن لم يأتوا بشيء تطمئن به القلوب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49" w:name="pg7286_66372"/>
    </w:p>
    <w:p>
      <w:pPr>
        <w:pStyle w:val="Heading4"/>
        <w:numPr>
          <w:ilvl w:val="3"/>
          <w:numId w:val="1"/>
        </w:numPr>
        <w:rPr/>
      </w:pPr>
      <w:bookmarkStart w:id="350" w:name="__RefHeading___Toc634254_1051229030"/>
      <w:bookmarkStart w:id="351" w:name="_Toc114"/>
      <w:bookmarkEnd w:id="349"/>
      <w:bookmarkEnd w:id="350"/>
      <w:r>
        <w:rPr>
          <w:rtl w:val="true"/>
        </w:rPr>
        <w:t>المختار في المراد من الآية</w:t>
      </w:r>
      <w:bookmarkEnd w:id="351"/>
    </w:p>
    <w:p>
      <w:pPr>
        <w:pStyle w:val="BookText"/>
        <w:rPr/>
      </w:pPr>
      <w:r>
        <w:rPr>
          <w:rFonts w:ascii="IRNazanin" w:hAnsi="IRNazanin" w:eastAsia="IRNazanin"/>
          <w:color w:val="111111"/>
          <w:sz w:val="28"/>
          <w:sz w:val="28"/>
          <w:szCs w:val="28"/>
          <w:rtl w:val="true"/>
          <w:lang w:bidi="fa-IR"/>
        </w:rPr>
        <w:t xml:space="preserve">ولك الحق المحقق أن المراد من المصطفين في هذه الآية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عناوينها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الذوات المقدسة المعصومون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وحسب ، بحيث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في هذه الآية الشريفة بعناوین مختلفة؛ تأكيدا لأمر اصطفائهم علیهم السلام على جميع العالمين، لا خصوص عالمي زمانهم؛ كما هو مقتضى إطلاق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ولا وجه للاختصاص بزمان دون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التحقيق إنما يتضح بعد إثبات أمرين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كناية عن آل آدم وآل نوح، أو من باب حذف المضاف بالقرينة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واسئل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آل آدم وآل نوح لاشخص آدم ونوح، على نبينا وآله وعليهما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عمران فيها هو أبو طالب بن عبدالمطلب رضی الله عنه والد أميرالمؤمنين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عمران بن يصهر والد موسى ولا عمران بن فاثان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تفسير المنهج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عمران بن الهشم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تفسير المجمع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فسر بهما العامة على سبيل الترديد المخل بالمقصود، كما لا يخفى</w:t>
      </w:r>
      <w:r>
        <w:rPr>
          <w:rFonts w:eastAsia="IRNazanin" w:cs="IRNazanin"/>
          <w:color w:val="111111"/>
          <w:sz w:val="28"/>
          <w:szCs w:val="28"/>
          <w:rtl w:val="true"/>
          <w:lang w:bidi="fa-IR"/>
        </w:rPr>
        <w:t xml:space="preserve">. </w:t>
      </w:r>
      <w:bookmarkStart w:id="352" w:name="pg7286_66373"/>
    </w:p>
    <w:p>
      <w:pPr>
        <w:pStyle w:val="Heading4"/>
        <w:numPr>
          <w:ilvl w:val="3"/>
          <w:numId w:val="1"/>
        </w:numPr>
        <w:rPr/>
      </w:pPr>
      <w:bookmarkStart w:id="353" w:name="__RefHeading___Toc634256_1051229030"/>
      <w:bookmarkStart w:id="354" w:name="_Toc115"/>
      <w:bookmarkEnd w:id="352"/>
      <w:bookmarkEnd w:id="353"/>
      <w:r>
        <w:rPr>
          <w:rtl w:val="true"/>
        </w:rPr>
        <w:t>إثبات الأمر الأول</w:t>
      </w:r>
      <w:bookmarkEnd w:id="354"/>
    </w:p>
    <w:p>
      <w:pPr>
        <w:pStyle w:val="BookText"/>
        <w:rPr/>
      </w:pPr>
      <w:r>
        <w:rPr>
          <w:rFonts w:ascii="Amiri" w:hAnsi="Amiri" w:eastAsia="Amiri" w:cs="Amiri"/>
          <w:color w:val="111111"/>
          <w:sz w:val="28"/>
          <w:sz w:val="28"/>
          <w:szCs w:val="28"/>
          <w:rtl w:val="true"/>
          <w:lang w:bidi="ar-SA"/>
        </w:rPr>
        <w:t xml:space="preserve">أما إثبات الأمر الأول فيستظهر ويستفاد من نصوص معتبرة </w:t>
      </w:r>
      <w:r>
        <w:rPr>
          <w:rStyle w:val="FootnoteAnchor"/>
          <w:rtl w:val="true"/>
        </w:rPr>
        <w:footnoteReference w:id="312"/>
      </w:r>
      <w:r>
        <w:rPr>
          <w:rFonts w:ascii="IRNazanin" w:hAnsi="IRNazanin" w:eastAsia="IRNazanin"/>
          <w:color w:val="111111"/>
          <w:sz w:val="28"/>
          <w:sz w:val="28"/>
          <w:szCs w:val="28"/>
          <w:rtl w:val="true"/>
          <w:lang w:bidi="fa-IR"/>
        </w:rPr>
        <w:t xml:space="preserve">مثل ما ورد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تفسير نور الثقلين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وتعالی اختار من كل شيء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واختار من البيوتات أربعة،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وَنُوحاً وَ آلِ إِبرَاهيمَ وَآلِ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بداهة أن إطلاق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من آدم ونوح لا يصح إلا أن يراد منهما آلهما، لا أنفسهما،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ما ورد في تفسير البرهان عن أبي جعفر علیه السلام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القائم عجل الله تعالی فرجه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حاجني في آدم علیه السلام فأنا أولى الناس بأدم علیه السلام ، ومن حاجني في نوح علیه السلام فأنا أولى الناس بنوح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أليس الله تعالى يقول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 وظهور إرادة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أرواح من سواه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هذا الحديث، آل آدم و آل نوح، مما لا يخفی</w:t>
      </w:r>
      <w:r>
        <w:rPr>
          <w:rFonts w:eastAsia="IRNazanin" w:cs="IRNazanin"/>
          <w:color w:val="111111"/>
          <w:sz w:val="28"/>
          <w:szCs w:val="28"/>
          <w:rtl w:val="true"/>
          <w:lang w:bidi="fa-IR"/>
        </w:rPr>
        <w:t xml:space="preserve">. </w:t>
      </w:r>
      <w:bookmarkStart w:id="355" w:name="pg7286_66374"/>
    </w:p>
    <w:p>
      <w:pPr>
        <w:pStyle w:val="Heading4"/>
        <w:numPr>
          <w:ilvl w:val="3"/>
          <w:numId w:val="1"/>
        </w:numPr>
        <w:rPr/>
      </w:pPr>
      <w:bookmarkStart w:id="356" w:name="__RefHeading___Toc634258_1051229030"/>
      <w:bookmarkStart w:id="357" w:name="_Toc116"/>
      <w:bookmarkEnd w:id="355"/>
      <w:bookmarkEnd w:id="356"/>
      <w:r>
        <w:rPr>
          <w:rtl w:val="true"/>
        </w:rPr>
        <w:t>إثبات الأمر الثاني</w:t>
      </w:r>
      <w:bookmarkEnd w:id="357"/>
    </w:p>
    <w:p>
      <w:pPr>
        <w:pStyle w:val="BookText"/>
        <w:rPr/>
      </w:pPr>
      <w:r>
        <w:rPr>
          <w:rFonts w:ascii="IRNazanin" w:hAnsi="IRNazanin" w:eastAsia="IRNazanin"/>
          <w:color w:val="111111"/>
          <w:sz w:val="28"/>
          <w:sz w:val="28"/>
          <w:szCs w:val="28"/>
          <w:rtl w:val="true"/>
          <w:lang w:bidi="fa-IR"/>
        </w:rPr>
        <w:t xml:space="preserve">وأما إثبات الأمر الثاني فإن أبا طالب بن عبدالمطلب رضی الله عنه مضافا إلى أنه كان موسوما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موسوما أيضا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معروفا بهذا الاسم في الأمم السالفة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غير واحد من التفاسير المعتبرة </w:t>
      </w:r>
      <w:r>
        <w:rPr>
          <w:rStyle w:val="FootnoteAnchor"/>
          <w:rtl w:val="true"/>
        </w:rPr>
        <w:footnoteReference w:id="315"/>
      </w:r>
      <w:r>
        <w:rPr>
          <w:rFonts w:ascii="Amiri" w:hAnsi="Amiri" w:eastAsia="Amiri" w:cs="Amiri"/>
          <w:color w:val="111111"/>
          <w:sz w:val="28"/>
          <w:sz w:val="28"/>
          <w:szCs w:val="28"/>
          <w:rtl w:val="true"/>
          <w:lang w:bidi="ar-SA"/>
        </w:rPr>
        <w:t xml:space="preserve">، ولذا كان ولده أمير المؤمنين عليه السلام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الأمم السالفة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العمراني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القريب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المباركة هو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أباطالب عمران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آله آل عمران بن عبدالمطلب ، بل هو المتعين على ما يستفاد مما ورد في كتاب عیون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تفسيري البرهان ونور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علیه السلام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فضل الله تعالى العترة على سائر الناس؟ فقال أبوالحسن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أبان فضل العترة على سائر الناس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ذلك من كتاب الله ؟ فقال له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فإنه ظاهر في أن </w:t>
      </w:r>
    </w:p>
    <w:p>
      <w:pPr>
        <w:pStyle w:val="BookText"/>
        <w:rPr/>
      </w:pPr>
      <w:r>
        <w:rPr>
          <w:rFonts w:ascii="IRNazanin" w:hAnsi="IRNazanin" w:eastAsia="IRNazanin"/>
          <w:color w:val="111111"/>
          <w:sz w:val="28"/>
          <w:sz w:val="28"/>
          <w:szCs w:val="28"/>
          <w:rtl w:val="true"/>
          <w:lang w:bidi="fa-IR"/>
        </w:rPr>
        <w:t xml:space="preserve">الإمام علیه السلام إنما استدل على فضيلة العترة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ذهب إلى الثاني ابن بابویه قدس سره </w:t>
      </w:r>
      <w:r>
        <w:rPr>
          <w:rStyle w:val="FootnoteAnchor"/>
          <w:rtl w:val="true"/>
        </w:rPr>
        <w:footnoteReference w:id="317"/>
      </w:r>
      <w:r>
        <w:rPr>
          <w:rFonts w:ascii="IRNazanin" w:hAnsi="IRNazanin" w:eastAsia="IRNazanin"/>
          <w:color w:val="111111"/>
          <w:sz w:val="28"/>
          <w:sz w:val="28"/>
          <w:szCs w:val="28"/>
          <w:rtl w:val="true"/>
          <w:lang w:bidi="fa-IR"/>
        </w:rPr>
        <w:t>، وإلا لكان للمأمون أن يعترض عليه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نفسه، وجميع آل عباس بن عبدالمطلب داخلون في آل إبراهيم، وبالطبع داخلون في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فسكوت المأمون وعدم اعتراضه بذلك أقوى شاهد بل دلیل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لقبا معروفا في ذلك الزمان لآل أبي طالب بن عبد المطلب، والإمام عليه السلام قد استدل بذلك على فضيلة خصوص العترة الطاهرة صلوات الله تعالى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هو المتعين بما يستفاد مما ورد في تفسير البرهان نقلا عن طريق أهل السنة </w:t>
      </w:r>
      <w:r>
        <w:rPr>
          <w:rStyle w:val="FootnoteAnchor"/>
          <w:rtl w:val="true"/>
        </w:rPr>
        <w:footnoteReference w:id="318"/>
      </w:r>
      <w:r>
        <w:rPr>
          <w:rFonts w:ascii="IRNazanin" w:hAnsi="IRNazanin" w:eastAsia="IRNazanin"/>
          <w:color w:val="111111"/>
          <w:sz w:val="28"/>
          <w:sz w:val="28"/>
          <w:szCs w:val="28"/>
          <w:rtl w:val="true"/>
          <w:lang w:bidi="fa-IR"/>
        </w:rPr>
        <w:t xml:space="preserve">من أنه كانت الآية في مصحف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الكبير في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ونوحا و آل إبراهيم وآل عمران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أما روايات الخاصة المفسرة لهذه الآية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مصرح بأن الآية نزلت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تصريح بأن الآية أنزلت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عمران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و 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p>
    <w:p>
      <w:pPr>
        <w:pStyle w:val="BookText"/>
        <w:rPr/>
      </w:pPr>
      <w:r>
        <w:rPr>
          <w:rFonts w:ascii="IRNazanin" w:hAnsi="IRNazanin" w:eastAsia="IRNazanin"/>
          <w:color w:val="111111"/>
          <w:sz w:val="28"/>
          <w:sz w:val="28"/>
          <w:szCs w:val="28"/>
          <w:rtl w:val="true"/>
          <w:lang w:bidi="fa-IR"/>
        </w:rPr>
        <w:t>عن آل عمران أو تفسیرا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العالمين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أيضا أقوى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آل عمران في الآية المباركة هم آل عمران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السورة المباركة بسورة آل عمران دون سورة آل إبراهيم، مع ذكر آل إبراهيم فيها الذين هم بالاتفاق أهم وأفضل من آل عمران إن أريد منه آل عمران موسی و آل عمران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كان المراد منه عمران الإمام على علیه السلام أعني بهم آل محمد صلی الله علیه وآله وتلك الذوات المقدسة المعصومين عليهم السلام؛ فإن من المعلوم جدا أنهم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ثبوت هذين الأمرين وإثباتهما لا إشكال، بل لا شبهة في أن آل عمران بن عبد المطلب هم تلك الذوات المقدسة المعصومون الأربعة عشر عليهم أفضل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إنما يعد الرسول المکرم وابنته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التغليب وملاحظة أنه صلی الله علیه وآله كان في أوائل الأمر تحت حماية عمه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ظاهر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شخصه صلی الله علیه وآله داخل في آل نفسه، إذا بدل أو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إطلاق آل فلان وإرادة نفس فلان شائع في لغة </w:t>
      </w:r>
    </w:p>
    <w:p>
      <w:pPr>
        <w:pStyle w:val="BookText"/>
        <w:rPr/>
      </w:pPr>
      <w:r>
        <w:rPr>
          <w:rFonts w:ascii="IRNazanin" w:hAnsi="IRNazanin" w:eastAsia="IRNazanin"/>
          <w:color w:val="111111"/>
          <w:sz w:val="28"/>
          <w:sz w:val="28"/>
          <w:szCs w:val="28"/>
          <w:rtl w:val="true"/>
          <w:lang w:bidi="fa-IR"/>
        </w:rPr>
        <w:t xml:space="preserve">العرب </w:t>
      </w:r>
      <w:r>
        <w:rPr>
          <w:rStyle w:val="FootnoteAnchor"/>
          <w:rtl w:val="true"/>
        </w:rPr>
        <w:footnoteReference w:id="321"/>
      </w:r>
      <w:r>
        <w:rPr>
          <w:rFonts w:ascii="Amiri" w:hAnsi="Amiri" w:eastAsia="Amiri" w:cs="Amiri"/>
          <w:color w:val="111111"/>
          <w:sz w:val="28"/>
          <w:sz w:val="28"/>
          <w:szCs w:val="28"/>
          <w:rtl w:val="true"/>
          <w:lang w:bidi="ar-SA"/>
        </w:rPr>
        <w:t xml:space="preserve">كما قيل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لا إشكال ولا شبهة في أن المراد من آل إبراهيم في الآية الشريفة أيضا تلك الذوات المقدسة لا غيرهم، كإسماعيل وإسحاق ويعقوب والأسباط ومن يحذو حذوهم؛ فإن تلك الذوات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العقائد الحقة الثابتة في محلها هم المصطفون على العوالم في جميع الأزمنة، كما يقتضيه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المباركة، ولا وجه لاختصاص ذلك بعالم زمان دون زمان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الأمر في آل آدم وآل نوح، بعد ما عرفت من تفسير آدم ونوح بالهما؛ فإنه لا ريب حينئذ أيضا في أن المراد من كل منهما تلك الذوات المقدسة علیهم السلام </w:t>
      </w:r>
      <w:r>
        <w:rPr>
          <w:rFonts w:eastAsia="IRNazanin" w:cs="IRNazanin"/>
          <w:color w:val="111111"/>
          <w:sz w:val="28"/>
          <w:szCs w:val="28"/>
          <w:rtl w:val="true"/>
          <w:lang w:bidi="fa-IR"/>
        </w:rPr>
        <w:t xml:space="preserve">. </w:t>
      </w:r>
      <w:bookmarkStart w:id="358" w:name="pg7286_66378"/>
    </w:p>
    <w:p>
      <w:pPr>
        <w:pStyle w:val="Heading4"/>
        <w:numPr>
          <w:ilvl w:val="3"/>
          <w:numId w:val="1"/>
        </w:numPr>
        <w:rPr/>
      </w:pPr>
      <w:bookmarkStart w:id="359" w:name="__RefHeading___Toc634260_1051229030"/>
      <w:bookmarkStart w:id="360" w:name="_Toc117"/>
      <w:bookmarkEnd w:id="358"/>
      <w:bookmarkEnd w:id="359"/>
      <w:r>
        <w:rPr>
          <w:rtl w:val="true"/>
        </w:rPr>
        <w:t>نتيجة البحث</w:t>
      </w:r>
      <w:bookmarkEnd w:id="360"/>
    </w:p>
    <w:p>
      <w:pPr>
        <w:pStyle w:val="BookText"/>
        <w:rPr/>
      </w:pPr>
      <w:r>
        <w:rPr>
          <w:rFonts w:ascii="IRNazanin" w:hAnsi="IRNazanin" w:eastAsia="IRNazanin"/>
          <w:color w:val="111111"/>
          <w:sz w:val="28"/>
          <w:sz w:val="28"/>
          <w:szCs w:val="28"/>
          <w:rtl w:val="true"/>
          <w:lang w:bidi="fa-IR"/>
        </w:rPr>
        <w:t xml:space="preserve">فاتضح أنه تبارك وتقدس أكد وشدد في هذه الآية المباركة مدح هؤلاء المعصومين الأربعة عشر عليهم السلام بعناوین متعددة و تعابیر مختلفة أربع مرات، بل خمسا ، بإضافة ما ورد في التفسير كالتنزيل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وعليهم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فالمراد من المصطفين في الآية الشريفة هم المعصومون الأربعة عشر علیهم السلام لا غير، وإنهم المصطفون فحسب على كل العالمين من لدن آدم إلى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يبين في القرآن المجيد لجميع الخلائق أن تلك الوجودات المباركة إما هم المصطفون حقا على جميع العوالم في جميع الأزمان، مضافا إلى أن الاصطفاء في الآية الشريفة مطلق، والمطلق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متفاهم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إلى أكمل أفراده، ومن المعلوم من العقائد الحقة الثابتة في محله أن كل واحد من تلك الذوات المقدسة الفرد الكامل الأكمل وكلهم مکملون في الاصطفاء</w:t>
      </w:r>
      <w:r>
        <w:rPr>
          <w:rFonts w:eastAsia="IRNazanin" w:cs="IRNazanin"/>
          <w:color w:val="111111"/>
          <w:sz w:val="28"/>
          <w:szCs w:val="28"/>
          <w:rtl w:val="true"/>
          <w:lang w:bidi="fa-IR"/>
        </w:rPr>
        <w:t xml:space="preserve">. </w:t>
      </w:r>
      <w:bookmarkStart w:id="361" w:name="pg7286_66379"/>
    </w:p>
    <w:p>
      <w:pPr>
        <w:pStyle w:val="Heading4"/>
        <w:numPr>
          <w:ilvl w:val="3"/>
          <w:numId w:val="1"/>
        </w:numPr>
        <w:rPr/>
      </w:pPr>
      <w:bookmarkStart w:id="362" w:name="__RefHeading___Toc634262_1051229030"/>
      <w:bookmarkStart w:id="363" w:name="_Toc118"/>
      <w:bookmarkEnd w:id="361"/>
      <w:bookmarkEnd w:id="362"/>
      <w:r>
        <w:rPr>
          <w:rtl w:val="true"/>
        </w:rPr>
        <w:t>بيان إشكالات على المختار</w:t>
      </w:r>
      <w:bookmarkEnd w:id="363"/>
    </w:p>
    <w:p>
      <w:pPr>
        <w:pStyle w:val="Heading4"/>
        <w:numPr>
          <w:ilvl w:val="3"/>
          <w:numId w:val="1"/>
        </w:numPr>
        <w:rPr/>
      </w:pPr>
      <w:bookmarkStart w:id="364" w:name="__RefHeading___Toc634264_1051229030"/>
      <w:bookmarkStart w:id="365" w:name="_Toc119"/>
      <w:bookmarkEnd w:id="364"/>
      <w:r>
        <w:rPr>
          <w:rtl w:val="true"/>
        </w:rPr>
        <w:t>الإشكال الأول</w:t>
      </w:r>
      <w:bookmarkEnd w:id="365"/>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سياق الآية من ذکر امرأة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بعد</w:t>
      </w:r>
    </w:p>
    <w:p>
      <w:pPr>
        <w:pStyle w:val="BookText"/>
        <w:rPr/>
      </w:pPr>
      <w:r>
        <w:rPr>
          <w:rFonts w:ascii="Amiri" w:hAnsi="Amiri" w:eastAsia="Amiri" w:cs="Amiri"/>
          <w:color w:val="111111"/>
          <w:sz w:val="28"/>
          <w:sz w:val="28"/>
          <w:szCs w:val="28"/>
          <w:rtl w:val="true"/>
          <w:lang w:bidi="ar-SA"/>
        </w:rPr>
        <w:t>هذه الآية يقتضي أن لا يكون المراد من عمران، عمران بن عبد المطلب فكيف التوفيق؟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السياق في القرآن الموجود المنظم على خلاف ترتيب التزول، لم يكن معتبرا إلا في الآيات التي نزلت على وتيرة واحدة وكانت هناك قرينة على الارتباط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إطاعة الرسول صلی الله علیه وآله قبل هذه الآية وغير ذلك في الآيات في حقه صلی الله علیه وآله في هذه السورة يقتضي أن ينعكس السياق ويكون المراد من آل عمران، آل أبي طالب الذين هم أوصياؤه وخلفاؤه صلی الله علیه وآله ، بل ذکر حالات آل إبراهيم علیه السلام الذي هو من أجدادهم الأمجدين في هذه الآية قرينة واضحة على أن المراد من آل عمران، آل أبي طالب رضوان الله تعالی و تقدس عليه</w:t>
      </w:r>
      <w:r>
        <w:rPr>
          <w:rFonts w:eastAsia="IRNazanin" w:cs="IRNazanin"/>
          <w:color w:val="111111"/>
          <w:sz w:val="28"/>
          <w:szCs w:val="28"/>
          <w:rtl w:val="true"/>
          <w:lang w:bidi="fa-IR"/>
        </w:rPr>
        <w:t xml:space="preserve">. </w:t>
      </w:r>
      <w:bookmarkStart w:id="366" w:name="pg7286_66380"/>
    </w:p>
    <w:p>
      <w:pPr>
        <w:pStyle w:val="Heading4"/>
        <w:numPr>
          <w:ilvl w:val="3"/>
          <w:numId w:val="1"/>
        </w:numPr>
        <w:rPr/>
      </w:pPr>
      <w:bookmarkStart w:id="367" w:name="__RefHeading___Toc634266_1051229030"/>
      <w:bookmarkStart w:id="368" w:name="_Toc120"/>
      <w:bookmarkEnd w:id="366"/>
      <w:bookmarkEnd w:id="367"/>
      <w:r>
        <w:rPr>
          <w:rtl w:val="true"/>
        </w:rPr>
        <w:t>الإشكال الثاني</w:t>
      </w:r>
      <w:bookmarkEnd w:id="368"/>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المراد من الآية بجميع عناوينها تلك الذوات المقدسة، فلم لم ينقل منه صلی الله علیه وآله ولا من طريق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وأثر بارز في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ما عرفت من القرآن والظهورات والكنايات التي أبلغ من التصريح على ذلك،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التواريخ المعتبرة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بل منع أشد المنع عن ترويج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آله آلاف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محى الأحاديث النبوية التي كانت في أيدي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طلبها منهم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المحتمل قويا أنه صدر من أهل بيت العصمة والطهارة علیهم السلام أيضا ما هو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مما عرفت، ولكن صار مفقودا قبل أن يصل إلينا من جهة اضمحلال المكاتيب بيد الأعداء ولا سيما المكتبة العظيمة المعروفة، كما أنه فقد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قدس سره </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7286_66382"/>
      <w:bookmarkStart w:id="370" w:name="pg7286_66382"/>
      <w:bookmarkEnd w:id="370"/>
    </w:p>
    <w:p>
      <w:pPr>
        <w:pStyle w:val="Heading3"/>
        <w:numPr>
          <w:ilvl w:val="2"/>
          <w:numId w:val="1"/>
        </w:numPr>
        <w:rPr/>
      </w:pPr>
      <w:bookmarkStart w:id="371" w:name="pg7286_66382"/>
      <w:bookmarkStart w:id="372" w:name="__RefHeading___Toc634268_1051229030"/>
      <w:bookmarkStart w:id="373" w:name="_Toc121"/>
      <w:bookmarkEnd w:id="371"/>
      <w:bookmarkEnd w:id="372"/>
      <w:r>
        <w:rPr>
          <w:rtl w:val="true"/>
        </w:rPr>
        <w:t>الملحق الثالث</w:t>
      </w:r>
      <w:r>
        <w:rPr>
          <w:rtl w:val="true"/>
        </w:rPr>
        <w:t xml:space="preserve">: </w:t>
      </w:r>
      <w:r>
        <w:rPr>
          <w:rtl w:val="true"/>
        </w:rPr>
        <w:t>كلمةٌ مُحكَمَةٌ حول الآية المباركة</w:t>
      </w:r>
      <w:r>
        <w:rPr>
          <w:rtl w:val="true"/>
        </w:rPr>
        <w:t xml:space="preserve">: « </w:t>
      </w:r>
      <w:r>
        <w:rPr>
          <w:rtl w:val="true"/>
        </w:rPr>
        <w:t>سَلاَمٌ عَلَى إِل يَاسِينَ</w:t>
      </w:r>
      <w:r>
        <w:rPr>
          <w:rtl w:val="true"/>
        </w:rPr>
        <w:t>»</w:t>
      </w:r>
      <w:bookmarkEnd w:id="37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634270_1051229030"/>
      <w:bookmarkStart w:id="375" w:name="_Toc122"/>
      <w:bookmarkEnd w:id="374"/>
      <w:r>
        <w:rPr>
          <w:rtl w:val="true"/>
        </w:rPr>
        <w:t>اشارة</w:t>
      </w:r>
      <w:bookmarkEnd w:id="3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7286_66384"/>
      <w:bookmarkStart w:id="377" w:name="pg7286_66384"/>
      <w:bookmarkEnd w:id="377"/>
    </w:p>
    <w:p>
      <w:pPr>
        <w:pStyle w:val="BookText"/>
        <w:rPr/>
      </w:pPr>
      <w:bookmarkStart w:id="378" w:name="pg7286_66384"/>
      <w:bookmarkEnd w:id="378"/>
      <w:r>
        <w:rPr>
          <w:rFonts w:ascii="IRNazanin" w:hAnsi="IRNazanin" w:eastAsia="IRNazanin"/>
          <w:color w:val="111111"/>
          <w:sz w:val="28"/>
          <w:sz w:val="28"/>
          <w:szCs w:val="28"/>
          <w:rtl w:val="true"/>
          <w:lang w:bidi="fa-IR"/>
        </w:rPr>
        <w:t>الملحق الثالث</w:t>
      </w:r>
    </w:p>
    <w:p>
      <w:pPr>
        <w:pStyle w:val="BookText"/>
        <w:rPr/>
      </w:pPr>
      <w:r>
        <w:rPr>
          <w:rFonts w:ascii="Amiri" w:hAnsi="Amiri" w:eastAsia="Amiri" w:cs="Amiri"/>
          <w:color w:val="111111"/>
          <w:sz w:val="28"/>
          <w:sz w:val="28"/>
          <w:szCs w:val="28"/>
          <w:rtl w:val="true"/>
          <w:lang w:bidi="ar-SA"/>
        </w:rPr>
        <w:t>كلمة محكمة حول الآية المباركة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Heading4"/>
        <w:numPr>
          <w:ilvl w:val="3"/>
          <w:numId w:val="1"/>
        </w:numPr>
        <w:rPr/>
      </w:pPr>
      <w:bookmarkStart w:id="379" w:name="__RefHeading___Toc634272_1051229030"/>
      <w:bookmarkStart w:id="380" w:name="_Toc123"/>
      <w:bookmarkEnd w:id="379"/>
      <w:r>
        <w:rPr>
          <w:rtl w:val="true"/>
        </w:rPr>
        <w:t>كلمتنا حول الآية</w:t>
      </w:r>
      <w:bookmarkEnd w:id="3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الشريفة على كلتا القراءتين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يَاسيِنَ وَآلِ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بمقتضى التحقيق العميق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معربة ومخففة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بمعنی العشيرة،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إيل بختیار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 قشقا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ويراد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عشیرتهم</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 وهذا المعنى هو المراد في هذه الآية المباركة حتى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بكسرالهمزة ؛ إذ لم تكتب هذه الكلمة في القرآن من زمان نزوله وكتابة </w:t>
      </w:r>
      <w:bookmarkStart w:id="381" w:name="pg7286_66385"/>
    </w:p>
    <w:p>
      <w:pPr>
        <w:pStyle w:val="BookText"/>
        <w:rPr/>
      </w:pPr>
      <w:bookmarkEnd w:id="381"/>
      <w:r>
        <w:rPr>
          <w:rFonts w:ascii="Amiri" w:hAnsi="Amiri" w:eastAsia="Amiri" w:cs="Amiri"/>
          <w:color w:val="111111"/>
          <w:sz w:val="28"/>
          <w:sz w:val="28"/>
          <w:szCs w:val="28"/>
          <w:rtl w:val="true"/>
          <w:lang w:bidi="ar-SA"/>
        </w:rPr>
        <w:t xml:space="preserve">كتاب الوحي إلى زماننا هذا إلا منفصلة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 يَاسيِنَ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ولم تكتب متصلة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لا يخفى على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 دليل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كلمتان يراد بكل منهما معنى غير معنى الأخرى</w:t>
      </w:r>
      <w:r>
        <w:rPr>
          <w:rFonts w:eastAsia="IRNazanin" w:cs="IRNazanin"/>
          <w:color w:val="111111"/>
          <w:sz w:val="28"/>
          <w:szCs w:val="28"/>
          <w:rtl w:val="true"/>
          <w:lang w:bidi="fa-IR"/>
        </w:rPr>
        <w:t>.</w:t>
      </w:r>
    </w:p>
    <w:p>
      <w:pPr>
        <w:pStyle w:val="Heading4"/>
        <w:numPr>
          <w:ilvl w:val="3"/>
          <w:numId w:val="1"/>
        </w:numPr>
        <w:rPr/>
      </w:pPr>
      <w:bookmarkStart w:id="382" w:name="__RefHeading___Toc634274_1051229030"/>
      <w:bookmarkStart w:id="383" w:name="_Toc124"/>
      <w:bookmarkEnd w:id="382"/>
      <w:r>
        <w:rPr>
          <w:rtl w:val="true"/>
        </w:rPr>
        <w:t>تعرض بعض الآراء الموهومة وردها</w:t>
      </w:r>
      <w:bookmarkEnd w:id="3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قلنا 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واحده كما ادعي؛ إما بدعوى أنه لغة في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کمیکال و میکائیل</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أو بأن يراد بها نبي تخيلي وهمي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إلياس النبي المعروف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توهم من توهم </w:t>
      </w:r>
      <w:r>
        <w:rPr>
          <w:rStyle w:val="FootnoteAnchor"/>
          <w:rtl w:val="true"/>
        </w:rPr>
        <w:footnoteReference w:id="330"/>
      </w:r>
      <w:r>
        <w:rPr>
          <w:rFonts w:ascii="IRNazanin" w:hAnsi="IRNazanin" w:eastAsia="IRNazanin"/>
          <w:color w:val="111111"/>
          <w:sz w:val="28"/>
          <w:sz w:val="28"/>
          <w:szCs w:val="28"/>
          <w:rtl w:val="true"/>
          <w:lang w:bidi="fa-IR"/>
        </w:rPr>
        <w:t xml:space="preserve">؛ استنادا إلى أن خط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بین الدفتين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بخط العروض والقواعد وأن كتاب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كتبوا الكلمة على خلاف القاعدة منفصلة، وكان مقتضاها أن يكتبوها متصلة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لكنه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ادعاء محض وتحكم بحت وإنما يمكن الالتزام به في أمثال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الإنسان </w:t>
      </w:r>
      <w:r>
        <w:rPr>
          <w:rStyle w:val="FootnoteAnchor"/>
          <w:rtl w:val="true"/>
        </w:rPr>
        <w:footnoteReference w:id="331"/>
      </w:r>
      <w:r>
        <w:rPr>
          <w:rFonts w:ascii="Amiri" w:hAnsi="Amiri" w:eastAsia="Amiri" w:cs="Amiri"/>
          <w:color w:val="111111"/>
          <w:sz w:val="28"/>
          <w:sz w:val="28"/>
          <w:szCs w:val="28"/>
          <w:rtl w:val="true"/>
          <w:lang w:bidi="ar-SA"/>
        </w:rPr>
        <w:t>؛ حيث ضبطت في القرآن المجيد مع الألف و مقتضى القاعدة أن تكتب بلا ألف، لا في أمثال المقام مما يختلف المعني باختلافه، كما لا يخفى على الخبير البصير المتضلع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توهم 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بعد التخفيف بحذف الياء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بها من تبع إلياس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أيضا ادعاء محض و توهم بحت، مضافا إلى أنه لا بد على هذا أن تكتب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ونظيره في الوهن والتحكم دعوى إرادة السورة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إرادة القرآن من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 القرآن المجيد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كلمتان بلا ريب، فما يتفرد به من أن الضمير المفرد في الآية المذكورة في تلو آية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الظاهر رجوعه إلى المضاف دون المضاف إليه يؤيد أنها كلمة واحدة غير مسموع، ولا سيما بعد ملاحظة أن رجوع الضمير في أمثال المقام إلى خصوص المضاف إليه </w:t>
      </w:r>
    </w:p>
    <w:p>
      <w:pPr>
        <w:pStyle w:val="BookText"/>
        <w:rPr/>
      </w:pPr>
      <w:r>
        <w:rPr>
          <w:rFonts w:ascii="Amiri" w:hAnsi="Amiri" w:eastAsia="Amiri" w:cs="Amiri"/>
          <w:color w:val="111111"/>
          <w:sz w:val="28"/>
          <w:sz w:val="28"/>
          <w:szCs w:val="28"/>
          <w:rtl w:val="true"/>
          <w:lang w:bidi="ar-SA"/>
        </w:rPr>
        <w:t xml:space="preserve">ليس بعزيز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فالإنصاف أن التوجيه بأحد هذه الوجوه الموهومة المتحكمة ونحوها ليس بتفسير حقيقي ومراد واقعي للآية الشريفة المباركة، بل كل منها تحميل على الآية و تفسیر تصنعي لها 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الحقيقة ليس بتفسير، وإنه تطبيق و تجرير للآية على آراء خيالية كانت مغروسة في الأذهان قبل ذلك،فإن التفسير هو أن يخلی الذهن وطبعه بالأسر عن كافة ما فيه من العقائد المتخيلة المغروسة، ثم يلاحظ ما يستفاد منها بحسب الفهم العرفي أو بمعونة ما هو عدل آيات القرآن الكريم، أعني به أقوال عترة الرسول عليهم السلام الذين وجب التمسك بهم على الأمة المرحومة بالتواتر القطعي، كالتمسك بكتاب الله العزيز الحكيم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الحقيقة تكون آيات الكتاب متنا وأقوال العترة الطاهرة شرحه، ولا سيمامتشابهاتها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تأويلها ولا تفسيرها إلا الله تعالی والراسخون في العلم </w:t>
      </w:r>
      <w:r>
        <w:rPr>
          <w:rStyle w:val="FootnoteAnchor"/>
          <w:rtl w:val="true"/>
        </w:rPr>
        <w:footnoteReference w:id="336"/>
      </w:r>
      <w:r>
        <w:rPr>
          <w:rFonts w:ascii="Amiri" w:hAnsi="Amiri" w:eastAsia="Amiri" w:cs="Amiri"/>
          <w:color w:val="111111"/>
          <w:sz w:val="28"/>
          <w:sz w:val="28"/>
          <w:szCs w:val="28"/>
          <w:rtl w:val="true"/>
          <w:lang w:bidi="ar-SA"/>
        </w:rPr>
        <w:t xml:space="preserve">، ولا ريب في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الراسخون في العلم </w:t>
      </w:r>
      <w:r>
        <w:rPr>
          <w:rStyle w:val="FootnoteAnchor"/>
          <w:rtl w:val="true"/>
        </w:rPr>
        <w:footnoteReference w:id="337"/>
      </w:r>
      <w:r>
        <w:rPr>
          <w:rFonts w:ascii="Amiri" w:hAnsi="Amiri" w:eastAsia="Amiri" w:cs="Amiri"/>
          <w:color w:val="111111"/>
          <w:sz w:val="28"/>
          <w:sz w:val="28"/>
          <w:szCs w:val="28"/>
          <w:rtl w:val="true"/>
          <w:lang w:bidi="ar-SA"/>
        </w:rPr>
        <w:t xml:space="preserve">؛ فإنهم عليهم السلام علموا مرادات القرآن على نحو الأسناد </w:t>
      </w:r>
    </w:p>
    <w:p>
      <w:pPr>
        <w:pStyle w:val="BookText"/>
        <w:rPr/>
      </w:pPr>
      <w:r>
        <w:rPr>
          <w:rFonts w:ascii="Amiri" w:hAnsi="Amiri" w:eastAsia="Amiri" w:cs="Amiri"/>
          <w:color w:val="111111"/>
          <w:sz w:val="28"/>
          <w:sz w:val="28"/>
          <w:szCs w:val="28"/>
          <w:rtl w:val="true"/>
          <w:lang w:bidi="ar-SA"/>
        </w:rPr>
        <w:t xml:space="preserve">المتصلة إلى بيت الوحي والرسالة صلي الله عليه وآله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يعرف القرآن إلا من خوطب به وهو النبي المكرم 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الثابت بالتواتر أنه علمه وصيه وخليفته علي بن أبي طالب علیه صلوات الله الملك الغالب، وعلى هذا القياس تعلم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من العلم الذي يفتح من كل باب منه ألف باب </w:t>
      </w:r>
      <w:r>
        <w:rPr>
          <w:rStyle w:val="FootnoteAnchor"/>
          <w:rtl w:val="true"/>
        </w:rPr>
        <w:footnoteReference w:id="339"/>
      </w:r>
      <w:r>
        <w:rPr>
          <w:rFonts w:ascii="IRNazanin" w:hAnsi="IRNazanin" w:eastAsia="IRNazanin"/>
          <w:color w:val="111111"/>
          <w:sz w:val="28"/>
          <w:sz w:val="28"/>
          <w:szCs w:val="28"/>
          <w:rtl w:val="true"/>
          <w:lang w:bidi="fa-IR"/>
        </w:rPr>
        <w:t>، فمن اقتدى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اهتدی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سيدنا الأستاذ الأكبر العلامة الآية العظمى البروجردي قدس سره في أثناء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اللازم على العامة المعتقدين بعصمة العترة الطاهرة أو لا أقل بعدالتهم فوق أمثال أبي هريرة ونحوه بمراتب، أن يقبلوا رواياتهم عليهم السلام الصحاح المضبوطة في منابع الشيعة وإن لم يعتقدوا بإمامتهم؛ فإنهم عليهم السلام لا يروون أمرا إلا بأسانید آبائهم عليهم السلام منتهيا إلى الرسول المکرم صلي الله عليه وآله ، ولذا يرى في كثير من الموارد تصريحهم عليهم السلام بتلك الأسانيد المعنعنة، وإنما لم يصرحوا بها في جميعها لمكان الاختصار ورعاية الاقتصار، ولكن العامة أعرضوا عن قبول رواياتهم المعنعنة في منابع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و 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أنهم عليهم السلام يحدثون من عند أنفسهم، فاحتاجوا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في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الأقيسة والاستحسانات الظنية وإلى الإسرائيليات والمسيحيات والمجوسيات ونحوها</w:t>
      </w:r>
      <w:r>
        <w:rPr>
          <w:rFonts w:eastAsia="IRNazanin" w:cs="IRNazanin"/>
          <w:color w:val="111111"/>
          <w:sz w:val="28"/>
          <w:szCs w:val="28"/>
          <w:rtl w:val="true"/>
          <w:lang w:bidi="fa-IR"/>
        </w:rPr>
        <w:t xml:space="preserve">. </w:t>
      </w:r>
      <w:bookmarkStart w:id="384" w:name="pg7286_66389"/>
    </w:p>
    <w:p>
      <w:pPr>
        <w:pStyle w:val="Heading4"/>
        <w:numPr>
          <w:ilvl w:val="3"/>
          <w:numId w:val="1"/>
        </w:numPr>
        <w:rPr/>
      </w:pPr>
      <w:bookmarkStart w:id="385" w:name="__RefHeading___Toc634276_1051229030"/>
      <w:bookmarkStart w:id="386" w:name="_Toc125"/>
      <w:bookmarkEnd w:id="384"/>
      <w:bookmarkEnd w:id="385"/>
      <w:r>
        <w:rPr>
          <w:rtl w:val="true"/>
        </w:rPr>
        <w:t>إقامة شواهد أخرى على المدعى</w:t>
      </w:r>
      <w:bookmarkEnd w:id="386"/>
    </w:p>
    <w:p>
      <w:pPr>
        <w:pStyle w:val="BookText"/>
        <w:rPr/>
      </w:pPr>
      <w:r>
        <w:rPr>
          <w:rFonts w:ascii="IRNazanin" w:hAnsi="IRNazanin" w:eastAsia="IRNazanin"/>
          <w:color w:val="111111"/>
          <w:sz w:val="28"/>
          <w:sz w:val="28"/>
          <w:szCs w:val="28"/>
          <w:rtl w:val="true"/>
          <w:lang w:bidi="fa-IR"/>
        </w:rPr>
        <w:t xml:space="preserve">فعلی ما سردنا لا بد أن يراد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كلتا القراءتين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العشيرة و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المکرم نبي الإسلام محمد بن عبدالله صلي الله عليه وآله</w:t>
      </w:r>
      <w:r>
        <w:rPr>
          <w:rStyle w:val="FootnoteAnchor"/>
          <w:rtl w:val="true"/>
        </w:rPr>
        <w:footnoteReference w:id="340"/>
      </w:r>
      <w:r>
        <w:rPr>
          <w:rFonts w:ascii="Amiri" w:hAnsi="Amiri" w:eastAsia="Amiri" w:cs="Amiri"/>
          <w:color w:val="111111"/>
          <w:sz w:val="28"/>
          <w:sz w:val="28"/>
          <w:szCs w:val="28"/>
          <w:rtl w:val="true"/>
          <w:lang w:bidi="ar-SA"/>
        </w:rPr>
        <w:t>، ويعود السلام على عشيرته المكرمين صلى الله تبارك وتعالى عليه وعليهم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غير واحد من النصوص المروية في منابع العامة والخاصة الدالة على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عليه وعليهم السلام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الرضاعليه السلام في حديث أن الله عز وجل لم يسلم على أحد إلا على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يَس، يعني آل محمد صلي الله عليه وآله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تعالی سمی به النبي صلي الله عليه وآله ؛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وَ القُرآنِ الحَكِيمِ إِنَّکَ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لعلمه بأنهم يسقطون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بإسناده عن أبي عبدالرحمن السلمي أن عمر بن الخطاب كان يقرأ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عبد الرحمن السلمي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یاسین آل محمد صلي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تأويل الآيات الظاهرة للسيد شرف الدين الحسيني الأستر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بإسناده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صلي الله عليه وآله اسمه ياسين ونحن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منابع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منابع العامة فراجع شواهد التنزيل لعبيد الله الحسكاني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والدر المنثور للسيوطي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يصغي إلى ما قد يتوهم 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إلياس النبي علیه السلام وأن السلام في الآية يعود إلى عشيرته </w:t>
      </w:r>
      <w:r>
        <w:rPr>
          <w:rStyle w:val="FootnoteAnchor"/>
          <w:rtl w:val="true"/>
        </w:rPr>
        <w:footnoteReference w:id="342"/>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بالغيب وموهون لا شاهد له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اللام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كلتا القراء تین؛ بلحاظ أنها مجرورة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ومضافة إلى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أن تقرأ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ما في القرآن المعرب المتداول من سكون اللام غير صحيح، وكتاب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يعربوها كذلك؛ إذ الإعراب لم يكن متداولا في ذلك العصر ولا في الأعصار المتأخرة، وإنما أحدث فيما بعد، بل الآية المباركة نزلت على كلتا القراءتين بكسر اللام، لكن لما توهم أنه على قراءة كسر الهمزة كلمة واحدة أعربوها ساكنة اللام غفلة عن حقيقة الأمر والحال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إلا أن يقال بأن السكون على كلتا القراءتين لعله يصح بناء على القول بجواز الوصل بالسكون، فعليه يجوز أن تقرأ على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القراءتين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وكسرها، فليتأمل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بالحقائق، فالحمد لله الذي هدانا لهذا وما کنا لنهتدي لولا أن هدانا الله تعالی و تقدس</w:t>
      </w:r>
      <w:r>
        <w:rPr>
          <w:rFonts w:eastAsia="IRNazanin" w:cs="IRNazanin"/>
          <w:color w:val="111111"/>
          <w:sz w:val="28"/>
          <w:szCs w:val="28"/>
          <w:rtl w:val="true"/>
          <w:lang w:bidi="fa-IR"/>
        </w:rPr>
        <w:t xml:space="preserve">. </w:t>
      </w:r>
      <w:bookmarkStart w:id="387" w:name="pg7286_663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634278_1051229030"/>
      <w:bookmarkStart w:id="389" w:name="_Toc126"/>
      <w:bookmarkEnd w:id="387"/>
      <w:bookmarkEnd w:id="388"/>
      <w:r>
        <w:rPr>
          <w:rtl w:val="true"/>
        </w:rPr>
        <w:t>فهرس الآيات الكريمة</w:t>
      </w:r>
      <w:bookmarkEnd w:id="3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الآيات الكريمة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 قَد تَّبَیَّنَ الرُّشْدُ مِنَ الْغَیِّ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تَعَاوَنُوا عَلَی الْإِثْمِ وَالْعُدْوَانِ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الْحُجَّةُ الْبَالِغَةُ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اَنفُسَنا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لِیَسْتَأْذِنکُمُ الَّذِینَ مَلَکَتْ أَیْمَانُکُمْ وَالَّذِینَ لَمْ یَبْلُغُوا الْحُلُمَ مِنکُمْ ثَلَاثَ مَرَّاتٍ ۚ مِّن قَبْلِ صَلَاةِ الْفَجْرِ وَحِینَ تَضَعُونَ ثِیَابَکُم مِّنَ الظَّهِیرَةِ وَمِن بَعْدِ صَلَاةِ الْعِشَاءِ ۚ ثَلَاثُ عَوْرَاتٍ لَّکُمْ ۚ لَیْسَ عَلَیْکُمْ وَلَا عَلَیْهِمْ جُنَاحٌ بَعْدَهُنَّ ۚ طَوَّافُونَ عَلَیْکُم بَعْضُکُمْ عَلَی بَعْضٍ ۚ کَذَلِکَ یُبَیِّنُ اللَّهُ لَکُمُ الْآیَاتِ ۗ وَاللَّهُ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مِنکُمُ الْحُلُمَ فَلْیَسْتَأْذِنُوا کَمَا اسْتَأْذَنَ الَّذِینَ مِن قَبْلِهِمْ ۚ کَذَلِکَ یُبَیِّنُ اللَّهُ لَکُمْ آیَاتِهِ ۗ وَاللَّهُ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وَیَخَافُونَ یَوْمًا کَانَ شَرُّهُ مُسْتَطِیرًا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390" w:name="pg7286_663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634280_1051229030"/>
      <w:bookmarkStart w:id="392" w:name="_Toc127"/>
      <w:bookmarkEnd w:id="390"/>
      <w:bookmarkEnd w:id="391"/>
      <w:r>
        <w:rPr>
          <w:rtl w:val="true"/>
        </w:rPr>
        <w:t>فهرس مصادر التحقيق</w:t>
      </w:r>
      <w:bookmarkEnd w:id="3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منصور أحمد بن علي الطبرسي، في مجلدين، طبع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علي الجصاص، في خمسة مجلدات، طبع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إصباح الشيعة بمصباح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محمد بن الحسين البيهقي الكيدري، في مجلد، طبع مؤسسة الإمام الصادق علیه 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في مجلد، طبع مكتبة الإسلامية،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أبي جعفر محمد بن الحسن، في مجلد، طبع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الجامعة لدرر أخبار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المجلسي، في مائة وعشرة مجلدات، طبع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محمد بن أحمد السمرقندي، في ثلاثة مجلدات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المجتهد ونهاية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رشد الحفيد، في مجلدين، طبع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السيد هاشم البحراني، في خمسة مجلدات، طبع 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حسن الصدر، في مجلد طبع منشورات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شرف الدين علي الحسيني الأسترآبادي، في مجلد طبع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لخاتم المحدثين الشيخ عباس القمي، في مجلد، طبع الاعتماد،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الحي الحسن بن يوسف بن مطر الأسدي،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عاشور محمد بن طاهر، في ثلاثين 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العالم في شرح خطبة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جعفر آل بحر العلوم،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الميرزا الحسين النوري، في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الحسن بن يوسف بن مطر الأسدي، في أربعة عشر مجلدا ، طبع مؤسسة آل البيت علیهم السلام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روان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محمد ابن أبي الفضل الثقفي الطهراني، في خمسة مجلدات، طبع مؤسسة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النضر محمد بن مسعود العياشي السمرقندي، في مجلدين، طبع 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فرات بن إبراهيم الكوفي، في مجلد، طبع مؤسسة الطبع والنشر التابعة لوزارة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قيم محمد ابن أبي بكر الجوزي، في مجلد، طبع 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ثناء الله المظهري، في عشرة مجلدات، طبع مكتبة رشدية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منهج الصادقين في إلزام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المولی فتح الله الكاشاني، في عشرة مجلدات، طبع مکتبة محمد حسن العلمي،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عبد علي بن جمعة العروسي الحويزي، في خمسة مجلدات، طبع مؤسسة الإسماعيليان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 في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لأبحاث المحقق السيد أبي القاسم الخوئي، في ستة مجلدات،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أبي جعفر محمد بن الحسن، في عشرة مجلدات، طبع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 العلامة الكبير السيد الحسين البروجردي، في واحد وثلاثين مجلدا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في ثلاثين مجلدا ، طبع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في عشرين مجلدا ، طبع مؤسسة 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الكركي علي بن الحسين العاملي، في ثلاثة عشر مجلدا، طبع مؤسسة آل البيت علیهم السلام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حسن بن باقر النجفي، في ثلاثة وأربعين مجلدا، طبع 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في أحكام العترة الطاهرة علیهم السلام للعلامة يوسف البحراني، في خمسة وعشرين مجلدا، طبع مؤسسة النشر الإسلامي،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أبي جعفر محمد بن علي بن الحسين بن بابویه القمي، في مجلدين، طبع مؤسسة النشر الإسلامي،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أبي جعفر محمد بن الحسن، في ستة مجلدات، طبع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في ستة مجلدات، طبع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محمد بن مکي العاملي، في ثلاثة مجلدات، طبع مؤسسة النشر الإسلامي،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للمحقق السبزواري محمد باقر بن محمد مؤمن الخراساني، في مجلدين، طبع مؤسسة آل البيت علیهم السلام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محمد بن مكي العاملي، في أربعة مجلدات، طبع مؤسسة آل البيت علیهم السلام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داود الحلي، في مجلد، طبع جامعة طهران،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مطهر الأسدي، في مجلد ، طبع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أبي جعفر محمد بن الحسن، في مجلد، طبع جامعة مشهد المقدسة،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علي النجاشي،في مجلد ،طبع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شهاب الدين محمود الآلوسي، في ستة عشر مجلدا ، طبع دارالکتب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بن أحمد العاملي، في مجلدين، طبع مكتب الإعلام الإسلامي،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علي بن أحمد العاملي، في عشرة مجلدات، طبع مكتبة الداوري،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تقي المجلسي، في ثلاثة عشر مجلدا، طبع مؤسسة الثقافة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محمد بن منصور بن أحمد الحلي، في ثلاثة مجلدات، طبع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شعيب النسائي، في ثمانية مجلدات، طبع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الحسن الهذلي، في أربعة مجلدات، طبع مؤسسة الإسماعيليان،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قدامة، في اثني عشر مجلدا، طبع دارالکتاب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تبصرة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ضياء الدين علي بن المولی محمد کبیرالكزازي، في خمسة مجلدات، طبع مؤسسة النشر الإسلامي،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لعبيدالله بن أحمد الحسکاني، في مجلدين، طبع مؤسسة الطبع والنشر التابعة لوزارة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السيد محمد کاظم بن عبد العظيم الطباطبائي اليزدي، في خمسة مجلدات، طبع مؤسسة النشر الإسلامي،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أبي جعفر محمد بن علي بن الحسين بن بابويه القمي، في مجلدين، طبع مكتبة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بطريق يحيي بن الحسن الحلي، في مجلد، طبع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میر عبدالفتاح بن علي الحسيني المراغي، في مجلدين، طبع مؤسسة النشر الإسلامي،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 في بيان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النراقي أحمد بن محمد مهدي، في مجلد، طبع مكتب الإعلام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جمهور محمد بن علي الأحسائي، في أربعة مجلدات، طبع مؤسسة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الصدوق أبي جعفر محمد بن علي بن</w:t>
      </w:r>
    </w:p>
    <w:p>
      <w:pPr>
        <w:pStyle w:val="BookText"/>
        <w:rPr/>
      </w:pPr>
      <w:r>
        <w:rPr>
          <w:rFonts w:ascii="Amiri" w:hAnsi="Amiri" w:eastAsia="Amiri" w:cs="Amiri"/>
          <w:color w:val="111111"/>
          <w:sz w:val="28"/>
          <w:sz w:val="28"/>
          <w:szCs w:val="28"/>
          <w:rtl w:val="true"/>
          <w:lang w:bidi="ar-SA"/>
        </w:rPr>
        <w:t xml:space="preserve">الحسين بن بابويه القمي، في مجلد، طبع مؤسسة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 فيما يتعلق بالحلال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القمي أبي القاسم بن محمد</w:t>
      </w:r>
    </w:p>
    <w:p>
      <w:pPr>
        <w:pStyle w:val="BookText"/>
        <w:rPr/>
      </w:pPr>
      <w:r>
        <w:rPr>
          <w:rFonts w:ascii="IRNazanin" w:hAnsi="IRNazanin" w:eastAsia="IRNazanin"/>
          <w:color w:val="111111"/>
          <w:sz w:val="28"/>
          <w:sz w:val="28"/>
          <w:szCs w:val="28"/>
          <w:rtl w:val="true"/>
          <w:lang w:bidi="fa-IR"/>
        </w:rPr>
        <w:t>حسن الجيلاني، في ستة مجلدات، طبع مكتبة الإعلام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بن إبراهيم النعماني، في مجلد، طبع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في ثلاثة عشر مجلدا،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الشوكاني، في ستة مجلدات، طبع دار ابن کثیر، دارالكلم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أبي جعفر محمد بن الحسن، في مجلد، طبع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السيد الحسن بن آقا بزرگ البجنوردي، في سبعة مجلدات، طبع نشر الهادي،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القمي أبي القاسم بن محمد حسن الجيلاني،في مجلدين، طبع مكتبة العلمية الإسلامية،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أبي جعفر محمد بن يعقوب الكليني، في ثمانية مجلدات، طبع دار 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إدريس الشافعي، في عشرة مجلدات، طبع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الأعظم مرتضى الأنصاري، في مجلد، طبع المؤتمر العالمي لتعظيم الشيخ الأنصاري،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عن حقائق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للزمخشري محمود بن عمر الخوارزمي، في أربعة مجلدات، طبع دارالکتاب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عن مبهمات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لكاشف الغطاء الشيخ جعفر بن خضر، في أربعة مجلدات، طبع مكتب الإعلام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أحمد بن إبراهيم الثعلبي النيشابوري، في عشرة مجلدات، طبع داراحياء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الحي الحسن بن يوسف بن مطهر الأسدي، في مجلد، طبع مؤسسة الطبع والنشر التابعة لوزارة الثقافة،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الآخوند محمد کاظم الخراساني، في مجلد، طبع مؤسسة آل البيت عليهم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في مجلدين، طبع دار الكتب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للمتقي الهندي حسام الدين علي بن عبد الملك، في ستة عشر مجلدا، طبع مؤسسة الرسالة بيروت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مطر الأسدي، في مجلد ، طبع مطبعة العلمية،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أبي جعفر محمد بن الحسن، في</w:t>
      </w:r>
    </w:p>
    <w:p>
      <w:pPr>
        <w:pStyle w:val="BookText"/>
        <w:rPr/>
      </w:pPr>
      <w:r>
        <w:rPr>
          <w:rFonts w:ascii="Amiri" w:hAnsi="Amiri" w:eastAsia="Amiri" w:cs="Amiri"/>
          <w:color w:val="111111"/>
          <w:sz w:val="28"/>
          <w:sz w:val="28"/>
          <w:szCs w:val="28"/>
          <w:rtl w:val="true"/>
          <w:lang w:bidi="ar-SA"/>
        </w:rPr>
        <w:t>ثمانية مجلدات، طبع المكتبة المرتضوية لإحياء الآثار الجعفرية،</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بن محمد الطريحي، في ستة مجلدات، طبع مكتبة المرتضوي،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أبي علي أمين الإسلام الفضل بن الحسن الطبرسي، في عشرة مجلدات، طبع مؤسسة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الأردبيلي أحمد بن محمد، في أربعة مجلدات، طبع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لمحيي الدين بن النووي، في عشرين مجلدا، طبع دارالفكر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الدين محمد القاسمي، في تسعة مجلدات، طبع دارالکتب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لأبحاث المحقق السيد أبي القاسم الخوئي، في خمسة مجلدات، طبع مؤسسة الأنصاریان،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مطهر الأسدي، في تسعة مجلدات، طبع مؤسسة المعارف الإسلامية،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في شرح عبادات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بن علي الموسوي العاملي، في ثمانية مجلدات، طبع مؤسسة آل البيت علیهم السلام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إلى تنقیح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الثاني زين الدين بن علي بن أحمد العاملي، في خمسة عشر مجلدا، طبع مؤسسة المعارف الإسلامية،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الميرزا الحسين النوري،في ثمانية عشر مجلدا، طبع 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مستمسك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السيد محسن الحكيم، في أربعة عشر مجلدا ، طبع مؤسسة دار التفسير،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أحمد النراقي، في تسعة عشر مجلدا ، طبع مؤسسة آل البيت عليهم السلام،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في ستة مجلدات، طبع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الآغا رضا الهمداني، في ثلاثة عشر مجلدا، طبع مؤسسة الجعفرية لإحياء التراث ومؤسسة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أبي جعفر محمد بن الحسن،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الموجود في مكتبة آية الله العظمي الگلپایگاني برقم </w:t>
      </w:r>
      <w:r>
        <w:rPr>
          <w:rFonts w:eastAsia="IRNazanin" w:cs="IRNazanin"/>
          <w:color w:val="111111"/>
          <w:sz w:val="28"/>
          <w:szCs w:val="28"/>
          <w:lang w:bidi="fa-IR"/>
        </w:rPr>
        <w:t>24/32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 في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محمد تقي الآملي، في اثني عشر مجلدا، طبع المؤلف،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في مجلد، طبع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مسعود البغوي، في خمسة مجلدات، طبع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نجم الدين جعفر بن الحسن الحلي، في مجلدين، طبع مؤسسة سيد الشهداء علیه السلام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السيد أبي القاسم الخوئي، في أربعة وعشرين مجلدا،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أبي عبدالله محمد بن محمد بن النعمان، في مجلد ،</w:t>
      </w:r>
    </w:p>
    <w:p>
      <w:pPr>
        <w:pStyle w:val="BookText"/>
        <w:rPr/>
      </w:pPr>
      <w:r>
        <w:rPr>
          <w:rFonts w:ascii="IRNazanin" w:hAnsi="IRNazanin" w:eastAsia="IRNazanin"/>
          <w:color w:val="111111"/>
          <w:sz w:val="28"/>
          <w:sz w:val="28"/>
          <w:szCs w:val="28"/>
          <w:rtl w:val="true"/>
          <w:lang w:bidi="fa-IR"/>
        </w:rPr>
        <w:t xml:space="preserve">طبع المؤتمر العالمي لألفي الشيخ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لرشيد الدين محمد بن شهر آشوب المازندراني، في أربعة مجلدات، طبع مؤسسة نشر العلامة،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في تحقيق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الحسن بن يوسف بن مطهر الأسدي، في عشرة مجلدات، طبع مجمع البحوث الإسلامية،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إسماعيل الحائري المازندراني، في سبعة مجلدات، طبع مؤسسة آل البيت عليهم السلام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في أربعة مجلدات، طبع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العلامة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وثلاثين مجلدا ، طبع مؤسسة إحياء آثاره قدس سره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ابن البراج عبدالعزيز بن نحرير الطرابلسي، في مجلدين، طبع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مجرد الفقه والفتاوی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أبي جعفر محمد بن الحسن، في مجلد، طبع دارالکتاب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محمد محسن، في ستة وعشرين مجلدا ، طبع مكتبة الإمام أميرالمؤمنين علي عليه السلام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الحر العاملي، في عشرين مجلدا، طبع المكتبة الإسلامية،</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السيد أبي القاسم الخوئي، في أربعة مجلدات، طبع مؤسسة صاحب الأمر عليه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في كون الشهادة بالولاية في الأذان والإقامة جزء کسائر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للمحقق الشيخ عبد النبي النجفي العراقي، في مجلد ، طبع ورثته،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93" w:name="pg7286_6641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634282_1051229030"/>
      <w:bookmarkStart w:id="395" w:name="_Toc128"/>
      <w:bookmarkEnd w:id="393"/>
      <w:bookmarkEnd w:id="394"/>
      <w:r>
        <w:rPr>
          <w:rtl w:val="true"/>
        </w:rPr>
        <w:t>فهرس الموضوعات</w:t>
      </w:r>
      <w:bookmarkEnd w:id="39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 xml:space="preserve">نبذة من حياة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الرسالة الأولى في المراد من التفريق بين الصلاتين المشتركتين في الوقت ۔کالظهرين و العشاءين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الجمع بينهما أيضا مستحب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إشارة إجمالية إلى ما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أدلة القول باستحباب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رد ما استدل به على استحباب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ما نسب إلى المشهور من استحباب التفريق وما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ما ورد من طرق الإمامية في جمع النبي صلي الله عليه وآله بین الصلاتین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 ورد من طرق العامة في جمع النبي صلي الله عليه وآله بين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تأويلات العامة للأخبار الدالة على جمع النبي صلي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ما يؤيد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العامة تاركون للستة لا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الثالث من أدلة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الرابع من أدلة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الرسالة الثانية في حكم نوافل الصلوات في خمسة أوقات من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صلاتي الصبح والعصر وعند طلوع الشمس و قیامها وغروبها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كراهة النوافل عند العامة والخاصة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مناقشة في القول بالكراهة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 يستدل به على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الطائفة الأولى من النصوص وما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الطائفة الثانية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دفع دخل </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 التعليل المذكور في صحيحة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معارض آخر للطائفة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الاستدلال بالصحيحة الأولى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تخصیص مورد الحكم بحال الشروع في النافلة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شمول الحكم بالكراهة لمطلق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تغاير المقام مع جواز التطوع في وقت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الرسالة الثالثة في بيان جزئية الشهادة بالولاية وإمرة المؤمنين لعلي عليه السلام في</w:t>
      </w:r>
    </w:p>
    <w:p>
      <w:pPr>
        <w:pStyle w:val="BookText"/>
        <w:rPr/>
      </w:pPr>
      <w:r>
        <w:rPr>
          <w:rFonts w:ascii="Amiri" w:hAnsi="Amiri" w:eastAsia="Amiri" w:cs="Amiri"/>
          <w:color w:val="111111"/>
          <w:sz w:val="28"/>
          <w:sz w:val="28"/>
          <w:szCs w:val="28"/>
          <w:rtl w:val="true"/>
          <w:lang w:bidi="ar-SA"/>
        </w:rPr>
        <w:t xml:space="preserve">فصول الأذان والإقامة وتذييل الكلام ببيان الحكم في تشهد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أقوال العلماء حول أخبار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الاستدلال برواية الاحتجاج وما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أحسن ما يستدل به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سبب عدم ذكر هذه الشهادة في الأحاديث المروية عن الأئمة علليهم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حكم جزئية هذه الشهادة في تشهد الصلاة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الرسالة الرابعة في ما هو المراد من تحليل أهل البيت عليهم السلام وإباحتهم الخمس الشيعتهم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شکوی صاحب الجواهر في المقام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الطائفة الأولى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بیان ما في أخبار الطائفة الأولى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الطائفة الثانية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طريق الجمع بين نصوص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والثانية وما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طريق الجمع الصحيح بين الطائفتين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الطائفة الثالثة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بیان المراد من الشيعة المحلل لهم الخمس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نتيجة الجمع بين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الأقوال حول المنتقل عنه والمختار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 إيصال الخمس إلى المرجع الخاص أو غيره و بیان المختار فيه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دفع دخل على القول المختار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الاستئذان من الفقيه لصرف سهم السادة في مورده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اختصاص ماینذر للإمام أو يرثه به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التصرف في سائر أموال المعصومين عليهم السلام في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المختار في المقام و بیان أدلته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قصة عجيبة لها ربط بالمقام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الرسالة الخامسة في شرعية عبادات الصبي المميز ومايترتب عليها من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تعیین محل البحث و مسلك المشهور فيه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الكلام حول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الكلام حول 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الكلام حول القول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الكلام حول القول الرابع وهو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وجوه الاستدلال على المختار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دفع دخل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المترتبة على شرعية عبادات 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تجهيز الصبي المميز للميت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بیان ما ورد على المختار والجواب عنه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صلاة الصبي المميز نيابة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حج الصبي المميز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قضاء الصبي المميز لعبادات أبويه إذا كان أكبر أولادهما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أذان الصبي المميز وإقامته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نذر الصبي المميز وعهده ويمينه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وقوف الصبي المميز خلال صف الجماعة مصليا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الصبي المميز بالنسبة إلى الأصول الاعتقادية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الرسالة السادسة في أن الإعانة على الإثم غیر محرمة في نفسها إلا إذا صارت کالجزء الأخير من العلة التامة للإثم وسببا أقوى لوجوده في الخارج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المقدمة في بيان مورد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أقسام الإعانة على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الكلام حول القسم الأول من الإعانة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إيراد الخدشة على صاحب العروة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الكلام حول القسم الثاني من الإعانة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إرشاد الجاهل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رد عداد المقام من مصاديق 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رد التمسك بآية النفر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ضرورة اهتمام الفقيه بالقرآن الكريم في استنباط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ضرورة الاهتمام بآيات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بعض ما صنف في آيات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توجه التكليف إلى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الآخر في المراد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اشتراط البلوغ في الاعتقادات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المصطفون في آية الاصطفاء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بیان مورد البحث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المختار في المراد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إثبات الأمر الأول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إثبات 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بيان إشكالات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مُحكَمَةٌ حول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كلمتنا حول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تعرض بعض الآراء الموهومة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إقامة شواهد أخرى على المدعی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صدر عن المؤلف العلامة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على العروة الوثقی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التسع في مسائل فقهية استدلالية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رسالات فقهية استدلالية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السازجة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سعه وجودی حضرت باریتعالی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ناب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کالمجلسي في بحاره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وصاحب الجواهر في جواهره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وصاحب العروة في عروته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أن التفريق الأفضل هو التفريق بالنافلة دون التفريق المحض، ولا أقل من كونه مجملا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التغليب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هو العلامة الحكيم في مستمسکه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رواية معاوية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احتمله المحقق الخوئي في التنقيح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ما في المقام 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الحكيم في 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يكون الأمر كذلك غالبا ، بل دائما في الجمع بين العشاءين إذا أتى بهما في أول وقتهما، ولا سيما مع إتیان نافلة المغرب،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المنصور المختار ومختار غير واحد من الأصحاب قدس سرهم ، والتفصيل موكول إلى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موثقة زرارة المتقدمة آنفا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التعليقة الأولى نقلا عن المنتقى لابن تيمية الحراني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 بعد نقل هذه الرواية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معجم رجال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الشيخ هذه الرواية بعينها غير أن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ما في التهذيب محرف؛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يعهد أن يروي عن أصحاب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وهوالمحقق الخوئي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الصواعق المحرقة لابن حجر عنه صلي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تصلوا على الصلاة البتراء،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الصلاة البتراء؟ قالصلي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 وتمسكون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وتسكتون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وعلى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كتب كتابا في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رحمه الله وفرغ من النقض عام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وسماه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الباطل وإ همال کشف العاطل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قام القاضي الشهيد نور الله التستري رحمه الله بنقض کتاب روزبهان بكتاب سماه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 حقاق الحق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فإن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حنيفة ومالك والثوري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في التسنیم انتهى وقد روى التسطيح مخالفونا أيضا لكن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صار شعارا للروافض عدلنا عنه إلى التسنیم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يسندون التكتف والتكفير وقول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النبي صلي الله عليه وآله ، لكنه يخالف التواريخ المعتبرة الدالة على أن ابن الخطاب أبدعهما في زمان خلافته، ولم يكن يصلي بهما أحد قبل ذلك حتى ابن الخطاب نفسه وأبو بكر فضلا عن النبي صلي الله عليه وآله ، 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 رأى الأسراء الإيرانيين يعظمون الأكابر بالتكتف، فحسنه وأمر بجعله في الصلاة، فالنصوص المروية من غير طرقنا عنه صلي الله عليه وآله كلها مفتعلة مردودة على ما صرح به غير واحد من الأعاظم قدس سرهم، وكذا زعم أن سورة الفاتحة ذكر ودعاء منشأ بإنشاء المصلي نظير سائر الأذكار والأدعية فيها، فأبدع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استجب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غفلة عن حقيقة الحال وأنها سورة من القرآن وأنه لابد في الصلاة من قراءة القرآن أعني به کلام الله المنشأ بإنشائه تعالى، ولا معنى لإنشاء الدعاء منه تعالى كما لا يخفى، ولذا اشتهر أنك إذا أردت أن تتكلم معه تعالی فادع، وإذا أردت أن يتكلم هو سبحانه معك فاقرأ القرآن، وإذا أردت كليهما فصل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السنة النبوية منتهية إلى الوحي والرسالة، والبدعية إلى الاستحسان الظني والقياس الممنوعان في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سيدنا الأستاذ قدس سره في أثناء الدرس وفي بعض مقدمات 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رواياتهم عليهم السلام مسندة إلى الرسول المکرم صلي الله عليه وآله ، والعامة الذين يقبلون روایات من دونهم لابد أن يقبلوا رواياتهم وإن لم يكونوا قائلين بإمامتهم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انتهى ملخصا وراجع أيضا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عليه مثل رواية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حدثتني بحديث فأسنده لي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جدي عن رسول الله صلي الله عليه وآله عن جبرئیل عليه السلام عن الله عز وجل وكل ما أحدثك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الثالث لمختارنا من استحباب الجمع مضافا إلى الخبرين المتقدمين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أشرنا في ذيل الجواب الأول من أنه بناء على دخول وقت فضيلة الظهرين بالزوال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هو الصحيح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للحكم بمرجوحية الجمع بين الظهرين بمعنى إيقاع صلاة العصر قبل وقت فضيلتها والحكم باستحباب التفريق،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يظهر من الذكرى؛ فإنه حکی عن المحقق رحمه الله القول باستحباب التفريق بالنافلة، وكما يظهر من المجلسي في البحار؛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التفريق يتحقق بفعل النافلة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من صاحب الحدائق؛ فإنه بعد أن استظهر من كلام المفيد رحمه الله وابن الجنيد رحمه الله استحباب التفريق بين الفرضين بالنافلة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المتفق عليه نصاوفتوى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الصلاة وفرضها،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تعين الجمع و طرح التفريق المحض رأسا، لا مجرد القول بأفضلية الجمع من التفريق، كما كان هو مقتضى الجواب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وأيضا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المبتدأة وذوات السبب كصلاة الجنازة و تحية المسجد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على ما في 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طلوع الشمس، ووقت غروبها، ومن لدن تصلي صلاة الصبح حتى تطلع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الزوال وفي الصلاة بعد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الصلوات التي لم يرد فيها نص بالخصوص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كذوات السبب والمؤقتات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تستحب من باب أن الصلاة خير موضوع؛ من شاء أقل ومن شاء أكثر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يلحق بالصلاة المبتدأة مطلق السجود قطعا، كما في الجواهر وسيأتي بيانه في أواخر البحث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المنساق من الصلوات ذوات السبب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الصلوات التي شرعت بسبب آخر غیر رجحانها في أنفسها، كصلاة الحاجة والاستسقاء والاستخارة والإحرام وغيرها، حتى لو كان السبب فعل المكلف، كصلاة تحية المسجد بدخوله فيه أو صلاة الزيارة باتيانه المشاهد، بل المحكي عن الشهيد وغیره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تطهر في هذه الأوقات جاز له أن يصلي ركعتين ولا تكون هذه أيضا صلاة مبتدأة، بل تكون صلاة ذات سبب؛ للحث على الصلاة عقيب الطهارة في الشريعة المقدسة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المسألة الخامسة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نقل ما في الجواهر بالمعنى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الخوئي في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شهرتها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الجوامع الروائية ولكن انظر 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حالة استواء الشمس في كبد السماء أي وسطها، وتكون هذه الحالة قبيل الزوال كما عن المحقق الخوئي في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أوقات الرواتب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جهة أن صاحب السرائر رحمه الله يعمل بأخبار الآحاد، وأن ما رواه في آخر السرائر قد وصل إليه إما متواترا أو بالخبر المحفوف بالقرينة القطعية، وإلا فطريقه إلى جامع البزنطي مجهول، مضافا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عن المحقق الخوئي في موسوعته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مهمل وليس له ذكر في كتب الرجال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تبدل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الرواية سهوا منفي بأصالة عدم التبديل بالنقص والزيادة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الشافعي أجاز الصلاة وقت الزوال يوم الجمعة، راجع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قوله عليه السلام بعد سؤال الخليفة عن حكم عيد الفطر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إلى الإمام إن صمت صمنا وإن أ فطرت أ فطرنا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لا بين حكم الواقع كبرويا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وأتى بالبقية صغرويا حقنا للدماء، كذا أفاد الوالد قدس سره في أثناء الدرس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التعليقة الأولى من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العربية،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ومسند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التثريب في شرح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لزين الدين عبدالرحيم العراقي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حدیث طلوع الشمس وغروبها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معناه،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مقارنة الشيطان للشمس عند الطلوع والغروب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قوة وسوسته للعبد وتسويله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وقوف الشيطان للشمس عند طلوعها فيقابلها بین قرني رأسه فينقلب سجود الكفار للشمس عباد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قرني الشيطان على الحقيقة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قرنه عبارة عن مقارنته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التمثيل بذوات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في المستمسك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الأولى التصرف في التوقيع، إما بحمله على إرادة مجرد المنع أو إبطال الكراهة من جهة التعليل المذكور كما هو غير بعيد، ولذا حكي عن المفيد رحمه الله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ولا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التوقيع ومع ذلك بني على العمل بالنصوص وإما بحمله على إرادة إبطال الأخذ بظاهر التعليل وأن المراد منه معنى آخر کني بظاهر التعليل عنه، أو نحو ذلك مما يظهر بالتأمل، راجع 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في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هذا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العلم من أول الأمر بدخول الوقت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له صاحب العروة قدس سره مع وجوده في الجواهر،ولكن إطلاق عبارة العروة يشمله وكذا إطلاق كلام المستشكل للأصل يشمل هذا الفرع، فتذكر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والأهم عند المزاحمة في المقام عدم قطع النافلة؛ لعدم الخلاف ظاهرا في كراهة قطعها، بل احتاط بعضهم استحبابا في عدم قطعها، وأكد بعضهم كالسيد الفقيه الأصبهاني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عدم ترك هذا الاحتياط، راجع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راجع التنقيح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ما في رواية عمار عن أبي عبد الله عليه السلام في سجدتي السهو؛ فإن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الرجل يسهو في صلاته فلا يذكر حتى يصلي الفجر كيف يصنع؟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يسجد سجدتي السهو حتى تطلع الشمس ويذهب شعاعها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إشعار بكراهة مطلق السجدات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اختلفت كلمات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وحديثا في جواز التطوع في وقت الفريضة وعدمه، والقائل بكل من القولين کثیر مشهور، وإن نقل عن الشهيد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القول بالجواز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ومنشأ الخلاف في المسألة هو الاختلاف فيما يستفاد من نصوصها؛ إذ بعضها يدل على المنع وبعضها على الجواز ويحمل المنع على كراهة التطوع مطلقا حتى في غير وقت الفضيلة من أوقات الإجزاء، وهذا هو المستفاد من مجموع النصوص المانعة والمجوزة وقد تعرض السيد المحقق اليزدي قدس سره لهذه المسألة في عروته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فراجع ولاحظ ما علق عليها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وللعثور على نصوص هذه المسألة 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والولاء بمعنى التولية والسلطان كما في اللغة، وهي المرادة في المقام، وإن كانت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محمد وآل محمد خير البرية، وأشهد أن عليا أمير المؤمنين 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وجامع أحاديث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أبوابهما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هم القائلون بتفويض أمر الكائنات إليهم عليهم السلام فهو إما مع تعطيله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العمل بالمرة فهو تفویض باطل، وإما مع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الفاعل ما منه الوجود في كل آن، وهم عليهم السلام في طوله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فواعل أيضا، لكن ما بهم الوجود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وسائط فيضه المدام ومجاري بركاته المستمرة وهذا هو تفویض صحيح وإن لم يكن يتضح لغير واحد من قدماء الأصحاب قدس سره ، والظاهر أن الصدوق رحمه الله القائل بسهو النبي صلي الله عليه وآله منهم ويبدو أنه لعن القائلين بهذا التفويض، لكنه كماتری؛ إذ هو ثابت إ جمالا بالتواتر الحاصل من خلال الآيات والأخبار والخطب والآثار والأدعية والزيارات والأذكار وغيرها من نظائرها، كما لايخفی على الخبير البصير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والمفوضة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وضعوا أخبارا وزادوا بها فيالأذان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ظاهرا مايعم الإقامة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وآل محمد خير البرية مرتين وفي بعض رواياتهم بعد أشهد أن محمدا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أشهد أن عليا ولي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ومنهم من روی بدل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عليا أمير المؤمنین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تین، انتهى موضع الحاجة، 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ذیل الحديث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كاشف الغطاء في كتابه 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ثبت في محله من أن هذه القاعدة غير تامة في نفسها؛ إذ لايثبت بها إلا الثواب دون الاستحباب لتكون الشهادة بالولاية من فصول الأذان و الإقامة وأجزائهما المستحبة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المحقق الخوئي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حيث إنهما قالا بأن إخبار الناقل لأخبار الجزئية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الصدوق والشيخ والعلامة قدس 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بشذوذها أو وضعها يدل على عدم الثواب على الشهادة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قاله العلامة المجلسي قدس سره في البحار؛ 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كون الشهادة بالولاية من الأجزاء المستحبة للأذان؛ لشهادة الشيخ والعلامة والشهيدوغيرهم بورود الأخبار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قاله المحقق القمي قدس سره في غنائم الأيام قريبا من ذلك، راجع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وغنائم 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سيما في الإقامة؛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استحباب الجزم في أواخر فصولهما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في خصوصها الحدر أي الإسراع في الأداء على وجه لاينافي قاعدة الوقف كما يستحب في خصوص الأذان التأني على وجه لاينافي الموالاة، والتفصيل موكول إلى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صعوبة قبول القوم ولاية صاحب الولاية عليه السلام من جهة كونه شابا قاتلا لأقربائهم وغيرها وستأتي الإشارة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الباب الأول،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عبد النبي العراقي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الشيخ عبد العظيم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في مخطوط بالمكتبة الظاهرية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ولاسيما مع ملاحظة أن الراوي فيهما من المخالفين، والحسن ما شهدت به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ولعمري إن ذكر صاحب السلافة هاتين الروايتين تفضل من الله تعالى، فلا غرو في عدم ذکر غيره من العامة بعد توفر دواعي اختفاء الحقائق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لصعوبة قبولهم ولايته عليه السلام مع كونه شابا قاتلا لأقرباء القوم وآبائهم الكفرة الفجرة ومع وجود مشایخ فيهم لم يشاركوا في القتال طرفة عين، إلى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مضافة إلى كونها عملا جوانحيا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التولي وهو التظاهر بها بالجوارح والاطاعة من صاحب الولاية عملا بعد الإقرار بها قلبا، وفي بعض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أنها خير العمل هي أن الأعمال كلها بها تقبل أي تصح؛ فإنها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يستفاد من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شرائط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سنة تبعیده بلال المؤذن رحمه الله إلى الشام بعد استنکافه بيعة من لم يستخلفه رسول الله صلي الله عليه وآله ويؤيد ذلك ما في معجم رجال الحديث وغيره من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في بعض كتب أصحابنا عن هشام بن سالم عن الصادق عليه السلام ، وعن أبي البختري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بن الحسن أن بلالا أبى أن يبايع أبابكر وأن عمر أخذ بتلابيبه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جزاء أبي بكر منك أن أعتقك فلا تجيء تبایعه؟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أبوبكرأعتقني لله فليد عني لله، وإن كان أعتقني لغير ذلك فها أناذا، وأما بیعته فما كنت أبايع من لم يستخلفه رسول الله صلي الله عليه وآله ، والذي استخلفه بيعته في أعناقنا إلى يوم القيامة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تقم معنا فارتحل إلى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أؤذن لأحد بعد رسول الله صلي الله عليه وآله فترك يومئذ 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يدلنا على أن حذف هذا الفصل من الأذان والإقامة وقع في زمن خلافة أبي بكر بدلالة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الحديث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والتلابيب من لببت الرجل تلبيبا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جمعت ثيابه عند صدره ونحره عندالخصومة ثم جررته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رجاء الورود ورجاء المطلوبية هو أنه يعتبر في رجاء الورود من وجود أثر من رواية ضعيفة أو فتوى فقيه ونحوهما، وفي رجاء المطلوبية يكفي مجرد عدم كون المورد مما يخالف العقل والشرع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يستفاد من بعض الأثر أن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 على الزكاة، ولعل ذلك لكون قبول الصلاة مشروطا بها، والظاهر أن الزكاة هاهنا بمعناها الأعم الشامل للخمس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 ولى أن يشهد بأنه حجة الله وأمير المؤمنين أيضا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أمير المؤمنين عليا ولي الله أو حجة الله أو أشهد أن عليا أمير المؤمنين وولي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يصح أن يحذف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عليا أمير المؤمنين ولي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الحمدلله الذي هدانا لهذا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الفرق بين الرجائين آنفا في المقام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عليا نعم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بعض نسخ مصباح الشيخ رحمه الله عند ذكره التشهد بعد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محمدا نعم الرسول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الكافي والفقيه والتهذيب والاستبصار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البحار والوافي والوسائل والمستدرك</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يصح إ تيان أي دعاء في تشهد الصلوات لابقصد الورود الخاص، مثل دعاء وعجل فرجهم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الصلوات على محمد وآل محمد علیهم السلام؟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أحادیث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الذكر،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وجامع أحاديث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الباب الأول من أبواب التشهد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الخوئي في موسوعته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أبو بصير وزرارة ومحمد بن مسلم رحمه الله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الخمس في جميع أنواعه وأصنافه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كأرباح المكاسب والر کاز والمال المختلط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نقل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العلل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وأبناءهم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ظاهرا، راجع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من ذلك وآباءهم في حل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سهو وصحيحه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الخوئي قدس سره في موسوعته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وجامع أحاديث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يستحق الخمس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الحكيم في مستمسكه والمحقق الخوئي في موسوعته، راجع المستمسك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والموسوعة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احتج العلامة قدس سره على ذلك بوجوه وجيهة، وإن أجاب عنها في الحدائق بما لا يمكن المساعدة عليه، واستدل صاحب الحدائق قدس سره على العدم بوجوه غير خالية من المناقشة، لا يسع المقام ذکرها نقضا وإبراما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أبواب ما يجب فيه الخمس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وأيضا 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يعذره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المجلسي رحمه الله على ما حکی عنه صاحب الحدائق في حدائقه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المحقق الخوئي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صناع القماط،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عريضة يلف بها الصغير، ولعله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قاصرون؛ غير مقصرین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في موسوعته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في سند الشيخ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أما سند الصدوق فهو خال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في موسوعته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کبا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السابق الجيد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المحقق الخوئي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المستمسك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ولاحظ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ولو سهوا و نسیانا أيضا، فليتأمل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يشمل من نسي أو سها من الشيعة،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المستمسك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المحقق الخوئي رحمه الله في موسوعته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صرح بعضهم بأنه لو قال الفقيه المرجع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جئني بالخمس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منصرف إلى الإرشاد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إلى اللزوم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اشتهرت وشاعت وذاعت هذه الفتوى المنيفة في هذه الأعصار المتأخرة من العلمين العلا 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الأصبهاني والسيد البروجردي قدس سرهما ،ولكن المؤسف أن هذه الشهرة انقلبت في الأذهان إلى ما لا ينبغي وهو أنه لا يجوز إ يصال الخمس إلى الغير مطلقا ؛ وهو كما 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يأكلون الدنيا أكل الإبل نبات الربيع وفي نباته ما يهلك ويحتمل أن يكون كناية عن كثرة توسعهم في أكل مال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نصف الخمس من جميع أصنافه وأنواعه في عصر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والنيابة العامة ثابتة للفقيه الجامع للشرائط، بأدلة متعددة مذكورة في المطولات، مع النقوض والإبر امات بما لا مزيد عليه، راجع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وعوائد الأيام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المحقق الخوئي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البحراني والمحقق اليزدي، راجع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ما لا وارث له من جملة الأنفال والأنفال مختصة بالإمام؛ 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المصدر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والرجاء في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بعد تخريب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أعداء الدين والقرآن والعترة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لعائن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يلتفتوا إلى هذه النكتة عند تعمیر حرم العسكريين عليهما السلام ، فيجعلوا الشباك على الضريح، طابق النعل بالنعل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العلوي الحامل للعلم هو السيد العلامة الأوحد السيد مهدي بحر العلوم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صاحب کتاب 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 النوري قدس سره التصريح بذلك في تحية الزائر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وتحفة العالم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والعناوين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المكروهة كصوم يوم عرفة لمن خاف الضعف عن دعاء ذلك اليوم الذي يكون أفضل من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العلامة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ثالث الأقوال المعدودة في العناوين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إلى جماعة منهم الشيخ والمحقق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وذهب إليه 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الهمداني في 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الميرزا القمي في الغنائم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والمير عبدالفتاح في العناوين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والآغا ضياء في شرح تبصرة المتعلمين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شَهِدَ مِنكُمُ الشَّهرَ فَليَصُمهَ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الأمر كذلك في غير العبادات من سائر الأحكام التكليفية، فلم يتوجه إليه خطاب تحریمي ولا تنزيهي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ونظائره كثيرة تظفر عليها في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في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الإلزام هاهنا ما يعم الوجوب الشرطي الشامل للعبادات المندوبة؛ فإن المصلحة فيها أيضا ملزمة، غاية الأمر بشرط إرادة إتيانها صحيحة،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الخروج بالتخصص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المحقق الآملي في مصباح الهدی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به المحقق الخوئي في 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فالوجوب والحرمة متخالفان سنخا؛ لتخالف سنخ البعث عن الزجر، ومتحدان متعلقا ؛ فإنه كما يكون متعلق البعث هو الفعل كذلك يكون متعلق الزجر أيضا هو الفعل؛ وذلك لأن الترك أمر عدمي لا يطلب ولا يبعث إليه كما لا يزجر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المشهور فالأمر يكون بالعكس أي يكونان متخالفين متعلقا ومتحدين سنخا كما هو الظاهر في بادئ الأمر، فمعنی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بزند، وليس معناه على ما 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نزند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الخوئي في محاضرات في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في مبحث النسخ</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المحقق البجنوردي في 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هذه العبادات من الواجبات أو المستحبات العينية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التعيينية أو التخييرية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الواجبات أو المستحبات الكفائية، وإن ذهب بعضهم إلى اختصاصها بالأولى،وسيأتي ما فيه وبيان ما هو الحق إن شاء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هو ففي مثل كفن زوجة الصبي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غير المميز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على وليه إ عطاؤه من ماله،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هذان الأمر والنهي من النصوص المتقدمة أعني بها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أبناء 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فإنها تدل على الأمر صريحا وعلى النهي تلويحا و تنقيحا للملاك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تحنيطه وتكفينه وتدفینه ونظائرها فإنها وإن كانت أيضا من الواجبات الكفائية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وضع الجريدتين معه من المستحبات الكفائية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أنها ليست بتعبدية حتى تكون مورد الكلام، بل توصلية لا يعتبر فيها قصد القربة، بل لو تحققت بلا قصد من أي وجه ولو بعنوان التمرين تكفي ويجتزی بها وتسقط الوجوب،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وموسوعة المحقق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في موسوعته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المحقق البجنوردي في 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موسوعة المحقق الخوئي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الحاكي مثل ما قال المؤن عند السماع من غير فصل معتد به، راجع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مدظله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في موسوعته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لا بأس بأن يتعدد المؤذنون ولو إعلامة، ويقصدون بذلك حكاية الأذان، لكن لابد أن يؤخروا أذانهم عن المؤذن المحكي عنه ويقصدوا بأذانهم الحكاية، فإنما الأعمال بالنيات، فليتدبر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کرواية سماعة؛ 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المحقق الخوئي في موسوعته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الآملي في مصباح الهدی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رحمه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المحقق الخوئي في موسوعته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البجنوردي في 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مقتضاه أن لا تنعقد من الصبي ولو كان مميزا أو بلا إذن والده ورضاه أو مع نهيه، وتتحل بحله منه مد ظله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المحقق البجنوردي أيضا في نفس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 بهذا الوجه في بطلان نذر الصبي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والفاضل السبزواري في 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والميرزا القتي في غنائم الأيام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اليزدي في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لعله الأصل بعد البناء على مشروعية صلاته، نظير أصالة الصحة في فعل المسلم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 جملة من استدل به، فراجع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الخوئي في موسوعته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وعلة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قاله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البختري في غاية الضعف،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أكذب البرية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رحمه الله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والكيدري في الإصباح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اليزدي في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سنحت لي ذکری تناسب المقام وهي أني كنت أوان الهجرة من مولدي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العاصمة طهران، صبيا مميزا في عداد الطلاب المعممين، فوقفت عند إرادة الصلاة في الصف الأول من صفوف جماعة انعقدت في الجامع المعروف في العاصمة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ساحة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بمسجد المرحوم الحاج أبي الفتح ومدرسته الفتحية، وكان يومئذ والدي العلامة قدس سره إماما لها، فبعد السلام والفراغ من الصلاة سأل أحد المأمومين بصوت عال عن صحة الجماعة واتصال صفوفها بي؟ فأجاب قدس سره بأنه لا بأس بذلك من جهة شرعية صلاة المميز، غير أن تمكين الصبيان من الصف الأول يكون مكروها موجبا لقلة ثواب صلاة الجماعة أو خصوص صلاة الصبيان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أنها موجبة للقرب من الواجب العقلي، راجع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الهدی </w:t>
      </w:r>
      <w:r>
        <w:rPr>
          <w:rFonts w:eastAsia="IRNazanin" w:cs="IRNazanin"/>
          <w:b w:val="false"/>
          <w:bCs w:val="false"/>
          <w:i w:val="false"/>
          <w:iCs w:val="false"/>
          <w:color w:val="333333"/>
          <w:sz w:val="20"/>
          <w:szCs w:val="20"/>
        </w:rPr>
        <w:t>442:3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المحقق الخوئي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حقوق المؤمنين والوسائل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والمستدرك </w:t>
      </w:r>
      <w:r>
        <w:rPr>
          <w:rFonts w:eastAsia="IRNazanin" w:cs="IRNazanin"/>
          <w:b w:val="false"/>
          <w:bCs w:val="false"/>
          <w:i w:val="false"/>
          <w:iCs w:val="false"/>
          <w:color w:val="333333"/>
          <w:sz w:val="20"/>
          <w:szCs w:val="20"/>
        </w:rPr>
        <w:t>13:122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مایکتسب 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حقوق المؤمنين،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بلقيس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إِنِّي ظَلَمتُ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اليزدي في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المتأمل هو المحقق الگلپایگانی قدس سره في حاشية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المصدر السابق، التعليقة الخامسة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حقق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 من الناسي والغافل والجاهل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القاصر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مكلف في الواقع بما نسيه وغفله وجهله، لعدم القدرة عليه وستأتي الإشارة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الهداية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يحرم ترك ذلك وإن كان راجحا فعله أو مرجوحا 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سواء كان متعلق الغفلة والنسيان والجهل القصوري موضوعا أم حكما وتكليفا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ترکه غیر محرم، وإن كان في نفسه راجحا فعله أو مرجوحا 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ترکه غیر محرم، وإن كان في نفسه راجحا فعله أو مرجوحا 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وصفه صلي الله عليه وآله علي عليه السلام في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طبیب دوار بطبه قد أحكم مراهمه وأحمي مواسمه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فإنه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متي بمنزلة الكعبة تؤتي ولا تأتي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فإنه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الإمام مثل الكعبة؛ إذ تؤتي ولا تأتي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أخطأ جلال الدين السيوطي فيما ادعاه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أول من صنف كتابا في أحكام القرآن وفقهه كان محمد بن إدريس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القاسم بن أصبغ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محمد بن السائب الكلبي قد كان متقدما على الشافعي بنصف القرن، فهو أول من صنف في هذا الباب كما صرح به السيد حسن الصدر قدس سره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العلوم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وأومأنا إليه في طي بعض المباحث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الأحكام التكليفية وهي الحكم بالرخصة في الفعل والترك؛ فما يتوهم من أن الحكم منحصر في البعث والزجر الشديدين والخفيفين غير مسموع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ضير فيه بعد مساعدة الدليل، وأنه ما من عام إلا وقد خص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الغلمان والجواري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بالجمع المذكر من باب التغليب، فالمراد من الآية البتون والبنات المميزون الذين يعرفون قبح العورة وما يتعلق بالنكاح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صلاة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يستمر إلى قبل صلاة الفجر، وعد هذا وقتين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طول مدته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العورة من العار بمعنى العيب، ولعل وجه التعبير عن هذه الأوقات بالعورات أن الإنسان يستريح في هذه الأوقات الثلاثة ولا يستر نفسه كما هو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 على الذين دخلوا سن البلوغ حديثا أن يستأذنوا في كل الأوقات حتى في غير الأوقات الثلاثة، كما يستأذن الكبار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لا يكون عادة في الأماكن العامة التي يتردد فيها الناس ولا في المكان الخاص في حالة عدم الخلوة كما لو كان مع أصدقائه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النوم في هذا الوقت في بعض الأحاديث بنوم النعمة وعن النوم بعد العشاء بنوم الراحة وهما أحسن أقسام النوم السبعة، وسائر أقسامه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اللعنة وهوالنوم بین الطلوعين خصوصا من دون أداء صلاة الفجر، ونوم الكسالة وهو النوم أول النهار بعد طلوع الشمس؛ فإنه وقت العمل والسعي، ونوم الحماقة وهو النوم بعد العصر قريبا من غروب الشمس؛ فإنه يوجب الحمق، ونوم الشقاوة وهو النوم أول الليل قبل أداء العشاءين؛ فإنه يكشف عن شفاء النفس، ونوم الغفلة والحسرة وهو النوم وقت السحر وثلث الليل الآخر وهو وقت فضيلة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لا بد أن يعد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صلوات الله الملك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أسلم حتى في نظر المخالفين بغض النظر عن مسألة ولايته المطلقة وإمامته الإلهية ولو لم يكن يصل في وقت إسلامه المتقدم على الآخرين إلى حد البلوغ المتعارف 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غير المميز من أولاد المسلمين إذا نطق بالكفر لا يخرج من تبعية إسلام أحد أبويه، وكذلك غير المميز من أولاد الكفار إذا ترتم بالشهادتين لا يخرج من تبعية كفر أحد أبويه منه مد ظله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اشتهر هذا البيت المعروف من الشعر بالفارسية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الكشف والبيان عن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يكن بعضهم في الحقيقة بمفسر بحيث يكون بصدد اصطياد المرادات الواقعية من القرآن، بل يكون مطبقا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بصدد تطبيق القرآن وجره على مر ادات نفسه، والتفصيل موكول إلى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الصادرة من عدل القرآن، أعني به العترة الطاهرة الشارحة للقرآن، كيف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وإنهم أهل بيت الوحي، وأهل البيت أدرى بما فيه، وإنما يعرف القرآن من خوطب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وعنه في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المنهج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أن في أخبار أهل البيت وتفاسيرهم علیهم السلام ورد أن آل عمران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هو وسائر المعصومین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عمران کان اسم أبي طالب رضی الله عنه في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الحديث ، وعنه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ما ورد من طريق الخاصة، راجع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تفسير البرهان ومذكورة في شواهد التنزيل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نقلا عن تفسير الثعلبي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صححنا وأثبتنا في محله أن الزيارات الجامعة المروية لآل محمد صلی الله علیه وآله شاملة للرسول والبتول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عليهما وآلهما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تختص بالأئمة الاثني عشر عليهم السلام و إن اشتهر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روان جاوید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في غير واحد من الروايات أنه كان مذكورا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تلك العناوين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فأسقط، 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هو الصحيح من أنه لم يسقط من القرآن شي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تفسيرا أو بدلا لآل عمران كما مر نظیره مما روي من مصحف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مقدمات کتاب جامع أحاديث الشيعة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يصرح بذلك في كتب اللغة المتداولة؛ لعدم تقيدهم فيها باستقصاء المعربات، بل يرى أن استعمال كثير من المعزبات في اللغة العربية المحضة ليس بعزيز، كما لا يخفى على من له أدنى دربة في ذلك فضلا عن المتتبع الخبير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التنزيل للبغوي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القرآن الكريم لابن قيم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المظهري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شذ وندر في بعض المستحدثات من حيث لا يشعر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القرآن الكريم لابن قيم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بحر العلوم للسمر قندی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إدريس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 هو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جامع البيان للطبري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إلياس بن ياسين بن فنحاص بن العيزار بن هارون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إلياس هو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روح المعاني للآلوسي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العجائب للكرماني أنه ذوالکفل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فتح القدير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نبي من أنبياء بني إسرائيل وقصته مشهورة مع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محاسن التأويل الجمال الدين القاسمي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إلياس هو إيليا، إلى غير ذلك من الأقوال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أكوابٍ كَانَت قَواريرَا مِن قَواريرَا مِن فِضَّةٍ قَدَّرُوَها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القرآن الكريم لابن قيم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التنزيل للبغوي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للطبري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المعاني للآلوسي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هذا القول في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أدعية أيام شهر الصيام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على فاطمة بنت نبيك محمد عليه وآله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لرجوع ضميري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ما هو المنظور والمضاف؛ لأنهما يرجعان إلى المضاف إليه وهو محمد صلي الله عليه وآله ، إلى غير ذلك مما يظفر به المتتبع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الصحيفة والجفر، الحديث ، وفيه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ثبت في غير واحد من الأحاديث أنه صلي الله عليه وآله 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وسيذكر بعضها في أواخر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مجمع البيان للعلامة الشيخ أبي علي الفضل بن الحسن الطبرسي قدس سره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یس آل محمد صلي الله عليه وآله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القرآن الكريم لابن قيم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والتنوير لابن عاشور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38781</Words>
  <Characters>169408</Characters>
  <CharactersWithSpaces>207055</CharactersWithSpaces>
  <Paragraphs>1814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2026-08-27T08:49:27Z</dcterms:created>
  <dc:creator>ghaemiyeh.com</dc:creator>
  <dc:description/>
  <dc:language>en-US</dc:language>
  <cp:lastModifiedBy/>
  <dcterms:modified xsi:type="dcterms:W3CDTF">2026-08-27T12:19:34Z</dcterms:modified>
  <cp:revision>1</cp:revision>
  <dc:subject/>
  <dc:title>ست رسالات فقهیه استدلالیه</dc:title>
</cp:coreProperties>
</file>

<file path=docProps/custom.xml><?xml version="1.0" encoding="utf-8"?>
<Properties xmlns="http://schemas.openxmlformats.org/officeDocument/2006/custom-properties" xmlns:vt="http://schemas.openxmlformats.org/officeDocument/2006/docPropsVTypes"/>
</file>