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على ابن گاطع التمسک بالمرجعیة فی زمن الغیبة الکبرى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92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92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927_1051229030">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375929_1051229030">
            <w:r>
              <w:rPr>
                <w:webHidden/>
                <w:rStyle w:val="IndexLink"/>
                <w:rtl w:val="true"/>
              </w:rPr>
              <w:t>علاقة عملية التمحيص بالغيبة الكبرى</w:t>
            </w:r>
            <w:r>
              <w:rPr>
                <w:rStyle w:val="IndexLink"/>
                <w:rtl w:val="true"/>
              </w:rPr>
              <w:t>:</w:t>
              <w:tab/>
            </w:r>
            <w:r>
              <w:rPr>
                <w:rStyle w:val="IndexLink"/>
              </w:rPr>
              <w:t>8</w:t>
            </w:r>
          </w:hyperlink>
        </w:p>
        <w:p>
          <w:pPr>
            <w:pStyle w:val="Contents2"/>
            <w:tabs>
              <w:tab w:val="clear" w:pos="8743"/>
              <w:tab w:val="right" w:pos="9026" w:leader="dot"/>
            </w:tabs>
            <w:rPr/>
          </w:pPr>
          <w:hyperlink w:anchor="__RefHeading___Toc375931_1051229030">
            <w:r>
              <w:rPr>
                <w:webHidden/>
                <w:rStyle w:val="IndexLink"/>
                <w:rtl w:val="true"/>
              </w:rPr>
              <w:t>تحقيق في حقيقة العلاقة بين الغيبة والتمحيص</w:t>
            </w:r>
            <w:r>
              <w:rPr>
                <w:rStyle w:val="IndexLink"/>
                <w:rtl w:val="true"/>
              </w:rPr>
              <w:t>:</w:t>
              <w:tab/>
            </w:r>
            <w:r>
              <w:rPr>
                <w:rStyle w:val="IndexLink"/>
              </w:rPr>
              <w:t>10</w:t>
            </w:r>
          </w:hyperlink>
        </w:p>
        <w:p>
          <w:pPr>
            <w:pStyle w:val="Contents2"/>
            <w:tabs>
              <w:tab w:val="clear" w:pos="8743"/>
              <w:tab w:val="right" w:pos="9026" w:leader="dot"/>
            </w:tabs>
            <w:rPr/>
          </w:pPr>
          <w:hyperlink w:anchor="__RefHeading___Toc375933_1051229030">
            <w:r>
              <w:rPr>
                <w:webHidden/>
                <w:rStyle w:val="IndexLink"/>
                <w:rtl w:val="true"/>
              </w:rPr>
              <w:t>بيان حقيقة التمحيص</w:t>
            </w:r>
            <w:r>
              <w:rPr>
                <w:rStyle w:val="IndexLink"/>
                <w:rtl w:val="true"/>
              </w:rPr>
              <w:t>:</w:t>
              <w:tab/>
            </w:r>
            <w:r>
              <w:rPr>
                <w:rStyle w:val="IndexLink"/>
              </w:rPr>
              <w:t>12</w:t>
            </w:r>
          </w:hyperlink>
        </w:p>
        <w:p>
          <w:pPr>
            <w:pStyle w:val="Contents2"/>
            <w:tabs>
              <w:tab w:val="clear" w:pos="8743"/>
              <w:tab w:val="right" w:pos="9026" w:leader="dot"/>
            </w:tabs>
            <w:rPr/>
          </w:pPr>
          <w:hyperlink w:anchor="__RefHeading___Toc375935_1051229030">
            <w:r>
              <w:rPr>
                <w:webHidden/>
                <w:rStyle w:val="IndexLink"/>
                <w:rtl w:val="true"/>
              </w:rPr>
              <w:t>الهدف من عملية التمحيص</w:t>
            </w:r>
            <w:r>
              <w:rPr>
                <w:rStyle w:val="IndexLink"/>
                <w:rtl w:val="true"/>
              </w:rPr>
              <w:t>:</w:t>
              <w:tab/>
            </w:r>
            <w:r>
              <w:rPr>
                <w:rStyle w:val="IndexLink"/>
              </w:rPr>
              <w:t>15</w:t>
            </w:r>
          </w:hyperlink>
        </w:p>
        <w:p>
          <w:pPr>
            <w:pStyle w:val="Contents2"/>
            <w:tabs>
              <w:tab w:val="clear" w:pos="8743"/>
              <w:tab w:val="right" w:pos="9026" w:leader="dot"/>
            </w:tabs>
            <w:rPr/>
          </w:pPr>
          <w:hyperlink w:anchor="__RefHeading___Toc375937_1051229030">
            <w:r>
              <w:rPr>
                <w:webHidden/>
                <w:rStyle w:val="IndexLink"/>
                <w:rtl w:val="true"/>
              </w:rPr>
              <w:t>خضوع مقام التشرّف بالإمام لقانون التمحيص</w:t>
            </w:r>
            <w:r>
              <w:rPr>
                <w:rStyle w:val="IndexLink"/>
                <w:rtl w:val="true"/>
              </w:rPr>
              <w:t>:</w:t>
              <w:tab/>
            </w:r>
            <w:r>
              <w:rPr>
                <w:rStyle w:val="IndexLink"/>
              </w:rPr>
              <w:t>17</w:t>
            </w:r>
          </w:hyperlink>
        </w:p>
        <w:p>
          <w:pPr>
            <w:pStyle w:val="Contents2"/>
            <w:tabs>
              <w:tab w:val="clear" w:pos="8743"/>
              <w:tab w:val="right" w:pos="9026" w:leader="dot"/>
            </w:tabs>
            <w:rPr/>
          </w:pPr>
          <w:hyperlink w:anchor="__RefHeading___Toc375939_1051229030">
            <w:r>
              <w:rPr>
                <w:webHidden/>
                <w:rStyle w:val="IndexLink"/>
                <w:rtl w:val="true"/>
              </w:rPr>
              <w:t>وظيفة المؤمن في مرحلة التمحيص</w:t>
            </w:r>
            <w:r>
              <w:rPr>
                <w:rStyle w:val="IndexLink"/>
                <w:rtl w:val="true"/>
              </w:rPr>
              <w:t>:</w:t>
              <w:tab/>
            </w:r>
            <w:r>
              <w:rPr>
                <w:rStyle w:val="IndexLink"/>
              </w:rPr>
              <w:t>18</w:t>
            </w:r>
          </w:hyperlink>
        </w:p>
        <w:p>
          <w:pPr>
            <w:pStyle w:val="Contents2"/>
            <w:tabs>
              <w:tab w:val="clear" w:pos="8743"/>
              <w:tab w:val="right" w:pos="9026" w:leader="dot"/>
            </w:tabs>
            <w:rPr/>
          </w:pPr>
          <w:hyperlink w:anchor="__RefHeading___Toc375941_1051229030">
            <w:r>
              <w:rPr>
                <w:webHidden/>
                <w:rStyle w:val="IndexLink"/>
                <w:rtl w:val="true"/>
              </w:rPr>
              <w:t>الوظيفة الثانية</w:t>
            </w:r>
            <w:r>
              <w:rPr>
                <w:rStyle w:val="IndexLink"/>
                <w:rtl w:val="true"/>
              </w:rPr>
              <w:t xml:space="preserve">: </w:t>
            </w:r>
            <w:r>
              <w:rPr>
                <w:rStyle w:val="IndexLink"/>
                <w:rtl w:val="true"/>
              </w:rPr>
              <w:t>التمسّك بالفقهاء والعلماء</w:t>
            </w:r>
            <w:r>
              <w:rPr>
                <w:rStyle w:val="IndexLink"/>
                <w:rtl w:val="true"/>
              </w:rPr>
              <w:t>:</w:t>
              <w:tab/>
            </w:r>
            <w:r>
              <w:rPr>
                <w:rStyle w:val="IndexLink"/>
              </w:rPr>
              <w:t>20</w:t>
            </w:r>
          </w:hyperlink>
        </w:p>
        <w:p>
          <w:pPr>
            <w:pStyle w:val="Contents2"/>
            <w:tabs>
              <w:tab w:val="clear" w:pos="8743"/>
              <w:tab w:val="right" w:pos="9026" w:leader="dot"/>
            </w:tabs>
            <w:rPr/>
          </w:pPr>
          <w:hyperlink w:anchor="__RefHeading___Toc375943_1051229030">
            <w:r>
              <w:rPr>
                <w:webHidden/>
                <w:rStyle w:val="IndexLink"/>
                <w:rtl w:val="true"/>
              </w:rPr>
              <w:t>الوظيفة الثالثة</w:t>
            </w:r>
            <w:r>
              <w:rPr>
                <w:rStyle w:val="IndexLink"/>
                <w:rtl w:val="true"/>
              </w:rPr>
              <w:t xml:space="preserve">: </w:t>
            </w:r>
            <w:r>
              <w:rPr>
                <w:rStyle w:val="IndexLink"/>
                <w:rtl w:val="true"/>
              </w:rPr>
              <w:t>التسلّح المعرفي</w:t>
            </w:r>
            <w:r>
              <w:rPr>
                <w:rStyle w:val="IndexLink"/>
                <w:rtl w:val="true"/>
              </w:rPr>
              <w:t>:</w:t>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8_119498"/>
      <w:bookmarkStart w:id="1" w:name="pg7248_119498"/>
      <w:bookmarkEnd w:id="1"/>
    </w:p>
    <w:p>
      <w:pPr>
        <w:pStyle w:val="Heading2"/>
        <w:numPr>
          <w:ilvl w:val="1"/>
          <w:numId w:val="1"/>
        </w:numPr>
        <w:rPr/>
      </w:pPr>
      <w:bookmarkStart w:id="2" w:name="pg7248_119498"/>
      <w:bookmarkStart w:id="3" w:name="__RefHeading___Toc37592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الردّ الساطع على ابن گاطع</w:t>
      </w:r>
    </w:p>
    <w:p>
      <w:pPr>
        <w:pStyle w:val="BookText"/>
        <w:rPr/>
      </w:pPr>
      <w:r>
        <w:rPr>
          <w:rFonts w:ascii="Amiri" w:hAnsi="Amiri" w:eastAsia="Amiri" w:cs="Amiri"/>
          <w:color w:val="111111"/>
          <w:sz w:val="28"/>
          <w:sz w:val="28"/>
          <w:szCs w:val="28"/>
          <w:rtl w:val="true"/>
          <w:lang w:bidi="ar-SA"/>
        </w:rPr>
        <w:t>التمسّك بالمرجعية</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92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التمسّك بالمرجعية في زمن الغيبة الكبرى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48_11950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75927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كثر الحديث عن المدعو أحمد إسماعيل گاطع وما جاء به من دعاوى وأكاذيب وصلت إلى أكثر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باطلة ما أنزل الله بها من سلطان رأى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وهذه كتبه وكتب أصحابه خير شاهد على ما نقول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بل من باب أنَّ الشبهة قدتجد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القاء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هذا الكرّاس</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للردّ على ابن گاطع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248_119510"/>
    </w:p>
    <w:p>
      <w:pPr>
        <w:pStyle w:val="Heading2"/>
        <w:numPr>
          <w:ilvl w:val="1"/>
          <w:numId w:val="1"/>
        </w:numPr>
        <w:rPr/>
      </w:pPr>
      <w:bookmarkStart w:id="11" w:name="__RefHeading___Toc375929_1051229030"/>
      <w:bookmarkStart w:id="12" w:name="_Toc4"/>
      <w:bookmarkEnd w:id="10"/>
      <w:bookmarkEnd w:id="11"/>
      <w:r>
        <w:rPr>
          <w:rtl w:val="true"/>
        </w:rPr>
        <w:t>علاقة عملية التمحيص بالغيبة الكبرى</w:t>
      </w:r>
      <w:r>
        <w:rPr>
          <w:rtl w:val="true"/>
        </w:rPr>
        <w:t>:</w:t>
      </w:r>
      <w:bookmarkEnd w:id="12"/>
    </w:p>
    <w:p>
      <w:pPr>
        <w:pStyle w:val="BookText"/>
        <w:rPr/>
      </w:pPr>
      <w:r>
        <w:rPr>
          <w:rFonts w:ascii="IRNazanin" w:hAnsi="IRNazanin" w:eastAsia="IRNazanin"/>
          <w:color w:val="111111"/>
          <w:sz w:val="28"/>
          <w:sz w:val="28"/>
          <w:szCs w:val="28"/>
          <w:rtl w:val="true"/>
          <w:lang w:bidi="fa-IR"/>
        </w:rPr>
        <w:t xml:space="preserve">عند الرجوع إلى الروايات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الأئمَّة الأطهار قد حذَّروا من مرحلةٍ حرجةٍ خطيرةٍ يمرُّ بها المجتمعُ الشيعيُ، وهي مرحلة التمحيص، فمن تلك 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ما ورد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شيء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يصف هذا الأمر منهم 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أن يُمحَّصوا ويُميَّزوا ويُغربَلوا، وسيخرج من الغربال خلق كثير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يكون ما تمدّون إليه أعينكم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ظهورالإمام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حتَّى تُميَّزوا، لا واللهِ لا يكون ما تمدّون إليه أعينكم حتَّى تُمحَّصوا، لا واللهِ لا يكون ما تمدّون إليه أعينكم حتَّى تُغربَلوا، لا واللهِ لا يكون ما تمدّون إليه أعينكم إلَّا بعد إياسٍ، لا واللهِ لا يكون ما تمدّون إليه أعينكم حتَّى يشقى مَنْ يشقى ويسعد مَنْ يسعد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الروايات تتحدَّث عن حقيقةٍ مخيفةٍ، وهي عملية التمحيص التي سيتعرَّض لها المجتمع الشيعي، وسيخرج من هذه العملية خلقٌ كثيرٌ، وهذه العملية مرتبطةٌ بغيبة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في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لأُقْتَلَنَّ أنا وابناي هذان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وليبعثنَّ اللهُ رجلاً من ولدي في آخر الزمان يُطالِب بدمائنا، وليغيبنَّ عنهم تمييزاً لأهل الضَّلالة حتَّى يقولالجاهلُ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أحمد من حاجةٍ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3" w:name="pg7248_119516"/>
    </w:p>
    <w:p>
      <w:pPr>
        <w:pStyle w:val="BookText"/>
        <w:rPr/>
      </w:pPr>
      <w:bookmarkEnd w:id="13"/>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وليغيبنَّ عنهم تمييزاً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على ما قلناه من ارتباط عملية التمحيص بغيبة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الذي ينبغي أن يقع البحث حوله في هذه الرواية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هو بيان حقيقة هذه العلاقة بين الغيبة والتمحيص، فهل هي من قبيل علاقة العليَّة أم علاقة الهدفية؟</w:t>
      </w:r>
    </w:p>
    <w:p>
      <w:pPr>
        <w:pStyle w:val="Heading2"/>
        <w:numPr>
          <w:ilvl w:val="1"/>
          <w:numId w:val="1"/>
        </w:numPr>
        <w:rPr/>
      </w:pPr>
      <w:bookmarkStart w:id="14" w:name="__RefHeading___Toc375931_1051229030"/>
      <w:bookmarkStart w:id="15" w:name="_Toc5"/>
      <w:bookmarkEnd w:id="14"/>
      <w:r>
        <w:rPr>
          <w:rtl w:val="true"/>
        </w:rPr>
        <w:t>تحقيق في حقيقة العلاقة بين الغيبة والتمحيص</w:t>
      </w:r>
      <w:r>
        <w:rPr>
          <w:rtl w:val="true"/>
        </w:rPr>
        <w:t>:</w:t>
      </w:r>
      <w:bookmarkEnd w:id="15"/>
    </w:p>
    <w:p>
      <w:pPr>
        <w:pStyle w:val="BookText"/>
        <w:rPr/>
      </w:pPr>
      <w:r>
        <w:rPr>
          <w:rFonts w:ascii="Amiri" w:hAnsi="Amiri" w:eastAsia="Amiri" w:cs="Amiri"/>
          <w:color w:val="111111"/>
          <w:sz w:val="28"/>
          <w:sz w:val="28"/>
          <w:szCs w:val="28"/>
          <w:rtl w:val="true"/>
          <w:lang w:bidi="ar-SA"/>
        </w:rPr>
        <w:t>وقبل بيان الحقيقة لا بدَّ وأن نُفرِّق أوَّلاً بين العلاقتين، وذلك متوقّف على فهم الفرق بين العلّية والهدفية،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مصطلحي العلَّة والحكمة، وبيانه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قُرِرَ في محلّه أنَّ العلَّة هي التي يدور المعلولُ مدارَها وجوداً وعدماً، فإذا وُجِدَت وُجِدَ وإذا انعدمتانعدم، بينما الحكمة هي المصلحة والثمرة المترتّبة على وجود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فقد يوجد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ولا توجد، وقد يوجد وتوجد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العلّية هي علاقة تلازمية لا تتخلَّف، فإذا وُجِدَت العلَّة لا بدَّ وأن يوجد المعلول من غير تخلّف، وهذا النحو من الملازمة غير موجود في الحكمة والهدفية، إذ يمكن تخلّفه كما يمكن تحقّقه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اتَّضح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العلاقة بين غيبة وليّ الله الأعظم أرواحنا فداه، وبين التمحيص والغربلة والتمييز ونحوها من العناوين الواردة في الروايات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هي علاقة العلّية، بحيث إنَّ الله تبارك وتعالى إنَّما غيَّب وليَّه من أجل تمحيص الشيعة وغربلتهم، ولو أنَّه لم يرد تمحيصهم لما غيَّبه، أم أنَّه غيَّبه لعلَّة تخفى علينا، وأحد أهداف تغييبه هو التمحيص؟الصحيح هو الثاني، لعدم معرفة أحد بعلَّة الغيبة، وهذا ما دلَّت بعض الروايات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منها خبر عبد الله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لا بدَّ منها، يرتاب فيها كلُّ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 w:name="pg7248_119522"/>
    </w:p>
    <w:p>
      <w:pPr>
        <w:pStyle w:val="BookText"/>
        <w:rPr/>
      </w:pPr>
      <w:bookmarkEnd w:id="1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لأمرٍ لم يُؤْذَن لنا في كشفه لكم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علَّة الغيبة لا يعلمها إلَّا الله تبارك وتعالى وخزّان علمه، وبهذا تتبيَّن الملاحظة على ما يذكره البعض من كون العلَّة من غيبته هي الخوف من القتل، أو اكتساب الخبرات القياديَّة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التعليلات التي لا مستند لها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75933_1051229030"/>
      <w:bookmarkStart w:id="18" w:name="_Toc6"/>
      <w:bookmarkEnd w:id="17"/>
      <w:r>
        <w:rPr>
          <w:rtl w:val="true"/>
        </w:rPr>
        <w:t>بيان حقيقة التمحيص</w:t>
      </w:r>
      <w:r>
        <w:rPr>
          <w:rtl w:val="true"/>
        </w:rPr>
        <w:t>:</w:t>
      </w:r>
      <w:bookmarkEnd w:id="18"/>
    </w:p>
    <w:p>
      <w:pPr>
        <w:pStyle w:val="BookText"/>
        <w:rPr/>
      </w:pPr>
      <w:r>
        <w:rPr>
          <w:rFonts w:ascii="Amiri" w:hAnsi="Amiri" w:eastAsia="Amiri" w:cs="Amiri"/>
          <w:color w:val="111111"/>
          <w:sz w:val="28"/>
          <w:sz w:val="28"/>
          <w:szCs w:val="28"/>
          <w:rtl w:val="true"/>
          <w:lang w:bidi="ar-SA"/>
        </w:rPr>
        <w:t>بعد أن اتَّضح لنا أنَّ المجتمع الشيعي يتعرَّض إلى عملية تمحيص في زمن الغيبة، لا بدَّ من بيان حقيقة هذاالتمحيص وماهيَّته ليكون المؤمن على أُهبةٍ واستعدادٍ وحذرٍ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التمحيص في زمن الغيبة على مستويين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السلوكي، حيث يُمَحَّصُ الناسُ من خلال غرائزهم وشهواتهم، ليُعْلَمَ من الذي ينقاد لشهواته وغرائزه ومن الذي يتجرَّد منها، فنحن نعيش في زمان ثورةٍ غرائزيَّةٍ من خلال توفّر سبل الإثارة للغرائز والشهوات، وزمان الثورة الغرائزيَّة هو زمان عملية التمحيص السلوكي للناس من خلال غرائزهم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الروايات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التي تشير إلى هذا النوع من التمحيص، كما في الخبر الطويل الذي يرويه الشيخ الكليني في الكافي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ريف عن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انتظر أمرَنا وصبر على ما يرى من الأذى والخوف فهو غداً في زمرتنا، إذا رأيتَ الحقَّ قد مات وذهب أهلُه، ورأيتَ القمارَ قد ظهر،ورأيتَ الشرابَ يُباع جهاراً وليس له مانعٌ، ورأيتَ النساءَ يبذلن أنفسَهنَّ لأهل الكفر، ورأيتَ الملاهي قد ظهرت لا يجرؤ أحدٌ على منعها، ورأيتَ الدماءَ قد اسْتُخِفَّ بها، ورأيتَ الناسَ قد تساووا في ترك الأمر بالمعروف والنهي عن </w:t>
      </w:r>
    </w:p>
    <w:p>
      <w:pPr>
        <w:pStyle w:val="BookText"/>
        <w:rPr/>
      </w:pPr>
      <w:r>
        <w:rPr>
          <w:rFonts w:ascii="IRNazanin" w:hAnsi="IRNazanin" w:eastAsia="IRNazanin"/>
          <w:color w:val="111111"/>
          <w:sz w:val="28"/>
          <w:sz w:val="28"/>
          <w:szCs w:val="28"/>
          <w:rtl w:val="true"/>
          <w:lang w:bidi="fa-IR"/>
        </w:rPr>
        <w:t xml:space="preserve">المنكر والتديّن به، فكن على حذر واطلب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واعلم أنَّ الناس في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يُمهلهم لأمر يُراد بهم، فكن مترقِّباً واجتهد ليراك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 ما هم عليه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وأمثالها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تتحدَّث عن عملية تمحيصٍ سلوكي، وتُبيِّن أنَّ الناس سيتعرَّضون إلى موجبات الإثارة والمفاتن الدنيويَّة على أشدّها، والذي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برؤية الإمام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هو مَنْ يتجاوز التمحيص السلوكي بنجاح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الفكري، وهو المستوى الأخطر والأشدّ؛ لأنَّ الناس لا يلتفتون إليه عادةً، فالمجتمع الشيعي سيُمَحَّصُ في بصيرته وعقائده وأفكاره، وستنتش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الراياتُ الضالّة والأفكارُ المنحرفةُ والشبهاتُ باسم الدين، ولا يخرج من هذه العملية إلَّا صاحبُ الوعي والبصيرة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ما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ولدي، هو المهدي الذي يملأ </w:t>
      </w:r>
      <w:bookmarkStart w:id="19" w:name="pg7248_119531"/>
    </w:p>
    <w:p>
      <w:pPr>
        <w:pStyle w:val="BookText"/>
        <w:rPr/>
      </w:pPr>
      <w:bookmarkEnd w:id="19"/>
      <w:r>
        <w:rPr>
          <w:rFonts w:ascii="Amiri" w:hAnsi="Amiri" w:eastAsia="Amiri" w:cs="Amiri"/>
          <w:color w:val="111111"/>
          <w:sz w:val="28"/>
          <w:sz w:val="28"/>
          <w:szCs w:val="28"/>
          <w:rtl w:val="true"/>
          <w:lang w:bidi="ar-SA"/>
        </w:rPr>
        <w:t>الأرض عدلاً وقسطاً كما ملئت جوراً وظلماً، تكون له غيبة وحيرة، يضلّ فيها أقوام ويهتدي فيها آخرون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التعبير فيها بالضلال والاهتداء واضح الدلالة على التمحيص في البصائر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التمحيص الذي يمرُّ به العالمُ الشيعي على مستويين، سلوكي وفكري، والثاني يشكلامتحاناً أخطر من الأوَّل إذ هو مرتبط بدين الناس وبصائرهم، وسيظهر من يرفع الرايات باسم الإمام المنتظر ويدَّعي السفارة والنيابة والارتباط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ينصاع لهؤلاء فقد وقع في هاوية الجحيم</w:t>
      </w:r>
      <w:r>
        <w:rPr>
          <w:rFonts w:eastAsia="IRNazanin" w:cs="IRNazanin"/>
          <w:color w:val="111111"/>
          <w:sz w:val="28"/>
          <w:szCs w:val="28"/>
          <w:rtl w:val="true"/>
          <w:lang w:bidi="fa-IR"/>
        </w:rPr>
        <w:t>.</w:t>
      </w:r>
    </w:p>
    <w:p>
      <w:pPr>
        <w:pStyle w:val="Heading2"/>
        <w:numPr>
          <w:ilvl w:val="1"/>
          <w:numId w:val="1"/>
        </w:numPr>
        <w:rPr/>
      </w:pPr>
      <w:bookmarkStart w:id="20" w:name="__RefHeading___Toc375935_1051229030"/>
      <w:bookmarkStart w:id="21" w:name="_Toc7"/>
      <w:bookmarkEnd w:id="20"/>
      <w:r>
        <w:rPr>
          <w:rtl w:val="true"/>
        </w:rPr>
        <w:t>الهدف من عملية التمحيص</w:t>
      </w:r>
      <w:r>
        <w:rPr>
          <w:rtl w:val="true"/>
        </w:rPr>
        <w:t>:</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المراجع لآيات القرآن الكريم يقف على حقيقة غير قابلة للإنكار والتشكيك، بل هي سُنَّة تكوينية لا بدَّ وأن </w:t>
      </w:r>
    </w:p>
    <w:p>
      <w:pPr>
        <w:pStyle w:val="BookText"/>
        <w:rPr/>
      </w:pPr>
      <w:r>
        <w:rPr>
          <w:rFonts w:ascii="Amiri" w:hAnsi="Amiri" w:eastAsia="Amiri" w:cs="Amiri"/>
          <w:color w:val="111111"/>
          <w:sz w:val="28"/>
          <w:sz w:val="28"/>
          <w:szCs w:val="28"/>
          <w:rtl w:val="true"/>
          <w:lang w:bidi="ar-SA"/>
        </w:rPr>
        <w:t>تتحقَّق في كلِّ مجتمع من المجتمعات، من المجتمع الآدمي الأوَّل الذي شمل آدم وبنيه، إلى آخر يوم من أيّام الدنيا، وهي عملية التمحيص التي لا تختلف ولا تتخلَّف، وهذا ما صدحت به آيات الذكر الحكيم،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بحاجة لإقامة الشواهد الكثيرة للتدليل على هذه الحقيقة، وإنَّما نحن بحاجة لمعرفة الهدف منها، فلماذا جعل الله تبارك وتعالى عملية التمحيص سُنَّة تأريخية اجتماعية تكوينية لا بدَّ أن يمرَّ بها كلّ مجتمع؟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للعباد مراتب ومواقع ومناصب ودرجات، لا ينالها أحدهم إلَّا بعد الارتقاء في سُلَّم الكمال ودرجاته، وهذا الارتقاء لا يكون إلَّا بالتمحيص والابتلاء</w:t>
      </w:r>
      <w:r>
        <w:rPr>
          <w:rFonts w:eastAsia="Amiri" w:cs="Amiri" w:ascii="Amiri" w:hAnsi="Amiri"/>
          <w:color w:val="111111"/>
          <w:sz w:val="28"/>
          <w:szCs w:val="28"/>
          <w:rtl w:val="true"/>
          <w:lang w:bidi="ar-SA"/>
        </w:rPr>
        <w:t xml:space="preserve">. </w:t>
      </w:r>
      <w:bookmarkStart w:id="22" w:name="pg7248_119537"/>
    </w:p>
    <w:p>
      <w:pPr>
        <w:pStyle w:val="Heading2"/>
        <w:numPr>
          <w:ilvl w:val="1"/>
          <w:numId w:val="1"/>
        </w:numPr>
        <w:rPr/>
      </w:pPr>
      <w:bookmarkStart w:id="23" w:name="__RefHeading___Toc375937_1051229030"/>
      <w:bookmarkStart w:id="24" w:name="_Toc8"/>
      <w:bookmarkEnd w:id="22"/>
      <w:bookmarkEnd w:id="23"/>
      <w:r>
        <w:rPr>
          <w:rtl w:val="true"/>
        </w:rPr>
        <w:t>خضوع مقام التشرّف بالإمام لقانون التمحيص</w:t>
      </w:r>
      <w:r>
        <w:rPr>
          <w:rtl w:val="true"/>
        </w:rPr>
        <w:t>:</w:t>
      </w:r>
      <w:bookmarkEnd w:id="24"/>
    </w:p>
    <w:p>
      <w:pPr>
        <w:pStyle w:val="BookText"/>
        <w:rPr/>
      </w:pPr>
      <w:r>
        <w:rPr>
          <w:rFonts w:ascii="IRNazanin" w:hAnsi="IRNazanin" w:eastAsia="IRNazanin"/>
          <w:color w:val="111111"/>
          <w:sz w:val="28"/>
          <w:sz w:val="28"/>
          <w:szCs w:val="28"/>
          <w:rtl w:val="true"/>
          <w:lang w:bidi="fa-IR"/>
        </w:rPr>
        <w:t xml:space="preserve">إذا اتَّضح أنَّ التمحيص عموماً إنَّما هو من أجل التأهيل لسموّ الموقع، يتَّضح الكلام فيما نحن فيه، فإنَّ صحبة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من المقامات الشامخة، وعليه فلا بدَّ للارتقاء لها من المرور بعملية التمحيص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موقعها ورتبتها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يُحيِّر العقول ويُدهشها، وقدوردت روايات متعدّدة في فضل أصحاب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ومقامهم العالي</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شيخنا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وتمام النعمة بسنده إلى إمامنا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أحاطوا بما بين الخافقين، فليس من شيء إلَّا وهو مطيع لهم حتَّى سباع الأرض وسباع الطير، يطلب رضاهم في كلِّ شيء، حتَّى تفخر الأرض على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اليوم رجل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5" w:name="pg7248_119539"/>
    </w:p>
    <w:p>
      <w:pPr>
        <w:pStyle w:val="BookText"/>
        <w:rPr/>
      </w:pPr>
      <w:bookmarkEnd w:id="25"/>
      <w:r>
        <w:rPr>
          <w:rFonts w:ascii="IRNazanin" w:hAnsi="IRNazanin" w:eastAsia="IRNazanin"/>
          <w:color w:val="111111"/>
          <w:sz w:val="28"/>
          <w:sz w:val="28"/>
          <w:szCs w:val="28"/>
          <w:rtl w:val="true"/>
          <w:lang w:bidi="fa-IR"/>
        </w:rPr>
        <w:t>وبناءً على ما تقدَّم، وبمقتض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قانون التجانس والتناسب العقلائي، فإنَّ مقاماً كهذا المقام، ومنزلةً كهذه المنزلة، لا بدَّ وأن لا تُنال إلَّا بشقِّ الأنفس، وبطيّ تلك الاختبارات والابتلاءات، وبالصبر أمام ذلك التمحيص بما يناسب عظمة المقام، ويشهد لذلك ما جاء عن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أن يكون من أصحاب القائمفلينتظر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375939_1051229030"/>
      <w:bookmarkStart w:id="27" w:name="_Toc9"/>
      <w:bookmarkEnd w:id="26"/>
      <w:r>
        <w:rPr>
          <w:rtl w:val="true"/>
        </w:rPr>
        <w:t>وظيفة المؤمن في مرحلة التمحيص</w:t>
      </w:r>
      <w:r>
        <w:rPr>
          <w:rtl w:val="true"/>
        </w:rPr>
        <w:t>:</w:t>
      </w:r>
      <w:bookmarkEnd w:id="27"/>
    </w:p>
    <w:p>
      <w:pPr>
        <w:pStyle w:val="BookText"/>
        <w:rPr/>
      </w:pPr>
      <w:r>
        <w:rPr>
          <w:rFonts w:ascii="Amiri" w:hAnsi="Amiri" w:eastAsia="Amiri" w:cs="Amiri"/>
          <w:color w:val="111111"/>
          <w:sz w:val="28"/>
          <w:sz w:val="28"/>
          <w:szCs w:val="28"/>
          <w:rtl w:val="true"/>
          <w:lang w:bidi="ar-SA"/>
        </w:rPr>
        <w:t>تقدَّم في المطالب السابقة تقسيم التمحيص إلى فكري بصائري، وسلوكي عملي، وتقدَّم هناك أيضاً أنَّ الأوَّل أخطرهما، وأمَّا وجه أخطريَّته، فيمكن تقريبه ببيان أمرين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التمحيص السلوكي ممَّا يمكن </w:t>
      </w:r>
    </w:p>
    <w:p>
      <w:pPr>
        <w:pStyle w:val="BookText"/>
        <w:rPr/>
      </w:pPr>
      <w:r>
        <w:rPr>
          <w:rFonts w:ascii="Amiri" w:hAnsi="Amiri" w:eastAsia="Amiri" w:cs="Amiri"/>
          <w:color w:val="111111"/>
          <w:sz w:val="28"/>
          <w:sz w:val="28"/>
          <w:szCs w:val="28"/>
          <w:rtl w:val="true"/>
          <w:lang w:bidi="ar-SA"/>
        </w:rPr>
        <w:t>تمييزه بسهولة، فالذي يعرف المحرَّمات بمختلف أنواعها، يمكنه الاجتناب عنها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التمحيص الفكري يكون باسم الدين والعلم، فيكون التمييز فيه صعباً حرجاً سيّما للطبقة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قد ركَّزت على ثلاث وظائف مهمَّة ينبغي للمؤمنين أن يقوموا بها في مرحلة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أئمّة الضلال وأدعياء المهدوية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ركَّزت الروايات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على هذا الأمر كثيراً،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خديجة، عن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القائم حتَّى يخرج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بني هاشم كلّهم يدعو إلى نفسه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8" w:name="pg7248_119545"/>
    </w:p>
    <w:p>
      <w:pPr>
        <w:pStyle w:val="BookText"/>
        <w:rPr/>
      </w:pPr>
      <w:bookmarkEnd w:id="28"/>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هنالك حالة من الضبابية تسود في مرحلة التمحيص، وينبغي على الإنسان أن يكون حذراً يقظاً ذا بصيرة في التعامل مع الأحداث المرتبطة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29" w:name="__RefHeading___Toc375941_1051229030"/>
      <w:bookmarkStart w:id="30" w:name="_Toc10"/>
      <w:bookmarkEnd w:id="29"/>
      <w:r>
        <w:rPr>
          <w:rtl w:val="true"/>
        </w:rPr>
        <w:t>الوظيفة الثانية</w:t>
      </w:r>
      <w:r>
        <w:rPr>
          <w:rtl w:val="true"/>
        </w:rPr>
        <w:t xml:space="preserve">: </w:t>
      </w:r>
      <w:r>
        <w:rPr>
          <w:rtl w:val="true"/>
        </w:rPr>
        <w:t>التمسّك بالفقهاء والعلماء</w:t>
      </w:r>
      <w:r>
        <w:rPr>
          <w:rtl w:val="true"/>
        </w:rPr>
        <w:t>:</w:t>
      </w:r>
      <w:bookmarkEnd w:id="30"/>
    </w:p>
    <w:p>
      <w:pPr>
        <w:pStyle w:val="BookText"/>
        <w:rPr/>
      </w:pPr>
      <w:r>
        <w:rPr>
          <w:rFonts w:ascii="IRNazanin" w:hAnsi="IRNazanin" w:eastAsia="IRNazanin"/>
          <w:color w:val="111111"/>
          <w:sz w:val="28"/>
          <w:sz w:val="28"/>
          <w:szCs w:val="28"/>
          <w:rtl w:val="true"/>
          <w:lang w:bidi="fa-IR"/>
        </w:rPr>
        <w:t xml:space="preserve">والملاحظ عند التدقيق في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وبالأخصّ ما جاء عن الأئمّة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بإمامنا الجواد وانتهاءً بإمامنا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دورهم الواضح والكبير في التمهيد لغيبة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أنَّها ظاهرة جديدة غير مألوفة للشيعة الذين اعتادوا على أن يكون الإمامُ بين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الإعدادات التي ركَّز عليها الأئمَّة المتأخّرون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المرجعية الدينية التي يرجع إليها الناس في أُمور دينهم في زمن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في هذا الشأن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أعني تركيز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الفقهاء ودورهم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كثيرة ومتعدّدة، ويمكن تصنيفها إلى طائفتين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تتحدَّث عن فضلالعلم والعلماء على نحو العموم دون أن تتحدَّث عن فترة زمنية خاصّة يمرُّ بها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القدّاح،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العلماء ورثة الأنبياء</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أُمناء، الأتقياء حصون، والأوصياء سادة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الشأن كثيرة جدَّاً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تتحدَّث عن فضل العلم والعلماء في فترة زمنية خاصّة وهي التي عبَّرنا عنها بمرحلة التمحيص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إمامنا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والكرسي والحجب على السماء، وفضلهم على هذا العابد كفضل القمر ليلة البدر على أخفى كوكب في السماء</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 غيبة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الذينيُمسِكون أزمَّة قلوب ضعفاء </w:t>
      </w:r>
    </w:p>
    <w:p>
      <w:pPr>
        <w:pStyle w:val="BookText"/>
        <w:rPr/>
      </w:pPr>
      <w:r>
        <w:rPr>
          <w:rFonts w:ascii="IRNazanin" w:hAnsi="IRNazanin" w:eastAsia="IRNazanin"/>
          <w:color w:val="111111"/>
          <w:sz w:val="28"/>
          <w:sz w:val="28"/>
          <w:szCs w:val="28"/>
          <w:rtl w:val="true"/>
          <w:lang w:bidi="fa-IR"/>
        </w:rPr>
        <w:t xml:space="preserve">الشيعة كما يمسك صاحب السفينة سكّانها، أُولئك هم الأفضلون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وصلت النوبة إلى إمامنا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التوقيع الرفيع لسفيره المقدَّس الشيخ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عليهم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31" w:name="pg7248_119557"/>
    </w:p>
    <w:p>
      <w:pPr>
        <w:pStyle w:val="BookText"/>
        <w:rPr/>
      </w:pPr>
      <w:bookmarkEnd w:id="31"/>
      <w:r>
        <w:rPr>
          <w:rFonts w:ascii="IRNazanin" w:hAnsi="IRNazanin" w:eastAsia="IRNazanin"/>
          <w:color w:val="111111"/>
          <w:sz w:val="28"/>
          <w:sz w:val="28"/>
          <w:szCs w:val="28"/>
          <w:rtl w:val="true"/>
          <w:lang w:bidi="fa-IR"/>
        </w:rPr>
        <w:t xml:space="preserve">وخصوصاً المتأخّرين أسَّسوا لمرجعية دينية للفقهاء من شيعتهم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زمن الغيبة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يرجع إليها الناس، ومن هنا تعرف أنَّ ما جرت عليه سيرة الشيعة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كلمتهم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إلى الفقهاء والمراجع العظام إنَّما هو استجابةٌ لما أراده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يُصغى لأيِّ دعوى زائفة كالدعاوى التي يُردِّدها بعض الضالّين والمغرضين من التحذير من المراجع العظام واتّهامهم بالضلال معاذ الله، فهذا خلاف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روع الذي أسَّس له أئمَّة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2"/>
        <w:numPr>
          <w:ilvl w:val="1"/>
          <w:numId w:val="1"/>
        </w:numPr>
        <w:rPr/>
      </w:pPr>
      <w:bookmarkStart w:id="32" w:name="__RefHeading___Toc375943_1051229030"/>
      <w:bookmarkStart w:id="33" w:name="_Toc11"/>
      <w:bookmarkEnd w:id="32"/>
      <w:r>
        <w:rPr>
          <w:rtl w:val="true"/>
        </w:rPr>
        <w:t>الوظيفة الثالثة</w:t>
      </w:r>
      <w:r>
        <w:rPr>
          <w:rtl w:val="true"/>
        </w:rPr>
        <w:t xml:space="preserve">: </w:t>
      </w:r>
      <w:r>
        <w:rPr>
          <w:rtl w:val="true"/>
        </w:rPr>
        <w:t>التسلّح المعرفي</w:t>
      </w:r>
      <w:r>
        <w:rPr>
          <w:rtl w:val="true"/>
        </w:rPr>
        <w:t>:</w:t>
      </w:r>
      <w:bookmarkEnd w:id="33"/>
    </w:p>
    <w:p>
      <w:pPr>
        <w:pStyle w:val="BookText"/>
        <w:rPr/>
      </w:pPr>
      <w:r>
        <w:rPr>
          <w:rFonts w:ascii="Amiri" w:hAnsi="Amiri" w:eastAsia="Amiri" w:cs="Amiri"/>
          <w:color w:val="111111"/>
          <w:sz w:val="28"/>
          <w:sz w:val="28"/>
          <w:szCs w:val="28"/>
          <w:rtl w:val="true"/>
          <w:lang w:bidi="ar-SA"/>
        </w:rPr>
        <w:t>وقد ركَّزت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على هذه الوظيفةتركيزاً بالغاً يكشف عن أهمّية هذه الوظيفة وحسّاسيتها، فمنها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عمرو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العلامة فإذا عرفته لم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تقدَّم هذا الأمر أو تأخَّر،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نَدْعُوا كُلَّ </w:t>
      </w:r>
    </w:p>
    <w:p>
      <w:pPr>
        <w:pStyle w:val="BookText"/>
        <w:rPr/>
      </w:pPr>
      <w:r>
        <w:rPr>
          <w:rFonts w:ascii="Amiri" w:hAnsi="Amiri" w:eastAsia="Amiri" w:cs="Amiri"/>
          <w:color w:val="111111"/>
          <w:sz w:val="28"/>
          <w:sz w:val="28"/>
          <w:szCs w:val="28"/>
          <w:rtl w:val="true"/>
          <w:lang w:bidi="ar-SA"/>
        </w:rPr>
        <w:t>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عرف إمامه كان كمن كان في فسطاط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بن أعين،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حديثه عن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المنتظر غير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يمتحن الشيعة، فعند ذلك يرتاب المبطلون 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أدركتهذا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المهدوية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ورواها عن أبي يعفور أيضاً؛ كما رواها عنه الشيخ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نقلناه بتصرّف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من البحار للعلَّامة الأجلّ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عقد هناك أبواباً متعدِّدة وأورد فيها الروايات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ريفة المرتبطة بالمقام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2610</Words>
  <Characters>12496</Characters>
  <CharactersWithSpaces>15003</CharactersWithSpaces>
  <Paragraphs>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2026-08-27T08:39:08Z</dcterms:created>
  <dc:creator>ghaemiyeh.com</dc:creator>
  <dc:description/>
  <dc:language>en-US</dc:language>
  <cp:lastModifiedBy/>
  <dcterms:modified xsi:type="dcterms:W3CDTF">2026-08-27T12:09:28Z</dcterms:modified>
  <cp:revision>1</cp:revision>
  <dc:subject/>
  <dc:title>الرد الساطع على ابن گاطع التمسک بالمرجعیة فی زمن الغیبة الکبرى</dc:title>
</cp:coreProperties>
</file>

<file path=docProps/custom.xml><?xml version="1.0" encoding="utf-8"?>
<Properties xmlns="http://schemas.openxmlformats.org/officeDocument/2006/custom-properties" xmlns:vt="http://schemas.openxmlformats.org/officeDocument/2006/docPropsVTypes"/>
</file>