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الخمس فی عصرِ الغیبة شبهات وردود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20231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20233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20235_372815092">
            <w:r>
              <w:rPr>
                <w:webHidden/>
                <w:rStyle w:val="IndexLink"/>
                <w:rtl w:val="true"/>
              </w:rPr>
              <w:t>مقدّمة المركز</w:t>
            </w:r>
            <w:r>
              <w:rPr>
                <w:rStyle w:val="IndexLink"/>
                <w:rtl w:val="true"/>
              </w:rPr>
              <w:t>:</w:t>
              <w:tab/>
            </w:r>
            <w:r>
              <w:rPr>
                <w:rStyle w:val="IndexLink"/>
              </w:rPr>
              <w:t>9</w:t>
            </w:r>
          </w:hyperlink>
        </w:p>
        <w:p>
          <w:pPr>
            <w:pStyle w:val="Contents2"/>
            <w:tabs>
              <w:tab w:val="clear" w:pos="8743"/>
              <w:tab w:val="right" w:pos="9026" w:leader="dot"/>
            </w:tabs>
            <w:rPr/>
          </w:pPr>
          <w:hyperlink w:anchor="__RefHeading___Toc4020237_372815092">
            <w:r>
              <w:rPr>
                <w:webHidden/>
                <w:rStyle w:val="IndexLink"/>
                <w:rtl w:val="true"/>
              </w:rPr>
              <w:t>مقدّمة المقرّر</w:t>
            </w:r>
            <w:r>
              <w:rPr>
                <w:rStyle w:val="IndexLink"/>
                <w:rtl w:val="true"/>
              </w:rPr>
              <w:t>:</w:t>
              <w:tab/>
            </w:r>
            <w:r>
              <w:rPr>
                <w:rStyle w:val="IndexLink"/>
              </w:rPr>
              <w:t>15</w:t>
            </w:r>
          </w:hyperlink>
        </w:p>
        <w:p>
          <w:pPr>
            <w:pStyle w:val="Contents2"/>
            <w:tabs>
              <w:tab w:val="clear" w:pos="8743"/>
              <w:tab w:val="right" w:pos="9026" w:leader="dot"/>
            </w:tabs>
            <w:rPr/>
          </w:pPr>
          <w:hyperlink w:anchor="__RefHeading___Toc4020239_372815092">
            <w:r>
              <w:rPr>
                <w:webHidden/>
                <w:rStyle w:val="IndexLink"/>
                <w:rtl w:val="true"/>
              </w:rPr>
              <w:t>الشبهة الأولى</w:t>
            </w:r>
            <w:r>
              <w:rPr>
                <w:rStyle w:val="IndexLink"/>
                <w:rtl w:val="true"/>
              </w:rPr>
              <w:t xml:space="preserve">: </w:t>
            </w:r>
            <w:r>
              <w:rPr>
                <w:rStyle w:val="IndexLink"/>
                <w:rtl w:val="true"/>
              </w:rPr>
              <w:t>عدم تشريع فريضة الخُمُس في أرباح المكاسب</w:t>
            </w:r>
            <w:r>
              <w:rPr>
                <w:rStyle w:val="IndexLink"/>
                <w:rtl w:val="true"/>
              </w:rPr>
              <w:tab/>
            </w:r>
            <w:r>
              <w:rPr>
                <w:rStyle w:val="IndexLink"/>
              </w:rPr>
              <w:t>17</w:t>
            </w:r>
          </w:hyperlink>
        </w:p>
        <w:p>
          <w:pPr>
            <w:pStyle w:val="Contents3"/>
            <w:tabs>
              <w:tab w:val="clear" w:pos="8459"/>
              <w:tab w:val="right" w:pos="9026" w:leader="dot"/>
            </w:tabs>
            <w:rPr/>
          </w:pPr>
          <w:hyperlink w:anchor="__RefHeading___Toc4020241_372815092">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020243_372815092">
            <w:r>
              <w:rPr>
                <w:webHidden/>
                <w:rStyle w:val="IndexLink"/>
                <w:rtl w:val="true"/>
              </w:rPr>
              <w:t>مفاد الشبهة</w:t>
            </w:r>
            <w:r>
              <w:rPr>
                <w:rStyle w:val="IndexLink"/>
                <w:rtl w:val="true"/>
              </w:rPr>
              <w:tab/>
            </w:r>
            <w:r>
              <w:rPr>
                <w:rStyle w:val="IndexLink"/>
              </w:rPr>
              <w:t>19</w:t>
            </w:r>
          </w:hyperlink>
        </w:p>
        <w:p>
          <w:pPr>
            <w:pStyle w:val="Contents3"/>
            <w:tabs>
              <w:tab w:val="clear" w:pos="8459"/>
              <w:tab w:val="right" w:pos="9026" w:leader="dot"/>
            </w:tabs>
            <w:rPr/>
          </w:pPr>
          <w:hyperlink w:anchor="__RefHeading___Toc4020245_372815092">
            <w:r>
              <w:rPr>
                <w:webHidden/>
                <w:rStyle w:val="IndexLink"/>
                <w:rtl w:val="true"/>
              </w:rPr>
              <w:t>ردُّ الشبهة</w:t>
            </w:r>
            <w:r>
              <w:rPr>
                <w:rStyle w:val="IndexLink"/>
                <w:rtl w:val="true"/>
              </w:rPr>
              <w:tab/>
            </w:r>
            <w:r>
              <w:rPr>
                <w:rStyle w:val="IndexLink"/>
              </w:rPr>
              <w:t>19</w:t>
            </w:r>
          </w:hyperlink>
        </w:p>
        <w:p>
          <w:pPr>
            <w:pStyle w:val="Contents3"/>
            <w:tabs>
              <w:tab w:val="clear" w:pos="8459"/>
              <w:tab w:val="right" w:pos="9026" w:leader="dot"/>
            </w:tabs>
            <w:rPr/>
          </w:pPr>
          <w:hyperlink w:anchor="__RefHeading___Toc4020247_372815092">
            <w:r>
              <w:rPr>
                <w:webHidden/>
                <w:rStyle w:val="IndexLink"/>
                <w:rtl w:val="true"/>
              </w:rPr>
              <w:t>الدليل الأوَّل</w:t>
            </w:r>
            <w:r>
              <w:rPr>
                <w:rStyle w:val="IndexLink"/>
                <w:rtl w:val="true"/>
              </w:rPr>
              <w:t xml:space="preserve">: </w:t>
            </w:r>
            <w:r>
              <w:rPr>
                <w:rStyle w:val="IndexLink"/>
                <w:rtl w:val="true"/>
              </w:rPr>
              <w:t>القرآن الكريم</w:t>
            </w:r>
            <w:r>
              <w:rPr>
                <w:rStyle w:val="IndexLink"/>
                <w:rtl w:val="true"/>
              </w:rPr>
              <w:t>:</w:t>
              <w:tab/>
            </w:r>
            <w:r>
              <w:rPr>
                <w:rStyle w:val="IndexLink"/>
              </w:rPr>
              <w:t>19</w:t>
            </w:r>
          </w:hyperlink>
        </w:p>
        <w:p>
          <w:pPr>
            <w:pStyle w:val="Contents4"/>
            <w:tabs>
              <w:tab w:val="clear" w:pos="8176"/>
              <w:tab w:val="right" w:pos="9026" w:leader="dot"/>
            </w:tabs>
            <w:rPr/>
          </w:pPr>
          <w:hyperlink w:anchor="__RefHeading___Toc4020249_372815092">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4020251_372815092">
            <w:r>
              <w:rPr>
                <w:webHidden/>
                <w:rStyle w:val="IndexLink"/>
                <w:rtl w:val="true"/>
              </w:rPr>
              <w:t>القرينة الأُولىٰ</w:t>
            </w:r>
            <w:r>
              <w:rPr>
                <w:rStyle w:val="IndexLink"/>
                <w:rtl w:val="true"/>
              </w:rPr>
              <w:t xml:space="preserve">: </w:t>
            </w:r>
            <w:r>
              <w:rPr>
                <w:rStyle w:val="IndexLink"/>
                <w:rtl w:val="true"/>
              </w:rPr>
              <w:t xml:space="preserve">التحليل اللغوي والعرفي لمادَّة </w:t>
            </w:r>
            <w:r>
              <w:rPr>
                <w:rStyle w:val="IndexLink"/>
                <w:rtl w:val="true"/>
              </w:rPr>
              <w:t>(</w:t>
            </w:r>
            <w:r>
              <w:rPr>
                <w:rStyle w:val="IndexLink"/>
                <w:rtl w:val="true"/>
              </w:rPr>
              <w:t>غَنِم</w:t>
            </w:r>
            <w:r>
              <w:rPr>
                <w:rStyle w:val="IndexLink"/>
                <w:rtl w:val="true"/>
              </w:rPr>
              <w:t>):</w:t>
              <w:tab/>
            </w:r>
            <w:r>
              <w:rPr>
                <w:rStyle w:val="IndexLink"/>
              </w:rPr>
              <w:t>19</w:t>
            </w:r>
          </w:hyperlink>
        </w:p>
        <w:p>
          <w:pPr>
            <w:pStyle w:val="Contents4"/>
            <w:tabs>
              <w:tab w:val="clear" w:pos="8176"/>
              <w:tab w:val="right" w:pos="9026" w:leader="dot"/>
            </w:tabs>
            <w:rPr/>
          </w:pPr>
          <w:hyperlink w:anchor="__RefHeading___Toc4020253_372815092">
            <w:r>
              <w:rPr>
                <w:webHidden/>
                <w:rStyle w:val="IndexLink"/>
                <w:rtl w:val="true"/>
              </w:rPr>
              <w:t>القرينةالثانية</w:t>
            </w:r>
            <w:r>
              <w:rPr>
                <w:rStyle w:val="IndexLink"/>
                <w:rtl w:val="true"/>
              </w:rPr>
              <w:t xml:space="preserve">: </w:t>
            </w:r>
            <w:r>
              <w:rPr>
                <w:rStyle w:val="IndexLink"/>
                <w:rtl w:val="true"/>
              </w:rPr>
              <w:t xml:space="preserve">استخدام القرآن، والسُّنَّة لمادَّة </w:t>
            </w:r>
            <w:r>
              <w:rPr>
                <w:rStyle w:val="IndexLink"/>
                <w:rtl w:val="true"/>
              </w:rPr>
              <w:t>(</w:t>
            </w:r>
            <w:r>
              <w:rPr>
                <w:rStyle w:val="IndexLink"/>
                <w:rtl w:val="true"/>
              </w:rPr>
              <w:t>غَنِم</w:t>
            </w:r>
            <w:r>
              <w:rPr>
                <w:rStyle w:val="IndexLink"/>
                <w:rtl w:val="true"/>
              </w:rPr>
              <w:t xml:space="preserve">) </w:t>
            </w:r>
            <w:r>
              <w:rPr>
                <w:rStyle w:val="IndexLink"/>
                <w:rtl w:val="true"/>
              </w:rPr>
              <w:t>في مطلق الفائدة</w:t>
            </w:r>
            <w:r>
              <w:rPr>
                <w:rStyle w:val="IndexLink"/>
                <w:rtl w:val="true"/>
              </w:rPr>
              <w:t>:</w:t>
              <w:tab/>
            </w:r>
            <w:r>
              <w:rPr>
                <w:rStyle w:val="IndexLink"/>
              </w:rPr>
              <w:t>21</w:t>
            </w:r>
          </w:hyperlink>
        </w:p>
        <w:p>
          <w:pPr>
            <w:pStyle w:val="Contents4"/>
            <w:tabs>
              <w:tab w:val="clear" w:pos="8176"/>
              <w:tab w:val="right" w:pos="9026" w:leader="dot"/>
            </w:tabs>
            <w:rPr/>
          </w:pPr>
          <w:hyperlink w:anchor="__RefHeading___Toc4020255_372815092">
            <w:r>
              <w:rPr>
                <w:webHidden/>
                <w:rStyle w:val="IndexLink"/>
                <w:rtl w:val="true"/>
              </w:rPr>
              <w:t>القرينة الثالثة</w:t>
            </w:r>
            <w:r>
              <w:rPr>
                <w:rStyle w:val="IndexLink"/>
                <w:rtl w:val="true"/>
              </w:rPr>
              <w:t xml:space="preserve">: </w:t>
            </w:r>
            <w:r>
              <w:rPr>
                <w:rStyle w:val="IndexLink"/>
                <w:rtl w:val="true"/>
              </w:rPr>
              <w:t xml:space="preserve">القرائن الداخلية من نفس آية </w:t>
            </w:r>
            <w:r>
              <w:rPr>
                <w:rStyle w:val="IndexLink"/>
                <w:rtl w:val="true"/>
              </w:rPr>
              <w:t>(</w:t>
            </w:r>
            <w:r>
              <w:rPr>
                <w:rStyle w:val="IndexLink"/>
                <w:rtl w:val="true"/>
              </w:rPr>
              <w:t>الغنيمة</w:t>
            </w:r>
            <w:r>
              <w:rPr>
                <w:rStyle w:val="IndexLink"/>
                <w:rtl w:val="true"/>
              </w:rPr>
              <w:t>):</w:t>
              <w:tab/>
            </w:r>
            <w:r>
              <w:rPr>
                <w:rStyle w:val="IndexLink"/>
              </w:rPr>
              <w:t>23</w:t>
            </w:r>
          </w:hyperlink>
        </w:p>
        <w:p>
          <w:pPr>
            <w:pStyle w:val="Contents4"/>
            <w:tabs>
              <w:tab w:val="clear" w:pos="8176"/>
              <w:tab w:val="right" w:pos="9026" w:leader="dot"/>
            </w:tabs>
            <w:rPr/>
          </w:pPr>
          <w:hyperlink w:anchor="__RefHeading___Toc4020257_372815092">
            <w:r>
              <w:rPr>
                <w:webHidden/>
                <w:rStyle w:val="IndexLink"/>
                <w:rtl w:val="true"/>
              </w:rPr>
              <w:t>إشكال ودفع</w:t>
            </w:r>
            <w:r>
              <w:rPr>
                <w:rStyle w:val="IndexLink"/>
                <w:rtl w:val="true"/>
              </w:rPr>
              <w:t>:</w:t>
              <w:tab/>
            </w:r>
            <w:r>
              <w:rPr>
                <w:rStyle w:val="IndexLink"/>
              </w:rPr>
              <w:t>23</w:t>
            </w:r>
          </w:hyperlink>
        </w:p>
        <w:p>
          <w:pPr>
            <w:pStyle w:val="Contents4"/>
            <w:tabs>
              <w:tab w:val="clear" w:pos="8176"/>
              <w:tab w:val="right" w:pos="9026" w:leader="dot"/>
            </w:tabs>
            <w:rPr/>
          </w:pPr>
          <w:hyperlink w:anchor="__RefHeading___Toc4020259_372815092">
            <w:r>
              <w:rPr>
                <w:webHidden/>
                <w:rStyle w:val="IndexLink"/>
                <w:rtl w:val="true"/>
              </w:rPr>
              <w:t>القرينة الرابعة</w:t>
            </w:r>
            <w:r>
              <w:rPr>
                <w:rStyle w:val="IndexLink"/>
                <w:rtl w:val="true"/>
              </w:rPr>
              <w:t xml:space="preserve">: </w:t>
            </w:r>
            <w:r>
              <w:rPr>
                <w:rStyle w:val="IndexLink"/>
                <w:rtl w:val="true"/>
              </w:rPr>
              <w:t>النصوص المفسِّرة لآية الخُمُس</w:t>
            </w:r>
            <w:r>
              <w:rPr>
                <w:rStyle w:val="IndexLink"/>
                <w:rtl w:val="true"/>
              </w:rPr>
              <w:t>:</w:t>
              <w:tab/>
            </w:r>
            <w:r>
              <w:rPr>
                <w:rStyle w:val="IndexLink"/>
              </w:rPr>
              <w:t>24</w:t>
            </w:r>
          </w:hyperlink>
        </w:p>
        <w:p>
          <w:pPr>
            <w:pStyle w:val="Contents3"/>
            <w:tabs>
              <w:tab w:val="clear" w:pos="8459"/>
              <w:tab w:val="right" w:pos="9026" w:leader="dot"/>
            </w:tabs>
            <w:rPr/>
          </w:pPr>
          <w:hyperlink w:anchor="__RefHeading___Toc4020261_372815092">
            <w:r>
              <w:rPr>
                <w:webHidden/>
                <w:rStyle w:val="IndexLink"/>
                <w:rtl w:val="true"/>
              </w:rPr>
              <w:t>الدليل الثاني</w:t>
            </w:r>
            <w:r>
              <w:rPr>
                <w:rStyle w:val="IndexLink"/>
                <w:rtl w:val="true"/>
              </w:rPr>
              <w:t xml:space="preserve">: </w:t>
            </w:r>
            <w:r>
              <w:rPr>
                <w:rStyle w:val="IndexLink"/>
                <w:rtl w:val="true"/>
              </w:rPr>
              <w:t>السّنَّة الشريفة</w:t>
            </w:r>
            <w:r>
              <w:rPr>
                <w:rStyle w:val="IndexLink"/>
                <w:rtl w:val="true"/>
              </w:rPr>
              <w:t>:</w:t>
              <w:tab/>
            </w:r>
            <w:r>
              <w:rPr>
                <w:rStyle w:val="IndexLink"/>
              </w:rPr>
              <w:t>26</w:t>
            </w:r>
          </w:hyperlink>
        </w:p>
        <w:p>
          <w:pPr>
            <w:pStyle w:val="Contents3"/>
            <w:tabs>
              <w:tab w:val="clear" w:pos="8459"/>
              <w:tab w:val="right" w:pos="9026" w:leader="dot"/>
            </w:tabs>
            <w:rPr/>
          </w:pPr>
          <w:hyperlink w:anchor="__RefHeading___Toc4020263_372815092">
            <w:r>
              <w:rPr>
                <w:webHidden/>
                <w:rStyle w:val="IndexLink"/>
                <w:rtl w:val="true"/>
              </w:rPr>
              <w:t>الدليل الثالث</w:t>
            </w:r>
            <w:r>
              <w:rPr>
                <w:rStyle w:val="IndexLink"/>
                <w:rtl w:val="true"/>
              </w:rPr>
              <w:t xml:space="preserve">: </w:t>
            </w:r>
            <w:r>
              <w:rPr>
                <w:rStyle w:val="IndexLink"/>
                <w:rtl w:val="true"/>
              </w:rPr>
              <w:t>السيرة العملية القطعية</w:t>
            </w:r>
            <w:r>
              <w:rPr>
                <w:rStyle w:val="IndexLink"/>
                <w:rtl w:val="true"/>
              </w:rPr>
              <w:t>:</w:t>
              <w:tab/>
            </w:r>
            <w:r>
              <w:rPr>
                <w:rStyle w:val="IndexLink"/>
              </w:rPr>
              <w:t>30</w:t>
            </w:r>
          </w:hyperlink>
        </w:p>
        <w:p>
          <w:pPr>
            <w:pStyle w:val="Contents3"/>
            <w:tabs>
              <w:tab w:val="clear" w:pos="8459"/>
              <w:tab w:val="right" w:pos="9026" w:leader="dot"/>
            </w:tabs>
            <w:rPr/>
          </w:pPr>
          <w:hyperlink w:anchor="__RefHeading___Toc4020265_372815092">
            <w:r>
              <w:rPr>
                <w:webHidden/>
                <w:rStyle w:val="IndexLink"/>
                <w:rtl w:val="true"/>
              </w:rPr>
              <w:t>الدليل الرابع</w:t>
            </w:r>
            <w:r>
              <w:rPr>
                <w:rStyle w:val="IndexLink"/>
                <w:rtl w:val="true"/>
              </w:rPr>
              <w:t xml:space="preserve">: </w:t>
            </w:r>
            <w:r>
              <w:rPr>
                <w:rStyle w:val="IndexLink"/>
                <w:rtl w:val="true"/>
              </w:rPr>
              <w:t>الإجماع</w:t>
            </w:r>
            <w:r>
              <w:rPr>
                <w:rStyle w:val="IndexLink"/>
                <w:rtl w:val="true"/>
              </w:rPr>
              <w:t>:</w:t>
              <w:tab/>
            </w:r>
            <w:r>
              <w:rPr>
                <w:rStyle w:val="IndexLink"/>
              </w:rPr>
              <w:t>32</w:t>
            </w:r>
          </w:hyperlink>
        </w:p>
        <w:p>
          <w:pPr>
            <w:pStyle w:val="Contents2"/>
            <w:tabs>
              <w:tab w:val="clear" w:pos="8743"/>
              <w:tab w:val="right" w:pos="9026" w:leader="dot"/>
            </w:tabs>
            <w:rPr/>
          </w:pPr>
          <w:hyperlink w:anchor="__RefHeading___Toc4020267_372815092">
            <w:r>
              <w:rPr>
                <w:webHidden/>
                <w:rStyle w:val="IndexLink"/>
                <w:rtl w:val="true"/>
              </w:rPr>
              <w:t>الشبهة الثانية</w:t>
            </w:r>
            <w:r>
              <w:rPr>
                <w:rStyle w:val="IndexLink"/>
                <w:rtl w:val="true"/>
              </w:rPr>
              <w:t xml:space="preserve">: </w:t>
            </w:r>
            <w:r>
              <w:rPr>
                <w:rStyle w:val="IndexLink"/>
                <w:rtl w:val="true"/>
              </w:rPr>
              <w:t>عدم تفعيل النبيِّ لخُمُس المكاسب وعدم جبايته إلى عهد الصادقين دليل على عدم تشريعه</w:t>
            </w:r>
            <w:r>
              <w:rPr>
                <w:rStyle w:val="IndexLink"/>
                <w:rtl w:val="true"/>
              </w:rPr>
              <w:tab/>
            </w:r>
            <w:r>
              <w:rPr>
                <w:rStyle w:val="IndexLink"/>
              </w:rPr>
              <w:t>35</w:t>
            </w:r>
          </w:hyperlink>
        </w:p>
        <w:p>
          <w:pPr>
            <w:pStyle w:val="Contents3"/>
            <w:tabs>
              <w:tab w:val="clear" w:pos="8459"/>
              <w:tab w:val="right" w:pos="9026" w:leader="dot"/>
            </w:tabs>
            <w:rPr/>
          </w:pPr>
          <w:hyperlink w:anchor="__RefHeading___Toc4020269_372815092">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4020271_372815092">
            <w:r>
              <w:rPr>
                <w:webHidden/>
                <w:rStyle w:val="IndexLink"/>
                <w:rtl w:val="true"/>
              </w:rPr>
              <w:t>مفاد الشبهة</w:t>
            </w:r>
            <w:r>
              <w:rPr>
                <w:rStyle w:val="IndexLink"/>
                <w:rtl w:val="true"/>
              </w:rPr>
              <w:tab/>
            </w:r>
            <w:r>
              <w:rPr>
                <w:rStyle w:val="IndexLink"/>
              </w:rPr>
              <w:t>37</w:t>
            </w:r>
          </w:hyperlink>
        </w:p>
        <w:p>
          <w:pPr>
            <w:pStyle w:val="Contents3"/>
            <w:tabs>
              <w:tab w:val="clear" w:pos="8459"/>
              <w:tab w:val="right" w:pos="9026" w:leader="dot"/>
            </w:tabs>
            <w:rPr/>
          </w:pPr>
          <w:hyperlink w:anchor="__RefHeading___Toc4020273_372815092">
            <w:r>
              <w:rPr>
                <w:webHidden/>
                <w:rStyle w:val="IndexLink"/>
                <w:rtl w:val="true"/>
              </w:rPr>
              <w:t>ردُّ الشبهة</w:t>
            </w:r>
            <w:r>
              <w:rPr>
                <w:rStyle w:val="IndexLink"/>
                <w:rtl w:val="true"/>
              </w:rPr>
              <w:tab/>
            </w:r>
            <w:r>
              <w:rPr>
                <w:rStyle w:val="IndexLink"/>
              </w:rPr>
              <w:t>37</w:t>
            </w:r>
          </w:hyperlink>
        </w:p>
        <w:p>
          <w:pPr>
            <w:pStyle w:val="Contents3"/>
            <w:tabs>
              <w:tab w:val="clear" w:pos="8459"/>
              <w:tab w:val="right" w:pos="9026" w:leader="dot"/>
            </w:tabs>
            <w:rPr/>
          </w:pPr>
          <w:hyperlink w:anchor="__RefHeading___Toc4020275_372815092">
            <w:r>
              <w:rPr>
                <w:webHidden/>
                <w:rStyle w:val="IndexLink"/>
                <w:rtl w:val="true"/>
              </w:rPr>
              <w:t>الأمر الأوَّل</w:t>
            </w:r>
            <w:r>
              <w:rPr>
                <w:rStyle w:val="IndexLink"/>
                <w:rtl w:val="true"/>
              </w:rPr>
              <w:t>:</w:t>
              <w:tab/>
            </w:r>
            <w:r>
              <w:rPr>
                <w:rStyle w:val="IndexLink"/>
              </w:rPr>
              <w:t>37</w:t>
            </w:r>
          </w:hyperlink>
        </w:p>
        <w:p>
          <w:pPr>
            <w:pStyle w:val="Contents3"/>
            <w:tabs>
              <w:tab w:val="clear" w:pos="8459"/>
              <w:tab w:val="right" w:pos="9026" w:leader="dot"/>
            </w:tabs>
            <w:rPr/>
          </w:pPr>
          <w:hyperlink w:anchor="__RefHeading___Toc4020277_372815092">
            <w:r>
              <w:rPr>
                <w:webHidden/>
                <w:rStyle w:val="IndexLink"/>
                <w:rtl w:val="true"/>
              </w:rPr>
              <w:t>الأمر الثاني</w:t>
            </w:r>
            <w:r>
              <w:rPr>
                <w:rStyle w:val="IndexLink"/>
                <w:rtl w:val="true"/>
              </w:rPr>
              <w:t>:</w:t>
              <w:tab/>
            </w:r>
            <w:r>
              <w:rPr>
                <w:rStyle w:val="IndexLink"/>
              </w:rPr>
              <w:t>39</w:t>
            </w:r>
          </w:hyperlink>
        </w:p>
        <w:p>
          <w:pPr>
            <w:pStyle w:val="Contents3"/>
            <w:tabs>
              <w:tab w:val="clear" w:pos="8459"/>
              <w:tab w:val="right" w:pos="9026" w:leader="dot"/>
            </w:tabs>
            <w:rPr/>
          </w:pPr>
          <w:hyperlink w:anchor="__RefHeading___Toc4020279_372815092">
            <w:r>
              <w:rPr>
                <w:webHidden/>
                <w:rStyle w:val="IndexLink"/>
                <w:rtl w:val="true"/>
              </w:rPr>
              <w:t>الأمر الثالث</w:t>
            </w:r>
            <w:r>
              <w:rPr>
                <w:rStyle w:val="IndexLink"/>
                <w:rtl w:val="true"/>
              </w:rPr>
              <w:t>:</w:t>
              <w:tab/>
            </w:r>
            <w:r>
              <w:rPr>
                <w:rStyle w:val="IndexLink"/>
              </w:rPr>
              <w:t>39</w:t>
            </w:r>
          </w:hyperlink>
        </w:p>
        <w:p>
          <w:pPr>
            <w:pStyle w:val="Contents3"/>
            <w:tabs>
              <w:tab w:val="clear" w:pos="8459"/>
              <w:tab w:val="right" w:pos="9026" w:leader="dot"/>
            </w:tabs>
            <w:rPr/>
          </w:pPr>
          <w:hyperlink w:anchor="__RefHeading___Toc4020281_372815092">
            <w:r>
              <w:rPr>
                <w:webHidden/>
                <w:rStyle w:val="IndexLink"/>
                <w:rtl w:val="true"/>
              </w:rPr>
              <w:t>الأمر الرابع</w:t>
            </w:r>
            <w:r>
              <w:rPr>
                <w:rStyle w:val="IndexLink"/>
                <w:rtl w:val="true"/>
              </w:rPr>
              <w:t>:</w:t>
              <w:tab/>
            </w:r>
            <w:r>
              <w:rPr>
                <w:rStyle w:val="IndexLink"/>
              </w:rPr>
              <w:t>42</w:t>
            </w:r>
          </w:hyperlink>
        </w:p>
        <w:p>
          <w:pPr>
            <w:pStyle w:val="Contents3"/>
            <w:tabs>
              <w:tab w:val="clear" w:pos="8459"/>
              <w:tab w:val="right" w:pos="9026" w:leader="dot"/>
            </w:tabs>
            <w:rPr/>
          </w:pPr>
          <w:hyperlink w:anchor="__RefHeading___Toc4020283_372815092">
            <w:r>
              <w:rPr>
                <w:webHidden/>
                <w:rStyle w:val="IndexLink"/>
                <w:rtl w:val="true"/>
              </w:rPr>
              <w:t>الأمر الخامس</w:t>
            </w:r>
            <w:r>
              <w:rPr>
                <w:rStyle w:val="IndexLink"/>
                <w:rtl w:val="true"/>
              </w:rPr>
              <w:t>:</w:t>
              <w:tab/>
            </w:r>
            <w:r>
              <w:rPr>
                <w:rStyle w:val="IndexLink"/>
              </w:rPr>
              <w:t>43</w:t>
            </w:r>
          </w:hyperlink>
        </w:p>
        <w:p>
          <w:pPr>
            <w:pStyle w:val="Contents4"/>
            <w:tabs>
              <w:tab w:val="clear" w:pos="8176"/>
              <w:tab w:val="right" w:pos="9026" w:leader="dot"/>
            </w:tabs>
            <w:rPr/>
          </w:pPr>
          <w:hyperlink w:anchor="__RefHeading___Toc4020285_372815092">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4020287_372815092">
            <w:r>
              <w:rPr>
                <w:webHidden/>
                <w:rStyle w:val="IndexLink"/>
                <w:rtl w:val="true"/>
              </w:rPr>
              <w:t>أوَّلاً</w:t>
            </w:r>
            <w:r>
              <w:rPr>
                <w:rStyle w:val="IndexLink"/>
                <w:rtl w:val="true"/>
              </w:rPr>
              <w:t xml:space="preserve">: </w:t>
            </w:r>
            <w:r>
              <w:rPr>
                <w:rStyle w:val="IndexLink"/>
                <w:rtl w:val="true"/>
              </w:rPr>
              <w:t>الشواهد التاريخية</w:t>
            </w:r>
            <w:r>
              <w:rPr>
                <w:rStyle w:val="IndexLink"/>
                <w:rtl w:val="true"/>
              </w:rPr>
              <w:t>:</w:t>
              <w:tab/>
            </w:r>
            <w:r>
              <w:rPr>
                <w:rStyle w:val="IndexLink"/>
              </w:rPr>
              <w:t>43</w:t>
            </w:r>
          </w:hyperlink>
        </w:p>
        <w:p>
          <w:pPr>
            <w:pStyle w:val="Contents4"/>
            <w:tabs>
              <w:tab w:val="clear" w:pos="8176"/>
              <w:tab w:val="right" w:pos="9026" w:leader="dot"/>
            </w:tabs>
            <w:rPr/>
          </w:pPr>
          <w:hyperlink w:anchor="__RefHeading___Toc4020289_372815092">
            <w:r>
              <w:rPr>
                <w:webHidden/>
                <w:rStyle w:val="IndexLink"/>
                <w:rtl w:val="true"/>
              </w:rPr>
              <w:t>ثانياً</w:t>
            </w:r>
            <w:r>
              <w:rPr>
                <w:rStyle w:val="IndexLink"/>
                <w:rtl w:val="true"/>
              </w:rPr>
              <w:t xml:space="preserve">: </w:t>
            </w:r>
            <w:r>
              <w:rPr>
                <w:rStyle w:val="IndexLink"/>
                <w:rtl w:val="true"/>
              </w:rPr>
              <w:t>الشواهد الروائية</w:t>
            </w:r>
            <w:r>
              <w:rPr>
                <w:rStyle w:val="IndexLink"/>
                <w:rtl w:val="true"/>
              </w:rPr>
              <w:t>:</w:t>
              <w:tab/>
            </w:r>
            <w:r>
              <w:rPr>
                <w:rStyle w:val="IndexLink"/>
              </w:rPr>
              <w:t>45</w:t>
            </w:r>
          </w:hyperlink>
        </w:p>
        <w:p>
          <w:pPr>
            <w:pStyle w:val="Contents2"/>
            <w:tabs>
              <w:tab w:val="clear" w:pos="8743"/>
              <w:tab w:val="right" w:pos="9026" w:leader="dot"/>
            </w:tabs>
            <w:rPr/>
          </w:pPr>
          <w:hyperlink w:anchor="__RefHeading___Toc4020291_372815092">
            <w:r>
              <w:rPr>
                <w:webHidden/>
                <w:rStyle w:val="IndexLink"/>
                <w:rtl w:val="true"/>
              </w:rPr>
              <w:t>الشبهة الثالثة</w:t>
            </w:r>
            <w:r>
              <w:rPr>
                <w:rStyle w:val="IndexLink"/>
                <w:rtl w:val="true"/>
              </w:rPr>
              <w:t xml:space="preserve">: </w:t>
            </w:r>
            <w:r>
              <w:rPr>
                <w:rStyle w:val="IndexLink"/>
                <w:rtl w:val="true"/>
              </w:rPr>
              <w:t>ابن أبي عقيل وابن الجنيد قالا بعدم وجوب الخُمُس في أرباح المكاسب</w:t>
            </w:r>
            <w:r>
              <w:rPr>
                <w:rStyle w:val="IndexLink"/>
                <w:rtl w:val="true"/>
              </w:rPr>
              <w:tab/>
            </w:r>
            <w:r>
              <w:rPr>
                <w:rStyle w:val="IndexLink"/>
              </w:rPr>
              <w:t>47</w:t>
            </w:r>
          </w:hyperlink>
        </w:p>
        <w:p>
          <w:pPr>
            <w:pStyle w:val="Contents3"/>
            <w:tabs>
              <w:tab w:val="clear" w:pos="8459"/>
              <w:tab w:val="right" w:pos="9026" w:leader="dot"/>
            </w:tabs>
            <w:rPr/>
          </w:pPr>
          <w:hyperlink w:anchor="__RefHeading___Toc4020293_372815092">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4020295_372815092">
            <w:r>
              <w:rPr>
                <w:webHidden/>
                <w:rStyle w:val="IndexLink"/>
                <w:rtl w:val="true"/>
              </w:rPr>
              <w:t>مفاد الشبهة</w:t>
            </w:r>
            <w:r>
              <w:rPr>
                <w:rStyle w:val="IndexLink"/>
                <w:rtl w:val="true"/>
              </w:rPr>
              <w:tab/>
            </w:r>
            <w:r>
              <w:rPr>
                <w:rStyle w:val="IndexLink"/>
              </w:rPr>
              <w:t>49</w:t>
            </w:r>
          </w:hyperlink>
        </w:p>
        <w:p>
          <w:pPr>
            <w:pStyle w:val="Contents3"/>
            <w:tabs>
              <w:tab w:val="clear" w:pos="8459"/>
              <w:tab w:val="right" w:pos="9026" w:leader="dot"/>
            </w:tabs>
            <w:rPr/>
          </w:pPr>
          <w:hyperlink w:anchor="__RefHeading___Toc4020297_372815092">
            <w:r>
              <w:rPr>
                <w:webHidden/>
                <w:rStyle w:val="IndexLink"/>
                <w:rtl w:val="true"/>
              </w:rPr>
              <w:t>ردُّ الشبهة</w:t>
            </w:r>
            <w:r>
              <w:rPr>
                <w:rStyle w:val="IndexLink"/>
                <w:rtl w:val="true"/>
              </w:rPr>
              <w:tab/>
            </w:r>
            <w:r>
              <w:rPr>
                <w:rStyle w:val="IndexLink"/>
              </w:rPr>
              <w:t>49</w:t>
            </w:r>
          </w:hyperlink>
        </w:p>
        <w:p>
          <w:pPr>
            <w:pStyle w:val="Contents2"/>
            <w:tabs>
              <w:tab w:val="clear" w:pos="8743"/>
              <w:tab w:val="right" w:pos="9026" w:leader="dot"/>
            </w:tabs>
            <w:rPr/>
          </w:pPr>
          <w:hyperlink w:anchor="__RefHeading___Toc4020299_372815092">
            <w:r>
              <w:rPr>
                <w:webHidden/>
                <w:rStyle w:val="IndexLink"/>
                <w:rtl w:val="true"/>
              </w:rPr>
              <w:t>الشبهة الرابعة</w:t>
            </w:r>
            <w:r>
              <w:rPr>
                <w:rStyle w:val="IndexLink"/>
                <w:rtl w:val="true"/>
              </w:rPr>
              <w:t xml:space="preserve">: </w:t>
            </w:r>
            <w:r>
              <w:rPr>
                <w:rStyle w:val="IndexLink"/>
                <w:rtl w:val="true"/>
              </w:rPr>
              <w:t>عدم ذكر خُمُس المكاسب في مصنَّفات الفقهاء القدماء</w:t>
            </w:r>
            <w:r>
              <w:rPr>
                <w:rStyle w:val="IndexLink"/>
                <w:rtl w:val="true"/>
              </w:rPr>
              <w:tab/>
            </w:r>
            <w:r>
              <w:rPr>
                <w:rStyle w:val="IndexLink"/>
              </w:rPr>
              <w:t>53</w:t>
            </w:r>
          </w:hyperlink>
        </w:p>
        <w:p>
          <w:pPr>
            <w:pStyle w:val="Contents3"/>
            <w:tabs>
              <w:tab w:val="clear" w:pos="8459"/>
              <w:tab w:val="right" w:pos="9026" w:leader="dot"/>
            </w:tabs>
            <w:rPr/>
          </w:pPr>
          <w:hyperlink w:anchor="__RefHeading___Toc4020301_372815092">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4020303_372815092">
            <w:r>
              <w:rPr>
                <w:webHidden/>
                <w:rStyle w:val="IndexLink"/>
                <w:rtl w:val="true"/>
              </w:rPr>
              <w:t>مفاد الشبهة</w:t>
            </w:r>
            <w:r>
              <w:rPr>
                <w:rStyle w:val="IndexLink"/>
                <w:rtl w:val="true"/>
              </w:rPr>
              <w:tab/>
            </w:r>
            <w:r>
              <w:rPr>
                <w:rStyle w:val="IndexLink"/>
              </w:rPr>
              <w:t>55</w:t>
            </w:r>
          </w:hyperlink>
        </w:p>
        <w:p>
          <w:pPr>
            <w:pStyle w:val="Contents3"/>
            <w:tabs>
              <w:tab w:val="clear" w:pos="8459"/>
              <w:tab w:val="right" w:pos="9026" w:leader="dot"/>
            </w:tabs>
            <w:rPr/>
          </w:pPr>
          <w:hyperlink w:anchor="__RefHeading___Toc4020305_372815092">
            <w:r>
              <w:rPr>
                <w:webHidden/>
                <w:rStyle w:val="IndexLink"/>
                <w:rtl w:val="true"/>
              </w:rPr>
              <w:t>ردُّ الشبهة</w:t>
            </w:r>
            <w:r>
              <w:rPr>
                <w:rStyle w:val="IndexLink"/>
                <w:rtl w:val="true"/>
              </w:rPr>
              <w:tab/>
            </w:r>
            <w:r>
              <w:rPr>
                <w:rStyle w:val="IndexLink"/>
              </w:rPr>
              <w:t>55</w:t>
            </w:r>
          </w:hyperlink>
        </w:p>
        <w:p>
          <w:pPr>
            <w:pStyle w:val="Contents2"/>
            <w:tabs>
              <w:tab w:val="clear" w:pos="8743"/>
              <w:tab w:val="right" w:pos="9026" w:leader="dot"/>
            </w:tabs>
            <w:rPr/>
          </w:pPr>
          <w:hyperlink w:anchor="__RefHeading___Toc4020307_372815092">
            <w:r>
              <w:rPr>
                <w:webHidden/>
                <w:rStyle w:val="IndexLink"/>
                <w:rtl w:val="true"/>
              </w:rPr>
              <w:t>الشبهة الخامسة</w:t>
            </w:r>
            <w:r>
              <w:rPr>
                <w:rStyle w:val="IndexLink"/>
                <w:rtl w:val="true"/>
              </w:rPr>
              <w:t xml:space="preserve">: </w:t>
            </w:r>
            <w:r>
              <w:rPr>
                <w:rStyle w:val="IndexLink"/>
                <w:rtl w:val="true"/>
              </w:rPr>
              <w:t>تحليل الخُمُس في زمن الغيبة الكبرى</w:t>
            </w:r>
            <w:r>
              <w:rPr>
                <w:rStyle w:val="IndexLink"/>
                <w:rtl w:val="true"/>
              </w:rPr>
              <w:tab/>
            </w:r>
            <w:r>
              <w:rPr>
                <w:rStyle w:val="IndexLink"/>
              </w:rPr>
              <w:t>59</w:t>
            </w:r>
          </w:hyperlink>
        </w:p>
        <w:p>
          <w:pPr>
            <w:pStyle w:val="Contents3"/>
            <w:tabs>
              <w:tab w:val="clear" w:pos="8459"/>
              <w:tab w:val="right" w:pos="9026" w:leader="dot"/>
            </w:tabs>
            <w:rPr/>
          </w:pPr>
          <w:hyperlink w:anchor="__RefHeading___Toc4020309_372815092">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4020311_372815092">
            <w:r>
              <w:rPr>
                <w:webHidden/>
                <w:rStyle w:val="IndexLink"/>
                <w:rtl w:val="true"/>
              </w:rPr>
              <w:t>مفاد الشبهة</w:t>
            </w:r>
            <w:r>
              <w:rPr>
                <w:rStyle w:val="IndexLink"/>
                <w:rtl w:val="true"/>
              </w:rPr>
              <w:tab/>
            </w:r>
            <w:r>
              <w:rPr>
                <w:rStyle w:val="IndexLink"/>
              </w:rPr>
              <w:t>61</w:t>
            </w:r>
          </w:hyperlink>
        </w:p>
        <w:p>
          <w:pPr>
            <w:pStyle w:val="Contents3"/>
            <w:tabs>
              <w:tab w:val="clear" w:pos="8459"/>
              <w:tab w:val="right" w:pos="9026" w:leader="dot"/>
            </w:tabs>
            <w:rPr/>
          </w:pPr>
          <w:hyperlink w:anchor="__RefHeading___Toc4020313_372815092">
            <w:r>
              <w:rPr>
                <w:webHidden/>
                <w:rStyle w:val="IndexLink"/>
                <w:rtl w:val="true"/>
              </w:rPr>
              <w:t>ردُّ الشبهة</w:t>
            </w:r>
            <w:r>
              <w:rPr>
                <w:rStyle w:val="IndexLink"/>
                <w:rtl w:val="true"/>
              </w:rPr>
              <w:tab/>
            </w:r>
            <w:r>
              <w:rPr>
                <w:rStyle w:val="IndexLink"/>
              </w:rPr>
              <w:t>61</w:t>
            </w:r>
          </w:hyperlink>
        </w:p>
        <w:p>
          <w:pPr>
            <w:pStyle w:val="Contents3"/>
            <w:tabs>
              <w:tab w:val="clear" w:pos="8459"/>
              <w:tab w:val="right" w:pos="9026" w:leader="dot"/>
            </w:tabs>
            <w:rPr/>
          </w:pPr>
          <w:hyperlink w:anchor="__RefHeading___Toc4020315_372815092">
            <w:r>
              <w:rPr>
                <w:webHidden/>
                <w:rStyle w:val="IndexLink"/>
                <w:rtl w:val="true"/>
              </w:rPr>
              <w:t>الجواب الأوَّل</w:t>
            </w:r>
            <w:r>
              <w:rPr>
                <w:rStyle w:val="IndexLink"/>
                <w:rtl w:val="true"/>
              </w:rPr>
              <w:t>:</w:t>
              <w:tab/>
            </w:r>
            <w:r>
              <w:rPr>
                <w:rStyle w:val="IndexLink"/>
              </w:rPr>
              <w:t>62</w:t>
            </w:r>
          </w:hyperlink>
        </w:p>
        <w:p>
          <w:pPr>
            <w:pStyle w:val="Contents4"/>
            <w:tabs>
              <w:tab w:val="clear" w:pos="8176"/>
              <w:tab w:val="right" w:pos="9026" w:leader="dot"/>
            </w:tabs>
            <w:rPr/>
          </w:pPr>
          <w:hyperlink w:anchor="__RefHeading___Toc4020317_372815092">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4020319_372815092">
            <w:r>
              <w:rPr>
                <w:webHidden/>
                <w:rStyle w:val="IndexLink"/>
                <w:rtl w:val="true"/>
              </w:rPr>
              <w:t>الطائفة الأُولىٰ</w:t>
            </w:r>
            <w:r>
              <w:rPr>
                <w:rStyle w:val="IndexLink"/>
                <w:rtl w:val="true"/>
              </w:rPr>
              <w:t>:</w:t>
              <w:tab/>
            </w:r>
            <w:r>
              <w:rPr>
                <w:rStyle w:val="IndexLink"/>
              </w:rPr>
              <w:t>62</w:t>
            </w:r>
          </w:hyperlink>
        </w:p>
        <w:p>
          <w:pPr>
            <w:pStyle w:val="Contents4"/>
            <w:tabs>
              <w:tab w:val="clear" w:pos="8176"/>
              <w:tab w:val="right" w:pos="9026" w:leader="dot"/>
            </w:tabs>
            <w:rPr/>
          </w:pPr>
          <w:hyperlink w:anchor="__RefHeading___Toc4020321_372815092">
            <w:r>
              <w:rPr>
                <w:webHidden/>
                <w:rStyle w:val="IndexLink"/>
                <w:rtl w:val="true"/>
              </w:rPr>
              <w:t>الطائفة الثانية</w:t>
            </w:r>
            <w:r>
              <w:rPr>
                <w:rStyle w:val="IndexLink"/>
                <w:rtl w:val="true"/>
              </w:rPr>
              <w:t>:</w:t>
              <w:tab/>
            </w:r>
            <w:r>
              <w:rPr>
                <w:rStyle w:val="IndexLink"/>
              </w:rPr>
              <w:t>62</w:t>
            </w:r>
          </w:hyperlink>
        </w:p>
        <w:p>
          <w:pPr>
            <w:pStyle w:val="Contents4"/>
            <w:tabs>
              <w:tab w:val="clear" w:pos="8176"/>
              <w:tab w:val="right" w:pos="9026" w:leader="dot"/>
            </w:tabs>
            <w:rPr/>
          </w:pPr>
          <w:hyperlink w:anchor="__RefHeading___Toc4020323_372815092">
            <w:r>
              <w:rPr>
                <w:webHidden/>
                <w:rStyle w:val="IndexLink"/>
                <w:rtl w:val="true"/>
              </w:rPr>
              <w:t>الطائفة الثالثة</w:t>
            </w:r>
            <w:r>
              <w:rPr>
                <w:rStyle w:val="IndexLink"/>
                <w:rtl w:val="true"/>
              </w:rPr>
              <w:t>:</w:t>
              <w:tab/>
            </w:r>
            <w:r>
              <w:rPr>
                <w:rStyle w:val="IndexLink"/>
              </w:rPr>
              <w:t>64</w:t>
            </w:r>
          </w:hyperlink>
        </w:p>
        <w:p>
          <w:pPr>
            <w:pStyle w:val="Contents4"/>
            <w:tabs>
              <w:tab w:val="clear" w:pos="8176"/>
              <w:tab w:val="right" w:pos="9026" w:leader="dot"/>
            </w:tabs>
            <w:rPr/>
          </w:pPr>
          <w:hyperlink w:anchor="__RefHeading___Toc4020325_372815092">
            <w:r>
              <w:rPr>
                <w:webHidden/>
                <w:rStyle w:val="IndexLink"/>
                <w:rtl w:val="true"/>
              </w:rPr>
              <w:t>الطائفة الرابعة</w:t>
            </w:r>
            <w:r>
              <w:rPr>
                <w:rStyle w:val="IndexLink"/>
                <w:rtl w:val="true"/>
              </w:rPr>
              <w:t>:</w:t>
              <w:tab/>
            </w:r>
            <w:r>
              <w:rPr>
                <w:rStyle w:val="IndexLink"/>
              </w:rPr>
              <w:t>66</w:t>
            </w:r>
          </w:hyperlink>
        </w:p>
        <w:p>
          <w:pPr>
            <w:pStyle w:val="Contents3"/>
            <w:tabs>
              <w:tab w:val="clear" w:pos="8459"/>
              <w:tab w:val="right" w:pos="9026" w:leader="dot"/>
            </w:tabs>
            <w:rPr/>
          </w:pPr>
          <w:hyperlink w:anchor="__RefHeading___Toc4020327_372815092">
            <w:r>
              <w:rPr>
                <w:webHidden/>
                <w:rStyle w:val="IndexLink"/>
                <w:rtl w:val="true"/>
              </w:rPr>
              <w:t>الجواب الثاني</w:t>
            </w:r>
            <w:r>
              <w:rPr>
                <w:rStyle w:val="IndexLink"/>
                <w:rtl w:val="true"/>
              </w:rPr>
              <w:t xml:space="preserve">: </w:t>
            </w:r>
            <w:r>
              <w:rPr>
                <w:rStyle w:val="IndexLink"/>
                <w:rtl w:val="true"/>
              </w:rPr>
              <w:t>منافاة أخبار التحليل للسيرة العملية القطعية</w:t>
            </w:r>
            <w:r>
              <w:rPr>
                <w:rStyle w:val="IndexLink"/>
                <w:rtl w:val="true"/>
              </w:rPr>
              <w:t>:</w:t>
              <w:tab/>
            </w:r>
            <w:r>
              <w:rPr>
                <w:rStyle w:val="IndexLink"/>
              </w:rPr>
              <w:t>68</w:t>
            </w:r>
          </w:hyperlink>
        </w:p>
        <w:p>
          <w:pPr>
            <w:pStyle w:val="Contents3"/>
            <w:tabs>
              <w:tab w:val="clear" w:pos="8459"/>
              <w:tab w:val="right" w:pos="9026" w:leader="dot"/>
            </w:tabs>
            <w:rPr/>
          </w:pPr>
          <w:hyperlink w:anchor="__RefHeading___Toc4020329_372815092">
            <w:r>
              <w:rPr>
                <w:webHidden/>
                <w:rStyle w:val="IndexLink"/>
                <w:rtl w:val="true"/>
              </w:rPr>
              <w:t>الجواب الثالث</w:t>
            </w:r>
            <w:r>
              <w:rPr>
                <w:rStyle w:val="IndexLink"/>
                <w:rtl w:val="true"/>
              </w:rPr>
              <w:t>:</w:t>
              <w:tab/>
            </w:r>
            <w:r>
              <w:rPr>
                <w:rStyle w:val="IndexLink"/>
              </w:rPr>
              <w:t>69</w:t>
            </w:r>
          </w:hyperlink>
        </w:p>
        <w:p>
          <w:pPr>
            <w:pStyle w:val="Contents3"/>
            <w:tabs>
              <w:tab w:val="clear" w:pos="8459"/>
              <w:tab w:val="right" w:pos="9026" w:leader="dot"/>
            </w:tabs>
            <w:rPr/>
          </w:pPr>
          <w:hyperlink w:anchor="__RefHeading___Toc4020331_372815092">
            <w:r>
              <w:rPr>
                <w:webHidden/>
                <w:rStyle w:val="IndexLink"/>
                <w:rtl w:val="true"/>
              </w:rPr>
              <w:t>الجواب الرابع</w:t>
            </w:r>
            <w:r>
              <w:rPr>
                <w:rStyle w:val="IndexLink"/>
                <w:rtl w:val="true"/>
              </w:rPr>
              <w:t>:</w:t>
              <w:tab/>
            </w:r>
            <w:r>
              <w:rPr>
                <w:rStyle w:val="IndexLink"/>
              </w:rPr>
              <w:t>70</w:t>
            </w:r>
          </w:hyperlink>
        </w:p>
        <w:p>
          <w:pPr>
            <w:pStyle w:val="Contents3"/>
            <w:tabs>
              <w:tab w:val="clear" w:pos="8459"/>
              <w:tab w:val="right" w:pos="9026" w:leader="dot"/>
            </w:tabs>
            <w:rPr/>
          </w:pPr>
          <w:hyperlink w:anchor="__RefHeading___Toc4020333_372815092">
            <w:r>
              <w:rPr>
                <w:webHidden/>
                <w:rStyle w:val="IndexLink"/>
                <w:rtl w:val="true"/>
              </w:rPr>
              <w:t>الجواب الخامس</w:t>
            </w:r>
            <w:r>
              <w:rPr>
                <w:rStyle w:val="IndexLink"/>
                <w:rtl w:val="true"/>
              </w:rPr>
              <w:t>:</w:t>
              <w:tab/>
            </w:r>
            <w:r>
              <w:rPr>
                <w:rStyle w:val="IndexLink"/>
              </w:rPr>
              <w:t>70</w:t>
            </w:r>
          </w:hyperlink>
        </w:p>
        <w:p>
          <w:pPr>
            <w:pStyle w:val="Contents3"/>
            <w:tabs>
              <w:tab w:val="clear" w:pos="8459"/>
              <w:tab w:val="right" w:pos="9026" w:leader="dot"/>
            </w:tabs>
            <w:rPr/>
          </w:pPr>
          <w:hyperlink w:anchor="__RefHeading___Toc4020335_372815092">
            <w:r>
              <w:rPr>
                <w:webHidden/>
                <w:rStyle w:val="IndexLink"/>
                <w:rtl w:val="true"/>
              </w:rPr>
              <w:t>أسباب تحليل الخُمُس</w:t>
            </w:r>
            <w:r>
              <w:rPr>
                <w:rStyle w:val="IndexLink"/>
                <w:rtl w:val="true"/>
              </w:rPr>
              <w:t>:</w:t>
              <w:tab/>
            </w:r>
            <w:r>
              <w:rPr>
                <w:rStyle w:val="IndexLink"/>
              </w:rPr>
              <w:t>71</w:t>
            </w:r>
          </w:hyperlink>
        </w:p>
        <w:p>
          <w:pPr>
            <w:pStyle w:val="Contents3"/>
            <w:tabs>
              <w:tab w:val="clear" w:pos="8459"/>
              <w:tab w:val="right" w:pos="9026" w:leader="dot"/>
            </w:tabs>
            <w:rPr/>
          </w:pPr>
          <w:hyperlink w:anchor="__RefHeading___Toc4020337_372815092">
            <w:r>
              <w:rPr>
                <w:webHidden/>
                <w:rStyle w:val="IndexLink"/>
                <w:rtl w:val="true"/>
              </w:rPr>
              <w:t>أوَّلاً</w:t>
            </w:r>
            <w:r>
              <w:rPr>
                <w:rStyle w:val="IndexLink"/>
                <w:rtl w:val="true"/>
              </w:rPr>
              <w:t xml:space="preserve">: </w:t>
            </w:r>
            <w:r>
              <w:rPr>
                <w:rStyle w:val="IndexLink"/>
                <w:rtl w:val="true"/>
              </w:rPr>
              <w:t>تحليل الخُمُس لأجل طيب الولادة والمناكح التي تقع بيد الشيعة</w:t>
            </w:r>
            <w:r>
              <w:rPr>
                <w:rStyle w:val="IndexLink"/>
                <w:rtl w:val="true"/>
              </w:rPr>
              <w:t>:</w:t>
              <w:tab/>
            </w:r>
            <w:r>
              <w:rPr>
                <w:rStyle w:val="IndexLink"/>
              </w:rPr>
              <w:t>71</w:t>
            </w:r>
          </w:hyperlink>
        </w:p>
        <w:p>
          <w:pPr>
            <w:pStyle w:val="Contents3"/>
            <w:tabs>
              <w:tab w:val="clear" w:pos="8459"/>
              <w:tab w:val="right" w:pos="9026" w:leader="dot"/>
            </w:tabs>
            <w:rPr/>
          </w:pPr>
          <w:hyperlink w:anchor="__RefHeading___Toc4020339_372815092">
            <w:r>
              <w:rPr>
                <w:webHidden/>
                <w:rStyle w:val="IndexLink"/>
                <w:rtl w:val="true"/>
              </w:rPr>
              <w:t>ثانياً</w:t>
            </w:r>
            <w:r>
              <w:rPr>
                <w:rStyle w:val="IndexLink"/>
                <w:rtl w:val="true"/>
              </w:rPr>
              <w:t xml:space="preserve">: </w:t>
            </w:r>
            <w:r>
              <w:rPr>
                <w:rStyle w:val="IndexLink"/>
                <w:rtl w:val="true"/>
              </w:rPr>
              <w:t>تحليل الأنفال وما يملكه الولاة والمقاتلون بغير إذن</w:t>
            </w:r>
            <w:r>
              <w:rPr>
                <w:rStyle w:val="IndexLink"/>
                <w:rtl w:val="true"/>
              </w:rPr>
              <w:t>:</w:t>
              <w:tab/>
            </w:r>
            <w:r>
              <w:rPr>
                <w:rStyle w:val="IndexLink"/>
              </w:rPr>
              <w:t>73</w:t>
            </w:r>
          </w:hyperlink>
        </w:p>
        <w:p>
          <w:pPr>
            <w:pStyle w:val="Contents3"/>
            <w:tabs>
              <w:tab w:val="clear" w:pos="8459"/>
              <w:tab w:val="right" w:pos="9026" w:leader="dot"/>
            </w:tabs>
            <w:rPr/>
          </w:pPr>
          <w:hyperlink w:anchor="__RefHeading___Toc4020341_372815092">
            <w:r>
              <w:rPr>
                <w:webHidden/>
                <w:rStyle w:val="IndexLink"/>
                <w:rtl w:val="true"/>
              </w:rPr>
              <w:t>ثالثاً</w:t>
            </w:r>
            <w:r>
              <w:rPr>
                <w:rStyle w:val="IndexLink"/>
                <w:rtl w:val="true"/>
              </w:rPr>
              <w:t xml:space="preserve">: </w:t>
            </w:r>
            <w:r>
              <w:rPr>
                <w:rStyle w:val="IndexLink"/>
                <w:rtl w:val="true"/>
              </w:rPr>
              <w:t>تحليل الخُمُس لمن وقع بضائقة وعوز مالي من الشيعة</w:t>
            </w:r>
            <w:r>
              <w:rPr>
                <w:rStyle w:val="IndexLink"/>
                <w:rtl w:val="true"/>
              </w:rPr>
              <w:t>:</w:t>
              <w:tab/>
            </w:r>
            <w:r>
              <w:rPr>
                <w:rStyle w:val="IndexLink"/>
              </w:rPr>
              <w:t>75</w:t>
            </w:r>
          </w:hyperlink>
        </w:p>
        <w:p>
          <w:pPr>
            <w:pStyle w:val="Contents3"/>
            <w:tabs>
              <w:tab w:val="clear" w:pos="8459"/>
              <w:tab w:val="right" w:pos="9026" w:leader="dot"/>
            </w:tabs>
            <w:rPr/>
          </w:pPr>
          <w:hyperlink w:anchor="__RefHeading___Toc4020343_372815092">
            <w:r>
              <w:rPr>
                <w:webHidden/>
                <w:rStyle w:val="IndexLink"/>
                <w:rtl w:val="true"/>
              </w:rPr>
              <w:t>رابعاً</w:t>
            </w:r>
            <w:r>
              <w:rPr>
                <w:rStyle w:val="IndexLink"/>
                <w:rtl w:val="true"/>
              </w:rPr>
              <w:t xml:space="preserve">: </w:t>
            </w:r>
            <w:r>
              <w:rPr>
                <w:rStyle w:val="IndexLink"/>
                <w:rtl w:val="true"/>
              </w:rPr>
              <w:t>ما ينتقل إلىٰ الشيعة من مال غير مخمَّس</w:t>
            </w:r>
            <w:r>
              <w:rPr>
                <w:rStyle w:val="IndexLink"/>
                <w:rtl w:val="true"/>
              </w:rPr>
              <w:t>:</w:t>
              <w:tab/>
            </w:r>
            <w:r>
              <w:rPr>
                <w:rStyle w:val="IndexLink"/>
              </w:rPr>
              <w:t>75</w:t>
            </w:r>
          </w:hyperlink>
        </w:p>
        <w:p>
          <w:pPr>
            <w:pStyle w:val="Contents3"/>
            <w:tabs>
              <w:tab w:val="clear" w:pos="8459"/>
              <w:tab w:val="right" w:pos="9026" w:leader="dot"/>
            </w:tabs>
            <w:rPr/>
          </w:pPr>
          <w:hyperlink w:anchor="__RefHeading___Toc4020345_372815092">
            <w:r>
              <w:rPr>
                <w:webHidden/>
                <w:rStyle w:val="IndexLink"/>
                <w:rtl w:val="true"/>
              </w:rPr>
              <w:t xml:space="preserve">التحليل الصادر عن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76</w:t>
            </w:r>
          </w:hyperlink>
        </w:p>
        <w:p>
          <w:pPr>
            <w:pStyle w:val="Contents3"/>
            <w:tabs>
              <w:tab w:val="clear" w:pos="8459"/>
              <w:tab w:val="right" w:pos="9026" w:leader="dot"/>
            </w:tabs>
            <w:rPr/>
          </w:pPr>
          <w:hyperlink w:anchor="__RefHeading___Toc4020347_372815092">
            <w:r>
              <w:rPr>
                <w:webHidden/>
                <w:rStyle w:val="IndexLink"/>
                <w:rtl w:val="true"/>
              </w:rPr>
              <w:t>الجواب</w:t>
            </w:r>
            <w:r>
              <w:rPr>
                <w:rStyle w:val="IndexLink"/>
                <w:rtl w:val="true"/>
              </w:rPr>
              <w:t>:</w:t>
              <w:tab/>
            </w:r>
            <w:r>
              <w:rPr>
                <w:rStyle w:val="IndexLink"/>
              </w:rPr>
              <w:t>76</w:t>
            </w:r>
          </w:hyperlink>
        </w:p>
        <w:p>
          <w:pPr>
            <w:pStyle w:val="Contents2"/>
            <w:tabs>
              <w:tab w:val="clear" w:pos="8743"/>
              <w:tab w:val="right" w:pos="9026" w:leader="dot"/>
            </w:tabs>
            <w:rPr/>
          </w:pPr>
          <w:hyperlink w:anchor="__RefHeading___Toc4020349_372815092">
            <w:r>
              <w:rPr>
                <w:webHidden/>
                <w:rStyle w:val="IndexLink"/>
                <w:rtl w:val="true"/>
              </w:rPr>
              <w:t>الشبهة السادسة</w:t>
            </w:r>
            <w:r>
              <w:rPr>
                <w:rStyle w:val="IndexLink"/>
                <w:rtl w:val="true"/>
              </w:rPr>
              <w:t xml:space="preserve">: </w:t>
            </w:r>
            <w:r>
              <w:rPr>
                <w:rStyle w:val="IndexLink"/>
                <w:rtl w:val="true"/>
              </w:rPr>
              <w:t>وجوب الخُمُس من الأحكام الولائية</w:t>
            </w:r>
            <w:r>
              <w:rPr>
                <w:rStyle w:val="IndexLink"/>
                <w:rtl w:val="true"/>
              </w:rPr>
              <w:tab/>
            </w:r>
            <w:r>
              <w:rPr>
                <w:rStyle w:val="IndexLink"/>
              </w:rPr>
              <w:t>79</w:t>
            </w:r>
          </w:hyperlink>
        </w:p>
        <w:p>
          <w:pPr>
            <w:pStyle w:val="Contents3"/>
            <w:tabs>
              <w:tab w:val="clear" w:pos="8459"/>
              <w:tab w:val="right" w:pos="9026" w:leader="dot"/>
            </w:tabs>
            <w:rPr/>
          </w:pPr>
          <w:hyperlink w:anchor="__RefHeading___Toc4020351_372815092">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4020353_372815092">
            <w:r>
              <w:rPr>
                <w:webHidden/>
                <w:rStyle w:val="IndexLink"/>
                <w:rtl w:val="true"/>
              </w:rPr>
              <w:t>مفاد الشبهة</w:t>
            </w:r>
            <w:r>
              <w:rPr>
                <w:rStyle w:val="IndexLink"/>
                <w:rtl w:val="true"/>
              </w:rPr>
              <w:tab/>
            </w:r>
            <w:r>
              <w:rPr>
                <w:rStyle w:val="IndexLink"/>
              </w:rPr>
              <w:t>81</w:t>
            </w:r>
          </w:hyperlink>
        </w:p>
        <w:p>
          <w:pPr>
            <w:pStyle w:val="Contents3"/>
            <w:tabs>
              <w:tab w:val="clear" w:pos="8459"/>
              <w:tab w:val="right" w:pos="9026" w:leader="dot"/>
            </w:tabs>
            <w:rPr/>
          </w:pPr>
          <w:hyperlink w:anchor="__RefHeading___Toc4020355_372815092">
            <w:r>
              <w:rPr>
                <w:webHidden/>
                <w:rStyle w:val="IndexLink"/>
                <w:rtl w:val="true"/>
              </w:rPr>
              <w:t>ردُّ الشبهة</w:t>
            </w:r>
            <w:r>
              <w:rPr>
                <w:rStyle w:val="IndexLink"/>
                <w:rtl w:val="true"/>
              </w:rPr>
              <w:tab/>
            </w:r>
            <w:r>
              <w:rPr>
                <w:rStyle w:val="IndexLink"/>
              </w:rPr>
              <w:t>83</w:t>
            </w:r>
          </w:hyperlink>
        </w:p>
        <w:p>
          <w:pPr>
            <w:pStyle w:val="Contents2"/>
            <w:tabs>
              <w:tab w:val="clear" w:pos="8743"/>
              <w:tab w:val="right" w:pos="9026" w:leader="dot"/>
            </w:tabs>
            <w:rPr/>
          </w:pPr>
          <w:hyperlink w:anchor="__RefHeading___Toc4020357_372815092">
            <w:r>
              <w:rPr>
                <w:webHidden/>
                <w:rStyle w:val="IndexLink"/>
                <w:rtl w:val="true"/>
              </w:rPr>
              <w:t>الشبهة السابعة</w:t>
            </w:r>
            <w:r>
              <w:rPr>
                <w:rStyle w:val="IndexLink"/>
                <w:rtl w:val="true"/>
              </w:rPr>
              <w:t xml:space="preserve">: </w:t>
            </w:r>
            <w:r>
              <w:rPr>
                <w:rStyle w:val="IndexLink"/>
                <w:rtl w:val="true"/>
              </w:rPr>
              <w:t>عدم وجود دليل على إيصال الخُمُس إلى الفقيه</w:t>
            </w:r>
            <w:r>
              <w:rPr>
                <w:rStyle w:val="IndexLink"/>
                <w:rtl w:val="true"/>
              </w:rPr>
              <w:tab/>
            </w:r>
            <w:r>
              <w:rPr>
                <w:rStyle w:val="IndexLink"/>
              </w:rPr>
              <w:t>88</w:t>
            </w:r>
          </w:hyperlink>
        </w:p>
        <w:p>
          <w:pPr>
            <w:pStyle w:val="Contents3"/>
            <w:tabs>
              <w:tab w:val="clear" w:pos="8459"/>
              <w:tab w:val="right" w:pos="9026" w:leader="dot"/>
            </w:tabs>
            <w:rPr/>
          </w:pPr>
          <w:hyperlink w:anchor="__RefHeading___Toc4020359_372815092">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4020361_372815092">
            <w:r>
              <w:rPr>
                <w:webHidden/>
                <w:rStyle w:val="IndexLink"/>
                <w:rtl w:val="true"/>
              </w:rPr>
              <w:t>مفاد الشبهة</w:t>
            </w:r>
            <w:r>
              <w:rPr>
                <w:rStyle w:val="IndexLink"/>
                <w:rtl w:val="true"/>
              </w:rPr>
              <w:tab/>
            </w:r>
            <w:r>
              <w:rPr>
                <w:rStyle w:val="IndexLink"/>
              </w:rPr>
              <w:t>90</w:t>
            </w:r>
          </w:hyperlink>
        </w:p>
        <w:p>
          <w:pPr>
            <w:pStyle w:val="Contents3"/>
            <w:tabs>
              <w:tab w:val="clear" w:pos="8459"/>
              <w:tab w:val="right" w:pos="9026" w:leader="dot"/>
            </w:tabs>
            <w:rPr/>
          </w:pPr>
          <w:hyperlink w:anchor="__RefHeading___Toc4020363_372815092">
            <w:r>
              <w:rPr>
                <w:webHidden/>
                <w:rStyle w:val="IndexLink"/>
                <w:rtl w:val="true"/>
              </w:rPr>
              <w:t>ردُّ الشبهة</w:t>
            </w:r>
            <w:r>
              <w:rPr>
                <w:rStyle w:val="IndexLink"/>
                <w:rtl w:val="true"/>
              </w:rPr>
              <w:tab/>
            </w:r>
            <w:r>
              <w:rPr>
                <w:rStyle w:val="IndexLink"/>
              </w:rPr>
              <w:t>90</w:t>
            </w:r>
          </w:hyperlink>
        </w:p>
        <w:p>
          <w:pPr>
            <w:pStyle w:val="Contents3"/>
            <w:tabs>
              <w:tab w:val="clear" w:pos="8459"/>
              <w:tab w:val="right" w:pos="9026" w:leader="dot"/>
            </w:tabs>
            <w:rPr/>
          </w:pPr>
          <w:hyperlink w:anchor="__RefHeading___Toc4020365_372815092">
            <w:r>
              <w:rPr>
                <w:webHidden/>
                <w:rStyle w:val="IndexLink"/>
                <w:rtl w:val="true"/>
              </w:rPr>
              <w:t>الأمر الأوَّل</w:t>
            </w:r>
            <w:r>
              <w:rPr>
                <w:rStyle w:val="IndexLink"/>
                <w:rtl w:val="true"/>
              </w:rPr>
              <w:t>:</w:t>
              <w:tab/>
            </w:r>
            <w:r>
              <w:rPr>
                <w:rStyle w:val="IndexLink"/>
              </w:rPr>
              <w:t>90</w:t>
            </w:r>
          </w:hyperlink>
        </w:p>
        <w:p>
          <w:pPr>
            <w:pStyle w:val="Contents3"/>
            <w:tabs>
              <w:tab w:val="clear" w:pos="8459"/>
              <w:tab w:val="right" w:pos="9026" w:leader="dot"/>
            </w:tabs>
            <w:rPr/>
          </w:pPr>
          <w:hyperlink w:anchor="__RefHeading___Toc4020367_372815092">
            <w:r>
              <w:rPr>
                <w:webHidden/>
                <w:rStyle w:val="IndexLink"/>
                <w:rtl w:val="true"/>
              </w:rPr>
              <w:t>الأمر الثاني</w:t>
            </w:r>
            <w:r>
              <w:rPr>
                <w:rStyle w:val="IndexLink"/>
                <w:rtl w:val="true"/>
              </w:rPr>
              <w:t>:</w:t>
              <w:tab/>
            </w:r>
            <w:r>
              <w:rPr>
                <w:rStyle w:val="IndexLink"/>
              </w:rPr>
              <w:t>91</w:t>
            </w:r>
          </w:hyperlink>
        </w:p>
        <w:p>
          <w:pPr>
            <w:pStyle w:val="Contents3"/>
            <w:tabs>
              <w:tab w:val="clear" w:pos="8459"/>
              <w:tab w:val="right" w:pos="9026" w:leader="dot"/>
            </w:tabs>
            <w:rPr/>
          </w:pPr>
          <w:hyperlink w:anchor="__RefHeading___Toc4020369_372815092">
            <w:r>
              <w:rPr>
                <w:webHidden/>
                <w:rStyle w:val="IndexLink"/>
                <w:rtl w:val="true"/>
              </w:rPr>
              <w:t>الأمر الثالث</w:t>
            </w:r>
            <w:r>
              <w:rPr>
                <w:rStyle w:val="IndexLink"/>
                <w:rtl w:val="true"/>
              </w:rPr>
              <w:t>:</w:t>
              <w:tab/>
            </w:r>
            <w:r>
              <w:rPr>
                <w:rStyle w:val="IndexLink"/>
              </w:rPr>
              <w:t>91</w:t>
            </w:r>
          </w:hyperlink>
        </w:p>
        <w:p>
          <w:pPr>
            <w:pStyle w:val="Contents4"/>
            <w:tabs>
              <w:tab w:val="clear" w:pos="8176"/>
              <w:tab w:val="right" w:pos="9026" w:leader="dot"/>
            </w:tabs>
            <w:rPr/>
          </w:pPr>
          <w:hyperlink w:anchor="__RefHeading___Toc4020371_372815092">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4020373_372815092">
            <w:r>
              <w:rPr>
                <w:webHidden/>
                <w:rStyle w:val="IndexLink"/>
                <w:rtl w:val="true"/>
              </w:rPr>
              <w:t xml:space="preserve">أ </w:t>
            </w:r>
            <w:r>
              <w:rPr>
                <w:rStyle w:val="IndexLink"/>
                <w:rtl w:val="true"/>
              </w:rPr>
              <w:t xml:space="preserve">- </w:t>
            </w:r>
            <w:r>
              <w:rPr>
                <w:rStyle w:val="IndexLink"/>
                <w:rtl w:val="true"/>
              </w:rPr>
              <w:t>إنَّ الخُمُس ملك منصب الإمامة</w:t>
            </w:r>
            <w:r>
              <w:rPr>
                <w:rStyle w:val="IndexLink"/>
                <w:rtl w:val="true"/>
              </w:rPr>
              <w:t>:</w:t>
              <w:tab/>
            </w:r>
            <w:r>
              <w:rPr>
                <w:rStyle w:val="IndexLink"/>
              </w:rPr>
              <w:t>91</w:t>
            </w:r>
          </w:hyperlink>
        </w:p>
        <w:p>
          <w:pPr>
            <w:pStyle w:val="Contents4"/>
            <w:tabs>
              <w:tab w:val="clear" w:pos="8176"/>
              <w:tab w:val="right" w:pos="9026" w:leader="dot"/>
            </w:tabs>
            <w:rPr/>
          </w:pPr>
          <w:hyperlink w:anchor="__RefHeading___Toc4020375_372815092">
            <w:r>
              <w:rPr>
                <w:webHidden/>
                <w:rStyle w:val="IndexLink"/>
                <w:rtl w:val="true"/>
              </w:rPr>
              <w:t xml:space="preserve">ب </w:t>
            </w:r>
            <w:r>
              <w:rPr>
                <w:rStyle w:val="IndexLink"/>
                <w:rtl w:val="true"/>
              </w:rPr>
              <w:t xml:space="preserve">- </w:t>
            </w:r>
            <w:r>
              <w:rPr>
                <w:rStyle w:val="IndexLink"/>
                <w:rtl w:val="true"/>
              </w:rPr>
              <w:t>النيابة العامَّة للفقهاء</w:t>
            </w:r>
            <w:r>
              <w:rPr>
                <w:rStyle w:val="IndexLink"/>
                <w:rtl w:val="true"/>
              </w:rPr>
              <w:t>:</w:t>
              <w:tab/>
            </w:r>
            <w:r>
              <w:rPr>
                <w:rStyle w:val="IndexLink"/>
              </w:rPr>
              <w:t>92</w:t>
            </w:r>
          </w:hyperlink>
        </w:p>
        <w:p>
          <w:pPr>
            <w:pStyle w:val="Contents2"/>
            <w:tabs>
              <w:tab w:val="clear" w:pos="8743"/>
              <w:tab w:val="right" w:pos="9026" w:leader="dot"/>
            </w:tabs>
            <w:rPr/>
          </w:pPr>
          <w:hyperlink w:anchor="__RefHeading___Toc4020377_372815092">
            <w:r>
              <w:rPr>
                <w:webHidden/>
                <w:rStyle w:val="IndexLink"/>
                <w:rtl w:val="true"/>
              </w:rPr>
              <w:t>الشبهة الثامنة</w:t>
            </w:r>
            <w:r>
              <w:rPr>
                <w:rStyle w:val="IndexLink"/>
                <w:rtl w:val="true"/>
              </w:rPr>
              <w:t xml:space="preserve">: </w:t>
            </w:r>
            <w:r>
              <w:rPr>
                <w:rStyle w:val="IndexLink"/>
                <w:rtl w:val="true"/>
              </w:rPr>
              <w:t>آلية جمع وتوزيع فريضة الخُمُس غير تخصُّصية</w:t>
            </w:r>
            <w:r>
              <w:rPr>
                <w:rStyle w:val="IndexLink"/>
                <w:rtl w:val="true"/>
              </w:rPr>
              <w:tab/>
            </w:r>
            <w:r>
              <w:rPr>
                <w:rStyle w:val="IndexLink"/>
              </w:rPr>
              <w:t>96</w:t>
            </w:r>
          </w:hyperlink>
        </w:p>
        <w:p>
          <w:pPr>
            <w:pStyle w:val="Contents3"/>
            <w:tabs>
              <w:tab w:val="clear" w:pos="8459"/>
              <w:tab w:val="right" w:pos="9026" w:leader="dot"/>
            </w:tabs>
            <w:rPr/>
          </w:pPr>
          <w:hyperlink w:anchor="__RefHeading___Toc4020379_372815092">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4020381_372815092">
            <w:r>
              <w:rPr>
                <w:webHidden/>
                <w:rStyle w:val="IndexLink"/>
                <w:rtl w:val="true"/>
              </w:rPr>
              <w:t>مفاد الشبهة</w:t>
            </w:r>
            <w:r>
              <w:rPr>
                <w:rStyle w:val="IndexLink"/>
                <w:rtl w:val="true"/>
              </w:rPr>
              <w:tab/>
            </w:r>
            <w:r>
              <w:rPr>
                <w:rStyle w:val="IndexLink"/>
              </w:rPr>
              <w:t>98</w:t>
            </w:r>
          </w:hyperlink>
        </w:p>
        <w:p>
          <w:pPr>
            <w:pStyle w:val="Contents3"/>
            <w:tabs>
              <w:tab w:val="clear" w:pos="8459"/>
              <w:tab w:val="right" w:pos="9026" w:leader="dot"/>
            </w:tabs>
            <w:rPr/>
          </w:pPr>
          <w:hyperlink w:anchor="__RefHeading___Toc4020383_372815092">
            <w:r>
              <w:rPr>
                <w:webHidden/>
                <w:rStyle w:val="IndexLink"/>
                <w:rtl w:val="true"/>
              </w:rPr>
              <w:t>ردُّ الشبهة</w:t>
            </w:r>
            <w:r>
              <w:rPr>
                <w:rStyle w:val="IndexLink"/>
                <w:rtl w:val="true"/>
              </w:rPr>
              <w:tab/>
            </w:r>
            <w:r>
              <w:rPr>
                <w:rStyle w:val="IndexLink"/>
              </w:rPr>
              <w:t>98</w:t>
            </w:r>
          </w:hyperlink>
        </w:p>
        <w:p>
          <w:pPr>
            <w:pStyle w:val="Contents3"/>
            <w:tabs>
              <w:tab w:val="clear" w:pos="8459"/>
              <w:tab w:val="right" w:pos="9026" w:leader="dot"/>
            </w:tabs>
            <w:rPr/>
          </w:pPr>
          <w:hyperlink w:anchor="__RefHeading___Toc4020385_372815092">
            <w:r>
              <w:rPr>
                <w:webHidden/>
                <w:rStyle w:val="IndexLink"/>
                <w:rtl w:val="true"/>
              </w:rPr>
              <w:t>الأمر الأوَّل</w:t>
            </w:r>
            <w:r>
              <w:rPr>
                <w:rStyle w:val="IndexLink"/>
                <w:rtl w:val="true"/>
              </w:rPr>
              <w:t>:</w:t>
              <w:tab/>
            </w:r>
            <w:r>
              <w:rPr>
                <w:rStyle w:val="IndexLink"/>
              </w:rPr>
              <w:t>98</w:t>
            </w:r>
          </w:hyperlink>
        </w:p>
        <w:p>
          <w:pPr>
            <w:pStyle w:val="Contents3"/>
            <w:tabs>
              <w:tab w:val="clear" w:pos="8459"/>
              <w:tab w:val="right" w:pos="9026" w:leader="dot"/>
            </w:tabs>
            <w:rPr/>
          </w:pPr>
          <w:hyperlink w:anchor="__RefHeading___Toc4020387_372815092">
            <w:r>
              <w:rPr>
                <w:webHidden/>
                <w:rStyle w:val="IndexLink"/>
                <w:rtl w:val="true"/>
              </w:rPr>
              <w:t>الأمر الثاني</w:t>
            </w:r>
            <w:r>
              <w:rPr>
                <w:rStyle w:val="IndexLink"/>
                <w:rtl w:val="true"/>
              </w:rPr>
              <w:t>:</w:t>
              <w:tab/>
            </w:r>
            <w:r>
              <w:rPr>
                <w:rStyle w:val="IndexLink"/>
              </w:rPr>
              <w:t>99</w:t>
            </w:r>
          </w:hyperlink>
        </w:p>
        <w:p>
          <w:pPr>
            <w:pStyle w:val="Contents3"/>
            <w:tabs>
              <w:tab w:val="clear" w:pos="8459"/>
              <w:tab w:val="right" w:pos="9026" w:leader="dot"/>
            </w:tabs>
            <w:rPr/>
          </w:pPr>
          <w:hyperlink w:anchor="__RefHeading___Toc4020389_372815092">
            <w:r>
              <w:rPr>
                <w:webHidden/>
                <w:rStyle w:val="IndexLink"/>
                <w:rtl w:val="true"/>
              </w:rPr>
              <w:t>الأمر الثالث</w:t>
            </w:r>
            <w:r>
              <w:rPr>
                <w:rStyle w:val="IndexLink"/>
                <w:rtl w:val="true"/>
              </w:rPr>
              <w:t>:</w:t>
              <w:tab/>
            </w:r>
            <w:r>
              <w:rPr>
                <w:rStyle w:val="IndexLink"/>
              </w:rPr>
              <w:t>100</w:t>
            </w:r>
          </w:hyperlink>
        </w:p>
        <w:p>
          <w:pPr>
            <w:pStyle w:val="Contents3"/>
            <w:tabs>
              <w:tab w:val="clear" w:pos="8459"/>
              <w:tab w:val="right" w:pos="9026" w:leader="dot"/>
            </w:tabs>
            <w:rPr/>
          </w:pPr>
          <w:hyperlink w:anchor="__RefHeading___Toc4020391_372815092">
            <w:r>
              <w:rPr>
                <w:webHidden/>
                <w:rStyle w:val="IndexLink"/>
                <w:rtl w:val="true"/>
              </w:rPr>
              <w:t>الأمر الرابع</w:t>
            </w:r>
            <w:r>
              <w:rPr>
                <w:rStyle w:val="IndexLink"/>
                <w:rtl w:val="true"/>
              </w:rPr>
              <w:t>:</w:t>
              <w:tab/>
            </w:r>
            <w:r>
              <w:rPr>
                <w:rStyle w:val="IndexLink"/>
              </w:rPr>
              <w:t>100</w:t>
            </w:r>
          </w:hyperlink>
        </w:p>
        <w:p>
          <w:pPr>
            <w:pStyle w:val="Contents3"/>
            <w:tabs>
              <w:tab w:val="clear" w:pos="8459"/>
              <w:tab w:val="right" w:pos="9026" w:leader="dot"/>
            </w:tabs>
            <w:rPr/>
          </w:pPr>
          <w:hyperlink w:anchor="__RefHeading___Toc4020393_372815092">
            <w:r>
              <w:rPr>
                <w:webHidden/>
                <w:rStyle w:val="IndexLink"/>
                <w:rtl w:val="true"/>
              </w:rPr>
              <w:t>الأمر الخامس</w:t>
            </w:r>
            <w:r>
              <w:rPr>
                <w:rStyle w:val="IndexLink"/>
                <w:rtl w:val="true"/>
              </w:rPr>
              <w:t>:</w:t>
              <w:tab/>
            </w:r>
            <w:r>
              <w:rPr>
                <w:rStyle w:val="IndexLink"/>
              </w:rPr>
              <w:t>101</w:t>
            </w:r>
          </w:hyperlink>
        </w:p>
        <w:p>
          <w:pPr>
            <w:pStyle w:val="Contents3"/>
            <w:tabs>
              <w:tab w:val="clear" w:pos="8459"/>
              <w:tab w:val="right" w:pos="9026" w:leader="dot"/>
            </w:tabs>
            <w:rPr/>
          </w:pPr>
          <w:hyperlink w:anchor="__RefHeading___Toc4020395_372815092">
            <w:r>
              <w:rPr>
                <w:webHidden/>
                <w:rStyle w:val="IndexLink"/>
                <w:rtl w:val="true"/>
              </w:rPr>
              <w:t>الأمر السادس</w:t>
            </w:r>
            <w:r>
              <w:rPr>
                <w:rStyle w:val="IndexLink"/>
                <w:rtl w:val="true"/>
              </w:rPr>
              <w:t>:</w:t>
              <w:tab/>
            </w:r>
            <w:r>
              <w:rPr>
                <w:rStyle w:val="IndexLink"/>
              </w:rPr>
              <w:t>101</w:t>
            </w:r>
          </w:hyperlink>
        </w:p>
        <w:p>
          <w:pPr>
            <w:pStyle w:val="Contents3"/>
            <w:tabs>
              <w:tab w:val="clear" w:pos="8459"/>
              <w:tab w:val="right" w:pos="9026" w:leader="dot"/>
            </w:tabs>
            <w:rPr/>
          </w:pPr>
          <w:hyperlink w:anchor="__RefHeading___Toc4020397_372815092">
            <w:r>
              <w:rPr>
                <w:webHidden/>
                <w:rStyle w:val="IndexLink"/>
                <w:rtl w:val="true"/>
              </w:rPr>
              <w:t>الأمر السابع</w:t>
            </w:r>
            <w:r>
              <w:rPr>
                <w:rStyle w:val="IndexLink"/>
                <w:rtl w:val="true"/>
              </w:rPr>
              <w:t>:</w:t>
              <w:tab/>
            </w:r>
            <w:r>
              <w:rPr>
                <w:rStyle w:val="IndexLink"/>
              </w:rPr>
              <w:t>101</w:t>
            </w:r>
          </w:hyperlink>
        </w:p>
        <w:p>
          <w:pPr>
            <w:pStyle w:val="Contents3"/>
            <w:tabs>
              <w:tab w:val="clear" w:pos="8459"/>
              <w:tab w:val="right" w:pos="9026" w:leader="dot"/>
            </w:tabs>
            <w:rPr/>
          </w:pPr>
          <w:hyperlink w:anchor="__RefHeading___Toc4020399_372815092">
            <w:r>
              <w:rPr>
                <w:webHidden/>
                <w:rStyle w:val="IndexLink"/>
                <w:rtl w:val="true"/>
              </w:rPr>
              <w:t>الأمر الثامن</w:t>
            </w:r>
            <w:r>
              <w:rPr>
                <w:rStyle w:val="IndexLink"/>
                <w:rtl w:val="true"/>
              </w:rPr>
              <w:t>:</w:t>
              <w:tab/>
            </w:r>
            <w:r>
              <w:rPr>
                <w:rStyle w:val="IndexLink"/>
              </w:rPr>
              <w:t>102</w:t>
            </w:r>
          </w:hyperlink>
        </w:p>
        <w:p>
          <w:pPr>
            <w:pStyle w:val="Contents2"/>
            <w:tabs>
              <w:tab w:val="clear" w:pos="8743"/>
              <w:tab w:val="right" w:pos="9026" w:leader="dot"/>
            </w:tabs>
            <w:rPr/>
          </w:pPr>
          <w:hyperlink w:anchor="__RefHeading___Toc4020401_372815092">
            <w:r>
              <w:rPr>
                <w:webHidden/>
                <w:rStyle w:val="IndexLink"/>
                <w:rtl w:val="true"/>
              </w:rPr>
              <w:t>الشبهة التاسعة</w:t>
            </w:r>
            <w:r>
              <w:rPr>
                <w:rStyle w:val="IndexLink"/>
                <w:rtl w:val="true"/>
              </w:rPr>
              <w:t xml:space="preserve">: </w:t>
            </w:r>
            <w:r>
              <w:rPr>
                <w:rStyle w:val="IndexLink"/>
                <w:rtl w:val="true"/>
              </w:rPr>
              <w:t>إنَّ فريضة الخُمُس لا تخضع للرقابة المالية</w:t>
            </w:r>
            <w:r>
              <w:rPr>
                <w:rStyle w:val="IndexLink"/>
                <w:rtl w:val="true"/>
              </w:rPr>
              <w:tab/>
            </w:r>
            <w:r>
              <w:rPr>
                <w:rStyle w:val="IndexLink"/>
              </w:rPr>
              <w:t>104</w:t>
            </w:r>
          </w:hyperlink>
        </w:p>
        <w:p>
          <w:pPr>
            <w:pStyle w:val="Contents3"/>
            <w:tabs>
              <w:tab w:val="clear" w:pos="8459"/>
              <w:tab w:val="right" w:pos="9026" w:leader="dot"/>
            </w:tabs>
            <w:rPr/>
          </w:pPr>
          <w:hyperlink w:anchor="__RefHeading___Toc4020403_372815092">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4020405_372815092">
            <w:r>
              <w:rPr>
                <w:webHidden/>
                <w:rStyle w:val="IndexLink"/>
                <w:rtl w:val="true"/>
              </w:rPr>
              <w:t>مفاد الشبهة</w:t>
            </w:r>
            <w:r>
              <w:rPr>
                <w:rStyle w:val="IndexLink"/>
                <w:rtl w:val="true"/>
              </w:rPr>
              <w:tab/>
            </w:r>
            <w:r>
              <w:rPr>
                <w:rStyle w:val="IndexLink"/>
              </w:rPr>
              <w:t>106</w:t>
            </w:r>
          </w:hyperlink>
        </w:p>
        <w:p>
          <w:pPr>
            <w:pStyle w:val="Contents3"/>
            <w:tabs>
              <w:tab w:val="clear" w:pos="8459"/>
              <w:tab w:val="right" w:pos="9026" w:leader="dot"/>
            </w:tabs>
            <w:rPr/>
          </w:pPr>
          <w:hyperlink w:anchor="__RefHeading___Toc4020407_372815092">
            <w:r>
              <w:rPr>
                <w:webHidden/>
                <w:rStyle w:val="IndexLink"/>
                <w:rtl w:val="true"/>
              </w:rPr>
              <w:t>ردُّ الشبهة</w:t>
            </w:r>
            <w:r>
              <w:rPr>
                <w:rStyle w:val="IndexLink"/>
                <w:rtl w:val="true"/>
              </w:rPr>
              <w:tab/>
            </w:r>
            <w:r>
              <w:rPr>
                <w:rStyle w:val="IndexLink"/>
              </w:rPr>
              <w:t>106</w:t>
            </w:r>
          </w:hyperlink>
        </w:p>
        <w:p>
          <w:pPr>
            <w:pStyle w:val="Contents2"/>
            <w:tabs>
              <w:tab w:val="clear" w:pos="8743"/>
              <w:tab w:val="right" w:pos="9026" w:leader="dot"/>
            </w:tabs>
            <w:rPr/>
          </w:pPr>
          <w:hyperlink w:anchor="__RefHeading___Toc4020409_372815092">
            <w:r>
              <w:rPr>
                <w:webHidden/>
                <w:rStyle w:val="IndexLink"/>
                <w:rtl w:val="true"/>
              </w:rPr>
              <w:t>الشبهة العاشرة</w:t>
            </w:r>
            <w:r>
              <w:rPr>
                <w:rStyle w:val="IndexLink"/>
                <w:rtl w:val="true"/>
              </w:rPr>
              <w:t xml:space="preserve">: </w:t>
            </w:r>
            <w:r>
              <w:rPr>
                <w:rStyle w:val="IndexLink"/>
                <w:rtl w:val="true"/>
              </w:rPr>
              <w:t>بدعة المصالحة والمداورة</w:t>
            </w:r>
            <w:r>
              <w:rPr>
                <w:rStyle w:val="IndexLink"/>
                <w:rtl w:val="true"/>
              </w:rPr>
              <w:tab/>
            </w:r>
            <w:r>
              <w:rPr>
                <w:rStyle w:val="IndexLink"/>
              </w:rPr>
              <w:t>110</w:t>
            </w:r>
          </w:hyperlink>
        </w:p>
        <w:p>
          <w:pPr>
            <w:pStyle w:val="Contents3"/>
            <w:tabs>
              <w:tab w:val="clear" w:pos="8459"/>
              <w:tab w:val="right" w:pos="9026" w:leader="dot"/>
            </w:tabs>
            <w:rPr/>
          </w:pPr>
          <w:hyperlink w:anchor="__RefHeading___Toc4020411_372815092">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4020413_372815092">
            <w:r>
              <w:rPr>
                <w:webHidden/>
                <w:rStyle w:val="IndexLink"/>
                <w:rtl w:val="true"/>
              </w:rPr>
              <w:t>مفاد الشبهة</w:t>
            </w:r>
            <w:r>
              <w:rPr>
                <w:rStyle w:val="IndexLink"/>
                <w:rtl w:val="true"/>
              </w:rPr>
              <w:tab/>
            </w:r>
            <w:r>
              <w:rPr>
                <w:rStyle w:val="IndexLink"/>
              </w:rPr>
              <w:t>112</w:t>
            </w:r>
          </w:hyperlink>
        </w:p>
        <w:p>
          <w:pPr>
            <w:pStyle w:val="Contents3"/>
            <w:tabs>
              <w:tab w:val="clear" w:pos="8459"/>
              <w:tab w:val="right" w:pos="9026" w:leader="dot"/>
            </w:tabs>
            <w:rPr/>
          </w:pPr>
          <w:hyperlink w:anchor="__RefHeading___Toc4020415_372815092">
            <w:r>
              <w:rPr>
                <w:webHidden/>
                <w:rStyle w:val="IndexLink"/>
                <w:rtl w:val="true"/>
              </w:rPr>
              <w:t>ردُّ الشبهة</w:t>
            </w:r>
            <w:r>
              <w:rPr>
                <w:rStyle w:val="IndexLink"/>
                <w:rtl w:val="true"/>
              </w:rPr>
              <w:tab/>
            </w:r>
            <w:r>
              <w:rPr>
                <w:rStyle w:val="IndexLink"/>
              </w:rPr>
              <w:t>112</w:t>
            </w:r>
          </w:hyperlink>
        </w:p>
        <w:p>
          <w:pPr>
            <w:pStyle w:val="Contents3"/>
            <w:tabs>
              <w:tab w:val="clear" w:pos="8459"/>
              <w:tab w:val="right" w:pos="9026" w:leader="dot"/>
            </w:tabs>
            <w:rPr/>
          </w:pPr>
          <w:hyperlink w:anchor="__RefHeading___Toc4020417_372815092">
            <w:r>
              <w:rPr>
                <w:webHidden/>
                <w:rStyle w:val="IndexLink"/>
                <w:rtl w:val="true"/>
              </w:rPr>
              <w:t>معنى مداورة الخُمُس وحدودها</w:t>
            </w:r>
            <w:r>
              <w:rPr>
                <w:rStyle w:val="IndexLink"/>
                <w:rtl w:val="true"/>
              </w:rPr>
              <w:t>:</w:t>
              <w:tab/>
            </w:r>
            <w:r>
              <w:rPr>
                <w:rStyle w:val="IndexLink"/>
              </w:rPr>
              <w:t>113</w:t>
            </w:r>
          </w:hyperlink>
        </w:p>
        <w:p>
          <w:pPr>
            <w:pStyle w:val="Contents3"/>
            <w:tabs>
              <w:tab w:val="clear" w:pos="8459"/>
              <w:tab w:val="right" w:pos="9026" w:leader="dot"/>
            </w:tabs>
            <w:rPr/>
          </w:pPr>
          <w:hyperlink w:anchor="__RefHeading___Toc4020419_372815092">
            <w:r>
              <w:rPr>
                <w:webHidden/>
                <w:rStyle w:val="IndexLink"/>
                <w:rtl w:val="true"/>
              </w:rPr>
              <w:t>مستند المصالحة والمداورة</w:t>
            </w:r>
            <w:r>
              <w:rPr>
                <w:rStyle w:val="IndexLink"/>
                <w:rtl w:val="true"/>
              </w:rPr>
              <w:t>:</w:t>
              <w:tab/>
            </w:r>
            <w:r>
              <w:rPr>
                <w:rStyle w:val="IndexLink"/>
              </w:rPr>
              <w:t>114</w:t>
            </w:r>
          </w:hyperlink>
        </w:p>
        <w:p>
          <w:pPr>
            <w:pStyle w:val="Contents2"/>
            <w:tabs>
              <w:tab w:val="clear" w:pos="8743"/>
              <w:tab w:val="right" w:pos="9026" w:leader="dot"/>
            </w:tabs>
            <w:rPr/>
          </w:pPr>
          <w:hyperlink w:anchor="__RefHeading___Toc4020421_372815092">
            <w:r>
              <w:rPr>
                <w:webHidden/>
                <w:rStyle w:val="IndexLink"/>
                <w:rtl w:val="true"/>
              </w:rPr>
              <w:t>الشبهة الحادية عشر</w:t>
            </w:r>
            <w:r>
              <w:rPr>
                <w:rStyle w:val="IndexLink"/>
                <w:rtl w:val="true"/>
              </w:rPr>
              <w:t xml:space="preserve">: </w:t>
            </w:r>
            <w:r>
              <w:rPr>
                <w:rStyle w:val="IndexLink"/>
                <w:rtl w:val="true"/>
              </w:rPr>
              <w:t>إعطاء نصف الخُمُس للسادة من بني هاشم يدعو إلى التفاوت الطبقي</w:t>
            </w:r>
            <w:r>
              <w:rPr>
                <w:rStyle w:val="IndexLink"/>
                <w:rtl w:val="true"/>
              </w:rPr>
              <w:tab/>
            </w:r>
            <w:r>
              <w:rPr>
                <w:rStyle w:val="IndexLink"/>
              </w:rPr>
              <w:t>116</w:t>
            </w:r>
          </w:hyperlink>
        </w:p>
        <w:p>
          <w:pPr>
            <w:pStyle w:val="Contents3"/>
            <w:tabs>
              <w:tab w:val="clear" w:pos="8459"/>
              <w:tab w:val="right" w:pos="9026" w:leader="dot"/>
            </w:tabs>
            <w:rPr/>
          </w:pPr>
          <w:hyperlink w:anchor="__RefHeading___Toc4020423_372815092">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4020425_372815092">
            <w:r>
              <w:rPr>
                <w:webHidden/>
                <w:rStyle w:val="IndexLink"/>
                <w:rtl w:val="true"/>
              </w:rPr>
              <w:t>مفاد الشبهة</w:t>
            </w:r>
            <w:r>
              <w:rPr>
                <w:rStyle w:val="IndexLink"/>
                <w:rtl w:val="true"/>
              </w:rPr>
              <w:tab/>
            </w:r>
            <w:r>
              <w:rPr>
                <w:rStyle w:val="IndexLink"/>
              </w:rPr>
              <w:t>118</w:t>
            </w:r>
          </w:hyperlink>
        </w:p>
        <w:p>
          <w:pPr>
            <w:pStyle w:val="Contents3"/>
            <w:tabs>
              <w:tab w:val="clear" w:pos="8459"/>
              <w:tab w:val="right" w:pos="9026" w:leader="dot"/>
            </w:tabs>
            <w:rPr/>
          </w:pPr>
          <w:hyperlink w:anchor="__RefHeading___Toc4020427_372815092">
            <w:r>
              <w:rPr>
                <w:webHidden/>
                <w:rStyle w:val="IndexLink"/>
                <w:rtl w:val="true"/>
              </w:rPr>
              <w:t>ردُّ الشبهة</w:t>
            </w:r>
            <w:r>
              <w:rPr>
                <w:rStyle w:val="IndexLink"/>
                <w:rtl w:val="true"/>
              </w:rPr>
              <w:tab/>
            </w:r>
            <w:r>
              <w:rPr>
                <w:rStyle w:val="IndexLink"/>
              </w:rPr>
              <w:t>118</w:t>
            </w:r>
          </w:hyperlink>
        </w:p>
        <w:p>
          <w:pPr>
            <w:pStyle w:val="Contents3"/>
            <w:tabs>
              <w:tab w:val="clear" w:pos="8459"/>
              <w:tab w:val="right" w:pos="9026" w:leader="dot"/>
            </w:tabs>
            <w:rPr/>
          </w:pPr>
          <w:hyperlink w:anchor="__RefHeading___Toc4020429_372815092">
            <w:r>
              <w:rPr>
                <w:webHidden/>
                <w:rStyle w:val="IndexLink"/>
                <w:rtl w:val="true"/>
              </w:rPr>
              <w:t>إعطاء نصف الخُمُس للسادة من بني هاشم</w:t>
            </w:r>
            <w:r>
              <w:rPr>
                <w:rStyle w:val="IndexLink"/>
                <w:rtl w:val="true"/>
              </w:rPr>
              <w:t>:</w:t>
              <w:tab/>
            </w:r>
            <w:r>
              <w:rPr>
                <w:rStyle w:val="IndexLink"/>
              </w:rPr>
              <w:t>124</w:t>
            </w:r>
          </w:hyperlink>
        </w:p>
        <w:p>
          <w:pPr>
            <w:pStyle w:val="Contents3"/>
            <w:tabs>
              <w:tab w:val="clear" w:pos="8459"/>
              <w:tab w:val="right" w:pos="9026" w:leader="dot"/>
            </w:tabs>
            <w:rPr/>
          </w:pPr>
          <w:hyperlink w:anchor="__RefHeading___Toc4020431_372815092">
            <w:r>
              <w:rPr>
                <w:webHidden/>
                <w:rStyle w:val="IndexLink"/>
                <w:rtl w:val="true"/>
              </w:rPr>
              <w:t>الأمر الأوَّل</w:t>
            </w:r>
            <w:r>
              <w:rPr>
                <w:rStyle w:val="IndexLink"/>
                <w:rtl w:val="true"/>
              </w:rPr>
              <w:t>:</w:t>
              <w:tab/>
            </w:r>
            <w:r>
              <w:rPr>
                <w:rStyle w:val="IndexLink"/>
              </w:rPr>
              <w:t>124</w:t>
            </w:r>
          </w:hyperlink>
        </w:p>
        <w:p>
          <w:pPr>
            <w:pStyle w:val="Contents3"/>
            <w:tabs>
              <w:tab w:val="clear" w:pos="8459"/>
              <w:tab w:val="right" w:pos="9026" w:leader="dot"/>
            </w:tabs>
            <w:rPr/>
          </w:pPr>
          <w:hyperlink w:anchor="__RefHeading___Toc4020433_372815092">
            <w:r>
              <w:rPr>
                <w:webHidden/>
                <w:rStyle w:val="IndexLink"/>
                <w:rtl w:val="true"/>
              </w:rPr>
              <w:t>الأمر الثاني</w:t>
            </w:r>
            <w:r>
              <w:rPr>
                <w:rStyle w:val="IndexLink"/>
                <w:rtl w:val="true"/>
              </w:rPr>
              <w:t>:</w:t>
              <w:tab/>
            </w:r>
            <w:r>
              <w:rPr>
                <w:rStyle w:val="IndexLink"/>
              </w:rPr>
              <w:t>127</w:t>
            </w:r>
          </w:hyperlink>
        </w:p>
        <w:p>
          <w:pPr>
            <w:pStyle w:val="Contents3"/>
            <w:tabs>
              <w:tab w:val="clear" w:pos="8459"/>
              <w:tab w:val="right" w:pos="9026" w:leader="dot"/>
            </w:tabs>
            <w:rPr/>
          </w:pPr>
          <w:hyperlink w:anchor="__RefHeading___Toc4020435_372815092">
            <w:r>
              <w:rPr>
                <w:webHidden/>
                <w:rStyle w:val="IndexLink"/>
                <w:rtl w:val="true"/>
              </w:rPr>
              <w:t>هل إعطاء نصف الخُمُس لمطلق السادة؟</w:t>
            </w:r>
            <w:r>
              <w:rPr>
                <w:rStyle w:val="IndexLink"/>
                <w:rtl w:val="true"/>
              </w:rPr>
              <w:tab/>
            </w:r>
            <w:r>
              <w:rPr>
                <w:rStyle w:val="IndexLink"/>
              </w:rPr>
              <w:t>128</w:t>
            </w:r>
          </w:hyperlink>
        </w:p>
        <w:p>
          <w:pPr>
            <w:pStyle w:val="Contents2"/>
            <w:tabs>
              <w:tab w:val="clear" w:pos="8743"/>
              <w:tab w:val="right" w:pos="9026" w:leader="dot"/>
            </w:tabs>
            <w:rPr/>
          </w:pPr>
          <w:hyperlink w:anchor="__RefHeading___Toc4020437_372815092">
            <w:r>
              <w:rPr>
                <w:webHidden/>
                <w:rStyle w:val="IndexLink"/>
                <w:rtl w:val="true"/>
              </w:rPr>
              <w:t>الشبهة الثانية عشر</w:t>
            </w:r>
            <w:r>
              <w:rPr>
                <w:rStyle w:val="IndexLink"/>
                <w:rtl w:val="true"/>
              </w:rPr>
              <w:t xml:space="preserve">: </w:t>
            </w:r>
            <w:r>
              <w:rPr>
                <w:rStyle w:val="IndexLink"/>
                <w:rtl w:val="true"/>
              </w:rPr>
              <w:t>نسبة الخُمُس لله ينافي غناه</w:t>
            </w:r>
            <w:r>
              <w:rPr>
                <w:rStyle w:val="IndexLink"/>
                <w:rtl w:val="true"/>
              </w:rPr>
              <w:tab/>
            </w:r>
            <w:r>
              <w:rPr>
                <w:rStyle w:val="IndexLink"/>
              </w:rPr>
              <w:t>130</w:t>
            </w:r>
          </w:hyperlink>
        </w:p>
        <w:p>
          <w:pPr>
            <w:pStyle w:val="Contents3"/>
            <w:tabs>
              <w:tab w:val="clear" w:pos="8459"/>
              <w:tab w:val="right" w:pos="9026" w:leader="dot"/>
            </w:tabs>
            <w:rPr/>
          </w:pPr>
          <w:hyperlink w:anchor="__RefHeading___Toc4020439_372815092">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4020441_372815092">
            <w:r>
              <w:rPr>
                <w:webHidden/>
                <w:rStyle w:val="IndexLink"/>
                <w:rtl w:val="true"/>
              </w:rPr>
              <w:t>مفاد الشبهة</w:t>
            </w:r>
            <w:r>
              <w:rPr>
                <w:rStyle w:val="IndexLink"/>
                <w:rtl w:val="true"/>
              </w:rPr>
              <w:tab/>
            </w:r>
            <w:r>
              <w:rPr>
                <w:rStyle w:val="IndexLink"/>
              </w:rPr>
              <w:t>132</w:t>
            </w:r>
          </w:hyperlink>
        </w:p>
        <w:p>
          <w:pPr>
            <w:pStyle w:val="Contents3"/>
            <w:tabs>
              <w:tab w:val="clear" w:pos="8459"/>
              <w:tab w:val="right" w:pos="9026" w:leader="dot"/>
            </w:tabs>
            <w:rPr/>
          </w:pPr>
          <w:hyperlink w:anchor="__RefHeading___Toc4020443_372815092">
            <w:r>
              <w:rPr>
                <w:webHidden/>
                <w:rStyle w:val="IndexLink"/>
                <w:rtl w:val="true"/>
              </w:rPr>
              <w:t>ردُّ الشبهة</w:t>
            </w:r>
            <w:r>
              <w:rPr>
                <w:rStyle w:val="IndexLink"/>
                <w:rtl w:val="true"/>
              </w:rPr>
              <w:tab/>
            </w:r>
            <w:r>
              <w:rPr>
                <w:rStyle w:val="IndexLink"/>
              </w:rPr>
              <w:t>132</w:t>
            </w:r>
          </w:hyperlink>
        </w:p>
        <w:p>
          <w:pPr>
            <w:pStyle w:val="Contents3"/>
            <w:tabs>
              <w:tab w:val="clear" w:pos="8459"/>
              <w:tab w:val="right" w:pos="9026" w:leader="dot"/>
            </w:tabs>
            <w:rPr/>
          </w:pPr>
          <w:hyperlink w:anchor="__RefHeading___Toc4020445_372815092">
            <w:r>
              <w:rPr>
                <w:webHidden/>
                <w:rStyle w:val="IndexLink"/>
                <w:rtl w:val="true"/>
              </w:rPr>
              <w:t>الأمر الأوَّل</w:t>
            </w:r>
            <w:r>
              <w:rPr>
                <w:rStyle w:val="IndexLink"/>
                <w:rtl w:val="true"/>
              </w:rPr>
              <w:t>:</w:t>
              <w:tab/>
            </w:r>
            <w:r>
              <w:rPr>
                <w:rStyle w:val="IndexLink"/>
              </w:rPr>
              <w:t>132</w:t>
            </w:r>
          </w:hyperlink>
        </w:p>
        <w:p>
          <w:pPr>
            <w:pStyle w:val="Contents3"/>
            <w:tabs>
              <w:tab w:val="clear" w:pos="8459"/>
              <w:tab w:val="right" w:pos="9026" w:leader="dot"/>
            </w:tabs>
            <w:rPr/>
          </w:pPr>
          <w:hyperlink w:anchor="__RefHeading___Toc4020447_372815092">
            <w:r>
              <w:rPr>
                <w:webHidden/>
                <w:rStyle w:val="IndexLink"/>
                <w:rtl w:val="true"/>
              </w:rPr>
              <w:t>الأمر الثاني</w:t>
            </w:r>
            <w:r>
              <w:rPr>
                <w:rStyle w:val="IndexLink"/>
                <w:rtl w:val="true"/>
              </w:rPr>
              <w:t>:</w:t>
              <w:tab/>
            </w:r>
            <w:r>
              <w:rPr>
                <w:rStyle w:val="IndexLink"/>
              </w:rPr>
              <w:t>133</w:t>
            </w:r>
          </w:hyperlink>
        </w:p>
        <w:p>
          <w:pPr>
            <w:pStyle w:val="Contents2"/>
            <w:tabs>
              <w:tab w:val="clear" w:pos="8743"/>
              <w:tab w:val="right" w:pos="9026" w:leader="dot"/>
            </w:tabs>
            <w:rPr/>
          </w:pPr>
          <w:hyperlink w:anchor="__RefHeading___Toc4020449_372815092">
            <w:r>
              <w:rPr>
                <w:webHidden/>
                <w:rStyle w:val="IndexLink"/>
                <w:rtl w:val="true"/>
              </w:rPr>
              <w:t>الشبهة الثالثة عشر</w:t>
            </w:r>
            <w:r>
              <w:rPr>
                <w:rStyle w:val="IndexLink"/>
                <w:rtl w:val="true"/>
              </w:rPr>
              <w:t xml:space="preserve">: </w:t>
            </w:r>
            <w:r>
              <w:rPr>
                <w:rStyle w:val="IndexLink"/>
                <w:rtl w:val="true"/>
              </w:rPr>
              <w:t>ربط الحادث بالمتغيّر</w:t>
            </w:r>
            <w:r>
              <w:rPr>
                <w:rStyle w:val="IndexLink"/>
                <w:rtl w:val="true"/>
              </w:rPr>
              <w:t>(</w:t>
            </w:r>
            <w:r>
              <w:rPr>
                <w:rStyle w:val="IndexLink"/>
                <w:rtl w:val="true"/>
              </w:rPr>
              <w:t>مشكلة الحداثة والمعاصرة والحفاظ علىٰ الأصالة والموروث</w:t>
            </w:r>
            <w:r>
              <w:rPr>
                <w:rStyle w:val="IndexLink"/>
                <w:rtl w:val="true"/>
              </w:rPr>
              <w:t>)</w:t>
              <w:tab/>
            </w:r>
            <w:r>
              <w:rPr>
                <w:rStyle w:val="IndexLink"/>
              </w:rPr>
              <w:t>134</w:t>
            </w:r>
          </w:hyperlink>
        </w:p>
        <w:p>
          <w:pPr>
            <w:pStyle w:val="Contents3"/>
            <w:tabs>
              <w:tab w:val="clear" w:pos="8459"/>
              <w:tab w:val="right" w:pos="9026" w:leader="dot"/>
            </w:tabs>
            <w:rPr/>
          </w:pPr>
          <w:hyperlink w:anchor="__RefHeading___Toc4020451_372815092">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4020453_372815092">
            <w:r>
              <w:rPr>
                <w:webHidden/>
                <w:rStyle w:val="IndexLink"/>
                <w:rtl w:val="true"/>
              </w:rPr>
              <w:t>مفاد الشبهة</w:t>
            </w:r>
            <w:r>
              <w:rPr>
                <w:rStyle w:val="IndexLink"/>
                <w:rtl w:val="true"/>
              </w:rPr>
              <w:tab/>
            </w:r>
            <w:r>
              <w:rPr>
                <w:rStyle w:val="IndexLink"/>
              </w:rPr>
              <w:t>136</w:t>
            </w:r>
          </w:hyperlink>
        </w:p>
        <w:p>
          <w:pPr>
            <w:pStyle w:val="Contents3"/>
            <w:tabs>
              <w:tab w:val="clear" w:pos="8459"/>
              <w:tab w:val="right" w:pos="9026" w:leader="dot"/>
            </w:tabs>
            <w:rPr/>
          </w:pPr>
          <w:hyperlink w:anchor="__RefHeading___Toc4020455_372815092">
            <w:r>
              <w:rPr>
                <w:webHidden/>
                <w:rStyle w:val="IndexLink"/>
                <w:rtl w:val="true"/>
              </w:rPr>
              <w:t>ردُّ الشبهة</w:t>
            </w:r>
            <w:r>
              <w:rPr>
                <w:rStyle w:val="IndexLink"/>
                <w:rtl w:val="true"/>
              </w:rPr>
              <w:tab/>
            </w:r>
            <w:r>
              <w:rPr>
                <w:rStyle w:val="IndexLink"/>
              </w:rPr>
              <w:t>136</w:t>
            </w:r>
          </w:hyperlink>
        </w:p>
        <w:p>
          <w:pPr>
            <w:pStyle w:val="Contents3"/>
            <w:tabs>
              <w:tab w:val="clear" w:pos="8459"/>
              <w:tab w:val="right" w:pos="9026" w:leader="dot"/>
            </w:tabs>
            <w:rPr/>
          </w:pPr>
          <w:hyperlink w:anchor="__RefHeading___Toc4020457_372815092">
            <w:r>
              <w:rPr>
                <w:webHidden/>
                <w:rStyle w:val="IndexLink"/>
                <w:rtl w:val="true"/>
              </w:rPr>
              <w:t>النظرية الأُولىٰ</w:t>
            </w:r>
            <w:r>
              <w:rPr>
                <w:rStyle w:val="IndexLink"/>
                <w:rtl w:val="true"/>
              </w:rPr>
              <w:t xml:space="preserve">: </w:t>
            </w:r>
            <w:r>
              <w:rPr>
                <w:rStyle w:val="IndexLink"/>
                <w:rtl w:val="true"/>
              </w:rPr>
              <w:t>منطقة الفراغ في التشريع الإسلامي</w:t>
            </w:r>
            <w:r>
              <w:rPr>
                <w:rStyle w:val="IndexLink"/>
                <w:rtl w:val="true"/>
              </w:rPr>
              <w:t>:</w:t>
              <w:tab/>
            </w:r>
            <w:r>
              <w:rPr>
                <w:rStyle w:val="IndexLink"/>
              </w:rPr>
              <w:t>137</w:t>
            </w:r>
          </w:hyperlink>
        </w:p>
        <w:p>
          <w:pPr>
            <w:pStyle w:val="Contents3"/>
            <w:tabs>
              <w:tab w:val="clear" w:pos="8459"/>
              <w:tab w:val="right" w:pos="9026" w:leader="dot"/>
            </w:tabs>
            <w:rPr/>
          </w:pPr>
          <w:hyperlink w:anchor="__RefHeading___Toc4020459_372815092">
            <w:r>
              <w:rPr>
                <w:webHidden/>
                <w:rStyle w:val="IndexLink"/>
                <w:rtl w:val="true"/>
              </w:rPr>
              <w:t>النظرية الثانية</w:t>
            </w:r>
            <w:r>
              <w:rPr>
                <w:rStyle w:val="IndexLink"/>
                <w:rtl w:val="true"/>
              </w:rPr>
              <w:t xml:space="preserve">: </w:t>
            </w:r>
            <w:r>
              <w:rPr>
                <w:rStyle w:val="IndexLink"/>
                <w:rtl w:val="true"/>
              </w:rPr>
              <w:t>تغيُّر الأحكام تبعاً للزمان والمكان</w:t>
            </w:r>
            <w:r>
              <w:rPr>
                <w:rStyle w:val="IndexLink"/>
                <w:rtl w:val="true"/>
              </w:rPr>
              <w:t>:</w:t>
              <w:tab/>
            </w:r>
            <w:r>
              <w:rPr>
                <w:rStyle w:val="IndexLink"/>
              </w:rPr>
              <w:t>138</w:t>
            </w:r>
          </w:hyperlink>
        </w:p>
        <w:p>
          <w:pPr>
            <w:pStyle w:val="Contents3"/>
            <w:tabs>
              <w:tab w:val="clear" w:pos="8459"/>
              <w:tab w:val="right" w:pos="9026" w:leader="dot"/>
            </w:tabs>
            <w:rPr/>
          </w:pPr>
          <w:hyperlink w:anchor="__RefHeading___Toc4020461_372815092">
            <w:r>
              <w:rPr>
                <w:webHidden/>
                <w:rStyle w:val="IndexLink"/>
                <w:rtl w:val="true"/>
              </w:rPr>
              <w:t>النظرية الثالثة</w:t>
            </w:r>
            <w:r>
              <w:rPr>
                <w:rStyle w:val="IndexLink"/>
                <w:rtl w:val="true"/>
              </w:rPr>
              <w:t>:</w:t>
              <w:tab/>
            </w:r>
            <w:r>
              <w:rPr>
                <w:rStyle w:val="IndexLink"/>
              </w:rPr>
              <w:t>142</w:t>
            </w:r>
          </w:hyperlink>
        </w:p>
        <w:p>
          <w:pPr>
            <w:pStyle w:val="Contents2"/>
            <w:tabs>
              <w:tab w:val="clear" w:pos="8743"/>
              <w:tab w:val="right" w:pos="9026" w:leader="dot"/>
            </w:tabs>
            <w:rPr/>
          </w:pPr>
          <w:hyperlink w:anchor="__RefHeading___Toc4020463_372815092">
            <w:r>
              <w:rPr>
                <w:webHidden/>
                <w:rStyle w:val="IndexLink"/>
                <w:rtl w:val="true"/>
              </w:rPr>
              <w:t>الشبهة الرابعة عشر</w:t>
            </w:r>
            <w:r>
              <w:rPr>
                <w:rStyle w:val="IndexLink"/>
                <w:rtl w:val="true"/>
              </w:rPr>
              <w:t xml:space="preserve">: </w:t>
            </w:r>
            <w:r>
              <w:rPr>
                <w:rStyle w:val="IndexLink"/>
                <w:rtl w:val="true"/>
              </w:rPr>
              <w:t>ابتلاء الخُمُس بمخالفة المنظومة الأخلاقية والعقل العملي</w:t>
            </w:r>
            <w:r>
              <w:rPr>
                <w:rStyle w:val="IndexLink"/>
                <w:rtl w:val="true"/>
              </w:rPr>
              <w:tab/>
            </w:r>
            <w:r>
              <w:rPr>
                <w:rStyle w:val="IndexLink"/>
              </w:rPr>
              <w:t>144</w:t>
            </w:r>
          </w:hyperlink>
        </w:p>
        <w:p>
          <w:pPr>
            <w:pStyle w:val="Contents3"/>
            <w:tabs>
              <w:tab w:val="clear" w:pos="8459"/>
              <w:tab w:val="right" w:pos="9026" w:leader="dot"/>
            </w:tabs>
            <w:rPr/>
          </w:pPr>
          <w:hyperlink w:anchor="__RefHeading___Toc4020465_372815092">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4020467_372815092">
            <w:r>
              <w:rPr>
                <w:webHidden/>
                <w:rStyle w:val="IndexLink"/>
                <w:rtl w:val="true"/>
              </w:rPr>
              <w:t>مفاد الشبهة</w:t>
            </w:r>
            <w:r>
              <w:rPr>
                <w:rStyle w:val="IndexLink"/>
                <w:rtl w:val="true"/>
              </w:rPr>
              <w:tab/>
            </w:r>
            <w:r>
              <w:rPr>
                <w:rStyle w:val="IndexLink"/>
              </w:rPr>
              <w:t>146</w:t>
            </w:r>
          </w:hyperlink>
        </w:p>
        <w:p>
          <w:pPr>
            <w:pStyle w:val="Contents3"/>
            <w:tabs>
              <w:tab w:val="clear" w:pos="8459"/>
              <w:tab w:val="right" w:pos="9026" w:leader="dot"/>
            </w:tabs>
            <w:rPr/>
          </w:pPr>
          <w:hyperlink w:anchor="__RefHeading___Toc4020469_372815092">
            <w:r>
              <w:rPr>
                <w:webHidden/>
                <w:rStyle w:val="IndexLink"/>
                <w:rtl w:val="true"/>
              </w:rPr>
              <w:t>ردُّ الشبهة</w:t>
            </w:r>
            <w:r>
              <w:rPr>
                <w:rStyle w:val="IndexLink"/>
                <w:rtl w:val="true"/>
              </w:rPr>
              <w:tab/>
            </w:r>
            <w:r>
              <w:rPr>
                <w:rStyle w:val="IndexLink"/>
              </w:rPr>
              <w:t>146</w:t>
            </w:r>
          </w:hyperlink>
        </w:p>
        <w:p>
          <w:pPr>
            <w:pStyle w:val="Contents3"/>
            <w:tabs>
              <w:tab w:val="clear" w:pos="8459"/>
              <w:tab w:val="right" w:pos="9026" w:leader="dot"/>
            </w:tabs>
            <w:rPr/>
          </w:pPr>
          <w:hyperlink w:anchor="__RefHeading___Toc4020471_372815092">
            <w:r>
              <w:rPr>
                <w:webHidden/>
                <w:rStyle w:val="IndexLink"/>
                <w:rtl w:val="true"/>
              </w:rPr>
              <w:t>الأمر الأوَّل</w:t>
            </w:r>
            <w:r>
              <w:rPr>
                <w:rStyle w:val="IndexLink"/>
                <w:rtl w:val="true"/>
              </w:rPr>
              <w:t>:</w:t>
              <w:tab/>
            </w:r>
            <w:r>
              <w:rPr>
                <w:rStyle w:val="IndexLink"/>
              </w:rPr>
              <w:t>147</w:t>
            </w:r>
          </w:hyperlink>
        </w:p>
        <w:p>
          <w:pPr>
            <w:pStyle w:val="Contents3"/>
            <w:tabs>
              <w:tab w:val="clear" w:pos="8459"/>
              <w:tab w:val="right" w:pos="9026" w:leader="dot"/>
            </w:tabs>
            <w:rPr/>
          </w:pPr>
          <w:hyperlink w:anchor="__RefHeading___Toc4020473_372815092">
            <w:r>
              <w:rPr>
                <w:webHidden/>
                <w:rStyle w:val="IndexLink"/>
                <w:rtl w:val="true"/>
              </w:rPr>
              <w:t>الأمر الثاني</w:t>
            </w:r>
            <w:r>
              <w:rPr>
                <w:rStyle w:val="IndexLink"/>
                <w:rtl w:val="true"/>
              </w:rPr>
              <w:t>:</w:t>
              <w:tab/>
            </w:r>
            <w:r>
              <w:rPr>
                <w:rStyle w:val="IndexLink"/>
              </w:rPr>
              <w:t>148</w:t>
            </w:r>
          </w:hyperlink>
        </w:p>
        <w:p>
          <w:pPr>
            <w:pStyle w:val="Contents3"/>
            <w:tabs>
              <w:tab w:val="clear" w:pos="8459"/>
              <w:tab w:val="right" w:pos="9026" w:leader="dot"/>
            </w:tabs>
            <w:rPr/>
          </w:pPr>
          <w:hyperlink w:anchor="__RefHeading___Toc4020475_372815092">
            <w:r>
              <w:rPr>
                <w:webHidden/>
                <w:rStyle w:val="IndexLink"/>
                <w:rtl w:val="true"/>
              </w:rPr>
              <w:t>الأمر الثالث</w:t>
            </w:r>
            <w:r>
              <w:rPr>
                <w:rStyle w:val="IndexLink"/>
                <w:rtl w:val="true"/>
              </w:rPr>
              <w:t>:</w:t>
              <w:tab/>
            </w:r>
            <w:r>
              <w:rPr>
                <w:rStyle w:val="IndexLink"/>
              </w:rPr>
              <w:t>150</w:t>
            </w:r>
          </w:hyperlink>
        </w:p>
        <w:p>
          <w:pPr>
            <w:pStyle w:val="Contents3"/>
            <w:tabs>
              <w:tab w:val="clear" w:pos="8459"/>
              <w:tab w:val="right" w:pos="9026" w:leader="dot"/>
            </w:tabs>
            <w:rPr/>
          </w:pPr>
          <w:hyperlink w:anchor="__RefHeading___Toc4020477_372815092">
            <w:r>
              <w:rPr>
                <w:webHidden/>
                <w:rStyle w:val="IndexLink"/>
                <w:rtl w:val="true"/>
              </w:rPr>
              <w:t>إشكال ودفع</w:t>
            </w:r>
            <w:r>
              <w:rPr>
                <w:rStyle w:val="IndexLink"/>
                <w:rtl w:val="true"/>
              </w:rPr>
              <w:t>:</w:t>
              <w:tab/>
            </w:r>
            <w:r>
              <w:rPr>
                <w:rStyle w:val="IndexLink"/>
              </w:rPr>
              <w:t>152</w:t>
            </w:r>
          </w:hyperlink>
        </w:p>
        <w:p>
          <w:pPr>
            <w:pStyle w:val="Contents3"/>
            <w:tabs>
              <w:tab w:val="clear" w:pos="8459"/>
              <w:tab w:val="right" w:pos="9026" w:leader="dot"/>
            </w:tabs>
            <w:rPr/>
          </w:pPr>
          <w:hyperlink w:anchor="__RefHeading___Toc4020479_372815092">
            <w:r>
              <w:rPr>
                <w:webHidden/>
                <w:rStyle w:val="IndexLink"/>
                <w:rtl w:val="true"/>
              </w:rPr>
              <w:t>الأمر الرابع</w:t>
            </w:r>
            <w:r>
              <w:rPr>
                <w:rStyle w:val="IndexLink"/>
                <w:rtl w:val="true"/>
              </w:rPr>
              <w:t>:</w:t>
              <w:tab/>
            </w:r>
            <w:r>
              <w:rPr>
                <w:rStyle w:val="IndexLink"/>
              </w:rPr>
              <w:t>154</w:t>
            </w:r>
          </w:hyperlink>
        </w:p>
        <w:p>
          <w:pPr>
            <w:pStyle w:val="Contents3"/>
            <w:tabs>
              <w:tab w:val="clear" w:pos="8459"/>
              <w:tab w:val="right" w:pos="9026" w:leader="dot"/>
            </w:tabs>
            <w:rPr/>
          </w:pPr>
          <w:hyperlink w:anchor="__RefHeading___Toc4020481_372815092">
            <w:r>
              <w:rPr>
                <w:webHidden/>
                <w:rStyle w:val="IndexLink"/>
                <w:rtl w:val="true"/>
              </w:rPr>
              <w:t>الأمر الخامس</w:t>
            </w:r>
            <w:r>
              <w:rPr>
                <w:rStyle w:val="IndexLink"/>
                <w:rtl w:val="true"/>
              </w:rPr>
              <w:t>:</w:t>
              <w:tab/>
            </w:r>
            <w:r>
              <w:rPr>
                <w:rStyle w:val="IndexLink"/>
              </w:rPr>
              <w:t>155</w:t>
            </w:r>
          </w:hyperlink>
        </w:p>
        <w:p>
          <w:pPr>
            <w:pStyle w:val="Contents3"/>
            <w:tabs>
              <w:tab w:val="clear" w:pos="8459"/>
              <w:tab w:val="right" w:pos="9026" w:leader="dot"/>
            </w:tabs>
            <w:rPr/>
          </w:pPr>
          <w:hyperlink w:anchor="__RefHeading___Toc4020483_372815092">
            <w:r>
              <w:rPr>
                <w:webHidden/>
                <w:rStyle w:val="IndexLink"/>
                <w:rtl w:val="true"/>
              </w:rPr>
              <w:t>الأمر السادس</w:t>
            </w:r>
            <w:r>
              <w:rPr>
                <w:rStyle w:val="IndexLink"/>
                <w:rtl w:val="true"/>
              </w:rPr>
              <w:t>:</w:t>
              <w:tab/>
            </w:r>
            <w:r>
              <w:rPr>
                <w:rStyle w:val="IndexLink"/>
              </w:rPr>
              <w:t>155</w:t>
            </w:r>
          </w:hyperlink>
        </w:p>
        <w:p>
          <w:pPr>
            <w:pStyle w:val="Contents2"/>
            <w:tabs>
              <w:tab w:val="clear" w:pos="8743"/>
              <w:tab w:val="right" w:pos="9026" w:leader="dot"/>
            </w:tabs>
            <w:rPr/>
          </w:pPr>
          <w:hyperlink w:anchor="__RefHeading___Toc4020485_372815092">
            <w:r>
              <w:rPr>
                <w:webHidden/>
                <w:rStyle w:val="IndexLink"/>
                <w:rtl w:val="true"/>
              </w:rPr>
              <w:t>ملحقات حول الخُمُس</w:t>
            </w:r>
            <w:r>
              <w:rPr>
                <w:rStyle w:val="IndexLink"/>
                <w:rtl w:val="true"/>
              </w:rPr>
              <w:tab/>
            </w:r>
            <w:r>
              <w:rPr>
                <w:rStyle w:val="IndexLink"/>
              </w:rPr>
              <w:t>158</w:t>
            </w:r>
          </w:hyperlink>
        </w:p>
        <w:p>
          <w:pPr>
            <w:pStyle w:val="Contents3"/>
            <w:tabs>
              <w:tab w:val="clear" w:pos="8459"/>
              <w:tab w:val="right" w:pos="9026" w:leader="dot"/>
            </w:tabs>
            <w:rPr/>
          </w:pPr>
          <w:hyperlink w:anchor="__RefHeading___Toc4020487_372815092">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4020489_372815092">
            <w:r>
              <w:rPr>
                <w:webHidden/>
                <w:rStyle w:val="IndexLink"/>
                <w:rtl w:val="true"/>
              </w:rPr>
              <w:t>(</w:t>
            </w:r>
            <w:r>
              <w:rPr>
                <w:rStyle w:val="IndexLink"/>
              </w:rPr>
              <w:t>1</w:t>
            </w:r>
            <w:r>
              <w:rPr>
                <w:rStyle w:val="IndexLink"/>
                <w:rtl w:val="true"/>
              </w:rPr>
              <w:t xml:space="preserve">) </w:t>
            </w:r>
            <w:r>
              <w:rPr>
                <w:rStyle w:val="IndexLink"/>
                <w:rtl w:val="true"/>
              </w:rPr>
              <w:t>فلسفة وفوائد فريضة الخُمُس</w:t>
            </w:r>
            <w:r>
              <w:rPr>
                <w:rStyle w:val="IndexLink"/>
                <w:rtl w:val="true"/>
              </w:rPr>
              <w:tab/>
            </w:r>
            <w:r>
              <w:rPr>
                <w:rStyle w:val="IndexLink"/>
              </w:rPr>
              <w:t>160</w:t>
            </w:r>
          </w:hyperlink>
        </w:p>
        <w:p>
          <w:pPr>
            <w:pStyle w:val="Contents4"/>
            <w:tabs>
              <w:tab w:val="clear" w:pos="8176"/>
              <w:tab w:val="right" w:pos="9026" w:leader="dot"/>
            </w:tabs>
            <w:rPr/>
          </w:pPr>
          <w:hyperlink w:anchor="__RefHeading___Toc4020491_372815092">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4020493_372815092">
            <w:r>
              <w:rPr>
                <w:webHidden/>
                <w:rStyle w:val="IndexLink"/>
                <w:rtl w:val="true"/>
              </w:rPr>
              <w:t>الأوَّل</w:t>
            </w:r>
            <w:r>
              <w:rPr>
                <w:rStyle w:val="IndexLink"/>
                <w:rtl w:val="true"/>
              </w:rPr>
              <w:t xml:space="preserve">: </w:t>
            </w:r>
            <w:r>
              <w:rPr>
                <w:rStyle w:val="IndexLink"/>
                <w:rtl w:val="true"/>
              </w:rPr>
              <w:t>تطهير مال الغنيِّ من الشبهات التي تعلَّق به</w:t>
            </w:r>
            <w:r>
              <w:rPr>
                <w:rStyle w:val="IndexLink"/>
                <w:rtl w:val="true"/>
              </w:rPr>
              <w:t>:</w:t>
              <w:tab/>
            </w:r>
            <w:r>
              <w:rPr>
                <w:rStyle w:val="IndexLink"/>
              </w:rPr>
              <w:t>160</w:t>
            </w:r>
          </w:hyperlink>
        </w:p>
        <w:p>
          <w:pPr>
            <w:pStyle w:val="Contents4"/>
            <w:tabs>
              <w:tab w:val="clear" w:pos="8176"/>
              <w:tab w:val="right" w:pos="9026" w:leader="dot"/>
            </w:tabs>
            <w:rPr/>
          </w:pPr>
          <w:hyperlink w:anchor="__RefHeading___Toc4020495_372815092">
            <w:r>
              <w:rPr>
                <w:webHidden/>
                <w:rStyle w:val="IndexLink"/>
                <w:rtl w:val="true"/>
              </w:rPr>
              <w:t>الثاني</w:t>
            </w:r>
            <w:r>
              <w:rPr>
                <w:rStyle w:val="IndexLink"/>
                <w:rtl w:val="true"/>
              </w:rPr>
              <w:t xml:space="preserve">: </w:t>
            </w:r>
            <w:r>
              <w:rPr>
                <w:rStyle w:val="IndexLink"/>
                <w:rtl w:val="true"/>
              </w:rPr>
              <w:t>الخُمُس عبادة مالية لله تعالى</w:t>
            </w:r>
            <w:r>
              <w:rPr>
                <w:rStyle w:val="IndexLink"/>
                <w:rtl w:val="true"/>
              </w:rPr>
              <w:t>:</w:t>
              <w:tab/>
            </w:r>
            <w:r>
              <w:rPr>
                <w:rStyle w:val="IndexLink"/>
              </w:rPr>
              <w:t>161</w:t>
            </w:r>
          </w:hyperlink>
        </w:p>
        <w:p>
          <w:pPr>
            <w:pStyle w:val="Contents4"/>
            <w:tabs>
              <w:tab w:val="clear" w:pos="8176"/>
              <w:tab w:val="right" w:pos="9026" w:leader="dot"/>
            </w:tabs>
            <w:rPr/>
          </w:pPr>
          <w:hyperlink w:anchor="__RefHeading___Toc4020497_372815092">
            <w:r>
              <w:rPr>
                <w:webHidden/>
                <w:rStyle w:val="IndexLink"/>
                <w:rtl w:val="true"/>
              </w:rPr>
              <w:t>الثالث</w:t>
            </w:r>
            <w:r>
              <w:rPr>
                <w:rStyle w:val="IndexLink"/>
                <w:rtl w:val="true"/>
              </w:rPr>
              <w:t xml:space="preserve">: </w:t>
            </w:r>
            <w:r>
              <w:rPr>
                <w:rStyle w:val="IndexLink"/>
                <w:rtl w:val="true"/>
              </w:rPr>
              <w:t>التطهير من البخل والشحّ والسيطرة على المشاعر</w:t>
            </w:r>
            <w:r>
              <w:rPr>
                <w:rStyle w:val="IndexLink"/>
                <w:rtl w:val="true"/>
              </w:rPr>
              <w:t>:</w:t>
              <w:tab/>
            </w:r>
            <w:r>
              <w:rPr>
                <w:rStyle w:val="IndexLink"/>
              </w:rPr>
              <w:t>161</w:t>
            </w:r>
          </w:hyperlink>
        </w:p>
        <w:p>
          <w:pPr>
            <w:pStyle w:val="Contents4"/>
            <w:tabs>
              <w:tab w:val="clear" w:pos="8176"/>
              <w:tab w:val="right" w:pos="9026" w:leader="dot"/>
            </w:tabs>
            <w:rPr/>
          </w:pPr>
          <w:hyperlink w:anchor="__RefHeading___Toc4020499_372815092">
            <w:r>
              <w:rPr>
                <w:webHidden/>
                <w:rStyle w:val="IndexLink"/>
                <w:rtl w:val="true"/>
              </w:rPr>
              <w:t>الرابع</w:t>
            </w:r>
            <w:r>
              <w:rPr>
                <w:rStyle w:val="IndexLink"/>
                <w:rtl w:val="true"/>
              </w:rPr>
              <w:t xml:space="preserve">: </w:t>
            </w:r>
            <w:r>
              <w:rPr>
                <w:rStyle w:val="IndexLink"/>
                <w:rtl w:val="true"/>
              </w:rPr>
              <w:t xml:space="preserve">التوسعة على فقراء ذراري رسول الله </w:t>
            </w:r>
            <w:r>
              <w:rPr>
                <w:rStyle w:val="IndexLink"/>
                <w:rtl w:val="true"/>
              </w:rPr>
              <w:t>(</w:t>
            </w:r>
            <w:r>
              <w:rPr>
                <w:rStyle w:val="IndexLink"/>
                <w:rtl w:val="true"/>
              </w:rPr>
              <w:t>صلی الله علیه و آله</w:t>
            </w:r>
            <w:r>
              <w:rPr>
                <w:rStyle w:val="IndexLink"/>
                <w:rtl w:val="true"/>
              </w:rPr>
              <w:t>):</w:t>
              <w:tab/>
            </w:r>
            <w:r>
              <w:rPr>
                <w:rStyle w:val="IndexLink"/>
              </w:rPr>
              <w:t>162</w:t>
            </w:r>
          </w:hyperlink>
        </w:p>
        <w:p>
          <w:pPr>
            <w:pStyle w:val="Contents4"/>
            <w:tabs>
              <w:tab w:val="clear" w:pos="8176"/>
              <w:tab w:val="right" w:pos="9026" w:leader="dot"/>
            </w:tabs>
            <w:rPr/>
          </w:pPr>
          <w:hyperlink w:anchor="__RefHeading___Toc4020501_372815092">
            <w:r>
              <w:rPr>
                <w:webHidden/>
                <w:rStyle w:val="IndexLink"/>
                <w:rtl w:val="true"/>
              </w:rPr>
              <w:t>الخامس</w:t>
            </w:r>
            <w:r>
              <w:rPr>
                <w:rStyle w:val="IndexLink"/>
                <w:rtl w:val="true"/>
              </w:rPr>
              <w:t xml:space="preserve">: </w:t>
            </w:r>
            <w:r>
              <w:rPr>
                <w:rStyle w:val="IndexLink"/>
                <w:rtl w:val="true"/>
              </w:rPr>
              <w:t>رفع الطبقية وإيجاد حالة التوازن بين أفراد المجتمع</w:t>
            </w:r>
            <w:r>
              <w:rPr>
                <w:rStyle w:val="IndexLink"/>
                <w:rtl w:val="true"/>
              </w:rPr>
              <w:t>:</w:t>
              <w:tab/>
            </w:r>
            <w:r>
              <w:rPr>
                <w:rStyle w:val="IndexLink"/>
              </w:rPr>
              <w:t>163</w:t>
            </w:r>
          </w:hyperlink>
        </w:p>
        <w:p>
          <w:pPr>
            <w:pStyle w:val="Contents4"/>
            <w:tabs>
              <w:tab w:val="clear" w:pos="8176"/>
              <w:tab w:val="right" w:pos="9026" w:leader="dot"/>
            </w:tabs>
            <w:rPr/>
          </w:pPr>
          <w:hyperlink w:anchor="__RefHeading___Toc4020503_372815092">
            <w:r>
              <w:rPr>
                <w:webHidden/>
                <w:rStyle w:val="IndexLink"/>
                <w:rtl w:val="true"/>
              </w:rPr>
              <w:t>السادس</w:t>
            </w:r>
            <w:r>
              <w:rPr>
                <w:rStyle w:val="IndexLink"/>
                <w:rtl w:val="true"/>
              </w:rPr>
              <w:t xml:space="preserve">: </w:t>
            </w:r>
            <w:r>
              <w:rPr>
                <w:rStyle w:val="IndexLink"/>
                <w:rtl w:val="true"/>
              </w:rPr>
              <w:t>الاستقلالية المالية مصدر قوَّة للإسلام والمذهب</w:t>
            </w:r>
            <w:r>
              <w:rPr>
                <w:rStyle w:val="IndexLink"/>
                <w:rtl w:val="true"/>
              </w:rPr>
              <w:t>:</w:t>
              <w:tab/>
            </w:r>
            <w:r>
              <w:rPr>
                <w:rStyle w:val="IndexLink"/>
              </w:rPr>
              <w:t>163</w:t>
            </w:r>
          </w:hyperlink>
        </w:p>
        <w:p>
          <w:pPr>
            <w:pStyle w:val="Contents3"/>
            <w:tabs>
              <w:tab w:val="clear" w:pos="8459"/>
              <w:tab w:val="right" w:pos="9026" w:leader="dot"/>
            </w:tabs>
            <w:rPr/>
          </w:pPr>
          <w:hyperlink w:anchor="__RefHeading___Toc4020505_372815092">
            <w:r>
              <w:rPr>
                <w:webHidden/>
                <w:rStyle w:val="IndexLink"/>
                <w:rtl w:val="true"/>
              </w:rPr>
              <w:t>(</w:t>
            </w:r>
            <w:r>
              <w:rPr>
                <w:rStyle w:val="IndexLink"/>
              </w:rPr>
              <w:t>2</w:t>
            </w:r>
            <w:r>
              <w:rPr>
                <w:rStyle w:val="IndexLink"/>
                <w:rtl w:val="true"/>
              </w:rPr>
              <w:t xml:space="preserve">) </w:t>
            </w:r>
            <w:r>
              <w:rPr>
                <w:rStyle w:val="IndexLink"/>
                <w:rtl w:val="true"/>
              </w:rPr>
              <w:t xml:space="preserve">تعيين الوظيفة بالنسبة إلى سهم الإمام </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4020507_372815092">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4020509_372815092">
            <w:r>
              <w:rPr>
                <w:webHidden/>
                <w:rStyle w:val="IndexLink"/>
                <w:rtl w:val="true"/>
              </w:rPr>
              <w:t>القول الأوَّل</w:t>
            </w:r>
            <w:r>
              <w:rPr>
                <w:rStyle w:val="IndexLink"/>
                <w:rtl w:val="true"/>
              </w:rPr>
              <w:t>:</w:t>
              <w:tab/>
            </w:r>
            <w:r>
              <w:rPr>
                <w:rStyle w:val="IndexLink"/>
              </w:rPr>
              <w:t>166</w:t>
            </w:r>
          </w:hyperlink>
        </w:p>
        <w:p>
          <w:pPr>
            <w:pStyle w:val="Contents4"/>
            <w:tabs>
              <w:tab w:val="clear" w:pos="8176"/>
              <w:tab w:val="right" w:pos="9026" w:leader="dot"/>
            </w:tabs>
            <w:rPr/>
          </w:pPr>
          <w:hyperlink w:anchor="__RefHeading___Toc4020511_372815092">
            <w:r>
              <w:rPr>
                <w:webHidden/>
                <w:rStyle w:val="IndexLink"/>
                <w:rtl w:val="true"/>
              </w:rPr>
              <w:t>القول الثاني</w:t>
            </w:r>
            <w:r>
              <w:rPr>
                <w:rStyle w:val="IndexLink"/>
                <w:rtl w:val="true"/>
              </w:rPr>
              <w:t>:</w:t>
              <w:tab/>
            </w:r>
            <w:r>
              <w:rPr>
                <w:rStyle w:val="IndexLink"/>
              </w:rPr>
              <w:t>166</w:t>
            </w:r>
          </w:hyperlink>
        </w:p>
        <w:p>
          <w:pPr>
            <w:pStyle w:val="Contents4"/>
            <w:tabs>
              <w:tab w:val="clear" w:pos="8176"/>
              <w:tab w:val="right" w:pos="9026" w:leader="dot"/>
            </w:tabs>
            <w:rPr/>
          </w:pPr>
          <w:hyperlink w:anchor="__RefHeading___Toc4020513_372815092">
            <w:r>
              <w:rPr>
                <w:webHidden/>
                <w:rStyle w:val="IndexLink"/>
                <w:rtl w:val="true"/>
              </w:rPr>
              <w:t>القول الثالث</w:t>
            </w:r>
            <w:r>
              <w:rPr>
                <w:rStyle w:val="IndexLink"/>
                <w:rtl w:val="true"/>
              </w:rPr>
              <w:t>:</w:t>
              <w:tab/>
            </w:r>
            <w:r>
              <w:rPr>
                <w:rStyle w:val="IndexLink"/>
              </w:rPr>
              <w:t>167</w:t>
            </w:r>
          </w:hyperlink>
        </w:p>
        <w:p>
          <w:pPr>
            <w:pStyle w:val="Contents4"/>
            <w:tabs>
              <w:tab w:val="clear" w:pos="8176"/>
              <w:tab w:val="right" w:pos="9026" w:leader="dot"/>
            </w:tabs>
            <w:rPr/>
          </w:pPr>
          <w:hyperlink w:anchor="__RefHeading___Toc4020515_372815092">
            <w:r>
              <w:rPr>
                <w:webHidden/>
                <w:rStyle w:val="IndexLink"/>
                <w:rtl w:val="true"/>
              </w:rPr>
              <w:t>القول الرابع</w:t>
            </w:r>
            <w:r>
              <w:rPr>
                <w:rStyle w:val="IndexLink"/>
                <w:rtl w:val="true"/>
              </w:rPr>
              <w:t>:</w:t>
              <w:tab/>
            </w:r>
            <w:r>
              <w:rPr>
                <w:rStyle w:val="IndexLink"/>
              </w:rPr>
              <w:t>167</w:t>
            </w:r>
          </w:hyperlink>
        </w:p>
        <w:p>
          <w:pPr>
            <w:pStyle w:val="Contents4"/>
            <w:tabs>
              <w:tab w:val="clear" w:pos="8176"/>
              <w:tab w:val="right" w:pos="9026" w:leader="dot"/>
            </w:tabs>
            <w:rPr/>
          </w:pPr>
          <w:hyperlink w:anchor="__RefHeading___Toc4020517_372815092">
            <w:r>
              <w:rPr>
                <w:webHidden/>
                <w:rStyle w:val="IndexLink"/>
                <w:rtl w:val="true"/>
              </w:rPr>
              <w:t>القول الخامس</w:t>
            </w:r>
            <w:r>
              <w:rPr>
                <w:rStyle w:val="IndexLink"/>
                <w:rtl w:val="true"/>
              </w:rPr>
              <w:t>:</w:t>
              <w:tab/>
            </w:r>
            <w:r>
              <w:rPr>
                <w:rStyle w:val="IndexLink"/>
              </w:rPr>
              <w:t>168</w:t>
            </w:r>
          </w:hyperlink>
        </w:p>
        <w:p>
          <w:pPr>
            <w:pStyle w:val="Contents4"/>
            <w:tabs>
              <w:tab w:val="clear" w:pos="8176"/>
              <w:tab w:val="right" w:pos="9026" w:leader="dot"/>
            </w:tabs>
            <w:rPr/>
          </w:pPr>
          <w:hyperlink w:anchor="__RefHeading___Toc4020519_372815092">
            <w:r>
              <w:rPr>
                <w:webHidden/>
                <w:rStyle w:val="IndexLink"/>
                <w:rtl w:val="true"/>
              </w:rPr>
              <w:t>القول السادس</w:t>
            </w:r>
            <w:r>
              <w:rPr>
                <w:rStyle w:val="IndexLink"/>
                <w:rtl w:val="true"/>
              </w:rPr>
              <w:t>:</w:t>
              <w:tab/>
            </w:r>
            <w:r>
              <w:rPr>
                <w:rStyle w:val="IndexLink"/>
              </w:rPr>
              <w:t>168</w:t>
            </w:r>
          </w:hyperlink>
        </w:p>
        <w:p>
          <w:pPr>
            <w:pStyle w:val="Contents3"/>
            <w:tabs>
              <w:tab w:val="clear" w:pos="8459"/>
              <w:tab w:val="right" w:pos="9026" w:leader="dot"/>
            </w:tabs>
            <w:rPr/>
          </w:pPr>
          <w:hyperlink w:anchor="__RefHeading___Toc4020521_372815092">
            <w:r>
              <w:rPr>
                <w:webHidden/>
                <w:rStyle w:val="IndexLink"/>
                <w:rtl w:val="true"/>
              </w:rPr>
              <w:t>(</w:t>
            </w:r>
            <w:r>
              <w:rPr>
                <w:rStyle w:val="IndexLink"/>
              </w:rPr>
              <w:t>3</w:t>
            </w:r>
            <w:r>
              <w:rPr>
                <w:rStyle w:val="IndexLink"/>
                <w:rtl w:val="true"/>
              </w:rPr>
              <w:t>)</w:t>
            </w:r>
            <w:r>
              <w:rPr>
                <w:rStyle w:val="IndexLink"/>
                <w:rtl w:val="true"/>
              </w:rPr>
              <w:t>حكم مُنكِر فريضة الخُمُس</w:t>
            </w:r>
            <w:r>
              <w:rPr>
                <w:rStyle w:val="IndexLink"/>
                <w:rtl w:val="true"/>
              </w:rPr>
              <w:tab/>
            </w:r>
            <w:r>
              <w:rPr>
                <w:rStyle w:val="IndexLink"/>
              </w:rPr>
              <w:t>170</w:t>
            </w:r>
          </w:hyperlink>
        </w:p>
        <w:p>
          <w:pPr>
            <w:pStyle w:val="Contents4"/>
            <w:tabs>
              <w:tab w:val="clear" w:pos="8176"/>
              <w:tab w:val="right" w:pos="9026" w:leader="dot"/>
            </w:tabs>
            <w:rPr/>
          </w:pPr>
          <w:hyperlink w:anchor="__RefHeading___Toc4020523_372815092">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4020525_372815092">
            <w:r>
              <w:rPr>
                <w:webHidden/>
                <w:rStyle w:val="IndexLink"/>
                <w:rtl w:val="true"/>
              </w:rPr>
              <w:t>القسم الأوَّل</w:t>
            </w:r>
            <w:r>
              <w:rPr>
                <w:rStyle w:val="IndexLink"/>
                <w:rtl w:val="true"/>
              </w:rPr>
              <w:t xml:space="preserve">: </w:t>
            </w:r>
            <w:r>
              <w:rPr>
                <w:rStyle w:val="IndexLink"/>
                <w:rtl w:val="true"/>
              </w:rPr>
              <w:t>ضروري الدين</w:t>
            </w:r>
            <w:r>
              <w:rPr>
                <w:rStyle w:val="IndexLink"/>
                <w:rtl w:val="true"/>
              </w:rPr>
              <w:t>:</w:t>
              <w:tab/>
            </w:r>
            <w:r>
              <w:rPr>
                <w:rStyle w:val="IndexLink"/>
              </w:rPr>
              <w:t>170</w:t>
            </w:r>
          </w:hyperlink>
        </w:p>
        <w:p>
          <w:pPr>
            <w:pStyle w:val="Contents4"/>
            <w:tabs>
              <w:tab w:val="clear" w:pos="8176"/>
              <w:tab w:val="right" w:pos="9026" w:leader="dot"/>
            </w:tabs>
            <w:rPr/>
          </w:pPr>
          <w:hyperlink w:anchor="__RefHeading___Toc4020527_372815092">
            <w:r>
              <w:rPr>
                <w:webHidden/>
                <w:rStyle w:val="IndexLink"/>
                <w:rtl w:val="true"/>
              </w:rPr>
              <w:t>القسم الثاني</w:t>
            </w:r>
            <w:r>
              <w:rPr>
                <w:rStyle w:val="IndexLink"/>
                <w:rtl w:val="true"/>
              </w:rPr>
              <w:t xml:space="preserve">: </w:t>
            </w:r>
            <w:r>
              <w:rPr>
                <w:rStyle w:val="IndexLink"/>
                <w:rtl w:val="true"/>
              </w:rPr>
              <w:t>ضروري المذهب</w:t>
            </w:r>
            <w:r>
              <w:rPr>
                <w:rStyle w:val="IndexLink"/>
                <w:rtl w:val="true"/>
              </w:rPr>
              <w:t>:</w:t>
              <w:tab/>
            </w:r>
            <w:r>
              <w:rPr>
                <w:rStyle w:val="IndexLink"/>
              </w:rPr>
              <w:t>171</w:t>
            </w:r>
          </w:hyperlink>
        </w:p>
        <w:p>
          <w:pPr>
            <w:pStyle w:val="Contents2"/>
            <w:tabs>
              <w:tab w:val="clear" w:pos="8743"/>
              <w:tab w:val="right" w:pos="9026" w:leader="dot"/>
            </w:tabs>
            <w:rPr/>
          </w:pPr>
          <w:hyperlink w:anchor="__RefHeading___Toc4020529_372815092">
            <w:r>
              <w:rPr>
                <w:webHidden/>
                <w:rStyle w:val="IndexLink"/>
                <w:rtl w:val="true"/>
              </w:rPr>
              <w:t>المصادر والمراجع</w:t>
            </w:r>
            <w:r>
              <w:rPr>
                <w:rStyle w:val="IndexLink"/>
                <w:rtl w:val="true"/>
              </w:rPr>
              <w:tab/>
            </w:r>
            <w:r>
              <w:rPr>
                <w:rStyle w:val="IndexLink"/>
              </w:rPr>
              <w:t>174</w:t>
            </w:r>
          </w:hyperlink>
        </w:p>
        <w:p>
          <w:pPr>
            <w:pStyle w:val="Contents2"/>
            <w:tabs>
              <w:tab w:val="clear" w:pos="8743"/>
              <w:tab w:val="right" w:pos="9026" w:leader="dot"/>
            </w:tabs>
            <w:rPr/>
          </w:pPr>
          <w:hyperlink w:anchor="__RefHeading___Toc4020531_372815092">
            <w:r>
              <w:rPr>
                <w:webHidden/>
                <w:rStyle w:val="IndexLink"/>
                <w:rtl w:val="true"/>
              </w:rPr>
              <w:t>الفهرس</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42_66575"/>
      <w:bookmarkStart w:id="1" w:name="pg7142_66575"/>
      <w:bookmarkEnd w:id="1"/>
    </w:p>
    <w:p>
      <w:pPr>
        <w:pStyle w:val="Heading2"/>
        <w:numPr>
          <w:ilvl w:val="1"/>
          <w:numId w:val="1"/>
        </w:numPr>
        <w:rPr/>
      </w:pPr>
      <w:bookmarkStart w:id="2" w:name="pg7142_66575"/>
      <w:bookmarkStart w:id="3" w:name="__RefHeading___Toc4020231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الخُمُس في عَصرِ الغَيبَة شُبُهات وَرُدُود</w:t>
      </w:r>
    </w:p>
    <w:p>
      <w:pPr>
        <w:pStyle w:val="BookText"/>
        <w:rPr/>
      </w:pPr>
      <w:r>
        <w:rPr>
          <w:rFonts w:ascii="Amiri" w:hAnsi="Amiri" w:eastAsia="Amiri" w:cs="Amiri"/>
          <w:color w:val="111111"/>
          <w:sz w:val="28"/>
          <w:sz w:val="28"/>
          <w:szCs w:val="28"/>
          <w:rtl w:val="true"/>
          <w:lang w:bidi="ar-SA"/>
        </w:rPr>
        <w:t>بُحُوث سَمَاحَة الأُستاذ السيِّد أحمَد الإشكوري</w:t>
      </w:r>
    </w:p>
    <w:p>
      <w:pPr>
        <w:pStyle w:val="BookText"/>
        <w:rPr/>
      </w:pPr>
      <w:r>
        <w:rPr>
          <w:rFonts w:ascii="Amiri" w:hAnsi="Amiri" w:eastAsia="Amiri" w:cs="Amiri"/>
          <w:color w:val="111111"/>
          <w:sz w:val="28"/>
          <w:sz w:val="28"/>
          <w:szCs w:val="28"/>
          <w:rtl w:val="true"/>
          <w:lang w:bidi="ar-SA"/>
        </w:rPr>
        <w:t xml:space="preserve">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البَغدَادَي والشَيخ مَيثم الصِرَيفي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20233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الخُمُس في عَصرِ الغَيبَة شُبُهات وَرُدُود</w:t>
      </w:r>
    </w:p>
    <w:p>
      <w:pPr>
        <w:pStyle w:val="BookText"/>
        <w:rPr/>
      </w:pPr>
      <w:r>
        <w:rPr>
          <w:rFonts w:ascii="Amiri" w:hAnsi="Amiri" w:eastAsia="Amiri" w:cs="Amiri"/>
          <w:color w:val="111111"/>
          <w:sz w:val="28"/>
          <w:sz w:val="28"/>
          <w:szCs w:val="28"/>
          <w:rtl w:val="true"/>
          <w:lang w:bidi="ar-SA"/>
        </w:rPr>
        <w:t>بُحُوث سَمَاحَة الأُستاذ السيِّد أحمَد الإشكوري</w:t>
      </w:r>
    </w:p>
    <w:p>
      <w:pPr>
        <w:pStyle w:val="BookText"/>
        <w:rPr/>
      </w:pPr>
      <w:r>
        <w:rPr>
          <w:rFonts w:ascii="Amiri" w:hAnsi="Amiri" w:eastAsia="Amiri" w:cs="Amiri"/>
          <w:color w:val="111111"/>
          <w:sz w:val="28"/>
          <w:sz w:val="28"/>
          <w:szCs w:val="28"/>
          <w:rtl w:val="true"/>
          <w:lang w:bidi="ar-SA"/>
        </w:rPr>
        <w:t>تَقرير</w:t>
      </w:r>
    </w:p>
    <w:p>
      <w:pPr>
        <w:pStyle w:val="BookText"/>
        <w:rPr/>
      </w:pPr>
      <w:r>
        <w:rPr>
          <w:rFonts w:ascii="Amiri" w:hAnsi="Amiri" w:eastAsia="Amiri" w:cs="Amiri"/>
          <w:color w:val="111111"/>
          <w:sz w:val="28"/>
          <w:sz w:val="28"/>
          <w:szCs w:val="28"/>
          <w:rtl w:val="true"/>
          <w:lang w:bidi="ar-SA"/>
        </w:rPr>
        <w:t>الشَيخ وسَام البَغدَادَي والشَيخ مَيثم الصِرَيفي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7" w:name="pg7142_6657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020235_372815092"/>
      <w:bookmarkStart w:id="9" w:name="_Toc3"/>
      <w:bookmarkEnd w:id="8"/>
      <w:r>
        <w:rPr>
          <w:rtl w:val="true"/>
        </w:rPr>
        <w:t>مقدّمة المركز</w:t>
      </w:r>
      <w:r>
        <w:rPr>
          <w:rtl w:val="true"/>
        </w:rPr>
        <w:t>:</w:t>
      </w:r>
      <w:bookmarkEnd w:id="9"/>
    </w:p>
    <w:p>
      <w:pPr>
        <w:pStyle w:val="BookText"/>
        <w:rPr/>
      </w:pPr>
      <w:r>
        <w:rPr>
          <w:rFonts w:ascii="IRNazanin" w:hAnsi="IRNazanin" w:eastAsia="IRNazanin"/>
          <w:color w:val="111111"/>
          <w:sz w:val="28"/>
          <w:sz w:val="28"/>
          <w:szCs w:val="28"/>
          <w:rtl w:val="true"/>
          <w:lang w:bidi="fa-IR"/>
        </w:rPr>
        <w:t xml:space="preserve">تحتضن العقيدة المهدويَّة الكثير من المسائل المهمَّة التي ما زالت تحتاج إلىٰ تحقيق وتعميق في كثير من العلوم والمعارف الإنسانية حيث إنَّها ترتبط بشكل أو آخر بالعقيدة المهدويَّة، لذا كان ممَّا ينبغي علىٰ الباحثين وأهل الاختصاص، كلٌّ في بابه، إيجاد العوامل المشتركة بين اختصاصهم وبين الهدف المرجوِّ من خلقة الخليقة وتحقيق دولة العدل الإلهي علىٰ يد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نريد الخوض في مجالات العلوم المختلفة وكيفية ارتباطها بالقضيَّة المهدويَّة بقدر ما نريد التأكيد عليه هنا من وجود بعض المسائل الفقهية المهمَّة والتي يختلف الرأي فيها بين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حضور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 مثل صلاة الجمعة والقول بوجوبها العيني في عصر الحضور والتخييري أو الاستحبابي أو التوقُّف فيها في عصر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الجهاد الابتدائي وجوازه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يراه الفقهاء من المصلحة وبين حرمته أو جوازه كذلك في عصر الغيبة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هناك بعض المسائل الفقهية المتَّفق عليها بين الأصحاب قديماً وحديثاً إلَّا أنَّها واجهت بعض الشبهات الحديثة وروَّجت لها وسائلالإعلام المعادية للمذهب من خلال أبواقها الإعلامية أو </w:t>
      </w:r>
    </w:p>
    <w:p>
      <w:pPr>
        <w:pStyle w:val="BookText"/>
        <w:rPr/>
      </w:pPr>
      <w:r>
        <w:rPr>
          <w:rFonts w:ascii="Amiri" w:hAnsi="Amiri" w:eastAsia="Amiri" w:cs="Amiri"/>
          <w:color w:val="111111"/>
          <w:sz w:val="28"/>
          <w:sz w:val="28"/>
          <w:szCs w:val="28"/>
          <w:rtl w:val="true"/>
          <w:lang w:bidi="ar-SA"/>
        </w:rPr>
        <w:t xml:space="preserve">المحسوبة علىٰ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والهدف منها تضعيف الحصن الحصين للتشيُّع وهو المرجعية الدينية وإيجاد شرخٍ بين القاعدة المتمثِّلة بالأُمَّة وبين القيادة في عصر الغيبة والمتمثِّلة بالمرجعية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وجوب الخُمُس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حاول بعض من ينتسب لأهل العلم المساس بهذا المسلَّم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اجتراراً من شبهات الحداثيين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والتشكيك بوجوب الخُمُس في عصرنا من خلال إلقاء أوهام يحسبها غير المطَّلع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ما هو إلَّا نافذة علمية للإجابة علىٰ أغلب إن لم يكن جميع هذه الشبهات بطريقة واضحة في السبك عميقة في المضمون سلسة في البيان لسماحة السيِّد أحمد الإشكوري أُستاذ الدراسات العليا في الحوزة العلمية في النجف الأشرف، حيث تعرَّض إلىٰ مسألة الخُمُس بروح موضوعية منفتحة علىٰ الرأي الآخر، وأجاب عن جميع التساؤلات والإشكالات بأُسلوب علمي رصين خالٍ من التهكُّم والاستفزاز بعكس الطريقة التي يحاول أصحاب الشبهة من طرح شبهاتهم حيث امتازوا بالخروج عن الموضوعية العلمية ومحاولة استفزاز الحوزة العلمية، وهم يعلمون قبل غيرهم أنَّ الحوزة العلمية لا تُستَفزُّ بمثل هذه التهكُّمات والطريقة الاستعراضية المتهالكة التي يحسب أصحابها أنَّهم علىٰ شيء، وقد فاتهم أنَّهم زبد سيذهب جفاءً، والحوزة العلمية ماكثة تنفع الناس</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من حسن توفيق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هذا السفر القيِّم وطباعتهبعد أن طبع لسماحة المؤلِّف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الإساءة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أوَّل قارورة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في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المهدويَّة إشكاليات ومعالجات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الكتاب الثالث لسماحة المؤلِّف ينال المركز حظوة طباعته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ليُشكِّل رافداً مهمًّا للمكتبة العلمية ولطلَّاب الحقيقة وروّادها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نسأله تعالىٰ التوفيق لنا ولسماحة المؤلِّف وللمؤمنين، وأن يجعلنا من أنصار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ومقويَّة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نحمده ونستعينه ونستغفره ونعوذ به من شرور أنفسنا وسيِّئات أعمالنا، من يهده الله فلا مضلَّ له، ومن يُضلل فلا هادي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وأشهد أن لا إله إلَّا الله وحده لا شريك له، وأنَّ محمّداً عبده ورسوله، نبيّ الرحمة، وشفيع الأُمَّة، خير البريَّة، وأفضل الخلق،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آله الطيِّبين الطاهرين، أُمناء الله علىٰ الدين، والكهف الحصين، وغياث المضطرِّ المستكين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إثارة الظنون من أقدم الوسائل التي لجأ إليها المشكِّكون، وهي معركة قائمة بين أصحاب الحقِّ والباطل في عالم المنهج، وأول مصائد الشيطان ترك التثبُّت والاعتماد علىٰ الموهوم والخرافة العلمية وتفعيل لغة التشكيك، ثمّ يستدرج الظانَّ إلىٰ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ظنِّه،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أولعوا بالكذب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أُحدِّث أحدهم بالحديث فلا يخرج من عندي حتَّىٰ يتأوَّله علىٰ غير تأويله، وذلك أنَّهم لا يطلبون بحديثنا وبحبِّنا ما عند الله، وإنَّما يطلبون به الدنيا، وكلٌّ يُحِبُّ أن يُدعىٰ رأساً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وأخطر ما يستغلُّه الظانُّون هو عدم معرفة الكثير من الناس، فيُلبِسون الأمر عليهم، فيتحدَّثون بالحديث التخصُّص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 الأروقة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أُثيرت شبهات بدواعي مختلفة ومن أكثر من منهج حول فريضة الخمس، فتعرَّضنا لبعضها ودفع تلك الشبهات التي تُثار علىٰ هذا الحكم، وردّ الاعتراضات والانتقادات التي تواجه أبناءنا بلغة علمية متوسِّطة؛ لينتفع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قام كلٌّ من الفاضلين الشيخ وسام البغدادي والشيخ ميثم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ريفي بتقريرها وتنقيحها، وقد بذلا جهداً مشكوراً وسعياً محموداً، فأسأل الله عزوجل لهما التوفيق والسداد في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يكون هذا العمل ذخيرة الآخرة لهما، والله المسدِّد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w:t>
      </w:r>
      <w:bookmarkStart w:id="10" w:name="pg7142_6659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4020237_372815092"/>
      <w:bookmarkStart w:id="12" w:name="_Toc4"/>
      <w:bookmarkEnd w:id="11"/>
      <w:r>
        <w:rPr>
          <w:rtl w:val="true"/>
        </w:rPr>
        <w:t>مقدّمة المقرّر</w:t>
      </w:r>
      <w:r>
        <w:rPr>
          <w:rtl w:val="true"/>
        </w:rPr>
        <w:t>:</w:t>
      </w:r>
      <w:bookmarkEnd w:id="12"/>
    </w:p>
    <w:p>
      <w:pPr>
        <w:pStyle w:val="BookText"/>
        <w:rPr/>
      </w:pPr>
      <w:r>
        <w:rPr>
          <w:rFonts w:ascii="IRNazanin" w:hAnsi="IRNazanin" w:eastAsia="IRNazanin"/>
          <w:color w:val="111111"/>
          <w:sz w:val="28"/>
          <w:sz w:val="28"/>
          <w:szCs w:val="28"/>
          <w:rtl w:val="true"/>
          <w:lang w:bidi="fa-IR"/>
        </w:rPr>
        <w:t xml:space="preserve">الحمد لله الملك المعبود، ذي العطاء والمنِّ والجود، واهب الحياة وخالق الوجود، الذي اتَّصف بالصمدية وتفرَّد بالوحدانية، والملائكة وأُولو العلم علىٰ ذلك شهود، والصلاة والسلام علىٰ خير أصفيائه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 أسرار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قال مولانا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الشُّبْهَةُ شُبْهَةً لأَنَّهَا تُشْبِه الْحَقَّ، فَأَمَّا أَوْلِيَاءُ اللهِ فَضِيَاؤُهُمْ فِيهَا الْيَقِينُ، وَدَلِيلُهُمْ سَمْتُ الْهُدَىٰ، وَأَمَّا أَعْدَاءُ اللهِ فَدُعَاؤُهُمْ فِيهَا الضَّلَالُ، وَدَلِيلُهُمُ الْعَمَىٰ، فَمَا يَنْجُو مِنَ المَوْتِ مَنْ خَافَه، وَلَا يُعْطَىٰ الْبَقَاءَ مَنْ أَحَبَّه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لا شكَّ فيه ولا ريب أنَّ في كلِّ زمانٍ توجد حملات من قِبَل البعض لتشكيك المؤمنين ببعض العقائد والأحكام التي يُراد بها تضعيف المذهب الحقِّ والحدِّ من انتشاره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والتشكيك بمنظومة الدين والمؤسَّسة الدينية وعلىٰ رأسها العلماء والفقهاء الذين بذلوا جهد السنين لإيصال معالم الدين إلىٰ أتباع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هؤلاء المشكِّكين علىٰ وسائل وطُرُق غير خاضعة للدقَّة والأمانة العلمية، وذلك لأجل الانتصار للهويَّة أو التحزّبية </w:t>
      </w:r>
    </w:p>
    <w:p>
      <w:pPr>
        <w:pStyle w:val="BookText"/>
        <w:rPr/>
      </w:pPr>
      <w:r>
        <w:rPr>
          <w:rFonts w:ascii="Amiri" w:hAnsi="Amiri" w:eastAsia="Amiri" w:cs="Amiri"/>
          <w:color w:val="111111"/>
          <w:sz w:val="28"/>
          <w:sz w:val="28"/>
          <w:szCs w:val="28"/>
          <w:rtl w:val="true"/>
          <w:lang w:bidi="ar-SA"/>
        </w:rPr>
        <w:t>وغيرها من المآرب التي بانت واضحة لكلِّ متدبِّر وناظر في وقتنا 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الرغم من كلِّ هذا فإنَّنا علىٰ يقين وبحمد الله بأنَّ هذا المذهب الحقّ محفوظ برعاية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ونوّابه من العلماء العاملين، حيث إنَّنا نجد في كلِّ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ترد فيه مثل هذه الهجمات هنالك من العلماء والفقهاء والأستاذة في الحوزة العلمية حفظهم الله جميعاً ورحم الماضين منهم من يتصدّىٰ لردِّ هذه الشبهات وبيان مواطن الزيغ فيها ودفعها وصون المؤمنين من الوقوع في غياهبها، وليس ذلك إلَّا دفاعاً عن شريعة سيِّد المرسلين وسيرة الأئمَّة الطاهرين والفقهاء من الطائفة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 يديك عزيزي القارئ باقة من إفاضات سماحة سيِّدنا الأُستاذ أحمد الإشكوري حول ما يُطرَح في الساحة المعاصرة من شبهات تتعلَّق بفريضة الخُمُس وما يدور حولها من الأسئلة، التي ألقاها علىٰ مسامعنا سماحة السيِّد في مجلس درسه وبعض الجلسات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له المزيد من الحفظ والتوفيق، وأن يجعله ذخراً للدين والمذهب، بحقِّ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وسام البغدادي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3" w:name="pg7142_66595"/>
    </w:p>
    <w:p>
      <w:pPr>
        <w:pStyle w:val="Heading2"/>
        <w:numPr>
          <w:ilvl w:val="1"/>
          <w:numId w:val="1"/>
        </w:numPr>
        <w:rPr/>
      </w:pPr>
      <w:bookmarkStart w:id="14" w:name="__RefHeading___Toc4020239_372815092"/>
      <w:bookmarkStart w:id="15" w:name="_Toc5"/>
      <w:bookmarkEnd w:id="13"/>
      <w:bookmarkEnd w:id="14"/>
      <w:r>
        <w:rPr>
          <w:rtl w:val="true"/>
        </w:rPr>
        <w:t>الشبهة الأولى</w:t>
      </w:r>
      <w:r>
        <w:rPr>
          <w:rtl w:val="true"/>
        </w:rPr>
        <w:t xml:space="preserve">: </w:t>
      </w:r>
      <w:r>
        <w:rPr>
          <w:rtl w:val="true"/>
        </w:rPr>
        <w:t>عدم تشريع فريضة الخُمُس في أرباح المكاسب</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020241_372815092"/>
      <w:bookmarkStart w:id="17" w:name="_Toc6"/>
      <w:bookmarkEnd w:id="16"/>
      <w:r>
        <w:rPr>
          <w:rtl w:val="true"/>
        </w:rPr>
        <w:t>اشارة</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142_66598"/>
      <w:bookmarkStart w:id="19" w:name="pg7142_66598"/>
      <w:bookmarkEnd w:id="19"/>
    </w:p>
    <w:p>
      <w:pPr>
        <w:pStyle w:val="Heading3"/>
        <w:numPr>
          <w:ilvl w:val="2"/>
          <w:numId w:val="1"/>
        </w:numPr>
        <w:rPr/>
      </w:pPr>
      <w:bookmarkStart w:id="20" w:name="pg7142_66598"/>
      <w:bookmarkStart w:id="21" w:name="__RefHeading___Toc4020243_372815092"/>
      <w:bookmarkStart w:id="22" w:name="_Toc7"/>
      <w:bookmarkEnd w:id="20"/>
      <w:bookmarkEnd w:id="21"/>
      <w:r>
        <w:rPr>
          <w:rtl w:val="true"/>
        </w:rPr>
        <w:t>مفاد الشبهة</w:t>
      </w:r>
      <w:bookmarkEnd w:id="22"/>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مسالة وجوب الخُمُس في أرباح المكاسب من المستحدَثات التي دخلت باسم الإسلام، ولا توجد أدلَّة قرآنية، أو روائية علىٰ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ريعها، وإنَّما شُرِّعت لأغراض مذهبية، وسياسية، واستغلَّ فقهاء الشيعة هذا الصنف لتحقيق مآربهم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020245_372815092"/>
      <w:bookmarkStart w:id="24" w:name="_Toc8"/>
      <w:bookmarkEnd w:id="23"/>
      <w:r>
        <w:rPr>
          <w:rtl w:val="true"/>
        </w:rPr>
        <w:t>ردُّ الشبهة</w:t>
      </w:r>
      <w:bookmarkEnd w:id="24"/>
    </w:p>
    <w:p>
      <w:pPr>
        <w:pStyle w:val="BookText"/>
        <w:rPr/>
      </w:pPr>
      <w:r>
        <w:rPr>
          <w:rFonts w:ascii="Amiri" w:hAnsi="Amiri" w:eastAsia="Amiri" w:cs="Amiri"/>
          <w:color w:val="111111"/>
          <w:sz w:val="28"/>
          <w:sz w:val="28"/>
          <w:szCs w:val="28"/>
          <w:rtl w:val="true"/>
          <w:lang w:bidi="ar-SA"/>
        </w:rPr>
        <w:t>إنَّ الملاحظ في كلمات المستشكل عدم تقصّ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أدلَّة هذه المسالة، أو غضِّ الطرف عنها، وذلك لأنَّ ما ذُكِرَ من الأدلَّة في إثبات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هذا الصنف لا يمكن التشكيك به البتَّة، وإليك بيانها مفصَّلاً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020247_372815092"/>
      <w:bookmarkStart w:id="26" w:name="_Toc9"/>
      <w:bookmarkEnd w:id="25"/>
      <w:r>
        <w:rPr>
          <w:rtl w:val="true"/>
        </w:rPr>
        <w:t>الدليل الأوَّل</w:t>
      </w:r>
      <w:r>
        <w:rPr>
          <w:rtl w:val="true"/>
        </w:rPr>
        <w:t xml:space="preserve">: </w:t>
      </w:r>
      <w:r>
        <w:rPr>
          <w:rtl w:val="true"/>
        </w:rPr>
        <w:t>القرآن الكريم</w:t>
      </w:r>
      <w:r>
        <w:rPr>
          <w:rtl w:val="true"/>
        </w:rPr>
        <w:t>:</w:t>
      </w:r>
      <w:bookmarkEnd w:id="26"/>
    </w:p>
    <w:p>
      <w:pPr>
        <w:pStyle w:val="Heading4"/>
        <w:numPr>
          <w:ilvl w:val="3"/>
          <w:numId w:val="1"/>
        </w:numPr>
        <w:rPr/>
      </w:pPr>
      <w:bookmarkStart w:id="27" w:name="__RefHeading___Toc4020249_372815092"/>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وذلك من خلال قوله تعالىٰ 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المباركة ظاهرة بسبب إطلاقها في وجوب الخُمُس في مطلق ما يغنمه الإنسان، ويدلُّ علىٰ ذلك قرائن عدَّة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4020251_372815092"/>
      <w:bookmarkStart w:id="30" w:name="_Toc11"/>
      <w:bookmarkEnd w:id="29"/>
      <w:r>
        <w:rPr>
          <w:rtl w:val="true"/>
        </w:rPr>
        <w:t>القرينة الأُولىٰ</w:t>
      </w:r>
      <w:r>
        <w:rPr>
          <w:rtl w:val="true"/>
        </w:rPr>
        <w:t xml:space="preserve">: </w:t>
      </w:r>
      <w:r>
        <w:rPr>
          <w:rtl w:val="true"/>
        </w:rPr>
        <w:t xml:space="preserve">التحليل اللغوي والعرفي لمادَّة </w:t>
      </w:r>
      <w:r>
        <w:rPr>
          <w:rtl w:val="true"/>
        </w:rPr>
        <w:t>(</w:t>
      </w:r>
      <w:r>
        <w:rPr>
          <w:rtl w:val="true"/>
        </w:rPr>
        <w:t>غَنِم</w:t>
      </w:r>
      <w:r>
        <w:rPr>
          <w:rtl w:val="true"/>
        </w:rPr>
        <w:t>):</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معناها اللغوي، وكذا العرفي يدلُّ علىٰ </w:t>
      </w:r>
    </w:p>
    <w:p>
      <w:pPr>
        <w:pStyle w:val="BookText"/>
        <w:rPr/>
      </w:pPr>
      <w:r>
        <w:rPr>
          <w:rFonts w:ascii="Amiri" w:hAnsi="Amiri" w:eastAsia="Amiri" w:cs="Amiri"/>
          <w:color w:val="111111"/>
          <w:sz w:val="28"/>
          <w:sz w:val="28"/>
          <w:szCs w:val="28"/>
          <w:rtl w:val="true"/>
          <w:lang w:bidi="ar-SA"/>
        </w:rPr>
        <w:t>ثبوت الخُمُس لمطلق الفوائد والأرباح، فعندما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فلانٌ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وربح والغنيمة هي الرّبح والفائدة، وليست هي خاصَّة بغنيمة الحرب فقط، وهذا ما صرَّح به جمع كبير من علماء اللغة، فقد ذكر الخليل بن أحمد الفراهيدي في كتابه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الكُتُب اللغوية القديمة والمهمَّة عند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أو الغَنُم الفوز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غير مشقَّة</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لسان العرب عن التهذيب قول 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غير مشقَّة</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الأزهري في تهذيب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الفوز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معروف والغُنْم إصابته والظفر به ثمّ استُعمِلَ في كلِّ مظفور به من جهة العدىٰ، وغيرهم، والمغنم ما يُغنَم، وجمعه مغانم،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حسب التحليل اللغوي، والفهم العرفي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تفيد مطلق الفائدة وغير مختصَّة بغنيمة الحرب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ذلك فقد صرَّح جمع من علماء أهل السُّنَّة بأنَّ المعنىٰ اللغوي للغنيمة في الآية الكريمة عامٌّ حيث ذكر صاحب المنار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الغنيمة في اللغة الفائدة والربح المتحصّل بدون مشقَّة</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القرطبي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الغنيمة عامٌّ، وإن ذهب إلىٰ اختصاصها لأجل السياق ولكن المهمّ في كلامه هو أنَّ المعنىٰ اللغوي لهذه المفردة عامٌّ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1" w:name="pg7142_66602"/>
    </w:p>
    <w:p>
      <w:pPr>
        <w:pStyle w:val="Heading4"/>
        <w:numPr>
          <w:ilvl w:val="3"/>
          <w:numId w:val="1"/>
        </w:numPr>
        <w:rPr/>
      </w:pPr>
      <w:bookmarkStart w:id="32" w:name="__RefHeading___Toc4020253_372815092"/>
      <w:bookmarkStart w:id="33" w:name="_Toc12"/>
      <w:bookmarkEnd w:id="31"/>
      <w:bookmarkEnd w:id="32"/>
      <w:r>
        <w:rPr>
          <w:rtl w:val="true"/>
        </w:rPr>
        <w:t>القرينةالثانية</w:t>
      </w:r>
      <w:r>
        <w:rPr>
          <w:rtl w:val="true"/>
        </w:rPr>
        <w:t xml:space="preserve">: </w:t>
      </w:r>
      <w:r>
        <w:rPr>
          <w:rtl w:val="true"/>
        </w:rPr>
        <w:t xml:space="preserve">استخدام القرآن، والسُّنَّة لمادَّة </w:t>
      </w:r>
      <w:r>
        <w:rPr>
          <w:rtl w:val="true"/>
        </w:rPr>
        <w:t>(</w:t>
      </w:r>
      <w:r>
        <w:rPr>
          <w:rtl w:val="true"/>
        </w:rPr>
        <w:t>غَنِم</w:t>
      </w:r>
      <w:r>
        <w:rPr>
          <w:rtl w:val="true"/>
        </w:rPr>
        <w:t xml:space="preserve">) </w:t>
      </w:r>
      <w:r>
        <w:rPr>
          <w:rtl w:val="true"/>
        </w:rPr>
        <w:t>في مطلق الفائدة</w:t>
      </w:r>
      <w:r>
        <w:rPr>
          <w:rtl w:val="true"/>
        </w:rPr>
        <w:t>:</w:t>
      </w:r>
      <w:bookmarkEnd w:id="33"/>
    </w:p>
    <w:p>
      <w:pPr>
        <w:pStyle w:val="BookText"/>
        <w:rPr/>
      </w:pPr>
      <w:r>
        <w:rPr>
          <w:rFonts w:ascii="Amiri" w:hAnsi="Amiri" w:eastAsia="Amiri" w:cs="Amiri"/>
          <w:color w:val="111111"/>
          <w:sz w:val="28"/>
          <w:sz w:val="28"/>
          <w:szCs w:val="28"/>
          <w:rtl w:val="true"/>
          <w:lang w:bidi="ar-SA"/>
        </w:rPr>
        <w:t xml:space="preserve">استُخدِمَت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الكريم في مطلق الفوائد، وليس فقط في غنيمة دار الحرب، وذلك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اللهِ مَغانِمُ كَثِيرَةٌ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ذهب أغلب المفسِّ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رين إلىٰ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الفوائد سواء كانت دنيوية أو أُخروية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 اللهُ مَغانِمَ كَثِيرَةً تَأْخُذُونَها فَعَجَّلَ لَكُمْ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في تفسير هذه الآية الكريمة بأنَّها تشير إلىٰ مغانم خيبر، وهذا التفسير غير دقيق؛ وذلك لأنَّ الملاحظ في الآية الكريمة أنَّ الله تعالىٰ وعد بالمغانم لمن شارك في غزوة خيبر، وبالتالي فيجب أن تكون من غير الغنائم التي تمَّ الحصول عليها في الحرب، وخصوصاً أنَّ الله تعالىٰ يَعِدُ بالخير الكثير والثواب العظيم، وهذان الوصفان ينسجمان مع غير غنائم الحرب، وإن كانت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الآلوسي في 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علىٰ ما قال ابن عبّاس ومجاهد وجمهور المفسِّ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ما وعد الله تعالىٰ المؤمنين من المغانم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هو معلوم أنَّ المغانم التي وعد الله بها إلىٰ يوم القيامة غير مختصَّة بالحرب، بل تشمل جميع المكاسب والنِّعَم والعطايا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أنَّ النصوص الواردة في مصادر المسلمين قد صرَّحت بأنَّ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الفائدة، منها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الدعاء عندأربع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قراءة القرآن، وعند الأذان، وعند نزول الغيث، وعند التقاء الصفّين للشهادة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لأبي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 وصحَّتك قبل سقمك، وغناك قبل فقرك، وفراغك قبل شغلك، وحياتك قبل مماتك</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عملت أُمَّتي خمس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خصلة حلَّ بهم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الفيء دولاً، والأمانة مغنماً، والصدقة مغرماً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في مستدركه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له غنمه وعليه غرمه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ماجة في سُنَنه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دفع الزكاة فليقل وهو يدفع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مغنماً ولا تجعلها مغرماً</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فائدةً، ومنفعةً في الآخرة ولا تجعلها خسارةً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في مسنده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غَنِيمَةُ مَجَالِسِ الذِّكْرِ؟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غَنِيمَةُ مَجَالِسِ الذِّكْرِ الجَنَّةُ الجَنَّةُ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4" w:name="pg7142_66606"/>
    </w:p>
    <w:p>
      <w:pPr>
        <w:pStyle w:val="BookText"/>
        <w:rPr/>
      </w:pPr>
      <w:bookmarkEnd w:id="34"/>
      <w:r>
        <w:rPr>
          <w:rFonts w:ascii="Amiri" w:hAnsi="Amiri" w:eastAsia="Amiri" w:cs="Amiri"/>
          <w:color w:val="111111"/>
          <w:sz w:val="28"/>
          <w:sz w:val="28"/>
          <w:szCs w:val="28"/>
          <w:rtl w:val="true"/>
          <w:lang w:bidi="ar-SA"/>
        </w:rPr>
        <w:t xml:space="preserve">هذه وغيرها من الروايات التي وردت في كُتُب المسلمين التي استخدمت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الفائدة، فمن يدَّعي اختصاصها بغنيمة الحرب عليه أن يُقدِّم مستنداً يُثبِت لنا أنَّ الشارع المقدَّس قد خصَّص لفظ الغنيمة كمصطلح شرعي لغنيمة الحرب فقط، فإنَّ استخدامها في غنيمة الحرب لا يعني اختصاصها فيه؛ وذلك لأنَّ المورد لا يُخصِّص الوارد كما هو واضح</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020255_372815092"/>
      <w:bookmarkStart w:id="36" w:name="_Toc13"/>
      <w:bookmarkEnd w:id="35"/>
      <w:r>
        <w:rPr>
          <w:rtl w:val="true"/>
        </w:rPr>
        <w:t>القرينة الثالثة</w:t>
      </w:r>
      <w:r>
        <w:rPr>
          <w:rtl w:val="true"/>
        </w:rPr>
        <w:t xml:space="preserve">: </w:t>
      </w:r>
      <w:r>
        <w:rPr>
          <w:rtl w:val="true"/>
        </w:rPr>
        <w:t xml:space="preserve">القرائن الداخلية من نفس آية </w:t>
      </w:r>
      <w:r>
        <w:rPr>
          <w:rtl w:val="true"/>
        </w:rPr>
        <w:t>(</w:t>
      </w:r>
      <w:r>
        <w:rPr>
          <w:rtl w:val="true"/>
        </w:rPr>
        <w:t>الغنيمة</w:t>
      </w:r>
      <w:r>
        <w:rPr>
          <w:rtl w:val="true"/>
        </w:rPr>
        <w:t>):</w:t>
      </w:r>
      <w:bookmarkEnd w:id="36"/>
    </w:p>
    <w:p>
      <w:pPr>
        <w:pStyle w:val="BookText"/>
        <w:rPr/>
      </w:pPr>
      <w:r>
        <w:rPr>
          <w:rFonts w:ascii="Amiri" w:hAnsi="Amiri" w:eastAsia="Amiri" w:cs="Amiri"/>
          <w:color w:val="111111"/>
          <w:sz w:val="28"/>
          <w:sz w:val="28"/>
          <w:szCs w:val="28"/>
          <w:rtl w:val="true"/>
          <w:lang w:bidi="ar-SA"/>
        </w:rPr>
        <w:t>فإنَّها واضحة في دلالتها علىٰ مطلق الفائدة،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حتَّىٰ علىٰ المال اليسير، وأموال الحرب كثيرة، ولا تُناسِب المال القليل، فإطلاق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سبقتها آيات تخاطب المؤمنين، ولم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المجاهدين أو المقاتلين، فلو كانت الآية ناظرة إلىٰ الحرب لكان المناسب أن تخاطب المجاهدين والمقاتلين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أيضاً في الآيات السابقة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فالغنيمة تكون إشارة إلىٰ تلك الأموال لا خصوص أموال الحرب</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4020257_372815092"/>
      <w:bookmarkStart w:id="38" w:name="_Toc14"/>
      <w:bookmarkEnd w:id="37"/>
      <w:r>
        <w:rPr>
          <w:rtl w:val="true"/>
        </w:rPr>
        <w:t>إشكال ودفع</w:t>
      </w:r>
      <w:r>
        <w:rPr>
          <w:rtl w:val="true"/>
        </w:rPr>
        <w:t>:</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البعض بخصوص الخُمُس بغنيمة الحرب في الآية؛ وذلك لأنَّها وردت ضمن سياق آيات الجهاد، لذا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الغنائم الحربية بحسب السياق الذي قبلها وبعدها</w:t>
      </w:r>
      <w:r>
        <w:rPr>
          <w:rFonts w:eastAsia="Amiri" w:cs="Amiri" w:ascii="Amiri" w:hAnsi="Amiri"/>
          <w:color w:val="111111"/>
          <w:sz w:val="28"/>
          <w:szCs w:val="28"/>
          <w:rtl w:val="true"/>
          <w:lang w:bidi="ar-SA"/>
        </w:rPr>
        <w:t xml:space="preserve">. </w:t>
      </w:r>
      <w:bookmarkStart w:id="39" w:name="pg7142_66608"/>
    </w:p>
    <w:p>
      <w:pPr>
        <w:pStyle w:val="BookText"/>
        <w:rPr/>
      </w:pPr>
      <w:bookmarkEnd w:id="39"/>
      <w:r>
        <w:rPr>
          <w:rFonts w:ascii="Amiri" w:hAnsi="Amiri" w:eastAsia="Amiri" w:cs="Amiri"/>
          <w:color w:val="111111"/>
          <w:sz w:val="28"/>
          <w:sz w:val="28"/>
          <w:szCs w:val="28"/>
          <w:rtl w:val="true"/>
          <w:lang w:bidi="ar-SA"/>
        </w:rPr>
        <w:t>وهذا مردود بأنَّ قرينة السياق إن كانت تعود إلىٰ قرينة المورد فإنَّه بالاتِّفاق المورد لا يُخصِّص الوارد، وإن كانت قرينة السياق أوسع من قرينة المورد عرفاً وعقلائياً، فلا يمكن أن تكون هذه القرينة مخصِّصة؛ وذلك لأنَّ قرينة السياق هنا إمَّا أن تكون بمثابة القرينة المتَّصلة، وعليه تمنع الظهور في العموم، أو تكون بمثابة القرينة المنفصلة، وعلىٰ جميع الأحوال لا يمكن الالتزام بذلك في موردنا؛ لأنَّ قبول هذه الدعوىٰ يلزم منه عدم انعقاد العموم في كافَّة الآيات القرآنية، ولا يوجد فيها أيُّ حكم عامٍّ أو قاعدة كلّيَّة؛ لأنَّ في أغلب آيات القرآن الكريم توجد قرينة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فإنَّ في قرينة السياق يجب أن يلحظ فيها جميع خصوصياتها لا بعضها، وعليه ستكون الآية مختصَّة بغنائم الحرب في خصوص معركة بدر وفقاً للسياق الذي جاءت به الآية الكريمة، وهذا ممَّا لا يلتزم به أحد من المذاهب الإسلاميَّة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020259_372815092"/>
      <w:bookmarkStart w:id="41" w:name="_Toc15"/>
      <w:bookmarkEnd w:id="40"/>
      <w:r>
        <w:rPr>
          <w:rtl w:val="true"/>
        </w:rPr>
        <w:t>القرينة الرابعة</w:t>
      </w:r>
      <w:r>
        <w:rPr>
          <w:rtl w:val="true"/>
        </w:rPr>
        <w:t xml:space="preserve">: </w:t>
      </w:r>
      <w:r>
        <w:rPr>
          <w:rtl w:val="true"/>
        </w:rPr>
        <w:t>النصوص المفسِّرة لآية الخُمُس</w:t>
      </w:r>
      <w:r>
        <w:rPr>
          <w:rtl w:val="true"/>
        </w:rPr>
        <w:t>:</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نصوص عدَّة قد 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آية الخُمُس بمطلق الفوائد لا في خصوص غنيمة الحرب،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مهزيار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ورد فيها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والغنائم والفوائد يرحمك الله فهي الغنيمة يغنمها المرء، والفائدة يفيدها،والجائزة من الإنسان </w:t>
      </w:r>
    </w:p>
    <w:p>
      <w:pPr>
        <w:pStyle w:val="BookText"/>
        <w:rPr/>
      </w:pPr>
      <w:r>
        <w:rPr>
          <w:rFonts w:ascii="Amiri" w:hAnsi="Amiri" w:eastAsia="Amiri" w:cs="Amiri"/>
          <w:color w:val="111111"/>
          <w:sz w:val="28"/>
          <w:sz w:val="28"/>
          <w:szCs w:val="28"/>
          <w:rtl w:val="true"/>
          <w:lang w:bidi="ar-SA"/>
        </w:rPr>
        <w:t>للإنسان التي لها خطر، والميراث الذي لا يُحتَسب من غير أب ولا ابن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عطف الإمام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علىٰ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العطف التفسيري، وأنَّ المراد بالغنائم هي نفس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الإفادة يوماً بيوم</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الرواية واضحة الدلالة في تطبيق الغنيمة علىٰ عموم الإفادة يوماً بيوم، واشتمالها علىٰ التعليل لا يقدح في المقصود من الاستدلال بعموم الآية، وسيأتي الجواب عن ذيلها عند التعرُّض لروايات التحليل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الروايات أيضاً رواية الصفّار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عليه آية الخُمُس،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لله فهو لرسوله، وما كان لرسوله فهو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علىٰ المؤمنين أنَّه رزقهم خمسة دراهم وجعلوا لربِّهم واحداً وأكلوا أربعة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حديثنا صعب مستصعب لا يعمل به ولا يصبر عليه إلَّا ممتحن قلبه للإيمان</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هذه الرواية تدلُّ علىٰ انطباق الخُمُس في الآية الكريمة حتَّىٰ علىٰ درهم واحد من خمسة دراهم المرزوقة، فيجب أداؤه حتَّىٰ يكون الباقي حلالاً،ويتوقَّف ذلك علىٰ صدق الغنيمة علىٰ مجموع تلك الدراهم، وهذا التفسير أي دلالتها </w:t>
      </w:r>
      <w:bookmarkStart w:id="42" w:name="pg7142_66612"/>
    </w:p>
    <w:p>
      <w:pPr>
        <w:pStyle w:val="BookText"/>
        <w:rPr/>
      </w:pPr>
      <w:bookmarkEnd w:id="42"/>
      <w:r>
        <w:rPr>
          <w:rFonts w:ascii="Amiri" w:hAnsi="Amiri" w:eastAsia="Amiri" w:cs="Amiri"/>
          <w:color w:val="111111"/>
          <w:sz w:val="28"/>
          <w:sz w:val="28"/>
          <w:szCs w:val="28"/>
          <w:rtl w:val="true"/>
          <w:lang w:bidi="ar-SA"/>
        </w:rPr>
        <w:t>علىٰ مطلق الفائدة متلائم مع ذيل الرواية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صعب مستصعب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غيره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عن الفقه الرضوي بعد ذكر آية الغنيمة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ما أفاده الناس فهو غنيمة، ولا فرق بين الكنوز والمعادن والغوص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وربح التجارة وغلَّة الضيعة وسائر الفوائد والمكاسب والصناعات والمواريث وغيرها؛ لأنَّ الجميع غنيمة وفائدة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رواية حمّاد بن عمرو وأنس بن محمّد، عن أبيه جميعاً،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عبد المطَّلب سنَّ في الجاهلية خمس سُنَن أجراها الله له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كنزاً فأخرج منه الخُمُس وتصدَّق به،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4020261_372815092"/>
      <w:bookmarkStart w:id="44" w:name="_Toc16"/>
      <w:bookmarkEnd w:id="43"/>
      <w:r>
        <w:rPr>
          <w:rtl w:val="true"/>
        </w:rPr>
        <w:t>الدليل الثاني</w:t>
      </w:r>
      <w:r>
        <w:rPr>
          <w:rtl w:val="true"/>
        </w:rPr>
        <w:t xml:space="preserve">: </w:t>
      </w:r>
      <w:r>
        <w:rPr>
          <w:rtl w:val="true"/>
        </w:rPr>
        <w:t>السّنَّة الشريفة</w:t>
      </w:r>
      <w:r>
        <w:rPr>
          <w:rtl w:val="true"/>
        </w:rPr>
        <w:t>:</w:t>
      </w:r>
      <w:bookmarkEnd w:id="44"/>
    </w:p>
    <w:p>
      <w:pPr>
        <w:pStyle w:val="BookText"/>
        <w:rPr/>
      </w:pPr>
      <w:r>
        <w:rPr>
          <w:rFonts w:ascii="IRNazanin" w:hAnsi="IRNazanin" w:eastAsia="IRNazanin"/>
          <w:color w:val="111111"/>
          <w:sz w:val="28"/>
          <w:sz w:val="28"/>
          <w:szCs w:val="28"/>
          <w:rtl w:val="true"/>
          <w:lang w:bidi="fa-IR"/>
        </w:rPr>
        <w:t xml:space="preserve">وردت روايات عدَّة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حدَّ التواتر، أو الاستفاضة ممَّا لا يمكن نكرانها، أو الطعن بها تدلُّ وبشكل واضح علىٰ وجوب الخُمُس في أرباح المكاسب ومطلق الفوائد، وإليك بعضها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عليِّ بن مهزيار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حيثورد فيها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w:t>
      </w:r>
    </w:p>
    <w:p>
      <w:pPr>
        <w:pStyle w:val="BookText"/>
        <w:rPr/>
      </w:pPr>
      <w:r>
        <w:rPr>
          <w:rFonts w:ascii="Amiri" w:hAnsi="Amiri" w:eastAsia="Amiri" w:cs="Amiri"/>
          <w:color w:val="111111"/>
          <w:sz w:val="28"/>
          <w:sz w:val="28"/>
          <w:szCs w:val="28"/>
          <w:rtl w:val="true"/>
          <w:lang w:bidi="ar-SA"/>
        </w:rPr>
        <w:t xml:space="preserve">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والغنائم والفوائد يرحمك الله، فهي الغنيمة يغنمها المرء، والفائدة يفيدها، والجائزة من الإنسان للإنسان، التي لها خطر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ومحصَّل مفاد هذه الصحيحة إيجابه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في الفوائد وكلِّ ما يستفيده الإنسان، وكذا الجائزة التي لها خطر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صحيحته الأُخرىٰ التي ورد فيها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عليٌّ كتاب أبيك فيما أوجبه علىٰ أصحاب الضياع أنَّه أوجب عليهم نصف السدس بعد المؤونة، وأنَّه ليس علىٰ من لم يقم ضيعته بمؤونته نصف السدس ولا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الضياع الخُمُس بعد المؤونة مؤونة الضيعة، وخراجها لا مؤونة الرجل وعياله،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عليُّ بن مهزيار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 بعد مؤونته ومؤونة عياله وبعد خراج السلطان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هذه الرواية علىٰ إيجاب نصف السُّدُس في ربح الضيعة التي تفي بالمؤونة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إلىٰ نصفالسُّدُس؟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فيما بعد أنَّ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الولاية علىٰ بيت المال، فله أن يُخفِّف الخُمُس إلىٰ نصف السُّدُس في مدَّة خاصَّة، والظاهر أنَّ هذا </w:t>
      </w:r>
    </w:p>
    <w:p>
      <w:pPr>
        <w:pStyle w:val="BookText"/>
        <w:rPr/>
      </w:pPr>
      <w:r>
        <w:rPr>
          <w:rFonts w:ascii="Amiri" w:hAnsi="Amiri" w:eastAsia="Amiri" w:cs="Amiri"/>
          <w:color w:val="111111"/>
          <w:sz w:val="28"/>
          <w:sz w:val="28"/>
          <w:szCs w:val="28"/>
          <w:rtl w:val="true"/>
          <w:lang w:bidi="ar-SA"/>
        </w:rPr>
        <w:t>الحكم كان خاصًّا في أيّام حياته تخفيفاً لهم لما كانوا يعانونه من العوز والاضطهاد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ذلك فهذه الصحيحة تدلُّ أيضاً علىٰ وجوب الخُمُس في كلِّ فائدة، كما هو 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الخُمُس بعد المؤونة ومؤونة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ما أفاد الناس من قليل أو كثير</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كلُّ ما استفاد الناس، وهذه واضحة الدلالة في وجوب الخُمُس في مطلق الفائدة سواء كانت قليلة أو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أُخرجه قبل المؤونة أو بعد المؤونة؟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المؤونة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يجب عليَّ يا مولاي في غلَّة رحىٰ أرض في قطيعة لي، وفي ثمن سمك وبردي وقصب أبيعه من أجمة هذه القطيعة؟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عليك فيه الخُمُس، إن شاء الله تعالىٰ</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تدلُّ علىٰ وجوب الخُمُس في أرباح المكاسب كالغلَّة وثمن السمك والبردي والقصب؛لاختصاص السؤال بها، فلا تنافي ما تدلُّ علىٰ تعلُّ الخُمُس بمطلق الفائدة ولو من غير اكتساب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w:t>
      </w:r>
    </w:p>
    <w:p>
      <w:pPr>
        <w:pStyle w:val="BookText"/>
        <w:rPr/>
      </w:pPr>
      <w:r>
        <w:rPr>
          <w:rFonts w:ascii="Amiri" w:hAnsi="Amiri" w:eastAsia="Amiri" w:cs="Amiri"/>
          <w:color w:val="111111"/>
          <w:sz w:val="28"/>
          <w:sz w:val="28"/>
          <w:szCs w:val="28"/>
          <w:rtl w:val="true"/>
          <w:lang w:bidi="ar-SA"/>
        </w:rPr>
        <w:t>الفداء، تُعلِّمني ما الفائدة وما حدُّها؟ رأيك أبقاك الله أن تمنَّ عليَّ ببيان ذلك لكي لا أكون مقيما علىٰ حرام لا صلاة لي ولا صوم،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ممَّا يفيد إليك في تجارة من ربحها، وحرث بعد الغرام، أو جائزة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إلَّا أنَّه حصل كلام في سندها؛ لأنَّ فيه اضطراب، فقد ورد في بعض نسخ الكافي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لا بدَّ من افتراض السقط في الإسناد؛ وذلك لأنَّ أحمد بن محمد بن عيسىٰ هو ابن عبد الله الأشعري لا ابن يزيد، وهنالك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هو يعقوب بن يزيد الكاتب الأنباري، وهو ثقة ومن الأجلاء من أصحاب الرضا والهادي، فيتمُّ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مردَّد بين يزيد بن إسحاق الذي لم يرد فيه توثيق إلَّا بناءً علىٰ وروده في كامل الزيارات، أو يكون يزيد بن حمّاد الأنباري، وقد وثَّقه الشيخ، وعليه يمكن تصحيح السند بعد متابعة الطبقة والمناسبة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يونس بن يعقوب بطريق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عليه رجل من القمّاطين،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تقع في أيدينا الأرباح والأموال وتجارات نعلم أنَّ حقَّك فيها ثابت، وإنّا عن ذلك 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أنصفناكم إن كلَّفناكم ذلك اليوم</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أبي بصير التي نقلها صاحب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رائر عن كتاب محمّد بن عليِّ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هلال، عن ابن أبي عمير، عن أبان بن عثمان،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في الرجل </w:t>
      </w:r>
      <w:bookmarkStart w:id="45" w:name="pg7142_66620"/>
    </w:p>
    <w:p>
      <w:pPr>
        <w:pStyle w:val="BookText"/>
        <w:rPr/>
      </w:pPr>
      <w:bookmarkEnd w:id="45"/>
      <w:r>
        <w:rPr>
          <w:rFonts w:ascii="IRNazanin" w:hAnsi="IRNazanin" w:eastAsia="IRNazanin"/>
          <w:color w:val="111111"/>
          <w:sz w:val="28"/>
          <w:sz w:val="28"/>
          <w:szCs w:val="28"/>
          <w:rtl w:val="true"/>
          <w:lang w:bidi="fa-IR"/>
        </w:rPr>
        <w:t xml:space="preserve">يهدي إليه مولاه والمنقطع إليه هدية تبلغ ألفي درهم أو أقلّ أو أكثر، هل عليه فيها الخُمُس؟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الرجل يكون في داره البستان فيه الفاكهة يأكله العيال إنَّما يبيع منه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بمائة درهم أو خمسين درهما، هل عليه الخُمُس؟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أكل فلا، وأمَّا البيع فنعم، هو كسائر الضياع</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في تعلُّق الخُمُس بمطلق الفائدة ولو من غير اكتساب كما هو واضح من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السؤال الثاني فيدلُّ علىٰ تعلُّق الخُمُس بخصوص أرباح المكاسب كبيع الفاكهة من بستان، فهذه الرواية واضحة الدلالة إلَّا أنَّه فيها كلام من حيث ورد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فاسد العقيدة مرمي بالغلوِّ، إلَّا أنَّه وثَّقه النجاشي، إضافةً إلىٰ وقوعه في طريق أسانيد كامل الزيارات وتفسير القمّي، وعليه يكون ثقةً بناءً علىٰ هذه القرائن، وفساد عقيدته لا تضرُّ بوثاقته كما 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4020263_372815092"/>
      <w:bookmarkStart w:id="47" w:name="_Toc17"/>
      <w:bookmarkEnd w:id="46"/>
      <w:r>
        <w:rPr>
          <w:rtl w:val="true"/>
        </w:rPr>
        <w:t>الدليل الثالث</w:t>
      </w:r>
      <w:r>
        <w:rPr>
          <w:rtl w:val="true"/>
        </w:rPr>
        <w:t xml:space="preserve">: </w:t>
      </w:r>
      <w:r>
        <w:rPr>
          <w:rtl w:val="true"/>
        </w:rPr>
        <w:t>السيرة العملية القطعية</w:t>
      </w:r>
      <w:r>
        <w:rPr>
          <w:rtl w:val="true"/>
        </w:rPr>
        <w:t>:</w:t>
      </w:r>
      <w:bookmarkEnd w:id="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السيرة العملية القطعية، والارتكاز المتش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رِّعي علىٰ أخذ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المكاسب، ومطلق الفوائد، والأرباح التي كان يحصل عليها شيعتهم والتزامهم بإيصالها لهم صلوات الله عليهمعلىٰ رغم ظروف التقيَّة والتشديد من قِبَل السلطات الحاكمة حيث كانت تصل إليهم من شتّىٰ أمصار الحواضر الإسلاميَّة من قم وخراسان والأهواز والعراق، وكان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وكلاء يقبضون عنهم الأخماس، </w:t>
      </w:r>
    </w:p>
    <w:p>
      <w:pPr>
        <w:pStyle w:val="BookText"/>
        <w:rPr/>
      </w:pPr>
      <w:r>
        <w:rPr>
          <w:rFonts w:ascii="Amiri" w:hAnsi="Amiri" w:eastAsia="Amiri" w:cs="Amiri"/>
          <w:color w:val="111111"/>
          <w:sz w:val="28"/>
          <w:sz w:val="28"/>
          <w:szCs w:val="28"/>
          <w:rtl w:val="true"/>
          <w:lang w:bidi="ar-SA"/>
        </w:rPr>
        <w:t>واستمرَّت هذه السيرة إلىٰ زمن الغيبة الصغرىٰ، وتلقّاها علماؤنا جيلاً عن جيل بالقبول ولم يُردَع عنها، وإليك بعض هذه الأخبار الدالَّة والمعبِّرة عن سيرة الأئمَّة وشيعتهم فيما يرتبط بأداء 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أُجيبه،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أمتعتهم وصنائعهم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الحكم بن علباء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وُلّيت البحرين فأصبت بها مالاً كثيراً، واشتريت متاعاً، واشتريت رقيقاً، واشتريت أُمَّهات أولاد ووُلِدَ لي وأنفقت، وهذا خمس ذلك المال، وهؤلاء أُمَّهات أولادي ونسائي قد أتيتك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كلُّه لنا، وقد قبلت ما جئت به، وقد حللتك من أُمَّهات أولادك ونسائك، وما أنفقت، وضمنت لك عليَّ وعلىٰ أبي الجنَّة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عند حديثه عن السفيرالأوَّل، قال أبو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أسدياً فنُسِبَ إلىٰ جدِّه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وقد قال قوم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يجمع علىٰ امرئ بين عثمان وأبي عمرو، وأمر بكس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كنيته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أيضاً؛ لأنَّه كان من عسكر سُرَّ من رأىٰ،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السمّان؛ </w:t>
      </w:r>
      <w:bookmarkStart w:id="48" w:name="pg7142_66624"/>
    </w:p>
    <w:p>
      <w:pPr>
        <w:pStyle w:val="BookText"/>
        <w:rPr/>
      </w:pPr>
      <w:bookmarkEnd w:id="48"/>
      <w:r>
        <w:rPr>
          <w:rFonts w:ascii="IRNazanin" w:hAnsi="IRNazanin" w:eastAsia="IRNazanin"/>
          <w:color w:val="111111"/>
          <w:sz w:val="28"/>
          <w:sz w:val="28"/>
          <w:szCs w:val="28"/>
          <w:rtl w:val="true"/>
          <w:lang w:bidi="fa-IR"/>
        </w:rPr>
        <w:t xml:space="preserve">لأنَّه كان يتَّجر في السمن تغطيةً علىٰ الأمر، وكان الشيعة إذا حملوا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يجب عليهم حمله من الأموال أنفذوا إلىٰ أبي عمرو فيجعله في جراب السمن وزقاقه، ويحمله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تقيَّةً وخوفاً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إسماعيل وعليِّ بن عبد الله الحسنيّان،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 رأىٰ وبين يديه جماعة من أوليائه وشيعته حتَّىٰ دخل عليه بدر خادمه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بالباب قوم شعث غبر،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نفر من شيعتنا باليمن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حديث طويل يسوقانه إلىٰ أن ينتهي إلىٰ أن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 فأتنا بعثمان بن سعيد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لبثنا إلَّا يسيراً حتَّىٰ دخل عثمان، فقال له سيِّدنا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يا عثمان، فإنَّك الوكيل والثقة المأمون علىٰ مال الله واقبض من هؤلاء النفر اليمنيين ما حملوه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ساق الحديث 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عثمان لمن خيار شيعتك، ولقد زدتنا علماً بموضعه من خدمتك، وأنَّه وكيلك وثقتك علىٰ مال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واشهدوا عليَّ أنَّ عثمان بن سعيد العَمري وكيلي، وأنَّ ابنه محمّداً وكيل ابني مهديّكم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4020265_372815092"/>
      <w:bookmarkStart w:id="50" w:name="_Toc18"/>
      <w:bookmarkEnd w:id="49"/>
      <w:r>
        <w:rPr>
          <w:rtl w:val="true"/>
        </w:rPr>
        <w:t>الدليل الرابع</w:t>
      </w:r>
      <w:r>
        <w:rPr>
          <w:rtl w:val="true"/>
        </w:rPr>
        <w:t xml:space="preserve">: </w:t>
      </w:r>
      <w:r>
        <w:rPr>
          <w:rtl w:val="true"/>
        </w:rPr>
        <w:t>الإجماع</w:t>
      </w:r>
      <w:r>
        <w:rPr>
          <w:rtl w:val="true"/>
        </w:rPr>
        <w:t>:</w:t>
      </w:r>
      <w:bookmarkEnd w:id="50"/>
    </w:p>
    <w:p>
      <w:pPr>
        <w:pStyle w:val="BookText"/>
        <w:rPr/>
      </w:pPr>
      <w:r>
        <w:rPr>
          <w:rFonts w:ascii="Amiri" w:hAnsi="Amiri" w:eastAsia="Amiri" w:cs="Amiri"/>
          <w:color w:val="111111"/>
          <w:sz w:val="28"/>
          <w:sz w:val="28"/>
          <w:szCs w:val="28"/>
          <w:rtl w:val="true"/>
          <w:lang w:bidi="ar-SA"/>
        </w:rPr>
        <w:t>وقد استُدِلَّ علىٰ وجوب الخُمُس في هذا الصنف بالإجماع المحصَّل، والمنقول معاً، والظاهر أنَّه لم يُنقَل الخلاف في ذلك إلَّا عن ابن الجنيد وابن أبي عقيل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السيِّد المرتض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انفردت </w:t>
      </w:r>
    </w:p>
    <w:p>
      <w:pPr>
        <w:pStyle w:val="BookText"/>
        <w:rPr/>
      </w:pPr>
      <w:r>
        <w:rPr>
          <w:rFonts w:ascii="Amiri" w:hAnsi="Amiri" w:eastAsia="Amiri" w:cs="Amiri"/>
          <w:color w:val="111111"/>
          <w:sz w:val="28"/>
          <w:sz w:val="28"/>
          <w:szCs w:val="28"/>
          <w:rtl w:val="true"/>
          <w:lang w:bidi="ar-SA"/>
        </w:rPr>
        <w:t>به الإماميَّة القول بأنَّ الخُمُس واجب في جميع المغانم والمكاسب وممَّا استُخرِجَ من المعادن والغوص والكنوز وممَّا فضل من أرباح التجارات والزراعات والصناعات بعد المؤنة والكفاية في طول السنة علىٰ الاقتصاد</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الخُمُس في جميع المستفاد من أرباح التجارات، والغلّات، والثمار علىٰ اختلاف أجناسها بعد إخراج حقوقها ومؤنتها وإخراج مؤنة الرجل لنفسه ومؤنة عياله سنة، ولم يوافقنا علىٰ ذلك أحد من الفقهاء</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وطريقة الاحتياط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لأنَّه إذا أخرج الخُمُس عمَّا ذكرناه كانت ذمَّته بريئة بيقين، وإن لم يخرج ففي براءة ذمَّته خلاف</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غنية النزوع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الخُمُس أيضاً في الفاضل عن مؤونة الحول علىٰ الاقتصاد من كلِّ مستفاد بتجارة أو زراعة أو صناعة أو غير ذلك من وجوه الاستفادة أيّ وجهكان؛ بدليل الإجماع المشار إليه، وطريقة الاحتياط</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هو الذي استقرَّ عليه المذهب والعمل في زماننا هذا، بل وغيره من الأزمنة السابقة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الإجماعات لا يمكن الاستناد إليها؛ لاحتمال استناد المجمعين إلىٰ أدلَّة أُخرىٰ</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دفع ذلك في خصوص موردنا بقيام السيرة العملية من الشيعة الإماميَّة الممتدَّة إلىٰ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إعطاء هذا الحقِّ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وكلائهم، فكأنَّه أصبح من المسلَّمات عندهم كما تقدَّم عن الجواهر، وكيف كان فلا ينحص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دليل هذا الصنف بالإجماع كما تقدَّم</w:t>
      </w:r>
      <w:r>
        <w:rPr>
          <w:rFonts w:eastAsia="IRNazanin" w:cs="IRNazanin"/>
          <w:color w:val="111111"/>
          <w:sz w:val="28"/>
          <w:szCs w:val="28"/>
          <w:rtl w:val="true"/>
          <w:lang w:bidi="fa-IR"/>
        </w:rPr>
        <w:t>.</w:t>
      </w:r>
      <w:bookmarkStart w:id="51" w:name="pg7142_66630"/>
    </w:p>
    <w:p>
      <w:pPr>
        <w:pStyle w:val="Heading2"/>
        <w:numPr>
          <w:ilvl w:val="1"/>
          <w:numId w:val="1"/>
        </w:numPr>
        <w:rPr/>
      </w:pPr>
      <w:bookmarkStart w:id="52" w:name="__RefHeading___Toc4020267_372815092"/>
      <w:bookmarkStart w:id="53" w:name="_Toc19"/>
      <w:bookmarkEnd w:id="51"/>
      <w:bookmarkEnd w:id="52"/>
      <w:r>
        <w:rPr>
          <w:rtl w:val="true"/>
        </w:rPr>
        <w:t>الشبهة الثانية</w:t>
      </w:r>
      <w:r>
        <w:rPr>
          <w:rtl w:val="true"/>
        </w:rPr>
        <w:t xml:space="preserve">: </w:t>
      </w:r>
      <w:r>
        <w:rPr>
          <w:rtl w:val="true"/>
        </w:rPr>
        <w:t>عدم تفعيل النبيِّ لخُمُس المكاسب وعدم جبايته إلى عهد الصادقين دليل على عدم تشريعه</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4020269_372815092"/>
      <w:bookmarkStart w:id="55" w:name="_Toc20"/>
      <w:bookmarkEnd w:id="54"/>
      <w:r>
        <w:rPr>
          <w:rtl w:val="true"/>
        </w:rPr>
        <w:t>اشارة</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142_66634"/>
      <w:bookmarkStart w:id="57" w:name="pg7142_66634"/>
      <w:bookmarkEnd w:id="57"/>
    </w:p>
    <w:p>
      <w:pPr>
        <w:pStyle w:val="Heading3"/>
        <w:numPr>
          <w:ilvl w:val="2"/>
          <w:numId w:val="1"/>
        </w:numPr>
        <w:rPr/>
      </w:pPr>
      <w:bookmarkStart w:id="58" w:name="pg7142_66634"/>
      <w:bookmarkStart w:id="59" w:name="__RefHeading___Toc4020271_372815092"/>
      <w:bookmarkStart w:id="60" w:name="_Toc21"/>
      <w:bookmarkEnd w:id="58"/>
      <w:bookmarkEnd w:id="59"/>
      <w:r>
        <w:rPr>
          <w:rtl w:val="true"/>
        </w:rPr>
        <w:t>مفاد الشبهة</w:t>
      </w:r>
      <w:bookmarkEnd w:id="60"/>
    </w:p>
    <w:p>
      <w:pPr>
        <w:pStyle w:val="BookText"/>
        <w:rPr/>
      </w:pPr>
      <w:r>
        <w:rPr>
          <w:rFonts w:ascii="IRNazanin" w:hAnsi="IRNazanin" w:eastAsia="IRNazanin"/>
          <w:color w:val="111111"/>
          <w:sz w:val="28"/>
          <w:sz w:val="28"/>
          <w:szCs w:val="28"/>
          <w:rtl w:val="true"/>
          <w:lang w:bidi="fa-IR"/>
        </w:rPr>
        <w:t xml:space="preserve">يعترض البعض علىٰ مسألة تفعيل الخُمُس في أرباح المكاسب بدعوىٰ أنَّه لو كان مجعولاً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خفي حتَّىٰ علىٰ الشيعة، وبقي ذلك إلىٰ عهد الصادقين وما بعد، ولماذا لم يُفعِّله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أنَّهم كانوا علىٰ رأس الدولة الإسلاميَّة، وكانت الأموال والض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رائب تُجبىٰ إليهم، فلو كان هذا الصنف مجعولاً لبان في عهدهما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وحثُّوا الناس علىٰ دفعه، ولبعثوا الجباة، وحذَّروا من عدم تطبيقه</w:t>
      </w:r>
      <w:r>
        <w:rPr>
          <w:rFonts w:eastAsia="IRNazanin" w:cs="IRNazanin"/>
          <w:color w:val="111111"/>
          <w:sz w:val="28"/>
          <w:szCs w:val="28"/>
          <w:rtl w:val="true"/>
          <w:lang w:bidi="fa-IR"/>
        </w:rPr>
        <w:t>.</w:t>
      </w:r>
    </w:p>
    <w:p>
      <w:pPr>
        <w:pStyle w:val="Heading3"/>
        <w:numPr>
          <w:ilvl w:val="2"/>
          <w:numId w:val="1"/>
        </w:numPr>
        <w:rPr/>
      </w:pPr>
      <w:bookmarkStart w:id="61" w:name="__RefHeading___Toc4020273_372815092"/>
      <w:bookmarkStart w:id="62" w:name="_Toc22"/>
      <w:bookmarkEnd w:id="61"/>
      <w:r>
        <w:rPr>
          <w:rtl w:val="true"/>
        </w:rPr>
        <w:t>ردُّ الشبهة</w:t>
      </w:r>
      <w:bookmarkEnd w:id="62"/>
    </w:p>
    <w:p>
      <w:pPr>
        <w:pStyle w:val="BookText"/>
        <w:rPr/>
      </w:pPr>
      <w:r>
        <w:rPr>
          <w:rFonts w:ascii="Amiri" w:hAnsi="Amiri" w:eastAsia="Amiri" w:cs="Amiri"/>
          <w:color w:val="111111"/>
          <w:sz w:val="28"/>
          <w:sz w:val="28"/>
          <w:szCs w:val="28"/>
          <w:rtl w:val="true"/>
          <w:lang w:bidi="ar-SA"/>
        </w:rPr>
        <w:t>إنَّ ما طُرِحَ في هذه الشبهة ليس أمراً جديداً في الواقع، بل قد ذُكِرَ في كلمات الفقهاء الأعلام، وأجابوا عليها بإجابات عدَّة يمكن الركون إليها، والاطمئنان بها، وإليك بيانها من خلال أُمور عدَّة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020275_372815092"/>
      <w:bookmarkStart w:id="64" w:name="_Toc23"/>
      <w:bookmarkEnd w:id="63"/>
      <w:r>
        <w:rPr>
          <w:rtl w:val="true"/>
        </w:rPr>
        <w:t>الأمر الأوَّل</w:t>
      </w:r>
      <w:r>
        <w:rPr>
          <w:rtl w:val="true"/>
        </w:rPr>
        <w:t>:</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عدم تفعيل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أرباح المكاسب يحتمل لكفاية الزكاة، وغنيمة الحرب، وسائر الصدقات في سدِّ معاش المسلمين آنذاك بلا حاجة لإبراز هذا الصنف بخلافه في الأزمنة المتأخِّرة، إذ انعدمت غنيمةالحرب، وإنَّ السلطة </w:t>
      </w:r>
    </w:p>
    <w:p>
      <w:pPr>
        <w:pStyle w:val="BookText"/>
        <w:rPr/>
      </w:pPr>
      <w:r>
        <w:rPr>
          <w:rFonts w:ascii="Amiri" w:hAnsi="Amiri" w:eastAsia="Amiri" w:cs="Amiri"/>
          <w:color w:val="111111"/>
          <w:sz w:val="28"/>
          <w:sz w:val="28"/>
          <w:szCs w:val="28"/>
          <w:rtl w:val="true"/>
          <w:lang w:bidi="ar-SA"/>
        </w:rPr>
        <w:t>كانت تستحوذ علىٰ الزكاة</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الغنائم، فتمَّ إبراز أرباح المكاسب لحاجته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وخصوصاً أنَّهم كانوا يعيشون مع شيعتهم حالة العوز بسبب اضطهادهم، والتضييق عليهم من قِبَل السلطات الحاكمة، وعدم السماح لهم بمزاولة الأعمال في مؤسَّسات الدولة آنذاك، وهذا عليه شواهد كثيرة في النصوص والروايات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كفاية الزكاة، فقد وردت روايات صحيحة في هذا الشأن،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فرض للفقراء في مال الأغنياء ما يسعهم، ولو علم أنَّ ذلك لا يسعهم لزادهم، إنَّهم لم يؤتوا من قبل فريضة الله عزوجل، ولكن أُوتوا من منع من منعهم حقَّهم، لا ممَّا فرض الله لهم، ولو أنَّ الناس أدَّوا حقوقهم لكانوا عائشين بخير</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فرض الزكاة كما فرض الصلاة، فلو أنَّ رجلاً حمل الزكاة فأعطاها علانية لم يكن عليه في ذلك عيب، وذلك أنَّ الله عزوجل فرض للفقراء في أموال الأغنياء ما يكتفون به، ولو علم أنَّ الذي فرض لهم لا يكفيهم لزادهم، وإنَّما يُؤتىٰ الفقراء فيما أُوتوا من منع من منعهمحقوقهم، لا من الفريضة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65" w:name="pg7142_66638"/>
    </w:p>
    <w:p>
      <w:pPr>
        <w:pStyle w:val="BookText"/>
        <w:rPr/>
      </w:pPr>
      <w:bookmarkEnd w:id="65"/>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للفقراء في أموال الأغنياء ما يكفيهم، ولولا ذلك لزادهم، وإنَّما يؤتون من منع من منعهم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مسألة كفاية غنيمة الحرب، فهذا واضح من خلال النظر في كثرة الحروب التي كانت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وقلَّة المسلمين آنذاك</w:t>
      </w:r>
      <w:r>
        <w:rPr>
          <w:rFonts w:eastAsia="IRNazanin" w:cs="IRNazanin"/>
          <w:color w:val="111111"/>
          <w:sz w:val="28"/>
          <w:szCs w:val="28"/>
          <w:rtl w:val="true"/>
          <w:lang w:bidi="fa-IR"/>
        </w:rPr>
        <w:t>.</w:t>
      </w:r>
    </w:p>
    <w:p>
      <w:pPr>
        <w:pStyle w:val="Heading3"/>
        <w:numPr>
          <w:ilvl w:val="2"/>
          <w:numId w:val="1"/>
        </w:numPr>
        <w:rPr/>
      </w:pPr>
      <w:bookmarkStart w:id="66" w:name="__RefHeading___Toc4020277_372815092"/>
      <w:bookmarkStart w:id="67" w:name="_Toc24"/>
      <w:bookmarkEnd w:id="66"/>
      <w:r>
        <w:rPr>
          <w:rtl w:val="true"/>
        </w:rPr>
        <w:t>الأمر الثاني</w:t>
      </w:r>
      <w:r>
        <w:rPr>
          <w:rtl w:val="true"/>
        </w:rPr>
        <w:t>:</w:t>
      </w:r>
      <w:bookmarkEnd w:id="67"/>
    </w:p>
    <w:p>
      <w:pPr>
        <w:pStyle w:val="BookText"/>
        <w:rPr/>
      </w:pPr>
      <w:r>
        <w:rPr>
          <w:rFonts w:ascii="Amiri" w:hAnsi="Amiri" w:eastAsia="Amiri" w:cs="Amiri"/>
          <w:color w:val="111111"/>
          <w:sz w:val="28"/>
          <w:sz w:val="28"/>
          <w:szCs w:val="28"/>
          <w:rtl w:val="true"/>
          <w:lang w:bidi="ar-SA"/>
        </w:rPr>
        <w:t>يوجد عندنا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المقدَّسة نمطين من الأحكام، فقد ينشأ الحكم في زمان ما ويتمُّ تفعيله في نفس ذلك الزمان كالزكاة مثلاً، وقد ينشأ الحكم في زمان ما ولكن تفعيله يكون في زمان متأخِّر بناءً علىٰ مسألة التدرُّج في الأحكام، فهكذا الخُمُس فقد شُرِّع بجعل من الله تعالىٰ، وأمَّا إبرازه فقد تمَّ في زمان متأخِّر، ونظير ذلك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الإسلاميَّة حكم قتال البغاة، فهو موجود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لم يُفعَّل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تفعيله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يعني عدم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ريعه، وإنَّما زمن تفعيله قد تأخَّر عن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ريعه، فلولا سيرةالإمام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الجمل وصفّين لما عُرِفَ حكم البغاة من المسلمين إلىٰ قيام يوم الدين</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020279_372815092"/>
      <w:bookmarkStart w:id="69" w:name="_Toc25"/>
      <w:bookmarkEnd w:id="68"/>
      <w:r>
        <w:rPr>
          <w:rtl w:val="true"/>
        </w:rPr>
        <w:t>الأمر الثالث</w:t>
      </w:r>
      <w:r>
        <w:rPr>
          <w:rtl w:val="true"/>
        </w:rPr>
        <w:t>:</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الثابت عندنا ثبوت حقِّ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كالنبيِّ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الخُمُس في الغنائم والموارد الأُخرىٰ مجعولاً منذ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من الله تعالىٰ، وأمَّا خُمُس أرباح المكاسب فإنَّه بجعل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لهم من أحقّية 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ريع ولو علىٰ سبيل المبرزية، ولذلك قد ورد له نظير في الأحكام الإسلاميَّة من قبيل جعل الزكاة في الأُمور التسعة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أوجب الزكاة علىٰ الجياد في عهده واستمرَّ هذا الحكم إلىٰ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صحيحة محمّد بن مسلم وزرارة، عنهما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الخيل العتاق الراعية في كلِّ فرس في كلِّ عام دينارين، وجعل علىٰ البراذين ديناراً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في 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البغال 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 علىٰ الخيل ولم 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علىٰ البغال؟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البغال لا تلقح والخيل الإناث ينتجن، وليس علىٰ الخيل الذكور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الحمير؟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فيهاشيء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علىٰ الفرس أو البعير يكون للرجل يركبهما 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ليس علىٰ ما يعلف شيء، إنَّما الصدقة علىٰ السائمة المرسلة في مرجها عامها الذي يقتنيها فيه الرجل، فأمَّا ما سوىٰ ذلك فليس فيه شيء</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مسألة خُمُس المكاسب، فإنَّه وإن تنزَّلنا بعدم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ريعه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شُرِّعَ من قِبَل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في ذلك روايات متواترة لا يمكن رفضها بأيِّ شكل من الأشكال، منها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عليِّ بن مهزيار، عن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p>
    <w:p>
      <w:pPr>
        <w:pStyle w:val="BookText"/>
        <w:rPr/>
      </w:pPr>
      <w:r>
        <w:rPr>
          <w:rFonts w:ascii="Amiri" w:hAnsi="Amiri" w:eastAsia="Amiri" w:cs="Amiri"/>
          <w:color w:val="111111"/>
          <w:sz w:val="28"/>
          <w:sz w:val="28"/>
          <w:szCs w:val="28"/>
          <w:rtl w:val="true"/>
          <w:lang w:bidi="ar-SA"/>
        </w:rPr>
        <w:t>ورد فيها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والغنائم والفوائد يرحمك الله فهي الغنيمة يغنمها المرء، والفائدة يفيدها، والجائزة من الإنسان للإنسان التي لها خطر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صحيحته الأُخرىٰ التي ورد فيها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عليٌّ كتاب أبيك فيما أوجبه علىٰ أصحاب الضياع أنَّه أوجب عليهم نصف السدس بعد المؤونة، وأنَّه ليس علىٰ من لم يقم ضيعته بمؤونته نصف السدس ولا غير ذلك، فاختلف من قبلنا في ذلك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الضياع الخُمُس بعد المؤونة مؤونة الضيعة، وخراجها لا مؤونة الرجل وعياله،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عليُّ بن مهزيار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 بعد مؤونته ومؤونة عياله وبعد خراج السلطان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ما أفاد الناس من قليل أو كثير</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أُخرجه قبل المؤونة أو بعد المؤونة؟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المؤونة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70" w:name="pg7142_66644"/>
    </w:p>
    <w:p>
      <w:pPr>
        <w:pStyle w:val="BookText"/>
        <w:rPr/>
      </w:pPr>
      <w:bookmarkEnd w:id="7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يجب عليَّ يا مولاي في غلَّة رحىٰ أرض في قطيعة لي، وفي ثمن سمك وبردي وقصب أبيعه من أجمة هذه القطيعة؟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عليك فيه الخُمُس، إن شاء الله تعالىٰ</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التي تقدَّم ذكرها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020281_372815092"/>
      <w:bookmarkStart w:id="72" w:name="_Toc26"/>
      <w:bookmarkEnd w:id="71"/>
      <w:r>
        <w:rPr>
          <w:rtl w:val="true"/>
        </w:rPr>
        <w:t>الأمر الرابع</w:t>
      </w:r>
      <w:r>
        <w:rPr>
          <w:rtl w:val="true"/>
        </w:rPr>
        <w:t>:</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وضوح كيفية أخذ الخُمُس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وخصوصاً أنَّ التاريخ لم يُسجِّل الأحداث العادية من قبيل من يدفع الزكاة، ومن يُصلّي، فلعلَّ الناس كانوا يدفعون الخُمُس، ولكن لم يصل إلينا ذلك بسبب طول الفترة الزمنية التي بيننا وبينه التي تخلَّل بينهاعص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الأُمويين، والعبّاسيين الذين عمدوا علىٰ تغييب السُّنَّة النبوية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ريفة، وتغيير الكثير من أحكام الدين، وأرجعوا الحكم الإسلامي إلىٰ الجاهلية حتَّىٰ إنَّ أغلب الناس لم يعرفوا الكثير من فرائض الدين، فقد روىٰ جملة من علماء أهل السُّنَّة أنَّ أكثر أهل الشام لم يكونوا يعرفون أعداد الفرائض، ومناسك الحجِّ</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وزكاة الفطرة، وصدقة الصيام، والحال أنَّ مثل هذه الأحكام من ضروريات الإسلام، وقد تمَّ تغييبها، فما بالك </w:t>
      </w:r>
      <w:bookmarkStart w:id="73" w:name="pg7142_66646"/>
    </w:p>
    <w:p>
      <w:pPr>
        <w:pStyle w:val="BookText"/>
        <w:rPr/>
      </w:pPr>
      <w:bookmarkEnd w:id="73"/>
      <w:r>
        <w:rPr>
          <w:rFonts w:ascii="Amiri" w:hAnsi="Amiri" w:eastAsia="Amiri" w:cs="Amiri"/>
          <w:color w:val="111111"/>
          <w:sz w:val="28"/>
          <w:sz w:val="28"/>
          <w:szCs w:val="28"/>
          <w:rtl w:val="true"/>
          <w:lang w:bidi="ar-SA"/>
        </w:rPr>
        <w:t xml:space="preserve">بالخُمُس الذي هو حقٌّ خاصٌّ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وقرابته، فإنَّه لم يكن حقٌّ عامٌّ كالزكاة وغيرها حتَّىٰ يُتصدّىٰ لإبرازه وجبايته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020283_372815092"/>
      <w:bookmarkStart w:id="75" w:name="_Toc27"/>
      <w:bookmarkEnd w:id="74"/>
      <w:r>
        <w:rPr>
          <w:rtl w:val="true"/>
        </w:rPr>
        <w:t>الأمر الخامس</w:t>
      </w:r>
      <w:r>
        <w:rPr>
          <w:rtl w:val="true"/>
        </w:rPr>
        <w:t>:</w:t>
      </w:r>
      <w:bookmarkEnd w:id="75"/>
    </w:p>
    <w:p>
      <w:pPr>
        <w:pStyle w:val="Heading4"/>
        <w:numPr>
          <w:ilvl w:val="3"/>
          <w:numId w:val="1"/>
        </w:numPr>
        <w:rPr/>
      </w:pPr>
      <w:bookmarkStart w:id="76" w:name="__RefHeading___Toc4020285_372815092"/>
      <w:bookmarkStart w:id="77" w:name="_Toc28"/>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 xml:space="preserve">مضافاً لما تقدَّم فهنالك شواهد تاريخية وروائية علىٰ جباية الخُمُس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Heading4"/>
        <w:numPr>
          <w:ilvl w:val="3"/>
          <w:numId w:val="1"/>
        </w:numPr>
        <w:rPr/>
      </w:pPr>
      <w:bookmarkStart w:id="78" w:name="__RefHeading___Toc4020287_372815092"/>
      <w:bookmarkStart w:id="79" w:name="_Toc29"/>
      <w:bookmarkEnd w:id="78"/>
      <w:r>
        <w:rPr>
          <w:rtl w:val="true"/>
        </w:rPr>
        <w:t>أوَّلاً</w:t>
      </w:r>
      <w:r>
        <w:rPr>
          <w:rtl w:val="true"/>
        </w:rPr>
        <w:t xml:space="preserve">: </w:t>
      </w:r>
      <w:r>
        <w:rPr>
          <w:rtl w:val="true"/>
        </w:rPr>
        <w:t>الشواهد التاريخية</w:t>
      </w:r>
      <w:r>
        <w:rPr>
          <w:rtl w:val="true"/>
        </w:rPr>
        <w:t>:</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قَدِمَ وفد عبد القيس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هذا الحيَّ من ربيعة قد حالت بيننا وبينك كفّار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ولسنا نخلص إليك إلَّا في الشهر الحرام، فمرنا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نأخذه عنك وندعو إليه من ورائنا،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آمركم بأربع وأنهاكم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وشهادة أن لا إله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بيده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وإقامة الصلاة، وإيتاء الزكاة، وأن تُؤدُّوا خمس ما غنمتم</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الواضح في هذه الوثيقة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يطلب منهم أن يدفعوا غنائم الحرب، حيث إنَّهم لا يستطيعون الخروج إلَّا في الأشهر الحرم خوفاً من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ركين، وعليه فيكون المراد بالمغنم ما يربحون أو يستفيدون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لملوك حمير فيما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ذَلِكُمْ فَإِنّي أَحْمَدُ إلَيْكُمْ اللهَ الَّذِي لَا إلَهَ إلَّا هُوَ، أَمَّا بَعْدُ، فَإِنَّهُ قَدْ وَقَعَ بِهِ رَسُولُكُمْ مُنْقَلَبَنَا مِنْ أَرْضِ الرُّوم فَلَقِيَنَا بِالمَدِينَةِ، فَبَلَّغَ مَا أَرْسَلْتُمْ بِهِ وَخَبَّرَ مَا قَبْلَكُمْ وَأَنْبَأْنَا بِإِسْلَامِكُمْ وَقَتْلِكُمْ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وَأَنَّ اللهَ قَدْ هَدَاكُمْ بِهُدَاهُ إنْ أَصْلَحْتُمْ وَأَطَعْتُمْ اللهَ وَرَسُولَهُ وَأَقَمْتُمْ الصَّلَاةَ وَآتَيْتُمْ الزَّكَاةَ وَأَعْطَيْتُمْ مِنْ المَغَانِمِ خُمُسَ اللهِ وَسَهْمَ الرَّسُولِ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حزم حين بعثه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بَيَانٌ مِنْ اللهِ وَرَسُولِهِ وَأَمَرَهُ أَنْ يَأْخُذَ مِنْ المَغَانِمِ خُمُسَ اللهِ، وَمَا كُتِبَ عَلَىٰ المُؤْمِنِينَ فِي الصَّدَقَةِ مِنْ الْعَقَارِ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مَا سَقَتْ الْعَيْنُ وَسَقَتْ السَّمَاءُ، وَعَلَىٰ مَا سَقَىٰ الْغَرْبُ نِصْفَ الْعُشْرِ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للفجيع ومن تبعه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كتاباً من محمّد النبيِّ للفجيع ومن تبعه وأسلم وأقام الصلاة وآتىٰالزكاة وأعطىٰ الله ورسوله وأعطىٰ من المغانم خُمُس الله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 ثعلبة 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أسلم منهم وأقام الصلاة وآتىٰ الزكاة وأعطىٰ خُمُس المغنم وسهم النبيِّ والصفيِّ فهو آمن بأمان الله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شرحبيل بن كلام ونعيم بن كلال وحارث بن كلال رؤساء قبيلة ذي رعين ومعافر وهمدان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رجع رسولكم وأعطيتم من المغانم خُمُس الله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سعد هذيم من قضاعة وإلىٰ جذام كتاباً واحداً يُعلِّمهم فيه فرائض الصدقة، وأمرهم أن يدفعوا الصدقة والخُمُس إلىٰ رسوليه أُبيّ وعنبسة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لجهينة بن زيد فيما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ربوا ماءها علىٰ أن تُؤدُّوا الخُمُس</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80" w:name="pg7142_66649"/>
    </w:p>
    <w:p>
      <w:pPr>
        <w:pStyle w:val="BookText"/>
        <w:rPr/>
      </w:pPr>
      <w:bookmarkEnd w:id="80"/>
      <w:r>
        <w:rPr>
          <w:rFonts w:ascii="IRNazanin" w:hAnsi="IRNazanin" w:eastAsia="IRNazanin"/>
          <w:color w:val="111111"/>
          <w:sz w:val="28"/>
          <w:sz w:val="28"/>
          <w:szCs w:val="28"/>
          <w:rtl w:val="true"/>
          <w:lang w:bidi="fa-IR"/>
        </w:rPr>
        <w:t xml:space="preserve">هذا وغيرها من الشواهد التي لا يسع المقام لذكرها حيث تبيَّن منها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يطلب منهم خُمُس غنيمة الحرب، بل فرض عليهم ما استحقَّ في أموالهم من خُمُس سواء كانت غنيمة حرب أو غيرها؛ وذلك لأنَّ جميع الكُتُب التي صدرت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يُقيِّدها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بغنيمةالحرب، وخصوصاً أنَّ غنائم الحرب بيد الحاكم الإسلامي أو نائبه، فهو الذي يتولّىٰ تقسيمها بعد أن يستخرج خُمُسها، وهذا يعني أنَّ ما كان يأمر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الخُمُس خارج عن غنائم الحرب</w:t>
      </w:r>
      <w:r>
        <w:rPr>
          <w:rFonts w:eastAsia="IRNazanin" w:cs="IRNazanin"/>
          <w:color w:val="111111"/>
          <w:sz w:val="28"/>
          <w:szCs w:val="28"/>
          <w:rtl w:val="true"/>
          <w:lang w:bidi="fa-IR"/>
        </w:rPr>
        <w:t>.</w:t>
      </w:r>
    </w:p>
    <w:p>
      <w:pPr>
        <w:pStyle w:val="Heading4"/>
        <w:numPr>
          <w:ilvl w:val="3"/>
          <w:numId w:val="1"/>
        </w:numPr>
        <w:rPr/>
      </w:pPr>
      <w:bookmarkStart w:id="81" w:name="__RefHeading___Toc4020289_372815092"/>
      <w:bookmarkStart w:id="82" w:name="_Toc30"/>
      <w:bookmarkEnd w:id="81"/>
      <w:r>
        <w:rPr>
          <w:rtl w:val="true"/>
        </w:rPr>
        <w:t>ثانياً</w:t>
      </w:r>
      <w:r>
        <w:rPr>
          <w:rtl w:val="true"/>
        </w:rPr>
        <w:t xml:space="preserve">: </w:t>
      </w:r>
      <w:r>
        <w:rPr>
          <w:rtl w:val="true"/>
        </w:rPr>
        <w:t>الشواهد الروائية</w:t>
      </w:r>
      <w:r>
        <w:rPr>
          <w:rtl w:val="true"/>
        </w:rPr>
        <w:t>:</w:t>
      </w:r>
      <w:bookmarkEnd w:id="82"/>
    </w:p>
    <w:p>
      <w:pPr>
        <w:pStyle w:val="BookText"/>
        <w:rPr/>
      </w:pPr>
      <w:r>
        <w:rPr>
          <w:rFonts w:ascii="Amiri" w:hAnsi="Amiri" w:eastAsia="Amiri" w:cs="Amiri"/>
          <w:color w:val="111111"/>
          <w:sz w:val="28"/>
          <w:sz w:val="28"/>
          <w:szCs w:val="28"/>
          <w:rtl w:val="true"/>
          <w:lang w:bidi="ar-SA"/>
        </w:rPr>
        <w:t xml:space="preserve">رويت روايات عدَّة في كُتُب العامَّة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بوجوب الخُمُس في الركاز</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والكنز والسيوب</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روي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الركاز الخمس</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صحيح مسلم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الركاز خُمُس</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حزينة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فالكنز نجده في الخرب والآرام،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وفي الركاز خُمُس</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لوائل 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السيوب خُمُس</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83" w:name="pg7142_66653"/>
    </w:p>
    <w:p>
      <w:pPr>
        <w:pStyle w:val="Heading2"/>
        <w:numPr>
          <w:ilvl w:val="1"/>
          <w:numId w:val="1"/>
        </w:numPr>
        <w:rPr/>
      </w:pPr>
      <w:bookmarkStart w:id="84" w:name="__RefHeading___Toc4020291_372815092"/>
      <w:bookmarkStart w:id="85" w:name="_Toc31"/>
      <w:bookmarkEnd w:id="83"/>
      <w:bookmarkEnd w:id="84"/>
      <w:r>
        <w:rPr>
          <w:rtl w:val="true"/>
        </w:rPr>
        <w:t>الشبهة الثالثة</w:t>
      </w:r>
      <w:r>
        <w:rPr>
          <w:rtl w:val="true"/>
        </w:rPr>
        <w:t xml:space="preserve">: </w:t>
      </w:r>
      <w:r>
        <w:rPr>
          <w:rtl w:val="true"/>
        </w:rPr>
        <w:t>ابن أبي عقيل وابن الجنيد قالا بعدم وجوب الخُمُس في أرباح المكاسب</w:t>
      </w:r>
      <w:bookmarkEnd w:id="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4020293_372815092"/>
      <w:bookmarkStart w:id="87" w:name="_Toc32"/>
      <w:bookmarkEnd w:id="86"/>
      <w:r>
        <w:rPr>
          <w:rtl w:val="true"/>
        </w:rPr>
        <w:t>اشارة</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7142_66657"/>
      <w:bookmarkStart w:id="89" w:name="pg7142_66657"/>
      <w:bookmarkEnd w:id="89"/>
    </w:p>
    <w:p>
      <w:pPr>
        <w:pStyle w:val="Heading3"/>
        <w:numPr>
          <w:ilvl w:val="2"/>
          <w:numId w:val="1"/>
        </w:numPr>
        <w:rPr/>
      </w:pPr>
      <w:bookmarkStart w:id="90" w:name="pg7142_66657"/>
      <w:bookmarkStart w:id="91" w:name="__RefHeading___Toc4020295_372815092"/>
      <w:bookmarkStart w:id="92" w:name="_Toc33"/>
      <w:bookmarkEnd w:id="90"/>
      <w:bookmarkEnd w:id="91"/>
      <w:r>
        <w:rPr>
          <w:rtl w:val="true"/>
        </w:rPr>
        <w:t>مفاد الشبهة</w:t>
      </w:r>
      <w:bookmarkEnd w:id="92"/>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عقيل وابن الجنيد أنكرا وجوب الخُمُس في أرباح المكاسب، وقد صرَّحا بذلك في مصنَّفاتهم، وهذا من القرائن المهمَّة التي تُبيِّن أنَّ هذا الحقَّ مختلف فيه عند علماء الطائفة ولم يُجمَع عليه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020297_372815092"/>
      <w:bookmarkStart w:id="94" w:name="_Toc34"/>
      <w:bookmarkEnd w:id="93"/>
      <w:r>
        <w:rPr>
          <w:rtl w:val="true"/>
        </w:rPr>
        <w:t>ردُّ الشبهة</w:t>
      </w:r>
      <w:bookmarkEnd w:id="94"/>
    </w:p>
    <w:p>
      <w:pPr>
        <w:pStyle w:val="BookText"/>
        <w:rPr/>
      </w:pPr>
      <w:r>
        <w:rPr>
          <w:rFonts w:ascii="Amiri" w:hAnsi="Amiri" w:eastAsia="Amiri" w:cs="Amiri"/>
          <w:color w:val="111111"/>
          <w:sz w:val="28"/>
          <w:sz w:val="28"/>
          <w:szCs w:val="28"/>
          <w:rtl w:val="true"/>
          <w:lang w:bidi="ar-SA"/>
        </w:rPr>
        <w:t>إنَّ للوقوف علىٰ حقيقة هذه الشبهة لا بدَّ علينا من التأمُّل في نفس كلمات ابن أبي عقيل وابن الجنيد؛ لأنَّ الظاهر من كلامهما غير واضح بشكل جليٍّ، بل إنَّه خلاف ما ادَّعاه المستشكل، وإليك التفصيل في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 ما ذكره ابن أبي عقيل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 الخُمُس في الأموال كلِّها، حتَّىٰ علىٰ الخيّاط، والنجّار، وغلَّة الدار، والبستان، والصانع في كسب يده؛ لأنَّ ذلك إفادة من الله وغنيمة</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العبارة خالية من النصِّ علىٰ عدم الوجوب، ولا يُستَظهر منها ذلك؛ لأنَّه اعتبر الجواز أحد الأقوال في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الأموال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في مقابل هذا القول لم يُبيِّن رأياً آخر، ولذلك فهو لم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بعدم الوجوب حتَّىٰ نعدَّ كلامه خلافاً للمشهور وخادشاً في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عندما أشار ابن أبي عقيل إلىٰ القول بالوجوب ذكر مدركه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إفادة من الله وغنيمة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يشكل علىٰ ذلك، وهذه قد تكون قرينة علىٰ إرادة القول بالوجوب عنده نظراً لسكوته عن التعليق علىٰ الفتوىٰ والمدرك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 كلام ابن الجنيد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استفيد من ميراث أو كدّ بدن أو صلة أخ أو ربح تجارة أو نحو ذلك، فالأحوط إخراجه لاختلاف الرواية في ذلك، ولو لم يُخرجه الإنسان لم يكن كتارك الزكاة التي لا خلاف فيها</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العبارة يُفهَم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بالوجوب وإن كان من باب الاحتياط،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إخراجه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وظهورها في الوجوب أوفق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جنيد رجَّح أخبار الوجوب علىٰ أخبار التحليل وحَكَمَ بالاحتياط،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إخراجه لاختلاف الرواية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الترجيح ظاهر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اعتبر ابن جنيد تارك الخمس ليس كتارك الزكاة،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يُخرجه الإنسان لم يكن كتارك الزكاة التي لا خلاف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أخبار وجوب الزكاة لا خلاف فيها وأمَّا أخبار وجوب الخمس قد جرىٰ فيها خلاف بالنظر إلىٰ روايات التحليل، وقوله هذا لا يُستفاد منه عدم الوجوب، بل هو ظاهر بالوجوب إلَّا أنَّه أشار إلىٰ مسألة الخلاف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فقد اتَّضح أنَّ المستشكل إمَّا أنَّه لم يفهم كلام ابن أبي عقيل وابن الجنيد، أو أنَّه قد اعتمد علىٰ النقولات التي نسبت إليهماهذا </w:t>
      </w:r>
    </w:p>
    <w:p>
      <w:pPr>
        <w:pStyle w:val="BookText"/>
        <w:rPr/>
      </w:pPr>
      <w:r>
        <w:rPr>
          <w:rFonts w:ascii="Amiri" w:hAnsi="Amiri" w:eastAsia="Amiri" w:cs="Amiri"/>
          <w:color w:val="111111"/>
          <w:sz w:val="28"/>
          <w:sz w:val="28"/>
          <w:szCs w:val="28"/>
          <w:rtl w:val="true"/>
          <w:lang w:bidi="ar-SA"/>
        </w:rPr>
        <w:t>القول، وهذا يدلُّ علىٰ ضعف التحقيق، وقلَّة الأمانة العلمية، وعدم التتبُّع والنظر الدقيق في مثل هذه المسائل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نجد أنَّ الأعلام والمحقِّقين كالسيِّد الخوئي ݞ، ونظائره من أهل التحقيق في هذا الفنِّ قد التفتوا إلىٰ هذه المسألة، حيث إنَّهم ذكروا في بحوثهم أنَّ هذا القول قد نُسِبَ إلىٰ ابن أبي عقيل وابن الجنيد، وقالوا بعدم صراحة العبارة المنقولة عنهما، وهي غير قادحة في انعقاد الإجماع، فقد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تسالم الأصحاب واتِّفاقهم قديماً وحديثاً علىٰ الوجوب؛ إذ لم يُنسَب الخلاف إلَّا إلىٰ ابن الجنيد وابن أبي عقيل، ولكن مخالفتهما علىٰ تقدير صدق النسبة من أجل عدم صراحة العبارة المنقولة عنهما في ذلك لا تقدح في تحقُّق الإجماع ولاسيما الأوَّل منهما المطابقة فتواه لفتاوىٰ أبي حنيفة غالباً كما لا يخفىٰ</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7142_66664"/>
      <w:bookmarkStart w:id="96" w:name="pg7142_66664"/>
      <w:bookmarkEnd w:id="96"/>
    </w:p>
    <w:p>
      <w:pPr>
        <w:pStyle w:val="Heading2"/>
        <w:numPr>
          <w:ilvl w:val="1"/>
          <w:numId w:val="1"/>
        </w:numPr>
        <w:rPr/>
      </w:pPr>
      <w:bookmarkStart w:id="97" w:name="pg7142_66664"/>
      <w:bookmarkStart w:id="98" w:name="__RefHeading___Toc4020299_372815092"/>
      <w:bookmarkStart w:id="99" w:name="_Toc35"/>
      <w:bookmarkEnd w:id="97"/>
      <w:bookmarkEnd w:id="98"/>
      <w:r>
        <w:rPr>
          <w:rtl w:val="true"/>
        </w:rPr>
        <w:t>الشبهة الرابعة</w:t>
      </w:r>
      <w:r>
        <w:rPr>
          <w:rtl w:val="true"/>
        </w:rPr>
        <w:t xml:space="preserve">: </w:t>
      </w:r>
      <w:r>
        <w:rPr>
          <w:rtl w:val="true"/>
        </w:rPr>
        <w:t>عدم ذكر خُمُس المكاسب في مصنَّفات الفقهاء القدماء</w:t>
      </w:r>
      <w:bookmarkEnd w:id="9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4020301_372815092"/>
      <w:bookmarkStart w:id="101" w:name="_Toc36"/>
      <w:bookmarkEnd w:id="100"/>
      <w:r>
        <w:rPr>
          <w:rtl w:val="true"/>
        </w:rPr>
        <w:t>اشارة</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7142_66668"/>
      <w:bookmarkStart w:id="103" w:name="pg7142_66668"/>
      <w:bookmarkEnd w:id="103"/>
    </w:p>
    <w:p>
      <w:pPr>
        <w:pStyle w:val="Heading3"/>
        <w:numPr>
          <w:ilvl w:val="2"/>
          <w:numId w:val="1"/>
        </w:numPr>
        <w:rPr/>
      </w:pPr>
      <w:bookmarkStart w:id="104" w:name="pg7142_66668"/>
      <w:bookmarkStart w:id="105" w:name="__RefHeading___Toc4020303_372815092"/>
      <w:bookmarkStart w:id="106" w:name="_Toc37"/>
      <w:bookmarkEnd w:id="104"/>
      <w:bookmarkEnd w:id="105"/>
      <w:r>
        <w:rPr>
          <w:rtl w:val="true"/>
        </w:rPr>
        <w:t>مفاد الشبهة</w:t>
      </w:r>
      <w:bookmarkEnd w:id="10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فريضة خُمُس المكاسب لم يرد لها إشارة في الكُتُب الفقهية للقدماء، وإنَّ مسألة إعفاء الشيعة من هذا الصنف كانت مشهورة عندهم، ولم يُذكَر في مصنَّفاتهم مسألة وجوبه كما هو عليه الآن</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020305_372815092"/>
      <w:bookmarkStart w:id="108" w:name="_Toc38"/>
      <w:bookmarkEnd w:id="107"/>
      <w:r>
        <w:rPr>
          <w:rtl w:val="true"/>
        </w:rPr>
        <w:t>ردُّ الشبهة</w:t>
      </w:r>
      <w:bookmarkEnd w:id="108"/>
    </w:p>
    <w:p>
      <w:pPr>
        <w:pStyle w:val="BookText"/>
        <w:rPr/>
      </w:pPr>
      <w:r>
        <w:rPr>
          <w:rFonts w:ascii="Amiri" w:hAnsi="Amiri" w:eastAsia="Amiri" w:cs="Amiri"/>
          <w:color w:val="111111"/>
          <w:sz w:val="28"/>
          <w:sz w:val="28"/>
          <w:szCs w:val="28"/>
          <w:rtl w:val="true"/>
          <w:lang w:bidi="ar-SA"/>
        </w:rPr>
        <w:t>أمَّا ما ذُكِرَ من عدم الإشارة لوجوب خُمُس المكاسب في كُتُب القدماء وأنَّ إعفاء الشيعة من هذا الصنف كان مشهوراً بينهم غير صحيح، ولم ينقل لنا المستشكل تلك الشهرة عن واحد من علماء الطائفة، بل الحقُّ علىٰ خلاف ذلك، وإليك جملة من هذه الأقوال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أرشدك الله أنَّ ما قدَّمته في هذا الباب من الرخصة في تناول الخُمُس والتص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فيه إنَّما ورد في المناكح خاصَّة للعلَّة التي سلف ذكرها في الآثار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لتطيب ولادة شيعتهم، ولم يرد في الأموال وما أخَّرته عن المتقدِّم ممَّا جاء في التشديد في الخُمُس والاستبداد به فهو يختصُّ بالأموال، وقد اختلف قوم من أصحابنا في ذلك عند الغيبة، وذهب كلُّ فريق منهم فيه إلىٰ مقال، فمنهم من يُسقِط فرض إخراجه لغيبة الإمام، وما تقدَّم من الرُّخَص فيه من الأخبار، وبعضهم يوجب كنزه وتناول خبراً ورد أنَّ الأرض تُظهِر كنوزها عند ظهور القائم مهدي الأنام،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w:t>
      </w:r>
    </w:p>
    <w:p>
      <w:pPr>
        <w:pStyle w:val="BookText"/>
        <w:rPr/>
      </w:pPr>
      <w:r>
        <w:rPr>
          <w:rFonts w:ascii="IRNazanin" w:hAnsi="IRNazanin" w:eastAsia="IRNazanin"/>
          <w:color w:val="111111"/>
          <w:sz w:val="28"/>
          <w:sz w:val="28"/>
          <w:szCs w:val="28"/>
          <w:rtl w:val="true"/>
          <w:lang w:bidi="fa-IR"/>
        </w:rPr>
        <w:t xml:space="preserve">دلَّه الله سبحانه وتعالىٰ علىٰ الكنوز، فيأخذها من كلِّ مكان، وبعضهم يرىٰ صلة الذرّية وفقراء الشيعة علىٰ طريق الاستحباب، ولست أدفع قرب هذا القول من الصواب، وبعضهم يرىٰ عزله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خشي إدراك المنيَّة قبل ظهوره وصّىٰ به إلىٰ من يثق به في عقله وديانته ليُسلِّمه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أدرك قيامه وإلَّا وصّىٰ به إلىٰ من يقوم مقامه في الثقة والديانة، ثمّ علىٰ هذا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إلىٰ أن يظهر إمام الزمان، وهذا القول عندي أوضح من جميع ما تقدَّم؛ لأنَّ الخُمُس حقٌّ وجب لغائب لم يرسم فيه قبل غيبته رسماً يجب الانتهاء إليه، فوجب حفظه عليه إلىٰ وقت إيابه، أو التمكُّن من إيصاله إليه، أو وجود من انتقل بالحقِّ إليه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حاصل مذهب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وجوب إخراج خُمُس المكاسب، وفاضل المؤونة علىٰ المكلَّف ويدفع نصف الخُمُس إلىٰ الأصناف الثلاثة من اليتامىٰ والمساكين وأبناء السبيل، وأمَّا الآخر الخاصّ بالإمام، فإنَّ مذهب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وجوب حفظه إلىٰ حين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لأنَّه حقٌّ لغائب لم يرسم فيه رسم، فاذا قرب موت المكلَّف عليه أن يوصي به إلىٰ ثقة مأمون يدفعه إلىٰ الإمام إذا أدرك خروجه، وهكذا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الواضح أنَّ رأي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دفع الخُمُس في هذا الصنف في زمان الغيبة، وعدم العفو عنه إلَّا أنَّ الخلاف في مسألة صرف الحقِّ الخاصِّ بالإمام، وهذا تابع لرأي الفقيه وما فهمه من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السيِّد المرتض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انفردت به الإماميَّة القول بأنَّ الخُمُس واجب في جميع المغانم والمكاسب وممَّا استُخرِجَ من </w:t>
      </w:r>
    </w:p>
    <w:p>
      <w:pPr>
        <w:pStyle w:val="BookText"/>
        <w:rPr/>
      </w:pPr>
      <w:r>
        <w:rPr>
          <w:rFonts w:ascii="Amiri" w:hAnsi="Amiri" w:eastAsia="Amiri" w:cs="Amiri"/>
          <w:color w:val="111111"/>
          <w:sz w:val="28"/>
          <w:sz w:val="28"/>
          <w:szCs w:val="28"/>
          <w:rtl w:val="true"/>
          <w:lang w:bidi="ar-SA"/>
        </w:rPr>
        <w:t>المعادن والغوص والكنوز وممَّا فضل من أرباح التجارات والزراعات والصناعات بعد المؤنة والكفاية في طول السنة علىٰ الاقتصاد</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الخُمُس في جميع المستفاد من أرباح التجارات، والغلّات، والثمار علىٰ اختلاف أجناسها بعد إخراج حقوقها ومؤنتها وإخراج مؤنة الرجل لنفسه ومؤنة عياله سنة، ولم يوافقنا علىٰ ذلك أحد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وطريقة الاحتياط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لأنَّه إذا أخرج الخُمُس عمَّا ذكرناه كانت ذمَّته بريئة بيقين، وإن لم يخرج ففي براءة ذمَّته خلاف</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غنية النزوع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الخُمُس أيضاً في الفاضل عن مؤونة الحول علىٰ الاقتصاد من كلِّ مستفاد بتجارة أو زراعة أو صناعة أو غير ذلك من وجوه الاستفادة أيّ وجه كان؛ بدليل الإجماع المشار إليه، وطريقه الاحتياط</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أرباح التجارات والزراعات والصنائع وجميع أنواع الاكتسابات وفواضل الأقوات من الغلّات والزراعات عن مؤونة السنة علىٰ الاقتصاد، وهو قول علمائنا أجمع، وقد خالف فيه الجمهور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وجه الاستدلال، أوجب الخُمُس في كلِّ ما يُغنَم، وهو يتناول غنيمة دار الحرب ويتناول غيرها، فالتخصيص من غير دليل باطل</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تبيَّن ممَّا تقدَّم من الأقوال أنَّ مسألة وجوب الخُمُس في أرباح المكاسب قد ذكرها الفقهاء القدماء، وصرَّحوا بوجوب دفع الخُمُس في هذا الصنف، وإنَّما الخلاف في صرف الحقِّ الخاصِّ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أراد البعض استغلال هذا الاختلاف لتحليل خُمُس المكاسب إلَّا أنَّه من الواضح أنَّه خلاف اجتهادي تابع لفهم الفقيه للأدلَّة والمدارك، وهذا الخلاف لا يلزم منه تخطئة الفقهاء المتقدِّمين، فإنَّ الفقيه يلزمه اتِّباع الأدلَّة الصحيحة وكفىٰ، ولعلَّ الدليل الصحيح قد وصل إلىٰ المتقدِّمين ولم يصل إلىٰ من جاء بعدهم، وكذا العكس، والواجب هو العمل بالدليل الواصل بالحجَّة المعتبرة والعمل، وما عليه مشهور المتقدِّمين ليس دليلاً يجب اتِّباعه ما لم تكن تلك الشهرة مستلزمة للعلم بالحكم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رعي كأن تكون متَّصلة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يُعلَم بأنَّ الفقهاء القدماء أخذوا هذا الحكم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 بيد</w:t>
      </w:r>
      <w:r>
        <w:rPr>
          <w:rFonts w:eastAsia="IRNazanin" w:cs="IRNazanin"/>
          <w:color w:val="111111"/>
          <w:sz w:val="28"/>
          <w:szCs w:val="28"/>
          <w:rtl w:val="true"/>
          <w:lang w:bidi="fa-IR"/>
        </w:rPr>
        <w:t>.</w:t>
      </w:r>
      <w:bookmarkStart w:id="109" w:name="pg7142_66676"/>
    </w:p>
    <w:p>
      <w:pPr>
        <w:pStyle w:val="Heading2"/>
        <w:numPr>
          <w:ilvl w:val="1"/>
          <w:numId w:val="1"/>
        </w:numPr>
        <w:rPr/>
      </w:pPr>
      <w:bookmarkStart w:id="110" w:name="__RefHeading___Toc4020307_372815092"/>
      <w:bookmarkStart w:id="111" w:name="_Toc39"/>
      <w:bookmarkEnd w:id="109"/>
      <w:bookmarkEnd w:id="110"/>
      <w:r>
        <w:rPr>
          <w:rtl w:val="true"/>
        </w:rPr>
        <w:t>الشبهة الخامسة</w:t>
      </w:r>
      <w:r>
        <w:rPr>
          <w:rtl w:val="true"/>
        </w:rPr>
        <w:t xml:space="preserve">: </w:t>
      </w:r>
      <w:r>
        <w:rPr>
          <w:rtl w:val="true"/>
        </w:rPr>
        <w:t>تحليل الخُمُس في زمن الغيبة الكبرى</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4020309_372815092"/>
      <w:bookmarkStart w:id="113" w:name="_Toc40"/>
      <w:bookmarkEnd w:id="112"/>
      <w:r>
        <w:rPr>
          <w:rtl w:val="true"/>
        </w:rPr>
        <w:t>اشارة</w:t>
      </w:r>
      <w:bookmarkEnd w:id="11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7142_66679"/>
      <w:bookmarkStart w:id="115" w:name="pg7142_66679"/>
      <w:bookmarkEnd w:id="115"/>
    </w:p>
    <w:p>
      <w:pPr>
        <w:pStyle w:val="Heading3"/>
        <w:numPr>
          <w:ilvl w:val="2"/>
          <w:numId w:val="1"/>
        </w:numPr>
        <w:rPr/>
      </w:pPr>
      <w:bookmarkStart w:id="116" w:name="pg7142_66679"/>
      <w:bookmarkStart w:id="117" w:name="__RefHeading___Toc4020311_372815092"/>
      <w:bookmarkStart w:id="118" w:name="_Toc41"/>
      <w:bookmarkEnd w:id="116"/>
      <w:bookmarkEnd w:id="117"/>
      <w:r>
        <w:rPr>
          <w:rtl w:val="true"/>
        </w:rPr>
        <w:t>مفاد الشبهة</w:t>
      </w:r>
      <w:bookmarkEnd w:id="118"/>
    </w:p>
    <w:p>
      <w:pPr>
        <w:pStyle w:val="BookText"/>
        <w:rPr/>
      </w:pPr>
      <w:r>
        <w:rPr>
          <w:rFonts w:ascii="IRNazanin" w:hAnsi="IRNazanin" w:eastAsia="IRNazanin"/>
          <w:color w:val="111111"/>
          <w:sz w:val="28"/>
          <w:sz w:val="28"/>
          <w:szCs w:val="28"/>
          <w:rtl w:val="true"/>
          <w:lang w:bidi="fa-IR"/>
        </w:rPr>
        <w:t xml:space="preserve">وردت جملة من الأخبار يُستَظهر منها إباحة الخُمُس للشيعة مطلقاً، وأنَّهم في حلٍّ منه إلىٰ زمان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يجب أداؤه عليهم البتَّة، وكأنَّه لم يبلغ مقام الفعلية بسبب التحليل الصادر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فمفاد هذه الروايات أنَّه لا يجب دفع الحقِّ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رعي، فإذا كان كذلك، فلماذا يُفتي الفقهاء بوجوب إيصاله إليهم؟ ولماذا أخفوا عن الناس روايات التحليل الصادرة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19" w:name="__RefHeading___Toc4020313_372815092"/>
      <w:bookmarkStart w:id="120" w:name="_Toc42"/>
      <w:bookmarkEnd w:id="119"/>
      <w:r>
        <w:rPr>
          <w:rtl w:val="true"/>
        </w:rPr>
        <w:t>ردُّ الشبهة</w:t>
      </w:r>
      <w:bookmarkEnd w:id="12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يخفِ فقهاء الشيعة روايات التحليل، كيف وقد ذُكِرَت في المجامع الروائية والكُتُب الفقهية، وتصدّىٰ لها فقهاؤنا بحثاً وتنقيحاً في أسانيدها ومداليلها في مجالس درسهم، ومصنَّفاتهم المطوَّلة حالها حال سائر الروايات التي وردت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أراد التأكُّد ليس عليه إلَّا أن يُمعِن النظر في تلك المصادر الروائية، وكُتُب البحث الاستدلالي للفقهاء الأعلام، فما يُدَّعىٰ من الإخفاء ليس له من الحقيقة نصيب، وليس الغرض من إثارة هذه الشبهة إلَّا إيهام القرّاء بأنَّ ما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فقط الأخبار التي تدلُّ علىٰالتحليل وسقوط الخُمُس مطلقاً، ومدَّعياً بأنَّ جميع ما ورد منها صحيح السند، وسوف يتبيَّن أنَّ </w:t>
      </w:r>
      <w:bookmarkStart w:id="121" w:name="pg7142_66681"/>
    </w:p>
    <w:p>
      <w:pPr>
        <w:pStyle w:val="BookText"/>
        <w:rPr/>
      </w:pPr>
      <w:bookmarkEnd w:id="121"/>
      <w:r>
        <w:rPr>
          <w:rFonts w:ascii="Amiri" w:hAnsi="Amiri" w:eastAsia="Amiri" w:cs="Amiri"/>
          <w:color w:val="111111"/>
          <w:sz w:val="28"/>
          <w:sz w:val="28"/>
          <w:szCs w:val="28"/>
          <w:rtl w:val="true"/>
          <w:lang w:bidi="ar-SA"/>
        </w:rPr>
        <w:t>هذه الدعوىٰ ليس كما صوَّرها المدَّعي، وإليك تفصيل المسألة من خلال أجوبة عدَّة</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4020315_372815092"/>
      <w:bookmarkStart w:id="123" w:name="_Toc43"/>
      <w:bookmarkEnd w:id="122"/>
      <w:r>
        <w:rPr>
          <w:rtl w:val="true"/>
        </w:rPr>
        <w:t>الجواب الأوَّل</w:t>
      </w:r>
      <w:r>
        <w:rPr>
          <w:rtl w:val="true"/>
        </w:rPr>
        <w:t>:</w:t>
      </w:r>
      <w:bookmarkEnd w:id="123"/>
    </w:p>
    <w:p>
      <w:pPr>
        <w:pStyle w:val="Heading4"/>
        <w:numPr>
          <w:ilvl w:val="3"/>
          <w:numId w:val="1"/>
        </w:numPr>
        <w:rPr/>
      </w:pPr>
      <w:bookmarkStart w:id="124" w:name="__RefHeading___Toc4020317_372815092"/>
      <w:bookmarkStart w:id="125" w:name="_Toc44"/>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وقد ذكره واعتمده جُلُّ الأصحاب، وهو أنَّ الروايات التي ذكرت الخُمُس علىٰ طوائف أربع</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020319_372815092"/>
      <w:bookmarkStart w:id="127" w:name="_Toc45"/>
      <w:bookmarkEnd w:id="126"/>
      <w:r>
        <w:rPr>
          <w:rtl w:val="true"/>
        </w:rPr>
        <w:t>الطائفة الأُولىٰ</w:t>
      </w:r>
      <w:r>
        <w:rPr>
          <w:rtl w:val="true"/>
        </w:rPr>
        <w:t>:</w:t>
      </w:r>
      <w:bookmarkEnd w:id="127"/>
    </w:p>
    <w:p>
      <w:pPr>
        <w:pStyle w:val="BookText"/>
        <w:rPr/>
      </w:pPr>
      <w:r>
        <w:rPr>
          <w:rFonts w:ascii="Amiri" w:hAnsi="Amiri" w:eastAsia="Amiri" w:cs="Amiri"/>
          <w:color w:val="111111"/>
          <w:sz w:val="28"/>
          <w:sz w:val="28"/>
          <w:szCs w:val="28"/>
          <w:rtl w:val="true"/>
          <w:lang w:bidi="ar-SA"/>
        </w:rPr>
        <w:t>ما دلَّت علىٰ وجوب الخُمُس مطلقاً، وهي روايات عامَّة شاملة لجميع أبواب الخُمُس، وفي كلِّ زمانٍ للشيعة والسُّنَّة،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أُخرجه قبل المؤونة أو بعد المؤونة؟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المؤونة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يجب عليَّ يا مولاي في غلَّة رحىٰ أرض في قطيعة لي، وفي ثمن سمك وبردي وقصب أبيعه من أجمة هذه القطيعة؟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عليك فيه الخمس، إن شاء الله تعالىٰ</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ما أفاد الناس من قليل أو كثير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4020321_372815092"/>
      <w:bookmarkStart w:id="129" w:name="_Toc46"/>
      <w:bookmarkEnd w:id="128"/>
      <w:r>
        <w:rPr>
          <w:rtl w:val="true"/>
        </w:rPr>
        <w:t>الطائفة الثانية</w:t>
      </w:r>
      <w:r>
        <w:rPr>
          <w:rtl w:val="true"/>
        </w:rPr>
        <w:t>:</w:t>
      </w:r>
      <w:bookmarkEnd w:id="1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كالطائفة الأُولىٰ، لكنَّها خصَّت وجوب الخُمُس علىٰ الشيعيفقط، والعمدة منها</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أنا كتابه إليه في طريق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أوجبت في سنتي هذه وهذه سنة عشرين ومائتين، فقط لمعنىٰ من المعاني، أكره تفسير المعنىٰ كلَّه خوفاً من الانتشار، وسأُفسِّ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لك بعضه إن شاء الله، إنَّ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بعضهم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فيما يجب عليهم، فعلمت ذلك فأحببت أن أُطهِّرهم وأُزكّيهم بما فعلت في عامي هذا من أمر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هُوَ يَقْبَلُ التَّوْبَةَ عَنْ عِبادِهِ وَيَأْخُذُ الصَّدَقاتِ وَأَنَّ اللهَ هُوَ التَّوَّابُ الرَّحِيمُ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فَيُنَبِّئُكُمْ بِما كُنْتُمْ تَعْمَلُونَ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أُوجب ذلك عليهم في كلِّ عام، ولا أُوجب عليهم إلَّا الزكاة التي فرضها الله عليهم، وإنَّما أوجبت عليهم الخُمُس في سنتي هذه في الذهب والفضَّة التي قد حال عليهما الحول، ولم أُوجب ذلك عليهم في متاع ولا آنية ولا دوابٍّ ولا خدم ولا ربح ربحه في تجارة ولا ضيعة إلَّا ضيعة سأُفسِّ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لك أمرها تخفيفاً منّي عن مواليَّ، ومنًّا منّي عليهم لما يغتال السلطان من أموالهم ولما ينوبهم في ذاتهم، 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الْفُرْقانِيَوْمَ الْتَقَىٰ الْجَمْعانِ وَاللهُ عَلىٰ كُلِّ شَيْءٍ قَدِيرٌ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والغنائم والفوائد يرحمك الله فهي الغنيمة يغنمها، المرء </w:t>
      </w:r>
      <w:bookmarkStart w:id="130" w:name="pg7142_66685"/>
    </w:p>
    <w:p>
      <w:pPr>
        <w:pStyle w:val="BookText"/>
        <w:rPr/>
      </w:pPr>
      <w:bookmarkEnd w:id="130"/>
      <w:r>
        <w:rPr>
          <w:rFonts w:ascii="Amiri" w:hAnsi="Amiri" w:eastAsia="Amiri" w:cs="Amiri"/>
          <w:color w:val="111111"/>
          <w:sz w:val="28"/>
          <w:sz w:val="28"/>
          <w:szCs w:val="28"/>
          <w:rtl w:val="true"/>
          <w:lang w:bidi="ar-SA"/>
        </w:rPr>
        <w:t>والفائدة يفيدها، والجائزة من الإنسان للإنسان التي لها خطر، والميراث الذي لا يُحتَسب من غير أب ولا ابن، ومثل عدوّ يصطلم فيُؤخَذ ماله، ومثل مال يُؤخَذ ولا يعرف له صاحب، وما صار إلىٰ مواليَّ من أموال الخرمية الفسقة، فقد علمت أنَّ أموالاً عظاماً صارت إلىٰ قوم من مواليَّ، فمن كان عنده شيء من ذلك فليوصل إلىٰ وكيلي، ومن كان نائياً بعيد الشقَّة فليتعمد لإيصاله ولو بعد حين، فإنَّ نيَّة المؤمن خير من عمله، فأمَّا الذي أُوجب من الضياع والغلّات في كلِّ عام فهو نصف السُّدُس ممَّن كانت ضيعته تقوم بمؤونته، ومن كانت ضيعته لا تقوم بمؤونته فليس عليه نصف سُدُس ولا غير ذلك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الصحيحة إنَّما خصَّت وجوب الخُمُس علىٰ الشيعة فقط بقرينة تخصيصه بمواليه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أموالاً عظاماً صارت إلىٰ قوم من 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تخفيفاً منّي عن 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القرائن ممَّا لا يخفىٰ</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4020323_372815092"/>
      <w:bookmarkStart w:id="132" w:name="_Toc47"/>
      <w:bookmarkEnd w:id="131"/>
      <w:r>
        <w:rPr>
          <w:rtl w:val="true"/>
        </w:rPr>
        <w:t>الطائفة الثالثة</w:t>
      </w:r>
      <w:r>
        <w:rPr>
          <w:rtl w:val="true"/>
        </w:rPr>
        <w:t>:</w:t>
      </w:r>
      <w:bookmarkEnd w:id="132"/>
    </w:p>
    <w:p>
      <w:pPr>
        <w:pStyle w:val="BookText"/>
        <w:rPr/>
      </w:pPr>
      <w:r>
        <w:rPr>
          <w:rFonts w:ascii="Amiri" w:hAnsi="Amiri" w:eastAsia="Amiri" w:cs="Amiri"/>
          <w:color w:val="111111"/>
          <w:sz w:val="28"/>
          <w:sz w:val="28"/>
          <w:szCs w:val="28"/>
          <w:rtl w:val="true"/>
          <w:lang w:bidi="ar-SA"/>
        </w:rPr>
        <w:t>يظهر من جملة من الأخبار إباحة الخُمُس للشيعة مطلقاً من دون قيد أو شرط، وأنَّهم في حلٍّ منه، ولا يجب عليهم أداؤه البتَّة، والعمدة منها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وزرارة ومحمّد بن مسلم، كلُّهم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الناس في بطونهم وفروجهم؛ لأنَّهم لم يُؤدُّوا إلينا حقَّنا، ألا وإنَّ شيعتنا من ذلك وآباءهم في حلٍّ</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حلَّلهم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ليطيب مولدهم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يسأله أن يجعله في حلٍّ من مأكله 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من الخُمُس، فكتب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أعوزه شيء من حقّي فهو في حلٍّ</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مع معارضتها لما سيأتي من طوائف الأخبار إلَّا أنَّها لا يمكن التعويل عليها في نفسها؛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قد صدرت روايات متأخِّرة عنها، وتدعو إلىٰ دفع الخُمُس، والعبرة هو العمل بما تأخَّر،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 الناصب ما شئت وادفع إلينا خُمُسه</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كصحيحة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ركازاً ففيه الخُمُس</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كصحيحة عليِّ بن مهزيار فيما ورد في أرباح التجارات</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الخُمُس مباحاً للشيعة فلماذا يجب عليهم؟ وما هومعنىٰ أمرهم بالدفع؟</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إلىٰ ذلك أنَّ القول بثبوت روايات التحليل، والعمل بها مطلقاً سيُؤدّي بنا إلىٰ نتائج خطيرة،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شرَّع الحكم ثمّ جمَّده ولم يُبرِزه، فأشبه ما يكون بالحكم الاقتضائي غير الفعلي، وبيان </w:t>
      </w:r>
      <w:bookmarkStart w:id="133" w:name="pg7142_66689"/>
    </w:p>
    <w:p>
      <w:pPr>
        <w:pStyle w:val="BookText"/>
        <w:rPr/>
      </w:pPr>
      <w:bookmarkEnd w:id="133"/>
      <w:r>
        <w:rPr>
          <w:rFonts w:ascii="Amiri" w:hAnsi="Amiri" w:eastAsia="Amiri" w:cs="Amiri"/>
          <w:color w:val="111111"/>
          <w:sz w:val="28"/>
          <w:sz w:val="28"/>
          <w:szCs w:val="28"/>
          <w:rtl w:val="true"/>
          <w:lang w:bidi="ar-SA"/>
        </w:rPr>
        <w:t>فائدة الخُمُس من بعض الأخبار، وأسباب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ريعه منافٍ لإباحته، بل سيكون ذلك من لغو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 الخُمُس إنَّما شُرِّع لسدِّ حاجات السادة والفقراء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يجب دفع الخُمُس علىٰ الشيعة، وإنكار أهل السُّنَّة لهذا الحقِّ وتحريم الزكاة علىٰ السادة، فمن أين يعيش فقراؤهم ومساكينهم؟</w:t>
      </w:r>
    </w:p>
    <w:p>
      <w:pPr>
        <w:pStyle w:val="BookText"/>
        <w:rPr/>
      </w:pPr>
      <w:r>
        <w:rPr>
          <w:rFonts w:ascii="Amiri" w:hAnsi="Amiri" w:eastAsia="Amiri" w:cs="Amiri"/>
          <w:color w:val="111111"/>
          <w:sz w:val="28"/>
          <w:sz w:val="28"/>
          <w:szCs w:val="28"/>
          <w:rtl w:val="true"/>
          <w:lang w:bidi="ar-SA"/>
        </w:rPr>
        <w:t>وعليه إنَّ هذه النصوص لا يمكن العمل بإطلاقها علىٰ كلِّ حالٍ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4020325_372815092"/>
      <w:bookmarkStart w:id="135" w:name="_Toc48"/>
      <w:bookmarkEnd w:id="134"/>
      <w:r>
        <w:rPr>
          <w:rtl w:val="true"/>
        </w:rPr>
        <w:t>الطائفة الرابعة</w:t>
      </w:r>
      <w:r>
        <w:rPr>
          <w:rtl w:val="true"/>
        </w:rPr>
        <w:t>:</w:t>
      </w:r>
      <w:bookmarkEnd w:id="135"/>
    </w:p>
    <w:p>
      <w:pPr>
        <w:pStyle w:val="BookText"/>
        <w:rPr/>
      </w:pPr>
      <w:r>
        <w:rPr>
          <w:rFonts w:ascii="Amiri" w:hAnsi="Amiri" w:eastAsia="Amiri" w:cs="Amiri"/>
          <w:color w:val="111111"/>
          <w:sz w:val="28"/>
          <w:sz w:val="28"/>
          <w:szCs w:val="28"/>
          <w:rtl w:val="true"/>
          <w:lang w:bidi="ar-SA"/>
        </w:rPr>
        <w:t>الروايات الدالَّة علىٰ التفصيل بين وجوب دفع الخُمُس مطلقاً وتحليله في بعض الموارد، والعمدة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سالم بن 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 لي الفروج؟ ففزع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يسألك أن يعترض الطريق إنَّما يسألك خادمة يشتريها أو امرأة يتزوَّجها، أو ميراثاً يصيبه، أو تجارةً أو شيئاً أُعطيه،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لشيعتنا حلال، الشاهد منهم والغائب، والميِّت منهم والحيّ، وما يُولَد منهم إلىٰ يوم القيامة فهو لهم حلال، أمَا والله لا يحلُّ إلَّا لمن أحللنا له، ولا والله ما أعطيناأحداً ذمَّة، وما عندنا لأحد عهد، ولا لأحد عندنا ميثاق</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يسأله أن يجعله في حلٍّ من مأكله 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من الخُمُس، فكتب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أعوزه شيء من حقّي فهو في حلٍّ</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صالح بن محمّد بن سهل، وكان يتولّىٰ له الوقف بقم،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اجعلني من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آلاف درهم في حلٍّ، فإنّي أنفقتها،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في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خرج صالح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 يثب علىٰ أموال آل محمّد وأيتامهم ومساكينهم وفقرائهم وأبناء سبيلهم فيأخذها ثمّ يجيء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في حلٍّ، أتراه ظنَّ أنّي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والله ليسألنَّهم الله يوم القيامة عن ذلك سؤالاً حثيثاً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ويقع الحديث في تفصيل هذه الطوائف علىٰ أُمور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تعارض بين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الخُمُس علىٰ الشيعي فقط في كلِّ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تحليل الخُمُس علىٰ الشيعي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لحلِّ هذا التعارض وجوه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أنَّ الطائفة الثالثة من زخرف القول؛ لمخالفتها لكتاب الله الذي نصَّ علىٰ وجوب الخُمُس مطلقاً، فتبقىٰ الطائفة الثانية بلا 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مدفوع؛ إذ الزخرف ما لم يقله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وأنَّ أخبار التحليل مستفيضة وصدرت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نقول بالتعارض المستقرِّ بين الطائفتين، فعليه يُحكَم بالتساقط، ويتمُّ الرجوع إلىٰ العموم الفوقاني، وهو ما دلَّت عليه الطائفة الأُولىٰ التي نصَّت علىٰ الوجوب مطلقاً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هنالك تعارضاً بين الطائفتين لكنَّه غير مستقرٍّ؛ لوجود موافق للطائفة الثانية كالآية الكريمة، والنصوص الدالَّة علىٰ وجوب الخُمُس مطلقاً كأخبار الطائفة الأُولىٰ، فيتمُّ العمل بأخبار الطائفة الثانية</w:t>
      </w:r>
      <w:r>
        <w:rPr>
          <w:rFonts w:eastAsia="Amiri" w:cs="Amiri" w:ascii="Amiri" w:hAnsi="Amiri"/>
          <w:color w:val="111111"/>
          <w:sz w:val="28"/>
          <w:szCs w:val="28"/>
          <w:rtl w:val="true"/>
          <w:lang w:bidi="ar-SA"/>
        </w:rPr>
        <w:t xml:space="preserve">. </w:t>
      </w:r>
      <w:bookmarkStart w:id="136" w:name="pg7142_66693"/>
    </w:p>
    <w:p>
      <w:pPr>
        <w:pStyle w:val="BookText"/>
        <w:rPr/>
      </w:pPr>
      <w:bookmarkEnd w:id="13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الطائفة الرابعة يمكن أن تكون شاهد جمع بين الطائفتين، فيكون مفاد الطائفة الثانية اختصاص دفع الخُمُس علىٰ ما يملكه الشيعي فقط، وأمَّا الطائفة الثالثة فيكون تحليل الخُمُس بلحاظ ما انتقل إلىٰ الشيعي ممَّن لا يعتقد بوجوب الخُمُس كالكافر، والمخالف أو الذي يعتقد بوجوبه لكنَّه عاص كالشيعي الذي لا يُخمِّس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الطائفة الرابعة من باب انقلاب النسبة، وليس شاهد جمع بين الطائفتين، ومفاد قاعدة الانقلاب أنَّ هذه الطائفة في صدد بيان حكم واحد فقط لا حكمين، وهو تحليل الخُمُس للشيعي الذي انتقل إليه المال من معاملة مع من لم يعتقد بوجوب الخُمُس، أو من لم يدفعه عصياناً، أو غيرها من الموارد التي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فروايات التحليل ليست ناظرة إلىٰ الملك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للشيعي، فإنَّه يجب عليه دفعه إلىٰ مستحقّيه، بل هي ناظرة إلىٰ ما انتقل إليه من الأصناف المتقدِّمة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020327_372815092"/>
      <w:bookmarkStart w:id="138" w:name="_Toc49"/>
      <w:bookmarkEnd w:id="137"/>
      <w:r>
        <w:rPr>
          <w:rtl w:val="true"/>
        </w:rPr>
        <w:t>الجواب الثاني</w:t>
      </w:r>
      <w:r>
        <w:rPr>
          <w:rtl w:val="true"/>
        </w:rPr>
        <w:t xml:space="preserve">: </w:t>
      </w:r>
      <w:r>
        <w:rPr>
          <w:rtl w:val="true"/>
        </w:rPr>
        <w:t>منافاة أخبار التحليل للسيرة العملية القطعية</w:t>
      </w:r>
      <w:r>
        <w:rPr>
          <w:rtl w:val="true"/>
        </w:rPr>
        <w:t>:</w:t>
      </w:r>
      <w:bookmarkEnd w:id="138"/>
    </w:p>
    <w:p>
      <w:pPr>
        <w:pStyle w:val="BookText"/>
        <w:rPr/>
      </w:pPr>
      <w:r>
        <w:rPr>
          <w:rFonts w:ascii="IRNazanin" w:hAnsi="IRNazanin" w:eastAsia="IRNazanin"/>
          <w:color w:val="111111"/>
          <w:sz w:val="28"/>
          <w:sz w:val="28"/>
          <w:szCs w:val="28"/>
          <w:rtl w:val="true"/>
          <w:lang w:bidi="fa-IR"/>
        </w:rPr>
        <w:t xml:space="preserve">إنَّ قيام السيرة العملية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من انعقاد الإطلاق لروايات التحليل، حيث جرت سيرتهم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قبض الأخماس ممَّا يصل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شيعتهم من شتّىٰ الأمصار، واستمرَّت هذه السيرة إلىٰ ما بعد الغيبة الصغرىٰ، وتلقّاها علماؤنا بالقبول جيلاً بعد جيل، وإلىٰ يومنا هذا، وقد ذكرنا جملة من الأخبار فيما تقدَّم، وإليك جملة أُخرىٰ، منها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روه الشيخ في التهذيب بإسناده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يجب عليَّ يا مولاي في غلَّة رحىٰ </w:t>
      </w:r>
      <w:bookmarkStart w:id="139" w:name="pg7142_66695"/>
    </w:p>
    <w:p>
      <w:pPr>
        <w:pStyle w:val="BookText"/>
        <w:rPr/>
      </w:pPr>
      <w:bookmarkEnd w:id="139"/>
      <w:r>
        <w:rPr>
          <w:rFonts w:ascii="Amiri" w:hAnsi="Amiri" w:eastAsia="Amiri" w:cs="Amiri"/>
          <w:color w:val="111111"/>
          <w:sz w:val="28"/>
          <w:sz w:val="28"/>
          <w:szCs w:val="28"/>
          <w:rtl w:val="true"/>
          <w:lang w:bidi="ar-SA"/>
        </w:rPr>
        <w:t>أرض في قطيعة لي، وفي ثمن سمك وبردي وقصب أبيعه من أجمة هذه القطيعة؟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فيه الخُمُس، إن شاء الله تعالىٰ</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هبة الله الراوندي في الخرائج والجرائح، عن أبي الحسن المسترقّ، عن الحسن بن عبد الله بن حمدان ناصر الدولة، عن عمِّه الحسين، في حديث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رآه وتحته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شهباء وهو متعمِّم بعمامة 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 يُرىٰ منه سواد عينيه، وفي رجله خفّان حمراوان،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كم ترزأ علىٰ الناحية؟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تمنع أصحابي عن خُمُس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مضيت إلىٰ الموضع الذي تريده تدخله عفواً وكسبت ما كسبت تحمل خُمُسه إلىٰ 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ثمّ ذكر في آخره أنَّ العَمريأتاه وأخذ خُمُس ماله بعدما أخبره بما كان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4020329_372815092"/>
      <w:bookmarkStart w:id="141" w:name="_Toc50"/>
      <w:bookmarkEnd w:id="140"/>
      <w:r>
        <w:rPr>
          <w:rtl w:val="true"/>
        </w:rPr>
        <w:t>الجواب الثالث</w:t>
      </w:r>
      <w:r>
        <w:rPr>
          <w:rtl w:val="true"/>
        </w:rPr>
        <w:t>:</w:t>
      </w:r>
      <w:bookmarkEnd w:id="14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سياق روايات التحليل يُفهَم منها أنَّها جاءت من أجل المنِّ والتفضُّل علىٰ الشيعة بسبب المعاناة من الاضطهاد من قِبَل السلطات آنذاك، فصدر التحليل لما ينتقل إليهم ممَّا في أيدي الظالمين أو ممَّن لا يدفع الخُمُس وليس مطلقاً؛ إذ لو كان التحليل بنحو مطلق للزم منه الإعانة والتشجيع والجرأة علىٰ ترك الفرائض، ومنها فريضة الخُمُس التي هي كسائر الفرائض الإسلاميَّة، وهذا ممَّا لا يحتمل صدوره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إعفاء الشيعة من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رائب المالية لا يختصُّ بالخُمُس، </w:t>
      </w:r>
      <w:bookmarkStart w:id="142" w:name="pg7142_66698"/>
    </w:p>
    <w:p>
      <w:pPr>
        <w:pStyle w:val="BookText"/>
        <w:rPr/>
      </w:pPr>
      <w:bookmarkEnd w:id="142"/>
      <w:r>
        <w:rPr>
          <w:rFonts w:ascii="IRNazanin" w:hAnsi="IRNazanin" w:eastAsia="IRNazanin"/>
          <w:color w:val="111111"/>
          <w:sz w:val="28"/>
          <w:sz w:val="28"/>
          <w:szCs w:val="28"/>
          <w:rtl w:val="true"/>
          <w:lang w:bidi="fa-IR"/>
        </w:rPr>
        <w:t xml:space="preserve">فالزكاة أيضاً ضريبة مالية، وحالها حال ضريبة الخُمُس، ولكن لم يصدر تحليلٌ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وفيه هدر للمال العامِّ ومصارفه المقرَّرة له؟ وعليه فهذا الإطلاق لا يمكن المساعدة عليه بحال، وعليه يتَّضح من ذلك أنَّ روايات التحليل مختصَّة بالمعوز أو بمن انتقل إليه المال ممَّن لا يعتقد بوجوبه</w:t>
      </w:r>
      <w:r>
        <w:rPr>
          <w:rFonts w:eastAsia="IRNazanin" w:cs="IRNazanin"/>
          <w:color w:val="111111"/>
          <w:sz w:val="28"/>
          <w:szCs w:val="28"/>
          <w:rtl w:val="true"/>
          <w:lang w:bidi="fa-IR"/>
        </w:rPr>
        <w:t>.</w:t>
      </w:r>
    </w:p>
    <w:p>
      <w:pPr>
        <w:pStyle w:val="Heading3"/>
        <w:numPr>
          <w:ilvl w:val="2"/>
          <w:numId w:val="1"/>
        </w:numPr>
        <w:rPr/>
      </w:pPr>
      <w:bookmarkStart w:id="143" w:name="__RefHeading___Toc4020331_372815092"/>
      <w:bookmarkStart w:id="144" w:name="_Toc51"/>
      <w:bookmarkEnd w:id="143"/>
      <w:r>
        <w:rPr>
          <w:rtl w:val="true"/>
        </w:rPr>
        <w:t>الجواب الرابع</w:t>
      </w:r>
      <w:r>
        <w:rPr>
          <w:rtl w:val="true"/>
        </w:rPr>
        <w:t>:</w:t>
      </w:r>
      <w:bookmarkEnd w:id="144"/>
    </w:p>
    <w:p>
      <w:pPr>
        <w:pStyle w:val="BookText"/>
        <w:rPr/>
      </w:pPr>
      <w:r>
        <w:rPr>
          <w:rFonts w:ascii="Amiri" w:hAnsi="Amiri" w:eastAsia="Amiri" w:cs="Amiri"/>
          <w:color w:val="111111"/>
          <w:sz w:val="28"/>
          <w:sz w:val="28"/>
          <w:szCs w:val="28"/>
          <w:rtl w:val="true"/>
          <w:lang w:bidi="ar-SA"/>
        </w:rPr>
        <w:t>إنَّ إطلاق تحليل الخُمُس لا يمكن في حدِّ نفسه؛ وذلك لأنَّه ينافي أسباب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الخُمُس التي من أهمّها سدّ حاجات الفقراء والمساكين والأيتام وأبناء السبيل من ذراري بني هاشم الذين مُنِعَت عنهم الزكاة، فليس من المعقول أن يُحرم هذا الصنف من المجتمع من جميع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رائبالمالية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020333_372815092"/>
      <w:bookmarkStart w:id="146" w:name="_Toc52"/>
      <w:bookmarkEnd w:id="145"/>
      <w:r>
        <w:rPr>
          <w:rtl w:val="true"/>
        </w:rPr>
        <w:t>الجواب الخامس</w:t>
      </w:r>
      <w:r>
        <w:rPr>
          <w:rtl w:val="true"/>
        </w:rPr>
        <w:t>:</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جملة من الروايات المعتبرة عدم وجوب الخُمُس حتَّىٰ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علىٰ شيعتنا أن يُنفِقوا ممَّا في أيديهم بالمعروف، فإذا قام قائمنا حَرُم علىٰ كلِّ ذي كنز كنزه حتَّىٰ يأتوه به يستعين به</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صحيحة مسمع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وُلّيت الغوص، فأصبت أربعمائة ألف درهم، وقد جئت بخُمُسها ثمانين ألف درهم، وكرهت أن أحبسها عنك وأعرض لها وهي حقُّك الذي جعل الله تعالىٰ لك في أموالنا،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لنا من الأرض وما أخرج الله منها إلَّا الخُمُس؟ يا أبا سيار، الأرض كلُّها </w:t>
      </w:r>
      <w:bookmarkStart w:id="147" w:name="pg7142_66700"/>
    </w:p>
    <w:p>
      <w:pPr>
        <w:pStyle w:val="BookText"/>
        <w:rPr/>
      </w:pPr>
      <w:bookmarkEnd w:id="147"/>
      <w:r>
        <w:rPr>
          <w:rFonts w:ascii="Amiri" w:hAnsi="Amiri" w:eastAsia="Amiri" w:cs="Amiri"/>
          <w:color w:val="111111"/>
          <w:sz w:val="28"/>
          <w:sz w:val="28"/>
          <w:szCs w:val="28"/>
          <w:rtl w:val="true"/>
          <w:lang w:bidi="ar-SA"/>
        </w:rPr>
        <w:t>لنا، فما أخرج الله منها من شيء فهو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إليك المال كلُّه؟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 قد طيَّبناه لك وحلَّلناك منه، فضمَّ إليك مالك، وكلُّ ما كان في أيدي شيعتنا من الأرض فهم فيه محلَّلون، ومحلَّل لهم ذلك إلىٰ أن يقوم قائمنا فيجبيهم طسق ما كان في أيدي سواهم، فإنَّ كسبهم من الأرض حرام عليهم حتَّىٰ يقوم قائمنا فيأخذ الأرض من أيديهم ويُخرجهم منها صغرة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هنا يظهر أنَّ روايات التحليل غير مطلقة وإنَّما خُصِّصت لأسباب خاصَّة ومعيَّنة كما هو واضح</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020335_372815092"/>
      <w:bookmarkStart w:id="149" w:name="_Toc53"/>
      <w:bookmarkEnd w:id="148"/>
      <w:r>
        <w:rPr>
          <w:rtl w:val="true"/>
        </w:rPr>
        <w:t>أسباب تحليل الخُمُس</w:t>
      </w:r>
      <w:r>
        <w:rPr>
          <w:rtl w:val="true"/>
        </w:rPr>
        <w:t>:</w:t>
      </w:r>
      <w:bookmarkEnd w:id="149"/>
    </w:p>
    <w:p>
      <w:pPr>
        <w:pStyle w:val="BookText"/>
        <w:rPr/>
      </w:pPr>
      <w:r>
        <w:rPr>
          <w:rFonts w:ascii="Amiri" w:hAnsi="Amiri" w:eastAsia="Amiri" w:cs="Amiri"/>
          <w:color w:val="111111"/>
          <w:sz w:val="28"/>
          <w:sz w:val="28"/>
          <w:szCs w:val="28"/>
          <w:rtl w:val="true"/>
          <w:lang w:bidi="ar-SA"/>
        </w:rPr>
        <w:t>قد اتَّضح ممَّا تقدَّم أنَّ مسألة تحليل الخُمُس ليست مطلقة، وإنَّما جاءت لأسباب معيَّنة وخاصَّة، ولأجل وضوحها عند القارئ نُجملها بما يأتي</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020337_372815092"/>
      <w:bookmarkStart w:id="151" w:name="_Toc54"/>
      <w:bookmarkEnd w:id="150"/>
      <w:r>
        <w:rPr>
          <w:rtl w:val="true"/>
        </w:rPr>
        <w:t>أوَّلاً</w:t>
      </w:r>
      <w:r>
        <w:rPr>
          <w:rtl w:val="true"/>
        </w:rPr>
        <w:t xml:space="preserve">: </w:t>
      </w:r>
      <w:r>
        <w:rPr>
          <w:rtl w:val="true"/>
        </w:rPr>
        <w:t>تحليل الخُمُس لأجل طيب الولادة والمناكح التي تقع بيد الشيعة</w:t>
      </w:r>
      <w:r>
        <w:rPr>
          <w:rtl w:val="true"/>
        </w:rPr>
        <w:t>:</w:t>
      </w:r>
      <w:bookmarkEnd w:id="1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هنالك قرائن عدَّة في روايات التحليل تدلُّ علىٰ أنَّ الخُمُس كان حقًّا ثابتاً في مرتبة سابقة إلَّا أنَّ التحليل جاء لأسباب خاصَّة غير مطلقة، منها 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حلَّلوا الخُمُس بسبب ما ابتلي به الشيعة والناس جميعاً من ظلم الخلفاء والحُكّام الجائرين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وإقصائهم عن منصبهم وغصب حقوقهم، حيث كان الحُكّام آنذاك يستولون علىٰ الغنائم والسبي ثمّ يبيعونها علىٰ الناس ولا يحلُّ لمشتريه، فأوجدَ ذلك مشكلة للشيعة في خصوص هذه الأموال التي كانت </w:t>
      </w:r>
    </w:p>
    <w:p>
      <w:pPr>
        <w:pStyle w:val="BookText"/>
        <w:rPr/>
      </w:pPr>
      <w:r>
        <w:rPr>
          <w:rFonts w:ascii="IRNazanin" w:hAnsi="IRNazanin" w:eastAsia="IRNazanin"/>
          <w:color w:val="111111"/>
          <w:sz w:val="28"/>
          <w:sz w:val="28"/>
          <w:szCs w:val="28"/>
          <w:rtl w:val="true"/>
          <w:lang w:bidi="fa-IR"/>
        </w:rPr>
        <w:t>منتش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في الأسواق من قبيل الغنائم والجواري، وقد حلَّل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يقع في أيدي الناس من تلك المناكح التي لم تُخمَّس، وقد اشتراها الشيعي تطهيراً لهم ولطيب مولدهم، وقد ذُكِرَ هذا المعنىٰ في روايات 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أحللنا له شيئاً أصابه أعمال الظالمين فهو له حلال، وما حرَّمناه من ذلك فهو حرام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سالم بن مكرم،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 لي الفروج، ففزع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يسألك أن يعترض الطريق إنَّما يسألك خادمة يشتريها أو امرأة يتزوَّجها، أو ميراثاً يصيبه، أو تجارةً أو شيئاً أُعطيه،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لشيعتنا حلال، الشاهد منهم والغائب، والميِّت منهم والحيّ، وما يُولَد منهم إلىٰ يوم القيامة فهو لهم حلال، أمَا والله لا يحلُّ إلَّا لمن أحللنا له، ولا والله ما أعطينا أحداً ذمَّة، وما عندنا لأحد عهد، ولا لأحد عندنا ميثاق</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حلَّلهم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ليطيب مولدهم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العزيز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طلبنا الإذن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وأرسلنا إليه، فأرسل إلينا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اثنين 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أنا </w:t>
      </w:r>
      <w:bookmarkStart w:id="152" w:name="pg7142_66704"/>
    </w:p>
    <w:p>
      <w:pPr>
        <w:pStyle w:val="BookText"/>
        <w:rPr/>
      </w:pPr>
      <w:bookmarkEnd w:id="152"/>
      <w:r>
        <w:rPr>
          <w:rFonts w:ascii="IRNazanin" w:hAnsi="IRNazanin" w:eastAsia="IRNazanin"/>
          <w:color w:val="111111"/>
          <w:sz w:val="28"/>
          <w:sz w:val="28"/>
          <w:szCs w:val="28"/>
          <w:rtl w:val="true"/>
          <w:lang w:bidi="fa-IR"/>
        </w:rPr>
        <w:t>ورجل معي، فقلت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تحلَّ بالمسألة،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أبي كان ممَّن سباه بنو أُميَّة، وقد علمت أن بني أُميَّة لم يكن لهم أن يُحرِّموا ولا يُحلِّلوا، ولم يكن لهم ممَّا في أيديهم قليل ولا كثير، وإنَّما ذلك لكم، فإذا ذكرت الذي كنت فيه دخلني من ذلك ما يكاد يُفسِد عليَّ عقلي ما أنا فيه،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في حلٍّ ممَّا كان من ذلك، وكلُّ من كان في مثل حالك من ورائي فهو في حلٍّ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وخرجنا، فسبقنا معتب إلىٰ النفر القعود الذين ينتظرون إذن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ظفر عبد العزيز بن نافع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ما ظفر بمثله أحد قطُّ،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ففسَّ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لهم، فقام اثنان فدخلا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أبي كان من سبايا بني أُميَّة وقد علمت أنَّ بني أُميَّة لم يكن لهم من ذلك قليل ولا كثير، وأنا أُحِبُّ أن تجعلني من ذلك في حلٍّ، فقا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إلينا؟ ما ذلك إلينا، ما لنا أن نحلَّ ولا أن نُحرِّم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الرجلان، وغضب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يدخل عليه أحد في تلك الليلة إلَّا بدأه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تعجبون من فلان يجيئني فيستحلّني ممَّا صنعت بنو أُميَّة، كأنَّه يرىٰ أنَّ ذلك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ينتفع أحد في تلك الليلة بقليل ولا كثير إلَّا الأوَّلَين، فإنَّهما غنيا بحاجتهما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4020339_372815092"/>
      <w:bookmarkStart w:id="154" w:name="_Toc55"/>
      <w:bookmarkEnd w:id="153"/>
      <w:r>
        <w:rPr>
          <w:rtl w:val="true"/>
        </w:rPr>
        <w:t>ثانياً</w:t>
      </w:r>
      <w:r>
        <w:rPr>
          <w:rtl w:val="true"/>
        </w:rPr>
        <w:t xml:space="preserve">: </w:t>
      </w:r>
      <w:r>
        <w:rPr>
          <w:rtl w:val="true"/>
        </w:rPr>
        <w:t>تحليل الأنفال وما يملكه الولاة والمقاتلون بغير إذن</w:t>
      </w:r>
      <w:r>
        <w:rPr>
          <w:rtl w:val="true"/>
        </w:rPr>
        <w:t>:</w:t>
      </w:r>
      <w:bookmarkEnd w:id="15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روايات تشير إلىٰ أنَّ ما يقع بيد الشيعة من الأنفال يجب خُمُسه، إلَّا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حلَّلوا ذلك للشيعة الذين قد حصلوا علىٰ أموال من الأنفال التي اغتصبها حُكّام بني أُميَّة والحُكّام الظالمون، </w:t>
      </w:r>
    </w:p>
    <w:p>
      <w:pPr>
        <w:pStyle w:val="BookText"/>
        <w:rPr/>
      </w:pPr>
      <w:r>
        <w:rPr>
          <w:rFonts w:ascii="Amiri" w:hAnsi="Amiri" w:eastAsia="Amiri" w:cs="Amiri"/>
          <w:color w:val="111111"/>
          <w:sz w:val="28"/>
          <w:sz w:val="28"/>
          <w:szCs w:val="28"/>
          <w:rtl w:val="true"/>
          <w:lang w:bidi="ar-SA"/>
        </w:rPr>
        <w:t xml:space="preserve">ووزَّعوها علىٰ عُمّالهم، ولهذا أباحها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الشيعة، عن الحَكَم بن علباء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البحرين فأصبت بها مالاً كثيراً، واشتريت متاعاً، واشتريت رقيقاً، واشتريت أُمَّهات أولاد ووُلِدَ لي وأنفقت، وهذا خمس ذلك المال، وهؤلاء أُمَّهات أولادي ونسائي قد أتيتك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كلُّه لنا، وقد قبلت ما جئت به، وقد حللتك من أُمَّهات أولادك ونسائك، وما أنفقت، وضمنت لك عليَّ وعلىٰ أبيالجنَّة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روىٰ الكشّ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محمّد بن فارس، عن يعقوب بن يزيد بن أبي عمير، عن شهاب بن عبد ربِّه،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علباء الأسدي ولّي البحرين، فأفاد سبعمائة ألف دينار ودواباً ورقيقاً،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ذلك كلَّه حتَّىٰ وضعه بين 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وُلّيت البحرين لبني أُميَّة، وأفدت كذا وكذا، وقد حملته كلَّه إليك، وعلمت أنَّ الله عزوجل لم يجعل لهم من ذلك شيئاً وأنَّه كلُّه لك، فقال له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بين يديه،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قبلنا منك ووهبناه لك وأحللناك منه وضمنّا لك علىٰ الله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بالي، وذكر مثل حديث شعيب العقرقوفي</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55" w:name="pg7142_66708"/>
    </w:p>
    <w:p>
      <w:pPr>
        <w:pStyle w:val="Heading3"/>
        <w:numPr>
          <w:ilvl w:val="2"/>
          <w:numId w:val="1"/>
        </w:numPr>
        <w:rPr/>
      </w:pPr>
      <w:bookmarkStart w:id="156" w:name="__RefHeading___Toc4020341_372815092"/>
      <w:bookmarkStart w:id="157" w:name="_Toc56"/>
      <w:bookmarkEnd w:id="155"/>
      <w:bookmarkEnd w:id="156"/>
      <w:r>
        <w:rPr>
          <w:rtl w:val="true"/>
        </w:rPr>
        <w:t>ثالثاً</w:t>
      </w:r>
      <w:r>
        <w:rPr>
          <w:rtl w:val="true"/>
        </w:rPr>
        <w:t xml:space="preserve">: </w:t>
      </w:r>
      <w:r>
        <w:rPr>
          <w:rtl w:val="true"/>
        </w:rPr>
        <w:t>تحليل الخُمُس لمن وقع بضائقة وعوز مالي من الشيعة</w:t>
      </w:r>
      <w:r>
        <w:rPr>
          <w:rtl w:val="true"/>
        </w:rPr>
        <w:t>:</w:t>
      </w:r>
      <w:bookmarkEnd w:id="157"/>
    </w:p>
    <w:p>
      <w:pPr>
        <w:pStyle w:val="BookText"/>
        <w:rPr/>
      </w:pPr>
      <w:r>
        <w:rPr>
          <w:rFonts w:ascii="IRNazanin" w:hAnsi="IRNazanin" w:eastAsia="IRNazanin"/>
          <w:color w:val="111111"/>
          <w:sz w:val="28"/>
          <w:sz w:val="28"/>
          <w:szCs w:val="28"/>
          <w:rtl w:val="true"/>
          <w:lang w:bidi="fa-IR"/>
        </w:rPr>
        <w:t xml:space="preserve">وأشارت بعض الروايات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الأسباب في تحليل الخُمُس الضائقة المالية والعوز عند شيعتهم، فقد روي في صحيحة ابن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يسأله أن يجعله في حلٍّ من مأكله 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منالخُمُس، فكتب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أعوزه شيء من حقّي فهو في حلٍّ</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4020343_372815092"/>
      <w:bookmarkStart w:id="159" w:name="_Toc57"/>
      <w:bookmarkEnd w:id="158"/>
      <w:r>
        <w:rPr>
          <w:rtl w:val="true"/>
        </w:rPr>
        <w:t>رابعاً</w:t>
      </w:r>
      <w:r>
        <w:rPr>
          <w:rtl w:val="true"/>
        </w:rPr>
        <w:t xml:space="preserve">: </w:t>
      </w:r>
      <w:r>
        <w:rPr>
          <w:rtl w:val="true"/>
        </w:rPr>
        <w:t>ما ينتقل إلىٰ الشيعة من مال غير مخمَّس</w:t>
      </w:r>
      <w:r>
        <w:rPr>
          <w:rtl w:val="true"/>
        </w:rPr>
        <w:t>:</w:t>
      </w:r>
      <w:bookmarkEnd w:id="159"/>
    </w:p>
    <w:p>
      <w:pPr>
        <w:pStyle w:val="BookText"/>
        <w:rPr/>
      </w:pPr>
      <w:r>
        <w:rPr>
          <w:rFonts w:ascii="Amiri" w:hAnsi="Amiri" w:eastAsia="Amiri" w:cs="Amiri"/>
          <w:color w:val="111111"/>
          <w:sz w:val="28"/>
          <w:sz w:val="28"/>
          <w:szCs w:val="28"/>
          <w:rtl w:val="true"/>
          <w:lang w:bidi="ar-SA"/>
        </w:rPr>
        <w:t>ووردت روايات أُخرىٰ قد بيَّنت أنَّ أحد الأسباب لتحليل الخمس أيضاً هو ما ينتقل إلىٰ الشيعي من أموال ممَّن لم يدفع الخُمُس كالكافر والمخالف والشيعي العاصي الذي لم يُخمِّس، كما روي ذلك في صحيحة الحارث بن المغيرة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وتجارات ونحو ذلك، وقد علمت أنَّ لك فيها حقًّا،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أحللنا إذاً لشيعتنا إلَّا لتطيب ولادتهم، وكلُّ من والىٰ آبائي فهو في حلٍّ ممَّا في أيديهم في حقِّنا، فليُبلِّغ الشاهد الغائب</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اتَّضح ممَّا تقدَّم أنَّ تحليل الخُمُس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مطلقاً، وإنَّما لأسباب خاصَّة، منها حقُّ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في أيدي الظالمين والغاصبين من الحُكّام وقد انتقلت إلىٰ الشيعي من قبيل حقِّ الأنفال والأراضي والسبي وغيرها، ومنها ما انتقل من الأموال غير المخمَّسة، ومنها من أصابه العوز والفقر من الشيعة، وهذا يختلف عن الواجب المالي الذي يحصل عليه الشيعي من الاسترباح</w:t>
      </w:r>
      <w:r>
        <w:rPr>
          <w:rFonts w:eastAsia="IRNazanin" w:cs="IRNazanin"/>
          <w:color w:val="111111"/>
          <w:sz w:val="28"/>
          <w:szCs w:val="28"/>
          <w:rtl w:val="true"/>
          <w:lang w:bidi="fa-IR"/>
        </w:rPr>
        <w:t xml:space="preserve">. </w:t>
      </w:r>
      <w:bookmarkStart w:id="160" w:name="pg7142_66710"/>
    </w:p>
    <w:p>
      <w:pPr>
        <w:pStyle w:val="Heading3"/>
        <w:numPr>
          <w:ilvl w:val="2"/>
          <w:numId w:val="1"/>
        </w:numPr>
        <w:rPr/>
      </w:pPr>
      <w:bookmarkStart w:id="161" w:name="__RefHeading___Toc4020345_372815092"/>
      <w:bookmarkStart w:id="162" w:name="_Toc58"/>
      <w:bookmarkEnd w:id="160"/>
      <w:bookmarkEnd w:id="161"/>
      <w:r>
        <w:rPr>
          <w:rtl w:val="true"/>
        </w:rPr>
        <w:t xml:space="preserve">التحليل الصادر عن الإمام المهدي </w:t>
      </w:r>
      <w:r>
        <w:rPr>
          <w:rtl w:val="true"/>
        </w:rPr>
        <w:t>(</w:t>
      </w:r>
      <w:r>
        <w:rPr>
          <w:rtl w:val="true"/>
        </w:rPr>
        <w:t>عجل الله تعالی فرجه الشریف</w:t>
      </w:r>
      <w:r>
        <w:rPr>
          <w:rtl w:val="true"/>
        </w:rPr>
        <w:t>):</w:t>
      </w:r>
      <w:bookmarkEnd w:id="162"/>
    </w:p>
    <w:p>
      <w:pPr>
        <w:pStyle w:val="BookText"/>
        <w:rPr/>
      </w:pPr>
      <w:r>
        <w:rPr>
          <w:rFonts w:ascii="IRNazanin" w:hAnsi="IRNazanin" w:eastAsia="IRNazanin"/>
          <w:color w:val="111111"/>
          <w:sz w:val="28"/>
          <w:sz w:val="28"/>
          <w:szCs w:val="28"/>
          <w:rtl w:val="true"/>
          <w:lang w:bidi="fa-IR"/>
        </w:rPr>
        <w:t xml:space="preserve">يتمسَّك البعض في تحليل الخُمُس مطلقاً بما ورد في التوقيع الصادر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لعثمان بن سعيد العَمري من إباحة الخُمُس علىٰ الشيعة إلىٰ وقت ظهور أمره، حيث وردفيه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المتلبِّسون بأموالنا، فمن استحلَّ منها شيئاً فأكله فإنَّما يأكل النيران، وأمَّا الخُمُس فقد أُبيح لشيعتنا وجُعلوا منه في حلٍّ إلىٰ وقت ظهور أمرنا؛ لتطيب ولادتهم ولا تخبث</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هذا النصُّ الصادر من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عدم إعطاء الخُمُس في زمن الغيبة؟ وخصوصاً أنَّ القاعدة تقتض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العمل بما تأخَّر من الأخبار</w:t>
      </w:r>
      <w:r>
        <w:rPr>
          <w:rFonts w:eastAsia="IRNazanin" w:cs="IRNazanin"/>
          <w:color w:val="111111"/>
          <w:sz w:val="28"/>
          <w:szCs w:val="28"/>
          <w:rtl w:val="true"/>
          <w:lang w:bidi="fa-IR"/>
        </w:rPr>
        <w:t>.</w:t>
      </w:r>
    </w:p>
    <w:p>
      <w:pPr>
        <w:pStyle w:val="Heading3"/>
        <w:numPr>
          <w:ilvl w:val="2"/>
          <w:numId w:val="1"/>
        </w:numPr>
        <w:rPr/>
      </w:pPr>
      <w:bookmarkStart w:id="163" w:name="__RefHeading___Toc4020347_372815092"/>
      <w:bookmarkStart w:id="164" w:name="_Toc59"/>
      <w:bookmarkEnd w:id="163"/>
      <w:r>
        <w:rPr>
          <w:rtl w:val="true"/>
        </w:rPr>
        <w:t>الجواب</w:t>
      </w:r>
      <w:r>
        <w:rPr>
          <w:rtl w:val="true"/>
        </w:rPr>
        <w:t>:</w:t>
      </w:r>
      <w:bookmarkEnd w:id="164"/>
    </w:p>
    <w:p>
      <w:pPr>
        <w:pStyle w:val="BookText"/>
        <w:rPr/>
      </w:pPr>
      <w:r>
        <w:rPr>
          <w:rFonts w:ascii="Amiri" w:hAnsi="Amiri" w:eastAsia="Amiri" w:cs="Amiri"/>
          <w:color w:val="111111"/>
          <w:sz w:val="28"/>
          <w:sz w:val="28"/>
          <w:szCs w:val="28"/>
          <w:rtl w:val="true"/>
          <w:lang w:bidi="ar-SA"/>
        </w:rPr>
        <w:t>إنَّ هذا النصَّ الذي استُدِلَّ به علىٰ إباحة الخُمُس مطلقاً لا يمكن التمسُّك به؛ لأُمور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التوقيع ضعيف سنداً، ففيه محمّد بن محمّد بن عصام، وهو من مشايخ الصدوق، ولم يرد فيه توثيق، وكذا إسحاق بن يعقوب، فإنَّه مجهول ولم يُوثَّق</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عن جهة السند، فإنَّها معارضة للعموم القرآني والسُّنَّة القطعية الدالَّة علىٰ وجوب الخُمُس في كلِّ زمانٍ، وذلك كصحيحة علي بن مهزيار،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w:t>
      </w:r>
    </w:p>
    <w:p>
      <w:pPr>
        <w:pStyle w:val="BookText"/>
        <w:rPr/>
      </w:pPr>
      <w:r>
        <w:rPr>
          <w:rFonts w:ascii="Amiri" w:hAnsi="Amiri" w:eastAsia="Amiri" w:cs="Amiri"/>
          <w:color w:val="111111"/>
          <w:sz w:val="28"/>
          <w:sz w:val="28"/>
          <w:szCs w:val="28"/>
          <w:rtl w:val="true"/>
          <w:lang w:bidi="ar-SA"/>
        </w:rPr>
        <w:t xml:space="preserve">غَنِمْتُمْ مِنْ شَيْءٍ فَأَنَّ لِلَّهِ خُمُسَهُ وَلِلرَّسُولِ وَلِذِي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عنده شيء من ذلك فليوصل إلىٰ وكيلي، ومن كان نائياً بعيد الشقَّة فليتعمد لإيصاله ولو بعد حين</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الملاحظ في هذا التوقيع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بين الأمر بدفع الخُمُس في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المتلبِّسون بأموالنا فمن استحلَّ منها شيئاً فأكله فإنَّما يأكل النيران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وبين إباحته في ذيلها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الخُمُس فقد أُبيح لشيعتنا وجُعلوا منه في حلٍّ إلىٰ وقت ظهور أمرنا؛ لتطيب ولادتهم ولا تخبث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وهذا يدلُّ وبكُلِّ وضوح علىٰ أنَّ المراد من التحليل ليس مطلقاً، بل هو عين ما حلَّله الأئمَّة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اختصاصه بمن انتقل إليه المال ممَّن لا يعتقد بالخُمُس أو بالعاصي الذي لا يُخمِّس أو المعوز وغيرها من الاستثناءات، ومن هنا فهذا التوقيع صالح لأن يكون شاهد جمع علىٰ التفصيل المذكور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التوقيع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لتطيب ولادتهم ولا تخبث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العبارة بقرينة الروايات المعتبرة المتقدِّمة يدلُّ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بصدد بيان صنف خاصٍّ، وهو الخُمُس المتعلّق في باب المناكح لا مطلقاً، ولو لا كان كذلك لما كان هنالك داع للتعليل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7142_66716"/>
      <w:bookmarkStart w:id="166" w:name="pg7142_66716"/>
      <w:bookmarkEnd w:id="166"/>
    </w:p>
    <w:p>
      <w:pPr>
        <w:pStyle w:val="Heading2"/>
        <w:numPr>
          <w:ilvl w:val="1"/>
          <w:numId w:val="1"/>
        </w:numPr>
        <w:rPr/>
      </w:pPr>
      <w:bookmarkStart w:id="167" w:name="pg7142_66716"/>
      <w:bookmarkStart w:id="168" w:name="__RefHeading___Toc4020349_372815092"/>
      <w:bookmarkStart w:id="169" w:name="_Toc60"/>
      <w:bookmarkEnd w:id="167"/>
      <w:bookmarkEnd w:id="168"/>
      <w:r>
        <w:rPr>
          <w:rtl w:val="true"/>
        </w:rPr>
        <w:t>الشبهة السادسة</w:t>
      </w:r>
      <w:r>
        <w:rPr>
          <w:rtl w:val="true"/>
        </w:rPr>
        <w:t xml:space="preserve">: </w:t>
      </w:r>
      <w:r>
        <w:rPr>
          <w:rtl w:val="true"/>
        </w:rPr>
        <w:t>وجوب الخُمُس من الأحكام الولائية</w:t>
      </w:r>
      <w:bookmarkEnd w:id="1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4020351_372815092"/>
      <w:bookmarkStart w:id="171" w:name="_Toc61"/>
      <w:bookmarkEnd w:id="170"/>
      <w:r>
        <w:rPr>
          <w:rtl w:val="true"/>
        </w:rPr>
        <w:t>اشارة</w:t>
      </w:r>
      <w:bookmarkEnd w:id="17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7142_66720"/>
      <w:bookmarkStart w:id="173" w:name="pg7142_66720"/>
      <w:bookmarkEnd w:id="173"/>
    </w:p>
    <w:p>
      <w:pPr>
        <w:pStyle w:val="Heading3"/>
        <w:numPr>
          <w:ilvl w:val="2"/>
          <w:numId w:val="1"/>
        </w:numPr>
        <w:rPr/>
      </w:pPr>
      <w:bookmarkStart w:id="174" w:name="pg7142_66720"/>
      <w:bookmarkStart w:id="175" w:name="__RefHeading___Toc4020353_372815092"/>
      <w:bookmarkStart w:id="176" w:name="_Toc62"/>
      <w:bookmarkEnd w:id="174"/>
      <w:bookmarkEnd w:id="175"/>
      <w:r>
        <w:rPr>
          <w:rtl w:val="true"/>
        </w:rPr>
        <w:t>مفاد الشبهة</w:t>
      </w:r>
      <w:bookmarkEnd w:id="176"/>
    </w:p>
    <w:p>
      <w:pPr>
        <w:pStyle w:val="BookText"/>
        <w:rPr/>
      </w:pPr>
      <w:r>
        <w:rPr>
          <w:rFonts w:ascii="IRNazanin" w:hAnsi="IRNazanin" w:eastAsia="IRNazanin"/>
          <w:color w:val="111111"/>
          <w:sz w:val="28"/>
          <w:sz w:val="28"/>
          <w:szCs w:val="28"/>
          <w:rtl w:val="true"/>
          <w:lang w:bidi="fa-IR"/>
        </w:rPr>
        <w:t xml:space="preserve">إنَّ وجوب الخُمُس هو من الأحكام الولائية الحكومتية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يمتدُّ في الزمان فلا يشمل زماننا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صادراً علىٰ الأشياء بعناوينها الأوَّلية مع غضِّ النظر عن طروء أيِّ عنوان آخر عليها، أي هو كلُّ حكم ثابت إلىٰ الموضوع بما هو هو من دون أيِّ عنوان لاحق وطارئ، وذلك من قبيل وجوب الصلاة، فإنَّ الحكم منصبٌّ علىٰ ماهيَّة الصلاة بما هي هي من دون ملاحظة أيِّ شيء آخر أو عنوان طارئ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عليه أيضاً الحكم الاضطراري،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يُلحَظ فيه العناوين الطارئة بحيث يكون وجوده مترتِّباً علىٰ وجودها،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الثانوي هو تغيُّر الحكم الأوَّلي إلىٰ حكم آخر طارئ نتيجة بعض الظروف، وذلك كالانتقال من الطهارة المائية إلىٰ الطهارة الترابية في موارد الحرج والاضطرار فإنَّ الحرج يمنع الحكم الأوَّلي وينهض بالحكم الثانوي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حكم صادر من الحاكم بما هو وليٌّ وحاكم وسلطان لا بما هو مفتي، سواء كان نبيًّا أو إماماً أو فقيهاً، بناءً علىٰ أنَّ الأحكام الولائية تعمُّ حتَّىٰ الفقيه الجامع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الولائي ما كان صدوره يُؤخَذ فيه جهة الحاكمية حسب ما يُشخِّصه ذلك الحاكم من المصالح، فيكون حكمه نافذاً حينئذٍ، كالأحكام الصادرة من القوَّة التنفيذية، ونذكر بعض الأمثلة علىٰ الأحكام الولائية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علىٰ الحقوق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وأنَّه يجوز للحاكم نقل الخُمُس المتعلِّق بالمال من العين إلىٰ ذمَّة المكلَّف،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العمل مع الحاكم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بعضهم إلىٰ امتداد الحكم الولائي لزماننا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الفتوائي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الإثباتي الكلّي الفرعي الذي يكون مستخرَجاً من الأدلَّة الأربعة المعدَّة لاستنباط الحكم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كالكتاب العزيز والسُّنَّة المعصومية، مثل وجوب التقصير علىٰ المسافر، فإنَّه حكم شرعي فتوائي مستنبط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مِنَ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حكم ثبت للموضوع بقيد الجهل،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أُخِذَ في موضوعه الشكُّ، سواء كان الشكُّ تمام الموضوع أو جزؤه، وقد يكون الشكُّ حيثية تقييدية وقد يكون حيثية تعليلية، فالأوَّل كالأُصول العملية، والثاني كالأمارات الظنّية الكاشفة، وخصَّصه البعض بالأصل العملي، وأُخرىٰ أُطلق علىٰ الأعمِّ من الأُصول العملية والأمارات، وثالثة يُطلَق علىٰ ما يشمل القطع إضافةً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التزاحمي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تنافي الحكمين في مقام الامتثال،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الأحكام التكليفية الإلزامية في مقام الامتثال، علىٰ أن يكون منشأ التنافي هو عدم اتِّساع قدرة المكلَّف علىٰ الجمع بينهما، كمن وجب عليه الحجُّ والجهاد معاً، فيُقدِّم حينئذٍ الأهمَّ علىٰ المهمِّ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لاتكون ثابتة</w:t>
      </w:r>
      <w:bookmarkStart w:id="177" w:name="pg7142_66722"/>
    </w:p>
    <w:p>
      <w:pPr>
        <w:pStyle w:val="BookText"/>
        <w:rPr/>
      </w:pPr>
      <w:bookmarkEnd w:id="177"/>
      <w:r>
        <w:rPr>
          <w:rFonts w:ascii="Amiri" w:hAnsi="Amiri" w:eastAsia="Amiri" w:cs="Amiri"/>
          <w:color w:val="111111"/>
          <w:sz w:val="28"/>
          <w:sz w:val="28"/>
          <w:szCs w:val="28"/>
          <w:rtl w:val="true"/>
          <w:lang w:bidi="ar-SA"/>
        </w:rPr>
        <w:t>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المقدَّسة، فهي ليست من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فإنَّ صدور الأمر بوجوب الخُمُس صادر بعنوان الإمامة والقيادة لا التبليغ والتش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فهو أمر لتدبير حياة الأُمَّة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الخُمُس واجباً في زمانٍ خاصٍّ؛ لأنَّه ليس من الأحكام الثابتة في الشريعة، وإلَّا لو كان كذلك لما حلَّله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020355_372815092"/>
      <w:bookmarkStart w:id="179" w:name="_Toc63"/>
      <w:bookmarkEnd w:id="178"/>
      <w:r>
        <w:rPr>
          <w:rtl w:val="true"/>
        </w:rPr>
        <w:t>ردُّ الشبهة</w:t>
      </w:r>
      <w:bookmarkEnd w:id="179"/>
    </w:p>
    <w:p>
      <w:pPr>
        <w:pStyle w:val="BookText"/>
        <w:rPr/>
      </w:pPr>
      <w:r>
        <w:rPr>
          <w:rFonts w:ascii="Amiri" w:hAnsi="Amiri" w:eastAsia="Amiri" w:cs="Amiri"/>
          <w:color w:val="111111"/>
          <w:sz w:val="28"/>
          <w:sz w:val="28"/>
          <w:szCs w:val="28"/>
          <w:rtl w:val="true"/>
          <w:lang w:bidi="ar-SA"/>
        </w:rPr>
        <w:t>إنَّ حكم وجوب الخُمُس في أرباح المكاسب حكم شرعي أوَّلي ثابت بدليل القرآن الكريم، والسُّنَّة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والإجماع، والسيرة العملية القطعية كما تقدَّم ذلك، وقد ذُكِرَ علىٰ سبيل القضيَّة الحقيقية، وإنَّ آية الخُمُس تُثبِت حكمه بنحو عامٍّ في كلِّ زيادة حتَّىٰ في أرباح المكاسب بنفس مستوىٰ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الصلاة والصوم والحجِّ، وإنَّ نفس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 الخُمُس ليس لأجل حفظ النظام والظروف الزمانية الخاصَّة كما هو الغالب بناءً علىٰ اختصاصه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الحكم الولائي، وإنَّما لمصالح ثابتة في متعلّقات الأحكام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إلىٰ ذلك أنَّ الحكم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يمرُّ بمرحلتين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الجعل، </w:t>
      </w:r>
    </w:p>
    <w:p>
      <w:pPr>
        <w:pStyle w:val="BookText"/>
        <w:rPr/>
      </w:pPr>
      <w:r>
        <w:rPr>
          <w:rFonts w:ascii="Amiri" w:hAnsi="Amiri" w:eastAsia="Amiri" w:cs="Amiri"/>
          <w:color w:val="111111"/>
          <w:sz w:val="28"/>
          <w:sz w:val="28"/>
          <w:szCs w:val="28"/>
          <w:rtl w:val="true"/>
          <w:lang w:bidi="ar-SA"/>
        </w:rPr>
        <w:t>ومرحلة الفعلية، كوجوب الحجِّ فإنَّه حكم شرعي أوَّلي لكنَّه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بالاستطاعة، فعند عدم تحقُّق الاستطاعة لا يجب الحجُّ، وعدم وجوبه لا يدلُّ علىٰ أنَّه حكم ولائي، وعدم فعليته لا يدلُّ علىٰ ولائيته كما توهَّم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قُدِّر أنَّ في الصدر الأوَّل من الإسلام لم تكن هنالك استطاعة وكفاية مالية، فعدم فعلية الحكم وتجميده لا يدلُّ علىٰ ولائيته، وليكن الخُمُس من هذا القبيل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وهنالك شواهد عدَّة علىٰ ذلك،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الجهاد الابتدائي حيث ذهب أكثر الأصحاب إلىٰ عدم وجوبه إلَّا بحضور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اتِّفاقهم علىٰ كونه حكماً شرعياً أوَّلياً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قول بعض الفقهاء –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روط بحضور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وفي زمن الغيبة تكون مستحبَّة، وهو حكم شرعي أوَّلي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الحدود والديات، فإنَّها أحكام شرعية أوَّلية علىٰ رأي مشهور الفقهاء مشروطة بحضور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روايات التحليل التي نصَّت علىٰ أنَّ زمن الإسقاط هو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الغيبة</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تدلُّ علىٰ أنَّ الإسقاط حكم ولائي خاضع لظروف معيَّنة لا 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أثر شرعي من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زمان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وجوب الخُمُس في أرباحالمكاسب دليل علىٰ أنَّه حكم ولائي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آية الخُمُس الشاملة لأرباح المكاسب، وإطلاق جملة </w:t>
      </w:r>
    </w:p>
    <w:p>
      <w:pPr>
        <w:pStyle w:val="BookText"/>
        <w:rPr/>
      </w:pPr>
      <w:r>
        <w:rPr>
          <w:rFonts w:ascii="IRNazanin" w:hAnsi="IRNazanin" w:eastAsia="IRNazanin"/>
          <w:color w:val="111111"/>
          <w:sz w:val="28"/>
          <w:sz w:val="28"/>
          <w:szCs w:val="28"/>
          <w:rtl w:val="true"/>
          <w:lang w:bidi="fa-IR"/>
        </w:rPr>
        <w:t>كثيرة من الروايات الدالَّة علىٰ وجوب الخُمُس في مطلق الفائدة، وخصوصاً بعد أن عرفنا أنَّ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روايات التحليل وروايات الوجوب التي جاءت بعدها يدلُّ علىٰ الولائية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روايات التحليل ليست مطلقة في كلِّ زمانٍ، وإنَّما هي ناظرة إلىٰ الشيعي الذي انتقل إليه المال من الكافر أو المخالف أو العاصي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رواية عليِّ بن مهزيار وغيرها من الروايات فيها شواهد تدلُّ علىٰ الولائية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الشاهد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رواية عليِّ بن مهزيار التي تنصُّ علىٰ أنَّ هنالك بعض الموارد التي يثبت فيها خُمُس أرباح المكاسب،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أسقطها، وإليك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أُوجب ذلك عليهم في متاع ولا آنية ولا دوابٍّ ولا خدم ولا ربح ربحه في تجارة ولا ضيعة إلَّا ضيعة سأُفسِّر لك أمرها، تخفيفاً منّي عن مواليَّ، ومنًّا منّي عليهم لما يغتال السلطان من أموالهم ولما ينوبهم في ذاتهم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إبراهيم بن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أقرأني عليٌّ كتاب أبيك فيما أوجبه علىٰ أصحاب الضياع أنَّه أوجب عليهم نصف السُّدُس بعد المؤونة، وأنَّه ليس علىٰ من لم يقم ضيعته بمؤونته نصف السُّدُس ولا غير ذلك، فاختلف من قِبَلنا في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الضياع الخُمُس بعد المؤونة مؤونة الضيعة وخراجها لا مؤونة الرجل وعياله، فكتب وقرأه عليُّ بن مهزيار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الخُمُس بعد مؤونته ومؤونة عياله وبعد خراج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ضريبة الخُمُس بنصف السُّدُس مع أنَّ الواجب هو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بن شجاع النيسابوري أنَّه سأل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أصاب من ضيعته من الحنطة مائة كُرٍّ ما يُزكّىٰ، فأخذ منه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أكرار، وذهب منه بسبب عمارة الضيعة ثلاثون كُرًّا وبقي في يده ستّون كُرًّا، ما الذي يجب لك من ذلك؟ وهل يجب لأصحابه من ذلك عليه شيء؟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منه الخُمُس ممَّا يفضل من مؤونته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سلَّمنا بها فإنَّ الولائية من بابالتطبيق</w:t>
      </w:r>
    </w:p>
    <w:p>
      <w:pPr>
        <w:pStyle w:val="BookText"/>
        <w:rPr/>
      </w:pPr>
      <w:r>
        <w:rPr>
          <w:rFonts w:ascii="Amiri" w:hAnsi="Amiri" w:eastAsia="Amiri" w:cs="Amiri"/>
          <w:color w:val="111111"/>
          <w:sz w:val="28"/>
          <w:sz w:val="28"/>
          <w:szCs w:val="28"/>
          <w:rtl w:val="true"/>
          <w:lang w:bidi="ar-SA"/>
        </w:rPr>
        <w:t>لا في أصل التشريع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وكيفما كان فالأدلَّة تدلُّ علىٰ أنَّ وجوب الخُمُس حكم أوَّلي لا ولائي، وما ذُكِرَ من أدلَّة ضعيفة، ومع التنزُّل وتسليم ذلك فهو حكم ولائي ثابت في عامود الزمان والمكان ولا موجب للالتزام باختصاصه، ومع التنزُّل فقد فُوِّض هذا الأمر إلىٰ الفقهاء ووزانه وزان تنفيذ القضاء، وأخيراً حتَّىٰ لو لم يكن ثابتاً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للفقيه أن يُثبِته لنفسه إذا توقَّف حفاظ الدين عليه كما يثبت له في بعض المستجدّات الحياتية الضرورية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7142_66731"/>
      <w:bookmarkStart w:id="181" w:name="pg7142_66731"/>
      <w:bookmarkEnd w:id="181"/>
    </w:p>
    <w:p>
      <w:pPr>
        <w:pStyle w:val="Heading2"/>
        <w:numPr>
          <w:ilvl w:val="1"/>
          <w:numId w:val="1"/>
        </w:numPr>
        <w:rPr/>
      </w:pPr>
      <w:bookmarkStart w:id="182" w:name="pg7142_66731"/>
      <w:bookmarkStart w:id="183" w:name="__RefHeading___Toc4020357_372815092"/>
      <w:bookmarkStart w:id="184" w:name="_Toc64"/>
      <w:bookmarkEnd w:id="182"/>
      <w:bookmarkEnd w:id="183"/>
      <w:r>
        <w:rPr>
          <w:rtl w:val="true"/>
        </w:rPr>
        <w:t>الشبهة السابعة</w:t>
      </w:r>
      <w:r>
        <w:rPr>
          <w:rtl w:val="true"/>
        </w:rPr>
        <w:t xml:space="preserve">: </w:t>
      </w:r>
      <w:r>
        <w:rPr>
          <w:rtl w:val="true"/>
        </w:rPr>
        <w:t>عدم وجود دليل على إيصال الخُمُس إلى الفقيه</w:t>
      </w:r>
      <w:bookmarkEnd w:id="18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4020359_372815092"/>
      <w:bookmarkStart w:id="186" w:name="_Toc65"/>
      <w:bookmarkEnd w:id="185"/>
      <w:r>
        <w:rPr>
          <w:rtl w:val="true"/>
        </w:rPr>
        <w:t>اشارة</w:t>
      </w:r>
      <w:bookmarkEnd w:id="1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7142_66735"/>
      <w:bookmarkStart w:id="188" w:name="pg7142_66735"/>
      <w:bookmarkEnd w:id="188"/>
    </w:p>
    <w:p>
      <w:pPr>
        <w:pStyle w:val="Heading3"/>
        <w:numPr>
          <w:ilvl w:val="2"/>
          <w:numId w:val="1"/>
        </w:numPr>
        <w:rPr/>
      </w:pPr>
      <w:bookmarkStart w:id="189" w:name="pg7142_66735"/>
      <w:bookmarkStart w:id="190" w:name="__RefHeading___Toc4020361_372815092"/>
      <w:bookmarkStart w:id="191" w:name="_Toc66"/>
      <w:bookmarkEnd w:id="189"/>
      <w:bookmarkEnd w:id="190"/>
      <w:r>
        <w:rPr>
          <w:rtl w:val="true"/>
        </w:rPr>
        <w:t>مفاد الشبهة</w:t>
      </w:r>
      <w:bookmarkEnd w:id="191"/>
    </w:p>
    <w:p>
      <w:pPr>
        <w:pStyle w:val="BookText"/>
        <w:rPr/>
      </w:pPr>
      <w:r>
        <w:rPr>
          <w:rFonts w:ascii="Amiri" w:hAnsi="Amiri" w:eastAsia="Amiri" w:cs="Amiri"/>
          <w:color w:val="111111"/>
          <w:sz w:val="28"/>
          <w:sz w:val="28"/>
          <w:szCs w:val="28"/>
          <w:rtl w:val="true"/>
          <w:lang w:bidi="ar-SA"/>
        </w:rPr>
        <w:t>إنَّ إعطاء الخُمُس إلىٰ الفقيه وإيصاله إليه لا يوجد عليه مستند شرعي لا قرآناً ولا سُنَّةً، ومن المعلوم أنَّ الخُمُس في الآية المباركة قد صُنِّف إلىٰ أسهم ستَّة وليس للفقيه منها شيء، فلماذا يُفتي فقهاء الشيعة بوجوب إيصال الخُمُس إليهم؟</w:t>
      </w:r>
    </w:p>
    <w:p>
      <w:pPr>
        <w:pStyle w:val="Heading3"/>
        <w:numPr>
          <w:ilvl w:val="2"/>
          <w:numId w:val="1"/>
        </w:numPr>
        <w:rPr/>
      </w:pPr>
      <w:bookmarkStart w:id="192" w:name="__RefHeading___Toc4020363_372815092"/>
      <w:bookmarkStart w:id="193" w:name="_Toc67"/>
      <w:bookmarkEnd w:id="192"/>
      <w:r>
        <w:rPr>
          <w:rtl w:val="true"/>
        </w:rPr>
        <w:t>ردُّ الشبهة</w:t>
      </w:r>
      <w:bookmarkEnd w:id="193"/>
    </w:p>
    <w:p>
      <w:pPr>
        <w:pStyle w:val="BookText"/>
        <w:rPr/>
      </w:pPr>
      <w:r>
        <w:rPr>
          <w:rFonts w:ascii="Amiri" w:hAnsi="Amiri" w:eastAsia="Amiri" w:cs="Amiri"/>
          <w:color w:val="111111"/>
          <w:sz w:val="28"/>
          <w:sz w:val="28"/>
          <w:szCs w:val="28"/>
          <w:rtl w:val="true"/>
          <w:lang w:bidi="ar-SA"/>
        </w:rPr>
        <w:t>ينبغي توضيح أُمور عدَّة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020365_372815092"/>
      <w:bookmarkStart w:id="195" w:name="_Toc68"/>
      <w:bookmarkEnd w:id="194"/>
      <w:r>
        <w:rPr>
          <w:rtl w:val="true"/>
        </w:rPr>
        <w:t>الأمر الأوَّل</w:t>
      </w:r>
      <w:r>
        <w:rPr>
          <w:rtl w:val="true"/>
        </w:rPr>
        <w:t>:</w:t>
      </w:r>
      <w:bookmarkEnd w:id="195"/>
    </w:p>
    <w:p>
      <w:pPr>
        <w:pStyle w:val="BookText"/>
        <w:rPr/>
      </w:pPr>
      <w:r>
        <w:rPr>
          <w:rFonts w:ascii="Amiri" w:hAnsi="Amiri" w:eastAsia="Amiri" w:cs="Amiri"/>
          <w:color w:val="111111"/>
          <w:sz w:val="28"/>
          <w:sz w:val="28"/>
          <w:szCs w:val="28"/>
          <w:rtl w:val="true"/>
          <w:lang w:bidi="ar-SA"/>
        </w:rPr>
        <w:t>الخُمُس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الأسهم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وحقُّ الرسول، وذوي القربىٰ، وأفتىٰ مشهور فقهاء الإماميَّة بوجوب إيصاله إلىٰ الفقيه الجامع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وإن أفتىٰ بعضهم بجواز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المكلَّف بهذا الحقِّ في موارده المقرَّرة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الأسهم الثلاثة الأُخرىٰ من الأيتام والمساكين وأبناء السبيل من السادة من بني هاشم، وأفتىٰ مشهور الفقهاء بجواز تصدّي المكلَّف بنفسه في صرف هذه الأسهم علىٰ فقراء السادة وأيتامهم ومساكينهم وأبناء سبيلهم، ومن يُفتي من الفقهاء بلزوم إيصال هذا </w:t>
      </w:r>
      <w:bookmarkStart w:id="196" w:name="pg7142_66737"/>
    </w:p>
    <w:p>
      <w:pPr>
        <w:pStyle w:val="BookText"/>
        <w:rPr/>
      </w:pPr>
      <w:bookmarkEnd w:id="196"/>
      <w:r>
        <w:rPr>
          <w:rFonts w:ascii="Amiri" w:hAnsi="Amiri" w:eastAsia="Amiri" w:cs="Amiri"/>
          <w:color w:val="111111"/>
          <w:sz w:val="28"/>
          <w:sz w:val="28"/>
          <w:szCs w:val="28"/>
          <w:rtl w:val="true"/>
          <w:lang w:bidi="ar-SA"/>
        </w:rPr>
        <w:t>الحقِّ إليه لا يعني استيلائه عليه، وإنَّما 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 في مورده المذكور، فهو يرىٰ بحسب ما اقتضاه اجتهاده أنَّ من له حقُّ التصدّي والتص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فيه هو الفقيه</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020367_372815092"/>
      <w:bookmarkStart w:id="198" w:name="_Toc69"/>
      <w:bookmarkEnd w:id="197"/>
      <w:r>
        <w:rPr>
          <w:rtl w:val="true"/>
        </w:rPr>
        <w:t>الأمر الثاني</w:t>
      </w:r>
      <w:r>
        <w:rPr>
          <w:rtl w:val="true"/>
        </w:rPr>
        <w:t>:</w:t>
      </w:r>
      <w:bookmarkEnd w:id="198"/>
    </w:p>
    <w:p>
      <w:pPr>
        <w:pStyle w:val="BookText"/>
        <w:rPr/>
      </w:pPr>
      <w:r>
        <w:rPr>
          <w:rFonts w:ascii="Amiri" w:hAnsi="Amiri" w:eastAsia="Amiri" w:cs="Amiri"/>
          <w:color w:val="111111"/>
          <w:sz w:val="28"/>
          <w:sz w:val="28"/>
          <w:szCs w:val="28"/>
          <w:rtl w:val="true"/>
          <w:lang w:bidi="ar-SA"/>
        </w:rPr>
        <w:t>إنَّ دور الفقيه في لزوم إيصال الخُمُس إليه دور الإشراف والنظارة والحفظ والرعاية والأمانة علىٰ صرفه، وليس له حقُّ الاستفادة الشخصية منه، إذ لا يمكن أن يأخذ منه شيئاً ما لم يكن مصداقاً لأحد الأصناف المذكورة، وحتَّىٰ لو كان مصادقاً لها فما يأخذه هو مقدار حاجته فقط حاله حال سائر المستحقّين، وهو ما عليه مشهور فقهاء الإماميَّة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020369_372815092"/>
      <w:bookmarkStart w:id="200" w:name="_Toc70"/>
      <w:bookmarkEnd w:id="199"/>
      <w:r>
        <w:rPr>
          <w:rtl w:val="true"/>
        </w:rPr>
        <w:t>الأمر الثالث</w:t>
      </w:r>
      <w:r>
        <w:rPr>
          <w:rtl w:val="true"/>
        </w:rPr>
        <w:t>:</w:t>
      </w:r>
      <w:bookmarkEnd w:id="200"/>
    </w:p>
    <w:p>
      <w:pPr>
        <w:pStyle w:val="Heading4"/>
        <w:numPr>
          <w:ilvl w:val="3"/>
          <w:numId w:val="1"/>
        </w:numPr>
        <w:rPr/>
      </w:pPr>
      <w:bookmarkStart w:id="201" w:name="__RefHeading___Toc4020371_372815092"/>
      <w:bookmarkStart w:id="202" w:name="_Toc71"/>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وأمَّا مستند ومنشأ فتوىٰ الفقهاء في وجوب إيصال الخُمُس إلىٰ الفقيه الجامع للشرائط، فهو يتألَّف من أمرين</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020373_372815092"/>
      <w:bookmarkStart w:id="204" w:name="_Toc72"/>
      <w:bookmarkEnd w:id="203"/>
      <w:r>
        <w:rPr>
          <w:rtl w:val="true"/>
        </w:rPr>
        <w:t xml:space="preserve">أ </w:t>
      </w:r>
      <w:r>
        <w:rPr>
          <w:rtl w:val="true"/>
        </w:rPr>
        <w:t xml:space="preserve">- </w:t>
      </w:r>
      <w:r>
        <w:rPr>
          <w:rtl w:val="true"/>
        </w:rPr>
        <w:t>إنَّ الخُمُس ملك منصب الإمامة</w:t>
      </w:r>
      <w:r>
        <w:rPr>
          <w:rtl w:val="true"/>
        </w:rPr>
        <w:t>:</w:t>
      </w:r>
      <w:bookmarkEnd w:id="20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الخُمُس ليس ملكاً شخصياً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ملك لمنصب الإمامة، فإذا توفّي الإمام لا تنتقل الأخماس إلىٰ ورثته، بل تنتقل إلىٰ الإمام اللاحق له، كما يظهر ذلك من بعض 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نُؤتىٰ 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كان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فكيف نصنع؟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الإمامة فهو لي، وما كان غير ذلك فهو ميراث علىٰكتاب الله وسُنَّة نبيِّه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05" w:name="pg7142_66739"/>
    </w:p>
    <w:p>
      <w:pPr>
        <w:pStyle w:val="BookText"/>
        <w:rPr/>
      </w:pPr>
      <w:bookmarkEnd w:id="205"/>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محمّد بن أبي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فإنَّ الخُمُس حقٌّ وحداني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ينقسم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لمنصب الإمامة، وتحت اختيار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ثبت هذا الحقُّ للفقيه في زماننا فله أن يتص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بهذا الحقِّ كما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في أدلَّة النيابة</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4020375_372815092"/>
      <w:bookmarkStart w:id="207" w:name="_Toc73"/>
      <w:bookmarkEnd w:id="206"/>
      <w:r>
        <w:rPr>
          <w:rtl w:val="true"/>
        </w:rPr>
        <w:t xml:space="preserve">ب </w:t>
      </w:r>
      <w:r>
        <w:rPr>
          <w:rtl w:val="true"/>
        </w:rPr>
        <w:t xml:space="preserve">- </w:t>
      </w:r>
      <w:r>
        <w:rPr>
          <w:rtl w:val="true"/>
        </w:rPr>
        <w:t>النيابة العامَّة للفقهاء</w:t>
      </w:r>
      <w:r>
        <w:rPr>
          <w:rtl w:val="true"/>
        </w:rPr>
        <w:t>:</w:t>
      </w:r>
      <w:bookmarkEnd w:id="207"/>
    </w:p>
    <w:p>
      <w:pPr>
        <w:pStyle w:val="BookText"/>
        <w:rPr/>
      </w:pPr>
      <w:r>
        <w:rPr>
          <w:rFonts w:ascii="Amiri" w:hAnsi="Amiri" w:eastAsia="Amiri" w:cs="Amiri"/>
          <w:color w:val="111111"/>
          <w:sz w:val="28"/>
          <w:sz w:val="28"/>
          <w:szCs w:val="28"/>
          <w:rtl w:val="true"/>
          <w:lang w:bidi="ar-SA"/>
        </w:rPr>
        <w:t xml:space="preserve">إنَّ الفقهاء يُمثِّلون مقام النيابة العامَّة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الكبرىٰ، ولهم عدَّة وظائف دلَّت عليها النصوص والروايات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الوظيفة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تبيين الأحكام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وتكميلها ليتفاعل الواقع المتغيِّر مع غاية الدين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افتراض وجود قاعدة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ريعية تتجاوب مع هدف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ريعة ومستجدّات الحياة وتُلبّي حاجتهم توازناً بين الأصالة والعص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رنة علىٰ نهج الوحي وامتداده، وهي المسمّاة بالقوَّة 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ريعية في المصطلح الفعلي، نعم إنَّ الفارق الجوهري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في هذه الوظيفة هو أنَّ الحكم الصادر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واقعي، وأمَّاالحكم الصادر من المجتهد فهو ظاهري يُخطئ ويُصيب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 علىٰ ذلك جملة من النصوص والروايات،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العلماء ورثة الأنبياء، وذاك أنَّ الأنبياء لم </w:t>
      </w:r>
    </w:p>
    <w:p>
      <w:pPr>
        <w:pStyle w:val="BookText"/>
        <w:rPr/>
      </w:pPr>
      <w:r>
        <w:rPr>
          <w:rFonts w:ascii="Amiri" w:hAnsi="Amiri" w:eastAsia="Amiri" w:cs="Amiri"/>
          <w:color w:val="111111"/>
          <w:sz w:val="28"/>
          <w:sz w:val="28"/>
          <w:szCs w:val="28"/>
          <w:rtl w:val="true"/>
          <w:lang w:bidi="ar-SA"/>
        </w:rPr>
        <w:t>يُورِّثوا درهماً ولا ديناراً وإنَّما أورثوا أحاديث من أحاديثهم، فمن أخذ بشيء منها فقد أخذ حظًّا وافراً، فانظروا علمكم هذا عمَّن تأخذونه، فإنَّ فينا أهل البيت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 لم يدخلوا في الدنيا،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دخولهم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ذلك فاحذروهم علىٰ دينكم</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خلفائي، اللّهمّ ارحم خلفائي، اللّهمّ ارحم خلفائي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يأتون من بعدي يروون حديثي وسُنَّتي</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بالأنبياء أعلمهم بما جاؤوا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الأُمور والأحكام علىٰ أيدي العلماء بالله، الأُمناء علىٰ حلاله وحرامه</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الرواية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النصوص فيها دلالة واضحة وجليَّة علىٰ أنَّ الفقهاء هم أُمناء الله ورُسُله علىٰ حلاله وحرامه، وبيدهم مجاري الأُمور والأحكام، وهم الحجَّة علىٰ الناس بعد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الوظيفة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القضائية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الوظيفة قد أُعطيت إلىٰ المجتهد بمقتض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جعلته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مقبولة 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في رجلين من أصحابنا بينهما منازعة في دين أو ميراث،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من كان منكم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كالرادِّ علىٰ الله، وهو علىٰ حدِّ الشرك بالله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الوظيفة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التنفيذية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الثابت أنَّ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قيادة الأُمَّة وإدارة شؤونالدولة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التنفيذية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يتحمَّل هذه الوظيفة من قِبَل الله وإن كان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روع لم يصل إلىٰ مرحلة التنفيذ إلَّا في فترة قصيرة، لكنَّه هل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لهذه المهمَّة أم لا؟ وبعبارة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للفقيه أن يتصدّىٰ إلىٰ غير مقام الفتوىٰ والقضاء من الأُمور العامَّة؟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الأُمور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الأُمور العامَّة التي يتوقَّف عليها حفظ النظام كمسألة نصب الأوصياء والقيِّمين علىٰ الصغار والقُصَّ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مسألة الأوقاف العامَّة التي لا يوجد لها ممثِّل معيَّن، وملاحظة مصلحة الطائفة والدفاع عنها من جميع الجهات فكرياً واجتماعياً وتمثيلاً </w:t>
      </w:r>
    </w:p>
    <w:p>
      <w:pPr>
        <w:pStyle w:val="BookText"/>
        <w:rPr/>
      </w:pPr>
      <w:r>
        <w:rPr>
          <w:rFonts w:ascii="Amiri" w:hAnsi="Amiri" w:eastAsia="Amiri" w:cs="Amiri"/>
          <w:color w:val="111111"/>
          <w:sz w:val="28"/>
          <w:sz w:val="28"/>
          <w:szCs w:val="28"/>
          <w:rtl w:val="true"/>
          <w:lang w:bidi="ar-SA"/>
        </w:rPr>
        <w:t>حقيقياً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 وعرضها بالصور الصحيحة في العرصات العالمية وإيجاد التوازن بين أفرادها وسدِّ حاجاتهم، وهكذا الأُمور المسبَّبة التي لا يرضىٰ الشارع بتركها كالدفاع عن أعراض المؤمنين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الأُمور كلُّها إمَّا أن تثبت لعامَّة المؤمنين ويكون الفقيه أحدهم، أو تكون ثابتة لخصوص الفقيه لمعرفته بالأحكام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تتوفَّر في الفقيه صفات غير متحقِّقة في غيره من جهة مقامه العلمي الشرعي وهدوئه وورعه وتهذيب نفسه وعدم تكالبه علىٰ الدنيا وعدم وقوفه علىٰ أبواب السلاطين والظلمة، كلُّ ذلك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إناطة هذه الأُمور الخطيرة به دون غيره، أمَّا في غير ذلك فلا بدَّ من مراجعة أدلَّة النيابة التي قد ذُكِرَ بعضها فهل تعمُّهُ أم 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ففي غيبة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إيصال الأسهم الثلاثة الأُولىٰ للفقيه الجامع 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رائط بكونه النائب العامّ عن الإمام، وإنَّ الخُمُس حقٌّ للمنصب كما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ومجرَّد الشكِّ في جواز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بهذا الحقِّ بدون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في استقلال العقل بلزوم الاستئذان منه؛ للزوم الاقتصار في الخروج عن حرمة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في ملك الغير علىٰ المقدار المتيقَّن من إذنه ورضاه هو حالة الاستئذان فقط، وعليه فإيصاله للفقيه الجامع 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رائط الذي ثبتت نيابته العامَّة يُحرَز من خلاله إبراء الذمَّة</w:t>
      </w:r>
      <w:r>
        <w:rPr>
          <w:rFonts w:eastAsia="IRNazanin" w:cs="IRNazanin"/>
          <w:color w:val="111111"/>
          <w:sz w:val="28"/>
          <w:szCs w:val="28"/>
          <w:rtl w:val="true"/>
          <w:lang w:bidi="fa-IR"/>
        </w:rPr>
        <w:t>.</w:t>
      </w:r>
      <w:bookmarkStart w:id="208" w:name="pg7142_66747"/>
    </w:p>
    <w:p>
      <w:pPr>
        <w:pStyle w:val="Heading2"/>
        <w:numPr>
          <w:ilvl w:val="1"/>
          <w:numId w:val="1"/>
        </w:numPr>
        <w:rPr/>
      </w:pPr>
      <w:bookmarkStart w:id="209" w:name="__RefHeading___Toc4020377_372815092"/>
      <w:bookmarkStart w:id="210" w:name="_Toc74"/>
      <w:bookmarkEnd w:id="208"/>
      <w:bookmarkEnd w:id="209"/>
      <w:r>
        <w:rPr>
          <w:rtl w:val="true"/>
        </w:rPr>
        <w:t>الشبهة الثامنة</w:t>
      </w:r>
      <w:r>
        <w:rPr>
          <w:rtl w:val="true"/>
        </w:rPr>
        <w:t xml:space="preserve">: </w:t>
      </w:r>
      <w:r>
        <w:rPr>
          <w:rtl w:val="true"/>
        </w:rPr>
        <w:t>آلية جمع وتوزيع فريضة الخُمُس غير تخصُّصية</w:t>
      </w:r>
      <w:bookmarkEnd w:id="2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4020379_372815092"/>
      <w:bookmarkStart w:id="212" w:name="_Toc75"/>
      <w:bookmarkEnd w:id="211"/>
      <w:r>
        <w:rPr>
          <w:rtl w:val="true"/>
        </w:rPr>
        <w:t>اشارة</w:t>
      </w:r>
      <w:bookmarkEnd w:id="2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7142_66751"/>
      <w:bookmarkStart w:id="214" w:name="pg7142_66751"/>
      <w:bookmarkEnd w:id="214"/>
    </w:p>
    <w:p>
      <w:pPr>
        <w:pStyle w:val="Heading3"/>
        <w:numPr>
          <w:ilvl w:val="2"/>
          <w:numId w:val="1"/>
        </w:numPr>
        <w:rPr/>
      </w:pPr>
      <w:bookmarkStart w:id="215" w:name="pg7142_66751"/>
      <w:bookmarkStart w:id="216" w:name="__RefHeading___Toc4020381_372815092"/>
      <w:bookmarkStart w:id="217" w:name="_Toc76"/>
      <w:bookmarkEnd w:id="215"/>
      <w:bookmarkEnd w:id="216"/>
      <w:r>
        <w:rPr>
          <w:rtl w:val="true"/>
        </w:rPr>
        <w:t>مفاد الشبهة</w:t>
      </w:r>
      <w:bookmarkEnd w:id="217"/>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آلية الجمع والتوزيع التي تعتمد عليها المؤسَّسة الدينية طريقة غير تخصُّصية، ولا تخضع للرقابة المالية، وهي أشبه بالعملية الاستحواذية التفرّدية</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4020383_372815092"/>
      <w:bookmarkStart w:id="219" w:name="_Toc77"/>
      <w:bookmarkEnd w:id="218"/>
      <w:r>
        <w:rPr>
          <w:rtl w:val="true"/>
        </w:rPr>
        <w:t>ردُّ الشبهة</w:t>
      </w:r>
      <w:bookmarkEnd w:id="219"/>
    </w:p>
    <w:p>
      <w:pPr>
        <w:pStyle w:val="BookText"/>
        <w:rPr/>
      </w:pPr>
      <w:r>
        <w:rPr>
          <w:rFonts w:ascii="Amiri" w:hAnsi="Amiri" w:eastAsia="Amiri" w:cs="Amiri"/>
          <w:color w:val="111111"/>
          <w:sz w:val="28"/>
          <w:sz w:val="28"/>
          <w:szCs w:val="28"/>
          <w:rtl w:val="true"/>
          <w:lang w:bidi="ar-SA"/>
        </w:rPr>
        <w:t>وفيها أُمور عدَّة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020385_372815092"/>
      <w:bookmarkStart w:id="221" w:name="_Toc78"/>
      <w:bookmarkEnd w:id="220"/>
      <w:r>
        <w:rPr>
          <w:rtl w:val="true"/>
        </w:rPr>
        <w:t>الأمر الأوَّل</w:t>
      </w:r>
      <w:r>
        <w:rPr>
          <w:rtl w:val="true"/>
        </w:rPr>
        <w:t>:</w:t>
      </w:r>
      <w:bookmarkEnd w:id="221"/>
    </w:p>
    <w:p>
      <w:pPr>
        <w:pStyle w:val="BookText"/>
        <w:rPr/>
      </w:pPr>
      <w:r>
        <w:rPr>
          <w:rFonts w:ascii="Amiri" w:hAnsi="Amiri" w:eastAsia="Amiri" w:cs="Amiri"/>
          <w:color w:val="111111"/>
          <w:sz w:val="28"/>
          <w:sz w:val="28"/>
          <w:szCs w:val="28"/>
          <w:rtl w:val="true"/>
          <w:lang w:bidi="ar-SA"/>
        </w:rPr>
        <w:t xml:space="preserve">إنَّ الملاحظ في جميع الأديان أنَّها تفرض ضرائب مالية دينية، وإنَّ طريقة التوزيع في كلِّ هذه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غياب النبيِّ أو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إمَّا أن يُصار إلىٰ تعطيل التوزيع أو يُسلَّم إلىٰ الدولة الحاكمة أو يُناط بجهة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روطة بوثاقتها وعدالتها وأمانتها وإمكانية إيصالها إلىٰ مستحقِّيها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التعطيل، فهذا غير ممكن بحدِّ نفسه؛ لأنَّه يخالف مبدأ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هذه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تسليمه إلىٰ الدولة الحاكمة، فهذا لا يمكن تحقُّقه وبكلِّ وضوح؛ حيث عندما نتتبَّع الحكومات التي تسلَّطت علىٰ الأُمم والمجتمعات فإنَّ غالبيتها تفقد عنص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الثقة والأمانة والعدالة، وهذا ممَّا لا يختلف فيه اثنان</w:t>
      </w:r>
      <w:r>
        <w:rPr>
          <w:rFonts w:eastAsia="Amiri" w:cs="Amiri" w:ascii="Amiri" w:hAnsi="Amiri"/>
          <w:color w:val="111111"/>
          <w:sz w:val="28"/>
          <w:szCs w:val="28"/>
          <w:rtl w:val="true"/>
          <w:lang w:bidi="ar-SA"/>
        </w:rPr>
        <w:t xml:space="preserve">. </w:t>
      </w:r>
      <w:bookmarkStart w:id="222" w:name="pg7142_66753"/>
    </w:p>
    <w:p>
      <w:pPr>
        <w:pStyle w:val="BookText"/>
        <w:rPr/>
      </w:pPr>
      <w:bookmarkEnd w:id="222"/>
      <w:r>
        <w:rPr>
          <w:rFonts w:ascii="Amiri" w:hAnsi="Amiri" w:eastAsia="Amiri" w:cs="Amiri"/>
          <w:color w:val="111111"/>
          <w:sz w:val="28"/>
          <w:sz w:val="28"/>
          <w:szCs w:val="28"/>
          <w:rtl w:val="true"/>
          <w:lang w:bidi="ar-SA"/>
        </w:rPr>
        <w:t>وعليه فإنَّ أفضل الطُّرُق وأيس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علىٰ المكلَّف هو إيصال هذه الأموال إلىٰ الجهة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التي اكتسبت شرعيتها الدينية من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المقدَّس، إضافةً إلىٰ وثاقتها وعدالتها علىٰ طول الخطِّ والمسيرة وهي الأقرب إلىٰ معرفة ملاكات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وفقه التزاحم والخبرة العملية العالية ودقَّة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حيث إنَّنا نرىٰ وبكلِّ وضوح أنَّ العلماء الأعلام منذ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الغيبة الكبرىٰ وإلىٰ وقتنا المعاصر قد حافظوا علىٰ تلك الأموال وأوصلوها إلىٰ مستحقِّيها وتمَّ صرفها في مواردها المقرَّرة شرعاً من دون أنَّ يُسجَّل عليهم أنَّهم قد استخدموا هذه الأموال في أغراضهم الشخصية ومنافعهم الاجتماعية، فليس لأحد من الفقهاء الحقُّ بأن يأخذ درهماً واحداً من هذه الأموال إلَّا إذا كان مصداقاً لأحد الأصناف التي ذُكِرَت في الآية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وإذا كان مصداقاً فهو يأخذ بقدر حاجته شأنه شأن سائر المستحقِّين، فهذا ما يُفتي به علماء الطائفة، وهذه سيرة الفقهاء الأعلام بين يديك الذين تصدَّوا إلىٰ مقام المرجعية العليا فإنَّهم عاشوا فقراء وماتوا علىٰ ذلك، ومن شاء فليذهب بنفسه ليطَّلع علىٰ أحوالهم في حاضرة النجف الأشرف أو قم المقدَّسة فإنَّه سيجد أنَّ مسكن الفقهاء ومأكلهم ومشربهم هو نفس ما عليه عامَّة الناس في المجتمع</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4020387_372815092"/>
      <w:bookmarkStart w:id="224" w:name="_Toc79"/>
      <w:bookmarkEnd w:id="223"/>
      <w:r>
        <w:rPr>
          <w:rtl w:val="true"/>
        </w:rPr>
        <w:t>الأمر الثاني</w:t>
      </w:r>
      <w:r>
        <w:rPr>
          <w:rtl w:val="true"/>
        </w:rPr>
        <w:t>:</w:t>
      </w:r>
      <w:bookmarkEnd w:id="22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التوزيع لم تنحص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بالجهة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أفتىٰ بعض الفقهاء أنَّ للمكلَّف نفسه الحقَّ في توزيع الأسهم الثلاثة الأُولىٰ علىٰ مستحقِّيها بدون الحاجة إلىٰ مراجعة الفقيه،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أن يُحرز الشروط التي ينبغي أن تتوفَّر فيمن يستحقُّ هذا الحقَّ</w:t>
      </w:r>
      <w:r>
        <w:rPr>
          <w:rFonts w:eastAsia="Amiri" w:cs="Amiri" w:ascii="Amiri" w:hAnsi="Amiri"/>
          <w:color w:val="111111"/>
          <w:sz w:val="28"/>
          <w:szCs w:val="28"/>
          <w:rtl w:val="true"/>
          <w:lang w:bidi="ar-SA"/>
        </w:rPr>
        <w:t xml:space="preserve">. </w:t>
      </w:r>
      <w:bookmarkStart w:id="225" w:name="pg7142_66755"/>
    </w:p>
    <w:p>
      <w:pPr>
        <w:pStyle w:val="BookText"/>
        <w:rPr/>
      </w:pPr>
      <w:bookmarkEnd w:id="225"/>
      <w:r>
        <w:rPr>
          <w:rFonts w:ascii="Amiri" w:hAnsi="Amiri" w:eastAsia="Amiri" w:cs="Amiri"/>
          <w:color w:val="111111"/>
          <w:sz w:val="28"/>
          <w:sz w:val="28"/>
          <w:szCs w:val="28"/>
          <w:rtl w:val="true"/>
          <w:lang w:bidi="ar-SA"/>
        </w:rPr>
        <w:t>وهذا الأمر بحدِّ نفسه يدلُّ علىٰ عدم تفكير الجهة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بالاستحواذ علىٰ هذه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 المالية، وإنَّما دور الفقيه فيها هو النظارة والإشراف علىٰ صرف هذا الحقِّ</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020389_372815092"/>
      <w:bookmarkStart w:id="227" w:name="_Toc80"/>
      <w:bookmarkEnd w:id="226"/>
      <w:r>
        <w:rPr>
          <w:rtl w:val="true"/>
        </w:rPr>
        <w:t>الأمر الثالث</w:t>
      </w:r>
      <w:r>
        <w:rPr>
          <w:rtl w:val="true"/>
        </w:rPr>
        <w:t>:</w:t>
      </w:r>
      <w:bookmarkEnd w:id="227"/>
    </w:p>
    <w:p>
      <w:pPr>
        <w:pStyle w:val="BookText"/>
        <w:rPr/>
      </w:pPr>
      <w:r>
        <w:rPr>
          <w:rFonts w:ascii="Amiri" w:hAnsi="Amiri" w:eastAsia="Amiri" w:cs="Amiri"/>
          <w:color w:val="111111"/>
          <w:sz w:val="28"/>
          <w:sz w:val="28"/>
          <w:szCs w:val="28"/>
          <w:rtl w:val="true"/>
          <w:lang w:bidi="ar-SA"/>
        </w:rPr>
        <w:t>إنَّ شبهة عدم العدالة في التوزيع تأتي عند إيصال هذا الحقِّ إلىٰ من لم يُوثَق بعدالته، فإنَّ ما يجب علىٰ المكلَّف بنظر الإماميَّة هو إيصاله إلىٰ الفقيه الحاصل علىٰ ملكة العدالة والتقوىٰ والأمانة، وكذا المعتمد أو الوكيل المخوَّل في استلام الحقوق، فإنَّ هذا كلَّه من واجبات المكلَّف نفسه، فإنَّه عليه ممارسة الفحص في اختيار الفقيه وتسليم أمواله له، وإحراز الجهة المأمونة الموثوقة العادلة، فإنَّ المكلَّف يتحمَّل جزءاً من الخطأ عند عدم إيصال هذا الحقِّ إلىٰ الفقيه العادل المأمون، وعلىٰ أقلّ التقادير فإنَّه يجب عليه العمل بالاحتياط في المال كما عليه الاتِّفاق ولو كانت الشبهة موضوعية</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4020391_372815092"/>
      <w:bookmarkStart w:id="229" w:name="_Toc81"/>
      <w:bookmarkEnd w:id="228"/>
      <w:r>
        <w:rPr>
          <w:rtl w:val="true"/>
        </w:rPr>
        <w:t>الأمر الرابع</w:t>
      </w:r>
      <w:r>
        <w:rPr>
          <w:rtl w:val="true"/>
        </w:rPr>
        <w:t>:</w:t>
      </w:r>
      <w:bookmarkEnd w:id="2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الأصل في التوزيع يكون بيد الدولة العادلة الصالحة التي تملك الإمكانيات والمؤسَّسات التي من خلالها تستطيع تغطية كلِّ حاجات المجتمع، وحيث إنَّ المجتمعات تعيش أزمة فقدان الحاكم العادل والدولة الصالحة أُنيط أمر توزيع هذه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 إلىٰ مرجعية أُخرىٰ كالقوّامين علىٰ المجتمع، وحيث إنَّ هذه الجهة لا تملك إمكانيات الدولة ومؤسَّساتها وأياديها العاملة ممَّا يتعثَّر أمر التطبيق</w:t>
      </w:r>
      <w:r>
        <w:rPr>
          <w:rFonts w:eastAsia="Amiri" w:cs="Amiri" w:ascii="Amiri" w:hAnsi="Amiri"/>
          <w:color w:val="111111"/>
          <w:sz w:val="28"/>
          <w:szCs w:val="28"/>
          <w:rtl w:val="true"/>
          <w:lang w:bidi="ar-SA"/>
        </w:rPr>
        <w:t xml:space="preserve">. </w:t>
      </w:r>
      <w:bookmarkStart w:id="230" w:name="pg7142_66757"/>
    </w:p>
    <w:p>
      <w:pPr>
        <w:pStyle w:val="Heading3"/>
        <w:numPr>
          <w:ilvl w:val="2"/>
          <w:numId w:val="1"/>
        </w:numPr>
        <w:rPr/>
      </w:pPr>
      <w:bookmarkStart w:id="231" w:name="__RefHeading___Toc4020393_372815092"/>
      <w:bookmarkStart w:id="232" w:name="_Toc82"/>
      <w:bookmarkEnd w:id="230"/>
      <w:bookmarkEnd w:id="231"/>
      <w:r>
        <w:rPr>
          <w:rtl w:val="true"/>
        </w:rPr>
        <w:t>الأمر الخامس</w:t>
      </w:r>
      <w:r>
        <w:rPr>
          <w:rtl w:val="true"/>
        </w:rPr>
        <w:t>:</w:t>
      </w:r>
      <w:bookmarkEnd w:id="232"/>
    </w:p>
    <w:p>
      <w:pPr>
        <w:pStyle w:val="BookText"/>
        <w:rPr/>
      </w:pPr>
      <w:r>
        <w:rPr>
          <w:rFonts w:ascii="Amiri" w:hAnsi="Amiri" w:eastAsia="Amiri" w:cs="Amiri"/>
          <w:color w:val="111111"/>
          <w:sz w:val="28"/>
          <w:sz w:val="28"/>
          <w:szCs w:val="28"/>
          <w:rtl w:val="true"/>
          <w:lang w:bidi="ar-SA"/>
        </w:rPr>
        <w:t>يتصوَّر البعض أنَّ هذه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 المالية معدَّة فقط للقضاء علىٰ الفقر، مع أنَّها معدَّة لسدِّ جميع حاجات المجتمع، كالأهداف الروحية والتعليم والعلاج وبناء المشاريع الاستراتيجية كالاستقلالية الدينية ومواجهة المحتلِّ وسدِّ حاجات المجاهدين عند تعرُّض المذهب للخطر والتعامل مع الظروف الطارئة، فهذا كلُّه ممَّا تلحظه المرجعية العليا، وقد يغفل البعض عن هذه الأُمور، ولم يلتفت إلىٰ أهمّيتها ودورها في بناء المجتمع، والحفاظ علىٰ المذهب والمقدَّسات، حيث نشهد في وقتنا المعاصر أنَّه لولا الدعم المالي من قِبَل المرجعية العليا عن طريق هذه الحقوق والأموال في توفير وتلبية احتياجات المقاتلين في سوح الجهاد من السلاح والعتاد والطعام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 ورعاية عوائل الشهداء والجرحىٰ والمصابين وكلّ ما يحتاجه المجاهدون لم نصل إلىٰ هذه الانتصارات التي حفظت الناس والمؤمنين والمذهب من أخطار العدوِّ والإرهاب</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4020395_372815092"/>
      <w:bookmarkStart w:id="234" w:name="_Toc83"/>
      <w:bookmarkEnd w:id="233"/>
      <w:r>
        <w:rPr>
          <w:rtl w:val="true"/>
        </w:rPr>
        <w:t>الأمر السادس</w:t>
      </w:r>
      <w:r>
        <w:rPr>
          <w:rtl w:val="true"/>
        </w:rPr>
        <w:t>:</w:t>
      </w:r>
      <w:bookmarkEnd w:id="234"/>
    </w:p>
    <w:p>
      <w:pPr>
        <w:pStyle w:val="BookText"/>
        <w:rPr/>
      </w:pPr>
      <w:r>
        <w:rPr>
          <w:rFonts w:ascii="Amiri" w:hAnsi="Amiri" w:eastAsia="Amiri" w:cs="Amiri"/>
          <w:color w:val="111111"/>
          <w:sz w:val="28"/>
          <w:sz w:val="28"/>
          <w:szCs w:val="28"/>
          <w:rtl w:val="true"/>
          <w:lang w:bidi="ar-SA"/>
        </w:rPr>
        <w:t>إنَّ الميزان في العدالة الاجتماعية هو النظر إلىٰ المصلحة العامَّة للمجتمع والفرد وتقديم الأهمّ علىٰ المهمّ، من دون النظر إلىٰ الجنبة العاطفية والمزاجية والغايات الشخصية التي قد تصحب بعض الأفراد، فإنَّ المهمَّ في عملية التوزيع هو سدُّ حاجات المجتمع بصورة عامَّة لا فردية مشخصنة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020397_372815092"/>
      <w:bookmarkStart w:id="236" w:name="_Toc84"/>
      <w:bookmarkEnd w:id="235"/>
      <w:r>
        <w:rPr>
          <w:rtl w:val="true"/>
        </w:rPr>
        <w:t>الأمر السابع</w:t>
      </w:r>
      <w:r>
        <w:rPr>
          <w:rtl w:val="true"/>
        </w:rPr>
        <w:t>:</w:t>
      </w:r>
      <w:bookmarkEnd w:id="23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يحصل من الأخطاء في التطبيق لا يعني اتِّهام الجهة الدينية </w:t>
      </w:r>
      <w:bookmarkStart w:id="237" w:name="pg7142_66759"/>
    </w:p>
    <w:p>
      <w:pPr>
        <w:pStyle w:val="BookText"/>
        <w:rPr/>
      </w:pPr>
      <w:bookmarkEnd w:id="237"/>
      <w:r>
        <w:rPr>
          <w:rFonts w:ascii="Amiri" w:hAnsi="Amiri" w:eastAsia="Amiri" w:cs="Amiri"/>
          <w:color w:val="111111"/>
          <w:sz w:val="28"/>
          <w:sz w:val="28"/>
          <w:szCs w:val="28"/>
          <w:rtl w:val="true"/>
          <w:lang w:bidi="ar-SA"/>
        </w:rPr>
        <w:t>بعدم العدالة، حيث إنَّ المنظور هو العدالة النسبية لا المطلقة في كلِّ عمليات التوزيع المتعارفة، فإنَّنا نرىٰ في الدولة المدنية تكثر الأخطاء في التطبيق كما تصيب في البعض، وبالاتِّفاق إمكان تفادي مثل هذه الأخطاء مع عدم التشكيك بالجهة التي تتصدَّر عملية التوزيع</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4020399_372815092"/>
      <w:bookmarkStart w:id="239" w:name="_Toc85"/>
      <w:bookmarkEnd w:id="238"/>
      <w:r>
        <w:rPr>
          <w:rtl w:val="true"/>
        </w:rPr>
        <w:t>الأمر الثامن</w:t>
      </w:r>
      <w:r>
        <w:rPr>
          <w:rtl w:val="true"/>
        </w:rPr>
        <w:t>:</w:t>
      </w:r>
      <w:bookmarkEnd w:id="2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لم يحص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مورد التطبيق بيد الحاكم في كلِّ الموارد المالية، فهنالك مجموعة من الموارد المالية منوطة بيد المكلَّف، من قبيل الصدقات والوقفيات وغيرها كالمشاريع المالية، مع أنَّها لم تسلم من سوء التطبيق أيضاً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7142_66763"/>
      <w:bookmarkStart w:id="241" w:name="pg7142_66763"/>
      <w:bookmarkEnd w:id="241"/>
    </w:p>
    <w:p>
      <w:pPr>
        <w:pStyle w:val="Heading2"/>
        <w:numPr>
          <w:ilvl w:val="1"/>
          <w:numId w:val="1"/>
        </w:numPr>
        <w:rPr/>
      </w:pPr>
      <w:bookmarkStart w:id="242" w:name="pg7142_66763"/>
      <w:bookmarkStart w:id="243" w:name="__RefHeading___Toc4020401_372815092"/>
      <w:bookmarkStart w:id="244" w:name="_Toc86"/>
      <w:bookmarkEnd w:id="242"/>
      <w:bookmarkEnd w:id="243"/>
      <w:r>
        <w:rPr>
          <w:rtl w:val="true"/>
        </w:rPr>
        <w:t>الشبهة التاسعة</w:t>
      </w:r>
      <w:r>
        <w:rPr>
          <w:rtl w:val="true"/>
        </w:rPr>
        <w:t xml:space="preserve">: </w:t>
      </w:r>
      <w:r>
        <w:rPr>
          <w:rtl w:val="true"/>
        </w:rPr>
        <w:t>إنَّ فريضة الخُمُس لا تخضع للرقابة المالية</w:t>
      </w:r>
      <w:bookmarkEnd w:id="2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4020403_372815092"/>
      <w:bookmarkStart w:id="246" w:name="_Toc87"/>
      <w:bookmarkEnd w:id="245"/>
      <w:r>
        <w:rPr>
          <w:rtl w:val="true"/>
        </w:rPr>
        <w:t>اشارة</w:t>
      </w:r>
      <w:bookmarkEnd w:id="24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7142_66767"/>
      <w:bookmarkStart w:id="248" w:name="pg7142_66767"/>
      <w:bookmarkEnd w:id="248"/>
    </w:p>
    <w:p>
      <w:pPr>
        <w:pStyle w:val="Heading3"/>
        <w:numPr>
          <w:ilvl w:val="2"/>
          <w:numId w:val="1"/>
        </w:numPr>
        <w:rPr/>
      </w:pPr>
      <w:bookmarkStart w:id="249" w:name="pg7142_66767"/>
      <w:bookmarkStart w:id="250" w:name="__RefHeading___Toc4020405_372815092"/>
      <w:bookmarkStart w:id="251" w:name="_Toc88"/>
      <w:bookmarkEnd w:id="249"/>
      <w:bookmarkEnd w:id="250"/>
      <w:r>
        <w:rPr>
          <w:rtl w:val="true"/>
        </w:rPr>
        <w:t>مفاد الشبهة</w:t>
      </w:r>
      <w:bookmarkEnd w:id="251"/>
    </w:p>
    <w:p>
      <w:pPr>
        <w:pStyle w:val="BookText"/>
        <w:rPr/>
      </w:pPr>
      <w:r>
        <w:rPr>
          <w:rFonts w:ascii="Amiri" w:hAnsi="Amiri" w:eastAsia="Amiri" w:cs="Amiri"/>
          <w:color w:val="111111"/>
          <w:sz w:val="28"/>
          <w:sz w:val="28"/>
          <w:szCs w:val="28"/>
          <w:rtl w:val="true"/>
          <w:lang w:bidi="ar-SA"/>
        </w:rPr>
        <w:t>يدَّعي البعض أنَّ فريضة الخُمُس غير خاضعة لمسألة الرقابة المالية، ولم تكشف المؤسَّسة الدينية طريقة التعامل بهذا الحقِّ، وتعمل علىٰ أساس استحواذي تفرّدي لا يُعلَم حجم هذه الأموال ومصيرها، ممَّا يورد الشكوك عند أفراد المجتمع</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4020407_372815092"/>
      <w:bookmarkStart w:id="253" w:name="_Toc89"/>
      <w:bookmarkEnd w:id="252"/>
      <w:r>
        <w:rPr>
          <w:rtl w:val="true"/>
        </w:rPr>
        <w:t>ردُّ الشبهة</w:t>
      </w:r>
      <w:bookmarkEnd w:id="25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المؤسَّسة الدينية الشيعية لا بدَّ أن ننظر لها مع نظائرها من بقيَّة المؤسَّسات غير الإسلاميَّة كالمسيحية واليهودية وغيرها من الديانات، فهل هذه المؤسَّسات تتمتَّع بالشفّافية المطلقة بحيث تفصح عمَّا بيدها من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 المالية التي تفرضها علىٰ أفراد مجتمعاتها؟ بالطبع لا يوجد ذلك، ولعلَّ تعليلاتهم لذلك هو أنَّ هذا من الشؤونات الخاضعة لنفس تلك الديانة أو المؤسَّسة التابعة لها ولا علاقة للغير بها، نعم وهذا لا يعني عدم وجود رقابة علىٰ تلك الأموال من داخل المؤسَّسة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نلاحظه في كلمات المستشكلين أنَّهم يُسجِّلون هذا الإشكال فقط علىٰ ضريبة الخُمُس للتشكيك في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ريعه، مع أنَّ الإسلام لم يفرض الخُمُس فقط وإنَّما هنالك ضرائب كثيرة وموارد مالية متعدِّدة كالزكاة والصدقات والموقوفات وغيرها ممَّا فرضه الإسلام، </w:t>
      </w:r>
    </w:p>
    <w:p>
      <w:pPr>
        <w:pStyle w:val="BookText"/>
        <w:rPr/>
      </w:pPr>
      <w:r>
        <w:rPr>
          <w:rFonts w:ascii="Amiri" w:hAnsi="Amiri" w:eastAsia="Amiri" w:cs="Amiri"/>
          <w:color w:val="111111"/>
          <w:sz w:val="28"/>
          <w:sz w:val="28"/>
          <w:szCs w:val="28"/>
          <w:rtl w:val="true"/>
          <w:lang w:bidi="ar-SA"/>
        </w:rPr>
        <w:t>وكما وضعت حدود وشروط وآليات لذلك فهنالك حدود وشروط وآليات متَّبعة وملتفت إليها من قِبَل الجهة المخوَّلة شرعاً في كيفية التعاطي مع حقِّ الخُمُس، فحالها حال بقيَّة الفرائض، فإنَّ آلية الجمع والتوزيع والص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ليس عملية استحواذية، وإنَّما قائمة علىٰ وفق أُسس ونظام رسمه لنا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المقدَّس، ولا يحقُّ للفقيه أو الجهة المخوَّلة أن يخالف ما حدَّده الشارع المقدَّس في كيفية التعامل مع الأموال وإخراجها أو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يتربط بالكشف المالي، فهي قضيَّة نسبية وغير مطلقة، وهذا أمر متَّبع في جميع الحكومات العالمية والمؤسَّسات الدينية وغيرها، فهنالك تخصيصات مالية لوزاراتها الأمنية مثلاً كالدفاع والمخابرات لا يُكشَف عنها إلَّا ضمن أروقتها الخاصَّة، وذلك لأسباب كثيرة ودواع أمنية عالمية، فإنَّ من أحد أهمّ الخطوات في المؤسَّسات العالمية أمنياً عدم الكشف المالي للعدوِّ، لأنَّه يُعَدُّ مصدر قوَّة لكلِّ حكومة أو دين أو مذهب، فكذلك الفقيه الجامع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فإنَّه جهة مخوَّلة من الشارع المقدَّس لحفظ هذه الأموال وإدارتها ومراعاة الأوّليات فيها، والأخذ بعين الاعتبار مسألة الكشف أمام العدوِّ والجهات العالمية المسيطرة علىٰ رأس مال الدول، وهذا من أهمّ عناصر القوَّة التي يتمتَّع بها الإسلام، وإن كان للفضلاء والعلماء المقرَّبين من المؤسَّسة الدينية دور في الرقابة والاطِّلاع والكشف، لكنَّه بإطاره الخاصّ وليس مطلقاً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أهمّ ما يتمتَّع به مذهب الإماميَّة هو أنَّ مسألة إيداع الأموال بيد الفقيه غير مطلقة، وإنَّما تعتمد علىٰ شرط مهمٍّ وأساسي، وهو وثاقة وعدالة وأمانة المرجع والفقيه، فإنَّه لا يحقُّ </w:t>
      </w:r>
    </w:p>
    <w:p>
      <w:pPr>
        <w:pStyle w:val="BookText"/>
        <w:rPr/>
      </w:pPr>
      <w:r>
        <w:rPr>
          <w:rFonts w:ascii="Amiri" w:hAnsi="Amiri" w:eastAsia="Amiri" w:cs="Amiri"/>
          <w:color w:val="111111"/>
          <w:sz w:val="28"/>
          <w:sz w:val="28"/>
          <w:szCs w:val="28"/>
          <w:rtl w:val="true"/>
          <w:lang w:bidi="ar-SA"/>
        </w:rPr>
        <w:t>للمكلَّف إعطاء هذه الأموال لجهة غير موثوق بها ولم تثبت عدالتها، وهذا نحو من أنحاء الرقابة الداخلية علىٰ تلك الأموال، فإنَّ ثقة المكلَّف بالفقيه الجامع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يعني اعتقاده بأنَّه مؤهَّل لأن يدير هذه الأموال بطريقة عادلة ضمن رقابة خاصَّة وآليات دقيقة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المؤسَّسة الدينية في بعض الأحيان تأخذ بنظر الاعتبار ملاكات ومصالح أساسية في صرف تلك الأموال، وحسب ما تراه مناسباً في تقويم مسيرة الدين والمذهب، وهذا قد لا يلتفت إليه عامَّة المكلَّفين؛ لأنَّه شأن خاصّ يحتاج إلىٰ خبرة وعمق في التدبير، وهو غير حاصل عند أغلب الأفراد في المجتمع، وهذا أمر معمول به في جميع السياسات المالية للحكومات والمؤسَّسات المختصَّة في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7142_66774"/>
      <w:bookmarkStart w:id="255" w:name="pg7142_66774"/>
      <w:bookmarkEnd w:id="255"/>
    </w:p>
    <w:p>
      <w:pPr>
        <w:pStyle w:val="Heading2"/>
        <w:numPr>
          <w:ilvl w:val="1"/>
          <w:numId w:val="1"/>
        </w:numPr>
        <w:rPr/>
      </w:pPr>
      <w:bookmarkStart w:id="256" w:name="pg7142_66774"/>
      <w:bookmarkStart w:id="257" w:name="__RefHeading___Toc4020409_372815092"/>
      <w:bookmarkStart w:id="258" w:name="_Toc90"/>
      <w:bookmarkEnd w:id="256"/>
      <w:bookmarkEnd w:id="257"/>
      <w:r>
        <w:rPr>
          <w:rtl w:val="true"/>
        </w:rPr>
        <w:t>الشبهة العاشرة</w:t>
      </w:r>
      <w:r>
        <w:rPr>
          <w:rtl w:val="true"/>
        </w:rPr>
        <w:t xml:space="preserve">: </w:t>
      </w:r>
      <w:r>
        <w:rPr>
          <w:rtl w:val="true"/>
        </w:rPr>
        <w:t>بدعة المصالحة والمداورة</w:t>
      </w:r>
      <w:bookmarkEnd w:id="25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4020411_372815092"/>
      <w:bookmarkStart w:id="260" w:name="_Toc91"/>
      <w:bookmarkEnd w:id="259"/>
      <w:r>
        <w:rPr>
          <w:rtl w:val="true"/>
        </w:rPr>
        <w:t>اشارة</w:t>
      </w:r>
      <w:bookmarkEnd w:id="26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7142_66778"/>
      <w:bookmarkStart w:id="262" w:name="pg7142_66778"/>
      <w:bookmarkEnd w:id="262"/>
    </w:p>
    <w:p>
      <w:pPr>
        <w:pStyle w:val="Heading3"/>
        <w:numPr>
          <w:ilvl w:val="2"/>
          <w:numId w:val="1"/>
        </w:numPr>
        <w:rPr/>
      </w:pPr>
      <w:bookmarkStart w:id="263" w:name="pg7142_66778"/>
      <w:bookmarkStart w:id="264" w:name="__RefHeading___Toc4020413_372815092"/>
      <w:bookmarkStart w:id="265" w:name="_Toc92"/>
      <w:bookmarkEnd w:id="263"/>
      <w:bookmarkEnd w:id="264"/>
      <w:r>
        <w:rPr>
          <w:rtl w:val="true"/>
        </w:rPr>
        <w:t>مفاد الشبهة</w:t>
      </w:r>
      <w:bookmarkEnd w:id="265"/>
    </w:p>
    <w:p>
      <w:pPr>
        <w:pStyle w:val="BookText"/>
        <w:rPr/>
      </w:pPr>
      <w:r>
        <w:rPr>
          <w:rFonts w:ascii="Amiri" w:hAnsi="Amiri" w:eastAsia="Amiri" w:cs="Amiri"/>
          <w:color w:val="111111"/>
          <w:sz w:val="28"/>
          <w:sz w:val="28"/>
          <w:szCs w:val="28"/>
          <w:rtl w:val="true"/>
          <w:lang w:bidi="ar-SA"/>
        </w:rPr>
        <w:t>إنَّ المؤسَّسة الدينية غير عادلة في طريقة أخذ الخُمُس وحسابه علىٰ المكلَّفين؛ لأنَّنا نجد في بعض الأحيان أنَّهم يُسقِطون بعض الحقِّ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 المتعلَّق بذمَّة المكلَّف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أنَّ للفقيه أو وكيله صلاحية إسقاط الخُمُس عن ذمَّة المكلَّف</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4020415_372815092"/>
      <w:bookmarkStart w:id="267" w:name="_Toc93"/>
      <w:bookmarkEnd w:id="266"/>
      <w:r>
        <w:rPr>
          <w:rtl w:val="true"/>
        </w:rPr>
        <w:t>ردُّ الشبهة</w:t>
      </w:r>
      <w:bookmarkEnd w:id="267"/>
    </w:p>
    <w:p>
      <w:pPr>
        <w:pStyle w:val="BookText"/>
        <w:rPr/>
      </w:pPr>
      <w:r>
        <w:rPr>
          <w:rFonts w:ascii="Amiri" w:hAnsi="Amiri" w:eastAsia="Amiri" w:cs="Amiri"/>
          <w:color w:val="111111"/>
          <w:sz w:val="28"/>
          <w:sz w:val="28"/>
          <w:szCs w:val="28"/>
          <w:rtl w:val="true"/>
          <w:lang w:bidi="ar-SA"/>
        </w:rPr>
        <w:t>إنَّ هذه الشبهة مبتنية علىٰ الفهم الخاطئ لمعنىٰ المصالحة، حيث إنَّها لا تعني إسقاط حقِّ الخُمُس مطلقاً، وإنَّما صرَّح الفقهاء بأنَّ المراد من المصالحة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تتصالح مع المرجع أو وكيله في تحديد كمّية المبلغ الذي يجب فيه الخُمُس، فحينئذٍ يتعيَّن مقدار الخُمُس وتجري المصالحة عليه لتبرأ ذمَّة المكلَّف أمام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أفتىٰ الفقهاء بعدم صحَّة إسقاط شيء من الخُمُس الثابت في ذمَّة المكلَّف، وعليه المبادرة في إخراجه بتمامه من دون نقص فيه وإلَّا أثم، ولا صلاحية لأحد أن يهب ديناراً واحداً من الحقِّ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للدافع، كما ليس للوكيل أو المأذون من قِبَل الفقيه أن يحسب شيئاً من الحقِّ علىٰ نفسه ثمّ يهبه إلىٰ الدافع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مسألة المصالحة فإنَّها ليست مطلقة، بل خاصَّة في مورد الحقوق المشتبهة التي يشكُّ بها المكلَّف في تعلُّق الخُمُس ببعض أموالهأو </w:t>
      </w:r>
      <w:bookmarkStart w:id="268" w:name="pg7142_66780"/>
    </w:p>
    <w:p>
      <w:pPr>
        <w:pStyle w:val="BookText"/>
        <w:rPr/>
      </w:pPr>
      <w:bookmarkEnd w:id="268"/>
      <w:r>
        <w:rPr>
          <w:rFonts w:ascii="Amiri" w:hAnsi="Amiri" w:eastAsia="Amiri" w:cs="Amiri"/>
          <w:color w:val="111111"/>
          <w:sz w:val="28"/>
          <w:sz w:val="28"/>
          <w:szCs w:val="28"/>
          <w:rtl w:val="true"/>
          <w:lang w:bidi="ar-SA"/>
        </w:rPr>
        <w:t>في اشتغال ذمَّته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منه ولا مقدار ما تعلَّق به الخُمُس، فهنا يصالحه الحاكم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أو المأذون من قِبَله بنسبة الاحتمال، أي لا يسقط الحقّ مطلقاً، وإنَّما يدفع المكلَّف القدر المتيقَّن من ذلك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لو شكَّ المكلَّف بأنَّ ما تعلَّق به الخُمُس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ولا يعلم المقدار الحقيقي الذي يبرئ فيه ذمَّته، فهنا يصالحه الفقيه أو وكيله بإخراج القدر المتيقَّن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المصالحة، فهي ليس كما يراه البعض من أنَّه إسقاط للحقِّ مطلقاً، بل هو إسقاط ما في مورد الشكِّ من قِبَل المكلَّف</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4020417_372815092"/>
      <w:bookmarkStart w:id="270" w:name="_Toc94"/>
      <w:bookmarkEnd w:id="269"/>
      <w:r>
        <w:rPr>
          <w:rtl w:val="true"/>
        </w:rPr>
        <w:t>معنى مداورة الخُمُس وحدودها</w:t>
      </w:r>
      <w:r>
        <w:rPr>
          <w:rtl w:val="true"/>
        </w:rPr>
        <w:t>:</w:t>
      </w:r>
      <w:bookmarkEnd w:id="270"/>
    </w:p>
    <w:p>
      <w:pPr>
        <w:pStyle w:val="BookText"/>
        <w:rPr/>
      </w:pPr>
      <w:r>
        <w:rPr>
          <w:rFonts w:ascii="Amiri" w:hAnsi="Amiri" w:eastAsia="Amiri" w:cs="Amiri"/>
          <w:color w:val="111111"/>
          <w:sz w:val="28"/>
          <w:sz w:val="28"/>
          <w:szCs w:val="28"/>
          <w:rtl w:val="true"/>
          <w:lang w:bidi="ar-SA"/>
        </w:rPr>
        <w:t>المداورة هي طريقة لنقل الخُمُس المطلوب من المكلَّف إلىٰ ذمَّته، فإذا تعلَّق الخُمُس بعين المال ولم يتمكَّن المكلَّف من دفع هذا الحقِّ دفعة واحدة أو كان بحاجة إليه في تجارته ونحوها فيُخرج الخُمُس ويدفعه إلىٰ الفقيه الجامع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أو وكيله، ثمّ هو يُقرضه إيّاه علىٰ أن يُؤدّيه بالتدريج من دون تساهل أو تهاون بالأداء، وبذلك ينتقل الخُمُس من العين إلىٰ الذمَّة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أنَّ مسألة تأخير الخُمُس وتقسيطه علىٰ المكلَّف ليست مطلقة، بل هنالك حدود خاصَّة، ولا يحقُّ للمأذون شرعاً بالتقسيط المطلق، إنَّما المداورة تخصُّ المكلَّف الذي ليس له القدرة علىٰ دفع هذا الحقِّ دفعة واحدة ولم يكن متمكِّناً من أدائه، حالاً أو مستقبلاً، وكان في حرج شديد، فعليه أن ينوي أداءه لو حصلت له القدرة وإلَّا </w:t>
      </w:r>
      <w:bookmarkStart w:id="271" w:name="pg7142_66783"/>
    </w:p>
    <w:p>
      <w:pPr>
        <w:pStyle w:val="BookText"/>
        <w:rPr/>
      </w:pPr>
      <w:bookmarkEnd w:id="271"/>
      <w:r>
        <w:rPr>
          <w:rFonts w:ascii="Amiri" w:hAnsi="Amiri" w:eastAsia="Amiri" w:cs="Amiri"/>
          <w:color w:val="111111"/>
          <w:sz w:val="28"/>
          <w:sz w:val="28"/>
          <w:szCs w:val="28"/>
          <w:rtl w:val="true"/>
          <w:lang w:bidi="ar-SA"/>
        </w:rPr>
        <w:t>أثم، ففي هذه الحالة يحقُّ للفقيه أو وكيله تقسيطه حسب حال المكلَّف أو الترخيص في التأخير في الأداء، ولو استطاع المكلَّف خلال فترة التأخير أداء بعضه، فيجب عليه ذلك</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020419_372815092"/>
      <w:bookmarkStart w:id="273" w:name="_Toc95"/>
      <w:bookmarkEnd w:id="272"/>
      <w:r>
        <w:rPr>
          <w:rtl w:val="true"/>
        </w:rPr>
        <w:t>مستند المصالحة والمداورة</w:t>
      </w:r>
      <w:r>
        <w:rPr>
          <w:rtl w:val="true"/>
        </w:rPr>
        <w:t>:</w:t>
      </w:r>
      <w:bookmarkEnd w:id="273"/>
    </w:p>
    <w:p>
      <w:pPr>
        <w:pStyle w:val="BookText"/>
        <w:rPr/>
      </w:pPr>
      <w:r>
        <w:rPr>
          <w:rFonts w:ascii="Amiri" w:hAnsi="Amiri" w:eastAsia="Amiri" w:cs="Amiri"/>
          <w:color w:val="111111"/>
          <w:sz w:val="28"/>
          <w:sz w:val="28"/>
          <w:szCs w:val="28"/>
          <w:rtl w:val="true"/>
          <w:lang w:bidi="ar-SA"/>
        </w:rPr>
        <w:t>قد يسأل البعض عن المستند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للمصالحة والمداورة الحاصلة في هذا الحقِّ، فإنَّ المستند في ذلك كما هو واضح مبنيٌّ علىٰ أنَّ الحاكم وليٌّ علىٰ مال المالك للخُمُس، فبمقتض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الولاية التي للحاكم علىٰ هذا الحقِّ أنَّه حقُّ المنصب، فللحاكم صلاحية العفو والتأجيل لفترة معيَّنة إذا رأىٰ مصلحة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المكلَّف شاكًّا بأنَّ في ذمَّته خُمُس ما صرفه مثلاً، فللحاكم أن يصالحه بمبلغ يراه مناسباً، نعم لو كان المكلَّف متيقِّناً بأنَّ في ذمَّته خُمُساً واجباً فلا بدَّ من دفع ذلك المتيقَّن ولا مجال لفرض المصلحة فيه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المداورة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الذي وجب عليه الخُمُس ولا يستطيع أداءه أو يصعب عليه جدًّا، وحينئذٍ حيث إنَّه لا يسقط عنه الواجب لمجرَّد عدم الاستطاعة أو صعوبة الأداء، فيجب عليه أداؤه ولو بالمداورة مع وليِّ أمر الخُمُس ليؤديه حسب استطاعته زماناً ومقداراً، ونقل الخُمُس من العين إلىٰ الذمَّة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7142_66787"/>
      <w:bookmarkStart w:id="275" w:name="pg7142_66787"/>
      <w:bookmarkEnd w:id="275"/>
    </w:p>
    <w:p>
      <w:pPr>
        <w:pStyle w:val="Heading2"/>
        <w:numPr>
          <w:ilvl w:val="1"/>
          <w:numId w:val="1"/>
        </w:numPr>
        <w:rPr/>
      </w:pPr>
      <w:bookmarkStart w:id="276" w:name="pg7142_66787"/>
      <w:bookmarkStart w:id="277" w:name="__RefHeading___Toc4020421_372815092"/>
      <w:bookmarkStart w:id="278" w:name="_Toc96"/>
      <w:bookmarkEnd w:id="276"/>
      <w:bookmarkEnd w:id="277"/>
      <w:r>
        <w:rPr>
          <w:rtl w:val="true"/>
        </w:rPr>
        <w:t>الشبهة الحادية عشر</w:t>
      </w:r>
      <w:r>
        <w:rPr>
          <w:rtl w:val="true"/>
        </w:rPr>
        <w:t xml:space="preserve">: </w:t>
      </w:r>
      <w:r>
        <w:rPr>
          <w:rtl w:val="true"/>
        </w:rPr>
        <w:t>إعطاء نصف الخُمُس للسادة من بني هاشم يدعو إلى التفاوت الطبقي</w:t>
      </w:r>
      <w:bookmarkEnd w:id="2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4020423_372815092"/>
      <w:bookmarkStart w:id="280" w:name="_Toc97"/>
      <w:bookmarkEnd w:id="279"/>
      <w:r>
        <w:rPr>
          <w:rtl w:val="true"/>
        </w:rPr>
        <w:t>اشارة</w:t>
      </w:r>
      <w:bookmarkEnd w:id="2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7142_66791"/>
      <w:bookmarkStart w:id="282" w:name="pg7142_66791"/>
      <w:bookmarkEnd w:id="282"/>
    </w:p>
    <w:p>
      <w:pPr>
        <w:pStyle w:val="Heading3"/>
        <w:numPr>
          <w:ilvl w:val="2"/>
          <w:numId w:val="1"/>
        </w:numPr>
        <w:rPr/>
      </w:pPr>
      <w:bookmarkStart w:id="283" w:name="pg7142_66791"/>
      <w:bookmarkStart w:id="284" w:name="__RefHeading___Toc4020425_372815092"/>
      <w:bookmarkStart w:id="285" w:name="_Toc98"/>
      <w:bookmarkEnd w:id="283"/>
      <w:bookmarkEnd w:id="284"/>
      <w:r>
        <w:rPr>
          <w:rtl w:val="true"/>
        </w:rPr>
        <w:t>مفاد الشبهة</w:t>
      </w:r>
      <w:bookmarkEnd w:id="285"/>
    </w:p>
    <w:p>
      <w:pPr>
        <w:pStyle w:val="BookText"/>
        <w:rPr/>
      </w:pPr>
      <w:r>
        <w:rPr>
          <w:rFonts w:ascii="IRNazanin" w:hAnsi="IRNazanin" w:eastAsia="IRNazanin"/>
          <w:color w:val="111111"/>
          <w:sz w:val="28"/>
          <w:sz w:val="28"/>
          <w:szCs w:val="28"/>
          <w:rtl w:val="true"/>
          <w:lang w:bidi="fa-IR"/>
        </w:rPr>
        <w:t>يقول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أكَّد الإسلام علىٰ مبدأ التساوي بين أفراد المجتمع، وحارب مسألة التفاوت الطبقي بين أفراده، وجعل المعيار في تفضيل بني البشر هو التقوىٰ كما نصَّ عليه القرآن الكريم في موارد عدَّة، منها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والتقوىٰ كما هو معلوم هي أمر معنوي خاصٌّ بعلاقة الفرد بالله عزوجل، ولا يوجد في القرآن الكريم أنَّ هنالك ميزة أو أفضلية من حيث النسب أو العرق أو القبيلة أو العشيرة أو الوطن أو السكن لفرد علىٰ فرد آخر أو قوم علىٰ آخرين، بل فضيلة كلِّ إنسان بما كسبه بنفسه، وعليه فإنَّ تخصيص نصف الخُمُس للسادة من بني هاشم بدعوىٰ إكرامهم من الله تعالىٰ لقرابتهم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تنسجم مع روح الإسلام، بل هي مخالفة للقران الكريم</w:t>
      </w:r>
      <w:r>
        <w:rPr>
          <w:rFonts w:eastAsia="IRNazanin" w:cs="IRNazanin"/>
          <w:color w:val="111111"/>
          <w:sz w:val="28"/>
          <w:szCs w:val="28"/>
          <w:rtl w:val="true"/>
          <w:lang w:bidi="fa-IR"/>
        </w:rPr>
        <w:t>.</w:t>
      </w:r>
    </w:p>
    <w:p>
      <w:pPr>
        <w:pStyle w:val="Heading3"/>
        <w:numPr>
          <w:ilvl w:val="2"/>
          <w:numId w:val="1"/>
        </w:numPr>
        <w:rPr/>
      </w:pPr>
      <w:bookmarkStart w:id="286" w:name="__RefHeading___Toc4020427_372815092"/>
      <w:bookmarkStart w:id="287" w:name="_Toc99"/>
      <w:bookmarkEnd w:id="286"/>
      <w:r>
        <w:rPr>
          <w:rtl w:val="true"/>
        </w:rPr>
        <w:t>ردُّ الشبهة</w:t>
      </w:r>
      <w:bookmarkEnd w:id="287"/>
    </w:p>
    <w:p>
      <w:pPr>
        <w:pStyle w:val="BookText"/>
        <w:rPr/>
      </w:pPr>
      <w:r>
        <w:rPr>
          <w:rFonts w:ascii="Amiri" w:hAnsi="Amiri" w:eastAsia="Amiri" w:cs="Amiri"/>
          <w:color w:val="111111"/>
          <w:sz w:val="28"/>
          <w:sz w:val="28"/>
          <w:szCs w:val="28"/>
          <w:rtl w:val="true"/>
          <w:lang w:bidi="ar-SA"/>
        </w:rPr>
        <w:t>إنَّ المنظِّرين لهذه الشبهة ركَّزوا علىٰ جوانب عدَّة فيها، فلا بدَّ من ملاحظتها وبيان المراد الحقيقي منها، وتوضيح موارد الاشتباه فيها، وعليه نقول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نظام الخلق تحكمه سُنَّة التفاضل لا التساوي، فالإسلام يحمي مبدأ العدل والإحسان ولا يقرُّ المساواة المطلقة كمبدأ عامّ، وقد دلَّت </w:t>
      </w:r>
    </w:p>
    <w:p>
      <w:pPr>
        <w:pStyle w:val="BookText"/>
        <w:rPr/>
      </w:pPr>
      <w:r>
        <w:rPr>
          <w:rFonts w:ascii="Amiri" w:hAnsi="Amiri" w:eastAsia="Amiri" w:cs="Amiri"/>
          <w:color w:val="111111"/>
          <w:sz w:val="28"/>
          <w:sz w:val="28"/>
          <w:szCs w:val="28"/>
          <w:rtl w:val="true"/>
          <w:lang w:bidi="ar-SA"/>
        </w:rPr>
        <w:t>علىٰ ذلك جملة من النصوص القرآنية التي تُوضِّح وجود التفاضل بين المخلوقات،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فَضَّلْنا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فالإسلام يقوم في الحقوق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مبدأ التساوي، ولن تجد في القرآن الكريم مفردة المساواة بين الناس بنحو مطلق، بل لا بدَّ من فرق بينهم، وقد صرَّحت النصوص القرآنية والروائية علىٰ نفي التساوي في جملة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التساوي بين الكامل وغيره، كتفضيل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ناحية الكمال والعلم والعصمة،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داوُدَ وَسُلَيْمانَ عِلْماً وَقالاَ الْحَمْدُ لِلَّهِ الَّذِي فَضَّلَنا عَلىٰ كَثِيرٍ مِنْ عِبادِهِ الْمُؤْمِنِينَ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النصوص الكريمة واضحة وصريحة أنَّ الأنبياء وخلفاء الله في الأرض لهم صفات كمالية خاصَّة اقتضت تفضيلهم واجتباءهم من قِبَل الحقِّ سبحانه وتعالىٰ، وذلك لاستحقاقهم لهذه الكمالات، فإنَّ الله تعالىٰ عالم بالخلق قبل الوجود وحينه وبعده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التساوي بين العالم وغيره، فقد صرَّحت النصوص القرآنية والروائية علىٰ تفضيل العالم علىٰ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w:t>
      </w:r>
    </w:p>
    <w:p>
      <w:pPr>
        <w:pStyle w:val="BookText"/>
        <w:rPr/>
      </w:pPr>
      <w:r>
        <w:rPr>
          <w:rFonts w:ascii="Amiri" w:hAnsi="Amiri" w:eastAsia="Amiri" w:cs="Amiri"/>
          <w:color w:val="111111"/>
          <w:sz w:val="28"/>
          <w:sz w:val="28"/>
          <w:szCs w:val="28"/>
          <w:rtl w:val="true"/>
          <w:lang w:bidi="ar-SA"/>
        </w:rPr>
        <w:t xml:space="preserve">يَسْتَوِي الَّذِينَ يَعْلَمُونَ وَالَّذِينَ لا يَعْلَمُونَ إِنَّما يَتَذَكَّرُ أُولُوا الْأَلْبابِ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العابد كفضل القمر علىٰ سائر النجوم ليلة البدر، وإنَّ العلماء ورثة الأنبياء</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نوم العالم أفضل من عبادة العابد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ركعتان يُصلّيهما العالم أفضل من ألف ركعة يُصلّيها العابد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المقدَّس قد ميَّز بين المجاهد والقاعد،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أوليائه، وسوَّغهم كرامة منه لهم ونعمة ذخرها، والجهاد هو لباس التقوىٰ ودرع الله الحصينة وجُنَّته الوثيقة، فمن تركه رغبة عنه ألبسه الله ثوب الذلِّ وشمله البلاء</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النصوص الكريمة صرَّحت بأنَّ هنالك تفاضل بين المؤمنين أنفسهم، وذلك من خلال التلبُّس بالجهاد، فمن كان من المجاهدين أفضل من القاعدين؛ لأنَّه بذل مهجته لأجل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الدين والحفاظ علىٰشريعة سيِّد المرسلين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القرآن الكريم من أنَّ الإنفاق والقتال قبل الفتح أفضل منه بعده، حيث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لَكُمْ أَلَّا تُنْفِقُوا فِي سَبِيلِ اللهِ وَلِلهِ مِيراثُ السَّماواتِ وَالْأَرضِ لا يَسْتَوِي مِنْكُمْ مَنْ أَنْفَقَ مِنْ قَبْلِ الْفَتْحِ وَقاتَلَ أُولئِكَ أَعْظَمُ دَرَجَةً مِنَ الَّذِينَ أَنْفَقُوا مِنْ بَعْدُ وَقاتَلُوا وَكُلًّا وَعَدَ اللهُ الْحُسْنىٰ وَاللهُ بِما تَعْمَلُونَ خَبِيرٌ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الآيات الكريمة قد بيَّنت معنىً دقيقاً جدًّا 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هو المدار في التفاضل وليس التساوي، حيث إنَّ الذين أنفقوا وقاتلوا قبل الفتح أفضل من الذين أنفقوا وقاتلوا بعده، حيث كان المسلمون قبل الفتح قلَّة قليلة شُرِّدوا عن ديارهم وسُلِبَت أموالهم وعاشوا فترات عصيبة جدًّا في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الدين الإسلامي، علىٰ عكس من أنفق وقاتل بعد الفتح حيث قويت شوكت المسلمين واشتدَّ عودهم وتوسَّعت مواردهم المالية، فليس من العدل المساواة بينهم في الثواب والجزاء والدرجات العظيمة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فضَّل الله تعالىٰ السابق بالإيمان به واليوم الآخر والجهاد في سبيله، حيث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يُحدِّثنا التاريخ بأنَّ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علىٰ سقاية الحاجِّ قبل الإسلام كان يتمتَّع بمنزلة اجتماعية مرموقة لما يُقدِّم للحاجِّ من خدمات حياتية أساسية، وكذلك عمارة المسجد الحرام وسدنته ورعايته، فقد كانت تُعَدُّ فضيلة للمتصدّي لها، وعلىٰ رغم هذا فقد صرَّح القرآن الكريم بأنَّ الإيمان بالله واليوم الآخر والجهادفي سبيل الله أفضل من جميع تلك الأعمال عند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الحاكم أبو القاسم الحسكاني بإسناده عن أبي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شيبة والعبّاس يتفاخران إذ مرَّ عليهما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تفتخران؟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أُوتيت من الفضل ما لم يؤتَ أحد سقاية الحاجِّ، وقال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عمارة المسجد الحرام، وقال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أُوتيت علىٰ صغري ما لم تُؤتيا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 يا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خراطيمكما بالسيف حتَّىٰ آمنتما بالله تبارك وتعالىٰ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العبّاس مغضباً يجرُّ ذيله حتَّىٰ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استقبلني به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يا عليُّ علىٰ ما استقبلت به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صدقته الحقَّ فإن شاء فليغضب وإن شاء فليرضَ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ربُّك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وَعِمارَةَ الْمَسْجِدِ الْحَرامِ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يَسْتَوُونَ عِنْدَ اللهِ وَاللهُ لا يَهْدِي الْقَوْمَ الظَّالِمِينَ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أَجْرٌ عَظِيمٌ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القرآن الكريم أنَّ هنالك مشتركات كثيرة بين الرجل والمرأة، وذلك من قبيل التكاليف والأحكام وإقامة الحدود والثواب والعقاب وغيرها،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ذَكَرٍ أَوْ أُنْثىٰ وَهُوَ مُؤْمِنٌ فَلَنُحْيِيَنَّهُ حَياةً طَيِّبَةً وَلَنَجْزِيَنَّهُمْ أَجْرَهُمْ بِأَحْسَنِ ما كانُوا يَعْمَلُونَ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قد بيَّن القرآن الكريم تمايزاً وتفاضلاً بين الرجل والمرأة فيموارد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الميراث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w:t>
      </w:r>
    </w:p>
    <w:p>
      <w:pPr>
        <w:pStyle w:val="BookText"/>
        <w:rPr/>
      </w:pP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 بأنَّ القوامة للرجل لا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وأوجب الجهاد علىٰ الرجل دون المرأة، وجعل الطلاق بيد الرجل دونها، وجعل ديتها نصف دية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التمايز والتفاضل بينهما هو عين العدل الإلهي، حيث إنَّ العرف يرىٰ وبكلِّ وضوح أنَّ المتصدّي لإدارة شؤون البيت والعائلة وتلبية حاجات المرأة والكدِّ عليها والكسب والدفاع عن الأرض والعرض والمال كلُّه علىٰ عاتق الرجل، وهذا قد أقرَّه الشارع المقدَّس؛ وذلك لأنَّ طبيعة خلقة الرجل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وهذا لا يعني ظلماً للمرأة، بل علىٰ العكس فقد حفظ الإسلام مكانة المرأة بين المجتمع وراعىٰ طبيعتها وعفَّتها وكلَّ ما يصبُّ في حفظ 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استواء الرجل والمرأة من جميع النواحي لا يمكن أن يتحقَّق؛ لأنَّ الفوارق بين النوعين كوناً وقدراً أوَّلاً وشرعاً ثانياً تمنع من ذلك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 نظام الخلق قائم علىٰ أساس العدل والقسط وإعطاء كلِّ ذي حقٍّ حقَّه، وليس علىٰ أساس المساواة المطلقة في كلِّ شيء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يتَّضح أيضاً أنَّ ما يدَّعيه البعض من أنَّ أساس التفاضل بين بني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هو التقوىٰ غير تامٍّ، فإنَّ التقوىٰ ليست علَّة تامَّة للتفاضل والتمايز، فقد بيَّنّا أنَّ المتَّقين أنفسهم بينهم تفاضل وتمايز، كمن كانمجاهداً أو عالماً منهم دون غيره</w:t>
      </w:r>
      <w:r>
        <w:rPr>
          <w:rFonts w:eastAsia="Amiri" w:cs="Amiri" w:ascii="Amiri" w:hAnsi="Amiri"/>
          <w:color w:val="111111"/>
          <w:sz w:val="28"/>
          <w:szCs w:val="28"/>
          <w:rtl w:val="true"/>
          <w:lang w:bidi="ar-SA"/>
        </w:rPr>
        <w:t xml:space="preserve">. </w:t>
      </w:r>
      <w:bookmarkStart w:id="288" w:name="pg7142_66803"/>
    </w:p>
    <w:p>
      <w:pPr>
        <w:pStyle w:val="BookText"/>
        <w:rPr/>
      </w:pPr>
      <w:bookmarkEnd w:id="288"/>
      <w:r>
        <w:rPr>
          <w:rFonts w:ascii="Amiri" w:hAnsi="Amiri" w:eastAsia="Amiri" w:cs="Amiri"/>
          <w:color w:val="111111"/>
          <w:sz w:val="28"/>
          <w:sz w:val="28"/>
          <w:szCs w:val="28"/>
          <w:rtl w:val="true"/>
          <w:lang w:bidi="ar-SA"/>
        </w:rPr>
        <w:t>بل إنَّ التفاضل في الأحكام لا علاقة له بالإنسانية أو الأكملية أو القرب من الله تعالىٰ، فإنَّ نصَّ القرآن بأنَّ للذَّكَر مثل حظِّ الأُنثيين لا يعني أنَّ الذَّكَر أقرب من الأُنثىٰ إلىٰ الله، فلا معنىٰ لذلك، وهو أمر أجنبي علىٰ الأحكام الفقهية، فإذا التزمنا فقهاً مثلاً بعدم جواز إمامة النساء للرجال فهذا لا يعني أنَّه نقص في المرأة، بل هو حكم شرعي لا علاقة له بالإنسانية ولا بالأكرمية وغيرها من الحالات الروحية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4020429_372815092"/>
      <w:bookmarkStart w:id="290" w:name="_Toc100"/>
      <w:bookmarkEnd w:id="289"/>
      <w:r>
        <w:rPr>
          <w:rtl w:val="true"/>
        </w:rPr>
        <w:t>إعطاء نصف الخُمُس للسادة من بني هاشم</w:t>
      </w:r>
      <w:r>
        <w:rPr>
          <w:rtl w:val="true"/>
        </w:rPr>
        <w:t>:</w:t>
      </w:r>
      <w:bookmarkEnd w:id="290"/>
    </w:p>
    <w:p>
      <w:pPr>
        <w:pStyle w:val="BookText"/>
        <w:rPr/>
      </w:pPr>
      <w:r>
        <w:rPr>
          <w:rFonts w:ascii="Amiri" w:hAnsi="Amiri" w:eastAsia="Amiri" w:cs="Amiri"/>
          <w:color w:val="111111"/>
          <w:sz w:val="28"/>
          <w:sz w:val="28"/>
          <w:szCs w:val="28"/>
          <w:rtl w:val="true"/>
          <w:lang w:bidi="ar-SA"/>
        </w:rPr>
        <w:t>ذكرنا فيما تقدَّم أنَّ الملاك في التمايز بين بني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والقسط وإعطاء كلِّ ذي حقٍّ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فإنَّ إعطاء نصف الخمس كفريضة مالية للمؤمنين من الفقراء والمساكين والأيتام من السادة من بني هاشم هو من باب العدل الإلهي، فهو استحقاق لهم، وذلك لأُمور عدَّة امتازوا بها عن غيرهم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4020431_372815092"/>
      <w:bookmarkStart w:id="292" w:name="_Toc101"/>
      <w:bookmarkEnd w:id="291"/>
      <w:r>
        <w:rPr>
          <w:rtl w:val="true"/>
        </w:rPr>
        <w:t>الأمر الأوَّل</w:t>
      </w:r>
      <w:r>
        <w:rPr>
          <w:rtl w:val="true"/>
        </w:rPr>
        <w:t>:</w:t>
      </w:r>
      <w:bookmarkEnd w:id="29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حظي بنو هاشم بمكانة مرموقة قبل الإسلام وبعده، وقد تواترت النصوص علىٰ أفضليتهم علىٰ غيرهم من بني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لسبقهم لاعتناق الإسلام والإيمان بالله ورسوله، فقد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بعثني الله نبيًّا، فأتيت بني أُميَّة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أُميَّة إنّي رسول الله إليكم،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ما أنت برسول، ثمّ أتيت بني هاشم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الله إليكم، فآمن بي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وجهراً، وحماني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جهراً وآمن بي سرّاً، ثمّ بعث الله جبرئيل </w:t>
      </w:r>
    </w:p>
    <w:p>
      <w:pPr>
        <w:pStyle w:val="BookText"/>
        <w:rPr/>
      </w:pPr>
      <w:r>
        <w:rPr>
          <w:rFonts w:ascii="Amiri" w:hAnsi="Amiri" w:eastAsia="Amiri" w:cs="Amiri"/>
          <w:color w:val="111111"/>
          <w:sz w:val="28"/>
          <w:sz w:val="28"/>
          <w:szCs w:val="28"/>
          <w:rtl w:val="true"/>
          <w:lang w:bidi="ar-SA"/>
        </w:rPr>
        <w:t>بلوائه فركزه في بني هاشم، وبعث إبليس بلوائه فركزه في بني أُميَّة، فلا يزالون أعداءنا وشيعتهم أعداء شيعتنا إلىٰ يوم القيامة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سجَّلت لنا المصادر التاريخية مجموعة من الخصال الكريمة التي كان يمتاز بها بنو هاشم عن غيرهم، كالجود والعطاء والرجولة والتنزُّه عن الرذائل، ومن أبرز تلك الوثائق ما جاء في حلف الفضول الذي كان يُمثِّل فيه بنو هاشم قطب الرحىٰ في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المظلوم والوقوف بوجه الظالمين، وروي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الله عزوجل بني عبد المطَّلب الصباحة والفصاحة والسماحة والشجاعة والعلم وحُبَّ النساء</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المناشدة فضله علىٰ المسلمين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سمعتم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سبب ونسب منقطع يوم القيامة إلَّا سببي ونسبي، فأيُّ سبب أفضل من سببي؟ وأي نسب أفضل من نسبي؟ إنَّ أبي وأبا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لإخوان، وإنَّ الحسن والحسين ابنَيّ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وسيِّدَيّ شباب أهل الجنَّة ابناي، وفاطمة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زوجتي سيِّدة نساء أهل الجنَّة،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ففرَّقهم فرقتين، فجعلني في خير الفرقتين، ثمّ جعلهم شعوباً فجعلني في خير شعبة، ثمّ جعلهم قبائل فجعلني في خير قبيلة، ثمّ جعلهم بيوتاً فجعلني في خير بيت؟</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بمن مات من بني هاشم خاصَّة شيئاً لا يصنعه بأحد من المسلمين</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وقفت السلطات الجائرة من الأُمويين والعبّاسيين بوجه السادة من بني هاشم من العلويين والحسنيين لما يحملونه من الحقِّ والذبِّ عن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المقدَّسة، فعمدوا إلىٰ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ريدهم وطردهم وصلبهم وقتلهم ومنعهم من العطاءات وممارسة الأعمال في الدولة، وقد اشتدَّ بهم الفقر والعوز ممَّا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هنا جاءت النصوص والروايات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بإكرام بني هاشم، لما عرفت من فضلهم وجهادهم وسبقهم بتوحيد الله والذبِّ عن رسوله والدفاع عن حريم الإسلام ونص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المظلوم، ولما عانوه من الظلم والتشريد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صنع إلىٰ أحد من أهل بيتي يداً كافأته به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شافع يوم القيامة لأربعة أصناف ولو جاؤوا بذنوب أهل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ذرّيتي، ورجل بذل ماله لذرّيتي عند الضيق، ورجلأحبَّ ذرّيتي باللسان والقلب، ورجل سعىٰ في حوائج ذرّيتي إذا طُردوا أو شُرِّدوا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فإنَّ إعطاء نصف الخُمُس للسادة من بني هاشم إكراماً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جُعِلَ هذا التكليف اختباراً وامتحاناً لمن لا يرضىٰ </w:t>
      </w:r>
      <w:bookmarkStart w:id="293" w:name="pg7142_66806"/>
    </w:p>
    <w:p>
      <w:pPr>
        <w:pStyle w:val="BookText"/>
        <w:rPr/>
      </w:pPr>
      <w:bookmarkEnd w:id="293"/>
      <w:r>
        <w:rPr>
          <w:rFonts w:ascii="IRNazanin" w:hAnsi="IRNazanin" w:eastAsia="IRNazanin"/>
          <w:color w:val="111111"/>
          <w:sz w:val="28"/>
          <w:sz w:val="28"/>
          <w:szCs w:val="28"/>
          <w:rtl w:val="true"/>
          <w:lang w:bidi="fa-IR"/>
        </w:rPr>
        <w:t xml:space="preserve">أن يرىٰ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وأثراً، بل إنَّ الحفاظ علىٰ عنوان بني هاشم له من الإيجابيات في دفع الشبهات وتسجيل الحقائق، أليس يستحقُّ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يُكرَم؟ وإنَّما يُحفَظ المرء في عشيرته وولده، وهذا أمر عقلائي عرفي يقبله روح الاجتماع</w:t>
      </w:r>
      <w:r>
        <w:rPr>
          <w:rFonts w:eastAsia="IRNazanin" w:cs="IRNazanin"/>
          <w:color w:val="111111"/>
          <w:sz w:val="28"/>
          <w:szCs w:val="28"/>
          <w:rtl w:val="true"/>
          <w:lang w:bidi="fa-IR"/>
        </w:rPr>
        <w:t>.</w:t>
      </w:r>
    </w:p>
    <w:p>
      <w:pPr>
        <w:pStyle w:val="Heading3"/>
        <w:numPr>
          <w:ilvl w:val="2"/>
          <w:numId w:val="1"/>
        </w:numPr>
        <w:rPr/>
      </w:pPr>
      <w:bookmarkStart w:id="294" w:name="__RefHeading___Toc4020433_372815092"/>
      <w:bookmarkStart w:id="295" w:name="_Toc102"/>
      <w:bookmarkEnd w:id="294"/>
      <w:r>
        <w:rPr>
          <w:rtl w:val="true"/>
        </w:rPr>
        <w:t>الأمر الثاني</w:t>
      </w:r>
      <w:r>
        <w:rPr>
          <w:rtl w:val="true"/>
        </w:rPr>
        <w:t>:</w:t>
      </w:r>
      <w:bookmarkEnd w:id="295"/>
    </w:p>
    <w:p>
      <w:pPr>
        <w:pStyle w:val="BookText"/>
        <w:rPr/>
      </w:pPr>
      <w:r>
        <w:rPr>
          <w:rFonts w:ascii="Amiri" w:hAnsi="Amiri" w:eastAsia="Amiri" w:cs="Amiri"/>
          <w:color w:val="111111"/>
          <w:sz w:val="28"/>
          <w:sz w:val="28"/>
          <w:szCs w:val="28"/>
          <w:rtl w:val="true"/>
          <w:lang w:bidi="ar-SA"/>
        </w:rPr>
        <w:t>إنَّ تخصيص نصف الخُمُس للمؤمنين من فقراء بني هاشم ومساكينهم ممَّا تقتضيه العدالة الإلهيَّة، وليس تميُّزاً طبقيًّا؛ وذلك لأنَّهم حُرموا من الزكاة التي شُرِّعت للفقراء من عامَّة المسلمين، فليس للهاشمي أن يأخذ زكاة الأموال، وفي ذات الوقت هو مطالب شرعاً بإخراج الزكاة كما هو شأن بقيَّة المسلمين، فهو ليس معفيًّا عنها، وكذلك ليس معفيًّا عن إخراج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روي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جعل الله هذا الخُمُس خاصَّة لهم دون مساكين الناس وأبناء سبيلهم عوضاً لهم من صدقات الناس تنزيهاً من الله لهم لقرابتهم برسول الله وكرامة من الله لهم عن أوساخ الناس، فجعل لهم خاصَّة من عنده ما يُغنيهم به عن أن يصيرهم في موضع الذلِّوالمسكنة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 قصَّة الصدقة نزَّه نفسه ورسوله ونزَّه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نزه نفسه عن الصدقة ونزَّه رسوله ونزَّه أهل بيته، لا بل حرَّم عليهم؛ لأنَّ الصدقة محرَّمة علىٰ محمّد وآله، وهي أوساخ أيدي الناس لا تحلُّ لهم؛ لأنَّهم طُهِّروا من كلِّ دنس ووسخ</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96" w:name="pg7142_66807"/>
    </w:p>
    <w:p>
      <w:pPr>
        <w:pStyle w:val="Heading3"/>
        <w:numPr>
          <w:ilvl w:val="2"/>
          <w:numId w:val="1"/>
        </w:numPr>
        <w:rPr/>
      </w:pPr>
      <w:bookmarkStart w:id="297" w:name="__RefHeading___Toc4020435_372815092"/>
      <w:bookmarkStart w:id="298" w:name="_Toc103"/>
      <w:bookmarkEnd w:id="296"/>
      <w:bookmarkEnd w:id="297"/>
      <w:r>
        <w:rPr>
          <w:rtl w:val="true"/>
        </w:rPr>
        <w:t>هل إعطاء نصف الخُمُس لمطلق السادة؟</w:t>
      </w:r>
      <w:bookmarkEnd w:id="298"/>
    </w:p>
    <w:p>
      <w:pPr>
        <w:pStyle w:val="BookText"/>
        <w:rPr/>
      </w:pPr>
      <w:r>
        <w:rPr>
          <w:rFonts w:ascii="Amiri" w:hAnsi="Amiri" w:eastAsia="Amiri" w:cs="Amiri"/>
          <w:color w:val="111111"/>
          <w:sz w:val="28"/>
          <w:sz w:val="28"/>
          <w:szCs w:val="28"/>
          <w:rtl w:val="true"/>
          <w:lang w:bidi="ar-SA"/>
        </w:rPr>
        <w:t>يُصوِّر البعض من المغرضين أنَّ إعطاء نصف الخُمُس هو لمطلق السادة من بني هاشم، وهذا خلاف ما عليه الطائفة الإماميَّة، فإنَّ إعطاء نصف الخُمُس للسادة فيما إذا توفَّرت فيهم الشروط، وإليك بيانها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مؤمناً، فلا يجوز إعطاء هذا الحقِّ ممَّن كان منحرفاً عن خطِّ الله ورسوله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قريباً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متجاهراً بالفسق والعصيان، فلا يجوز إعطاء الحقِّ لمن كان شارباً للخمر أو عاصياً أو لم يؤدِّ الفرائض الواجبة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كما نصَّت عليه آية الخمس، فلا يجوز إعطاء هذا الحقِّ للأغنياء من بني هاشم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7142_66809"/>
      <w:bookmarkStart w:id="300" w:name="pg7142_66809"/>
      <w:bookmarkEnd w:id="300"/>
    </w:p>
    <w:p>
      <w:pPr>
        <w:pStyle w:val="Heading2"/>
        <w:numPr>
          <w:ilvl w:val="1"/>
          <w:numId w:val="1"/>
        </w:numPr>
        <w:rPr/>
      </w:pPr>
      <w:bookmarkStart w:id="301" w:name="pg7142_66809"/>
      <w:bookmarkStart w:id="302" w:name="__RefHeading___Toc4020437_372815092"/>
      <w:bookmarkStart w:id="303" w:name="_Toc104"/>
      <w:bookmarkEnd w:id="301"/>
      <w:bookmarkEnd w:id="302"/>
      <w:r>
        <w:rPr>
          <w:rtl w:val="true"/>
        </w:rPr>
        <w:t>الشبهة الثانية عشر</w:t>
      </w:r>
      <w:r>
        <w:rPr>
          <w:rtl w:val="true"/>
        </w:rPr>
        <w:t xml:space="preserve">: </w:t>
      </w:r>
      <w:r>
        <w:rPr>
          <w:rtl w:val="true"/>
        </w:rPr>
        <w:t>نسبة الخُمُس لله ينافي غناه</w:t>
      </w:r>
      <w:bookmarkEnd w:id="3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4020439_372815092"/>
      <w:bookmarkStart w:id="305" w:name="_Toc105"/>
      <w:bookmarkEnd w:id="304"/>
      <w:r>
        <w:rPr>
          <w:rtl w:val="true"/>
        </w:rPr>
        <w:t>اشارة</w:t>
      </w:r>
      <w:bookmarkEnd w:id="30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7142_66811"/>
      <w:bookmarkStart w:id="307" w:name="pg7142_66811"/>
      <w:bookmarkEnd w:id="307"/>
    </w:p>
    <w:p>
      <w:pPr>
        <w:pStyle w:val="Heading3"/>
        <w:numPr>
          <w:ilvl w:val="2"/>
          <w:numId w:val="1"/>
        </w:numPr>
        <w:rPr/>
      </w:pPr>
      <w:bookmarkStart w:id="308" w:name="pg7142_66811"/>
      <w:bookmarkStart w:id="309" w:name="__RefHeading___Toc4020441_372815092"/>
      <w:bookmarkStart w:id="310" w:name="_Toc106"/>
      <w:bookmarkEnd w:id="308"/>
      <w:bookmarkEnd w:id="309"/>
      <w:r>
        <w:rPr>
          <w:rtl w:val="true"/>
        </w:rPr>
        <w:t>مفاد الشبهة</w:t>
      </w:r>
      <w:bookmarkEnd w:id="310"/>
    </w:p>
    <w:p>
      <w:pPr>
        <w:pStyle w:val="BookText"/>
        <w:rPr/>
      </w:pPr>
      <w:r>
        <w:rPr>
          <w:rFonts w:ascii="Amiri" w:hAnsi="Amiri" w:eastAsia="Amiri" w:cs="Amiri"/>
          <w:color w:val="111111"/>
          <w:sz w:val="28"/>
          <w:sz w:val="28"/>
          <w:szCs w:val="28"/>
          <w:rtl w:val="true"/>
          <w:lang w:bidi="ar-SA"/>
        </w:rPr>
        <w:t>إنَّ أساس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الخُمُس إنَّما شُرِّع لأجل الحاجة، وأنَّ الله تعالىٰ غنيٌّ مطلق، فكيف يُنسَب هذا الحقُّ إلىٰ الله تعالىٰ،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عدم إمكان نسبة الخمس لله تعالىٰ؛ وذلك لأنَّه الغني المطلق، فنسبته لله عزوجل ينافي غناه</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4020443_372815092"/>
      <w:bookmarkStart w:id="312" w:name="_Toc107"/>
      <w:bookmarkEnd w:id="311"/>
      <w:r>
        <w:rPr>
          <w:rtl w:val="true"/>
        </w:rPr>
        <w:t>ردُّ الشبهة</w:t>
      </w:r>
      <w:bookmarkEnd w:id="312"/>
    </w:p>
    <w:p>
      <w:pPr>
        <w:pStyle w:val="BookText"/>
        <w:rPr/>
      </w:pPr>
      <w:r>
        <w:rPr>
          <w:rFonts w:ascii="Amiri" w:hAnsi="Amiri" w:eastAsia="Amiri" w:cs="Amiri"/>
          <w:color w:val="111111"/>
          <w:sz w:val="28"/>
          <w:sz w:val="28"/>
          <w:szCs w:val="28"/>
          <w:rtl w:val="true"/>
          <w:lang w:bidi="ar-SA"/>
        </w:rPr>
        <w:t>إنَّ هذه الشبهة لا بدَّ أن يُلحَظ فيها أُمور عدَّة</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4020445_372815092"/>
      <w:bookmarkStart w:id="314" w:name="_Toc108"/>
      <w:bookmarkEnd w:id="313"/>
      <w:r>
        <w:rPr>
          <w:rtl w:val="true"/>
        </w:rPr>
        <w:t>الأمر الأوَّل</w:t>
      </w:r>
      <w:r>
        <w:rPr>
          <w:rtl w:val="true"/>
        </w:rPr>
        <w:t>:</w:t>
      </w:r>
      <w:bookmarkEnd w:id="314"/>
    </w:p>
    <w:p>
      <w:pPr>
        <w:pStyle w:val="BookText"/>
        <w:rPr/>
      </w:pPr>
      <w:r>
        <w:rPr>
          <w:rFonts w:ascii="Amiri" w:hAnsi="Amiri" w:eastAsia="Amiri" w:cs="Amiri"/>
          <w:color w:val="111111"/>
          <w:sz w:val="28"/>
          <w:sz w:val="28"/>
          <w:szCs w:val="28"/>
          <w:rtl w:val="true"/>
          <w:lang w:bidi="ar-SA"/>
        </w:rPr>
        <w:t>قد توهَّم المستشكل بأنَّ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الخُمُس منحص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بالحاجة إليه فقط، مع أنَّ الملاك في ذلك أعمّ من الحاجة، فإنَّها ليست هي العلَّة التامَّة في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هذا الحقِّ، وإنَّما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هذا الحقُّ في سبيل الله تعالىٰ، وهذا الملاك عامٌّ شامل لجميع ما يدخل في حفظ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معالم الدين والمذهب الحقِّ، وكلُّ ما يكون فيه رضا لله عزوجل، وللنبيِّ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بيَّنّا فيما سبق أيضاً بعض الملاكات الأُخرىٰ 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ريع الخُمُس كالتكريم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قرابته لما قدَّموه في الدفاع عن الدين الإسلامي وسبقهم في الدعوة إلىٰ التوحيد، وجعله عوضاً عن الزكاة التيحُرِّمت عليهم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هذا المعنىٰ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 الله عزوجل</w:t>
      </w:r>
      <w:r>
        <w:rPr>
          <w:rFonts w:eastAsia="IRNazanin" w:cs="IRNazanin"/>
          <w:color w:val="111111"/>
          <w:sz w:val="28"/>
          <w:szCs w:val="28"/>
          <w:rtl w:val="true"/>
          <w:lang w:bidi="fa-IR"/>
        </w:rPr>
        <w:t xml:space="preserve">: </w:t>
      </w:r>
      <w:bookmarkStart w:id="315" w:name="pg7142_66812"/>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خُمُس الله عزوجل فللرسول يضعه في سبيل الله، وأمَّا خمس الرسول فلأقاربه، وخمس ذوي القربىٰ فهم أقرباؤه، واليتامىٰ يتامىٰ أهل بيته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4020447_372815092"/>
      <w:bookmarkStart w:id="317" w:name="_Toc109"/>
      <w:bookmarkEnd w:id="316"/>
      <w:r>
        <w:rPr>
          <w:rtl w:val="true"/>
        </w:rPr>
        <w:t>الأمر الثاني</w:t>
      </w:r>
      <w:r>
        <w:rPr>
          <w:rtl w:val="true"/>
        </w:rPr>
        <w:t>:</w:t>
      </w:r>
      <w:bookmarkEnd w:id="317"/>
    </w:p>
    <w:p>
      <w:pPr>
        <w:pStyle w:val="BookText"/>
        <w:rPr/>
      </w:pPr>
      <w:r>
        <w:rPr>
          <w:rFonts w:ascii="Amiri" w:hAnsi="Amiri" w:eastAsia="Amiri" w:cs="Amiri"/>
          <w:color w:val="111111"/>
          <w:sz w:val="28"/>
          <w:sz w:val="28"/>
          <w:szCs w:val="28"/>
          <w:rtl w:val="true"/>
          <w:lang w:bidi="ar-SA"/>
        </w:rPr>
        <w:t>إنَّ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غَنِمْتُمْ مِنْ شَيْءٍ فَأَنَّ لِلَّهِ خُمُسَهُ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يُقْرِضُ اللهَ قَرْضاً حَسَناً فَيُضاعِفَهُ لَهُ وَلَهُ أَجْرٌ كَرِيمٌ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من المعقول أن يُنسَب القرض والدَّين إلىٰ الله تعالىٰ، فهو ليس محتاجاً، بل هو الغني المطلق، وإنَّما المراد منه من أنفق ممَّا رزقه الله تعالىٰ، وإِنَّما عبَّر عنه بالإِقراض لتحريك المشاعر وإِثارتها لدىٰ الناس قدراً أكبر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نفسه قد أبرزه اليهود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إلىٰ يهود بني قينقاع دعاهم فيه لإِقامة الصلاة وإِيتاء الزكاة وأن يُقرضوا الله، فدخل رسول النبيِّ إلىٰ بيت المدارس حيث يتلقّىٰ اليهود دروساً في دينهم، وسلَّم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فنحاص وهو من كبار أحبار اليهود، فلمَّا قرأه قال مستهزءاً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تقولونه حقًّا فإنَّ الله إِذن لفقير ونحن أغنياء، ولو كان غنيًّا لما استقرض منّا، وهو يشير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اللهُقَوْلَ الَّذِينَ قالُوا إِنَّ اللهَ فَقِيرٌ وَنَحْنُ أَغْنِياءُ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318" w:name="pg7142_66813"/>
    </w:p>
    <w:p>
      <w:pPr>
        <w:pStyle w:val="Heading2"/>
        <w:numPr>
          <w:ilvl w:val="1"/>
          <w:numId w:val="1"/>
        </w:numPr>
        <w:rPr/>
      </w:pPr>
      <w:bookmarkStart w:id="319" w:name="__RefHeading___Toc4020449_372815092"/>
      <w:bookmarkStart w:id="320" w:name="_Toc110"/>
      <w:bookmarkEnd w:id="318"/>
      <w:bookmarkEnd w:id="319"/>
      <w:r>
        <w:rPr>
          <w:rtl w:val="true"/>
        </w:rPr>
        <w:t>الشبهة الثالثة عشر</w:t>
      </w:r>
      <w:r>
        <w:rPr>
          <w:rtl w:val="true"/>
        </w:rPr>
        <w:t xml:space="preserve">: </w:t>
      </w:r>
      <w:r>
        <w:rPr>
          <w:rtl w:val="true"/>
        </w:rPr>
        <w:t>ربط الحادث بالمتغيّر</w:t>
      </w:r>
      <w:r>
        <w:rPr>
          <w:rtl w:val="true"/>
        </w:rPr>
        <w:t>(</w:t>
      </w:r>
      <w:r>
        <w:rPr>
          <w:rtl w:val="true"/>
        </w:rPr>
        <w:t>مشكلة الحداثة والمعاصرة والحفاظ علىٰ الأصالة والموروث</w:t>
      </w:r>
      <w:r>
        <w:rPr>
          <w:rtl w:val="true"/>
        </w:rPr>
        <w:t>)</w:t>
      </w:r>
      <w:bookmarkEnd w:id="32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4020451_372815092"/>
      <w:bookmarkStart w:id="322" w:name="_Toc111"/>
      <w:bookmarkEnd w:id="321"/>
      <w:r>
        <w:rPr>
          <w:rtl w:val="true"/>
        </w:rPr>
        <w:t>اشارة</w:t>
      </w:r>
      <w:bookmarkEnd w:id="3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7142_66815"/>
      <w:bookmarkStart w:id="324" w:name="pg7142_66815"/>
      <w:bookmarkEnd w:id="324"/>
    </w:p>
    <w:p>
      <w:pPr>
        <w:pStyle w:val="Heading3"/>
        <w:numPr>
          <w:ilvl w:val="2"/>
          <w:numId w:val="1"/>
        </w:numPr>
        <w:rPr/>
      </w:pPr>
      <w:bookmarkStart w:id="325" w:name="pg7142_66815"/>
      <w:bookmarkStart w:id="326" w:name="__RefHeading___Toc4020453_372815092"/>
      <w:bookmarkStart w:id="327" w:name="_Toc112"/>
      <w:bookmarkEnd w:id="325"/>
      <w:bookmarkEnd w:id="326"/>
      <w:r>
        <w:rPr>
          <w:rtl w:val="true"/>
        </w:rPr>
        <w:t>مفاد الشبهة</w:t>
      </w:r>
      <w:bookmarkEnd w:id="32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الاجتماعية متغيِّرة ومتحوِّلة، فكيف يمكن أن تُدار من قِبَل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ثابت ودائم وخالد؟ وكذلك إنَّ هذه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صدرت في زمان بدوي غير مدني، فكيف تنسجم مع المدنية الحديثة؟ أليس للدين مرحلة زمنية معيَّنة وينتهي؟</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قضايا حادثة غير موجودة في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من قبيل حقِّ التأليف والطباعة والنش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وحقِّ الاختراع، والتلقيح الاصطناعي، وزراعة الأعضاء، وتغيير الجنس، وغيرها ممَّا لم يتعرَّض لها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المقدَّس، فكيف يُتعامَل مع مثل هذه الأُمور؟ وهل للفقيه الحقُّ في التدخُّل في تشريع أحكام خاصَّة للأُمور المستحدَثة؟</w:t>
      </w:r>
    </w:p>
    <w:p>
      <w:pPr>
        <w:pStyle w:val="Heading3"/>
        <w:numPr>
          <w:ilvl w:val="2"/>
          <w:numId w:val="1"/>
        </w:numPr>
        <w:rPr/>
      </w:pPr>
      <w:bookmarkStart w:id="328" w:name="__RefHeading___Toc4020455_372815092"/>
      <w:bookmarkStart w:id="329" w:name="_Toc113"/>
      <w:bookmarkEnd w:id="328"/>
      <w:r>
        <w:rPr>
          <w:rtl w:val="true"/>
        </w:rPr>
        <w:t>ردُّ الشبهة</w:t>
      </w:r>
      <w:bookmarkEnd w:id="32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فكرة تغيُّر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بما يناسب الطابع المدني غير دقيقة، ولا يمكن المساعدة عليها؛ وذلك لأنَّ الوسيلة الوحيدة لإشباع الحاجات الفطرية للبش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هو الدين دون العلم، فلا يمكن المقارنة بين المعطيات العلمية ومبادئ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من حيث التغيُّر والثبات؛ لأنَّ المبادئ العلمية قائمة علىٰ أساس التجربة والاختبار، وهذا بخلافه في المقولات الأخلاقية والروحية والدينية، وما يرتبط بتلبية حاجات الإنسان الفطرية، فإنَّها غير خاضعة للاختبار والتجربة كالعلم الحديث</w:t>
      </w:r>
      <w:r>
        <w:rPr>
          <w:rFonts w:eastAsia="Amiri" w:cs="Amiri" w:ascii="Amiri" w:hAnsi="Amiri"/>
          <w:color w:val="111111"/>
          <w:sz w:val="28"/>
          <w:szCs w:val="28"/>
          <w:rtl w:val="true"/>
          <w:lang w:bidi="ar-SA"/>
        </w:rPr>
        <w:t xml:space="preserve">. </w:t>
      </w:r>
      <w:bookmarkStart w:id="330" w:name="pg7142_66816"/>
    </w:p>
    <w:p>
      <w:pPr>
        <w:pStyle w:val="BookText"/>
        <w:rPr/>
      </w:pPr>
      <w:bookmarkEnd w:id="330"/>
      <w:r>
        <w:rPr>
          <w:rFonts w:ascii="Amiri" w:hAnsi="Amiri" w:eastAsia="Amiri" w:cs="Amiri"/>
          <w:color w:val="111111"/>
          <w:sz w:val="28"/>
          <w:sz w:val="28"/>
          <w:szCs w:val="28"/>
          <w:rtl w:val="true"/>
          <w:lang w:bidi="ar-SA"/>
        </w:rPr>
        <w:t>ومن هنا فهناك مساحة من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ثابتة لا تتغيَّر بحسب المنظار الفطري والديني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لأنَّها حاجة فطرية طبيعية، ولا يمكن للعلم أن يحلَّ محلَّ الدين فيها؛ لأنَّها أُصول وتش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تستمدُّ من الفطرة الإنسانية التي أُودعت من قِبَل الحقِّ تعالىٰ، كالعدل، والشجاعة، والصبر، والصدق، والوفاء بالعهد، وحقِّ الحياة، والحرّية، والملكية، والزواج، وغيرها ممَّا يصبُّ في تنظيم حياة الفرد والمجتمع علىٰ المستوىٰ الروحي والاجتماعي؛ لأنَّها جاءت حسب ما تقتضيه فطرة الإنسان وسُنَن الحياة التي جُعِلَت من قِبَل الشرع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مساحة من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قابلة للتغيُّر والتبدُّل، وطرح العلماء الأعلام في ذلك نظريات متعدِّدة</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4020457_372815092"/>
      <w:bookmarkStart w:id="332" w:name="_Toc114"/>
      <w:bookmarkEnd w:id="331"/>
      <w:r>
        <w:rPr>
          <w:rtl w:val="true"/>
        </w:rPr>
        <w:t>النظرية الأُولىٰ</w:t>
      </w:r>
      <w:r>
        <w:rPr>
          <w:rtl w:val="true"/>
        </w:rPr>
        <w:t xml:space="preserve">: </w:t>
      </w:r>
      <w:r>
        <w:rPr>
          <w:rtl w:val="true"/>
        </w:rPr>
        <w:t>منطقة الفراغ في التشريع الإسلامي</w:t>
      </w:r>
      <w:r>
        <w:rPr>
          <w:rtl w:val="true"/>
        </w:rPr>
        <w:t>:</w:t>
      </w:r>
      <w:bookmarkEnd w:id="332"/>
    </w:p>
    <w:p>
      <w:pPr>
        <w:pStyle w:val="BookText"/>
        <w:rPr/>
      </w:pPr>
      <w:r>
        <w:rPr>
          <w:rFonts w:ascii="Amiri" w:hAnsi="Amiri" w:eastAsia="Amiri" w:cs="Amiri"/>
          <w:color w:val="111111"/>
          <w:sz w:val="28"/>
          <w:sz w:val="28"/>
          <w:szCs w:val="28"/>
          <w:rtl w:val="true"/>
          <w:lang w:bidi="ar-SA"/>
        </w:rPr>
        <w:t>يذهب أصحاب هذا القول إلىٰ أنَّه كما أنَّ هنالك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ثابتة كما تقدَّم فهنالك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متغيِّرة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الإسلاميَّة، وهي ما يرتبط بعلاقات الحياة وعلاقة الإنسان بالطبيعة، وأنَّ الدين الإسلامي ناظر إلىٰ هذه الجهة حيث ترك مساحة بيد الفقيه أو وليِّ الأمر لتقنين بعض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المواكبة لحاجات المجتمع للتواصل مع تطوُّر العلاقات الإنسانية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ليس نقصاً في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الإسلامي أو إهمالاً من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بل يُعبِّر عن استيعاب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المقدَّسة، وقدرتها علىٰ مواكبة العصور المختلفة، وقد حدَّد الشارع المقدَّس منطقة الفراغ بمنح كلِّ حادثة صفتها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ريعية مع إعطاء وليِّ الأمر صلاحية لملئ هذا الفراغ، ولكن ليس مطلقاً وإنَّما ضمن نطاق الأفعال المباحة، فأيُّ نشاط لم يرد فيه نصٌّ من </w:t>
      </w:r>
      <w:bookmarkStart w:id="333" w:name="pg7142_66817"/>
    </w:p>
    <w:p>
      <w:pPr>
        <w:pStyle w:val="BookText"/>
        <w:rPr/>
      </w:pPr>
      <w:bookmarkEnd w:id="333"/>
      <w:r>
        <w:rPr>
          <w:rFonts w:ascii="Amiri" w:hAnsi="Amiri" w:eastAsia="Amiri" w:cs="Amiri"/>
          <w:color w:val="111111"/>
          <w:sz w:val="28"/>
          <w:sz w:val="28"/>
          <w:szCs w:val="28"/>
          <w:rtl w:val="true"/>
          <w:lang w:bidi="ar-SA"/>
        </w:rPr>
        <w:t>الشرع المقدَّس علىٰ وجوبه أو تحريمه يُسمَح للفقيه بإعطائه صفة ثانوية بالمنع عنه أو الأمر به بحسب ما يقتضيه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الأفعال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ريعية التي ثبت تحريمها، فلا يمكن للفقيه تغييرها كالربا مثلاً، وكذلك ما ثبت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وجوبه كإنفاق الزوج علىٰ الزوجة، فلا يمكن لوليِّ الأمر المنع عنه؛ لأنَّ حدود منطقة الفراغ التي أُتيحت للفقيه لا بدَّ أن لا تتعارض مع طاعة الله وأحكامه العامَّة، فالتي تُشكِّل منطقة الفراغ هي الألوان المباحة دون غيرها ممَّا ثبت شرعاً تحريمه أو وجوبه، ولا يوجد إشارة إلىٰ تغيُّره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4020459_372815092"/>
      <w:bookmarkStart w:id="335" w:name="_Toc115"/>
      <w:bookmarkEnd w:id="334"/>
      <w:r>
        <w:rPr>
          <w:rtl w:val="true"/>
        </w:rPr>
        <w:t>النظرية الثانية</w:t>
      </w:r>
      <w:r>
        <w:rPr>
          <w:rtl w:val="true"/>
        </w:rPr>
        <w:t xml:space="preserve">: </w:t>
      </w:r>
      <w:r>
        <w:rPr>
          <w:rtl w:val="true"/>
        </w:rPr>
        <w:t>تغيُّر الأحكام تبعاً للزمان والمكان</w:t>
      </w:r>
      <w:r>
        <w:rPr>
          <w:rtl w:val="true"/>
        </w:rPr>
        <w:t>:</w:t>
      </w:r>
      <w:bookmarkEnd w:id="335"/>
    </w:p>
    <w:p>
      <w:pPr>
        <w:pStyle w:val="BookText"/>
        <w:rPr/>
      </w:pPr>
      <w:r>
        <w:rPr>
          <w:rFonts w:ascii="Amiri" w:hAnsi="Amiri" w:eastAsia="Amiri" w:cs="Amiri"/>
          <w:color w:val="111111"/>
          <w:sz w:val="28"/>
          <w:sz w:val="28"/>
          <w:szCs w:val="28"/>
          <w:rtl w:val="true"/>
          <w:lang w:bidi="ar-SA"/>
        </w:rPr>
        <w:t xml:space="preserve">وهي التي طُرِحَت في بعض كلمات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أعتقد بالفقه الدارج بين فقهائنا، وبالاجتهاد علىٰ نهج الجواهري، وهذا الأمر لا بدَّ منه، ولكن لا يعني ذلك أنَّ الفقه الإسلامي لا يواكب حاجات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وأنَّ لعنص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الزمان والمكان تأثيراً في الاجتهاد، فقد يكون لواقعة حكم لكنَّها تتَّخذ حكماً آخر علىٰ ضوء الأُصول الحاكمة علىٰ المجتمع وسياسته واقتصاده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مفاد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النظرية لا يُراد منها الإتيان بأحكام جديدة أو تغيير الأحكام الفقهية، فإنَّ 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المراد منها أنَّ بعض الأحكام التي ليس من ثوابت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وأُصولها وليس من الأحكام الدائمة قد تتغيَّر تبعاً لتغيُّر موضوعاتها، وتغيُّر الموضوعات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فعليه إنَّ الأحكام دائمة وثابتة لا تتغيَّر، وإنَّ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غير قابل للتغيُّر، نعم الموضوعات قد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في مسألة الحجِّ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الحجِّ واجب، وهذا الحكم غير قابل للتغيُّر والتبديل، فهو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ثابت ودائم، ولكن هذا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لم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بنحو مطلق وإنَّما تابع لموضوعه، وهذا الموضوع له شرائط، ومن شرائطه أن يكون الإنسان مستطيعاً وصحيح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آخره، وإذا لم تتحقَّق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لا يجب الحجُّ علىٰ المكلَّف، ومعنىٰ عدم وجوبه لا يدلُّ علىٰ عدم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ريعه من قِبَل الله تعالىٰ، وإنَّما يدلُّ علىٰ عدم فعليته، لعدم تحقُّق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علىٰ فلان من الناس، فعند عدم تحقُّق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لا يجب الحجُّ علىٰ المكلَّف؛ لأنَّ موضوع الحجِّ لم يتحقَّق، فهذا التغيير إنَّما تحقَّق لانتفاء الموضوع، وليس انتفاء تشريع الحكم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التمييز بن مرحلة الجعل للحكم ومرحلة الفعلية، فإنَّ مرحلة جعل الحكم لا تتغيَّر ولا تتبدَّل، بل الحكم ثابت وإنَّما فعلية الحكم في عهدة المكلَّف، ولكي تتحقَّق هذه الفعلية لا بدَّ من تحقُّق جميع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النظرية لها حدود في تطبيقها، وهي أنَّ التغيير والتبديل التابع للزمان والمكان له تأثير في تغيير الحكم التابع للموضوعات وليس مطلقاً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مثال آخر يُوضِّح الصورة أقرب، وهو بيع الدم، فإنَّ موضوع حرمة بيع الدم هو المنفعة وعدمها، ففي السابق كان بيع الدم </w:t>
      </w:r>
    </w:p>
    <w:p>
      <w:pPr>
        <w:pStyle w:val="BookText"/>
        <w:rPr/>
      </w:pPr>
      <w:r>
        <w:rPr>
          <w:rFonts w:ascii="Amiri" w:hAnsi="Amiri" w:eastAsia="Amiri" w:cs="Amiri"/>
          <w:color w:val="111111"/>
          <w:sz w:val="28"/>
          <w:sz w:val="28"/>
          <w:szCs w:val="28"/>
          <w:rtl w:val="true"/>
          <w:lang w:bidi="ar-SA"/>
        </w:rPr>
        <w:t>حراماً لعدم الانتفاع منه، والآن حيث يمكن الانتفاع منه فجاز بيعه، وهذا لا يعني أنَّ هنالك تبدُّلاً في أصل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وإنَّما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عندما شرَّع هذا الحكم جعله تابعاً لموضوعه، وحيث إنَّ الموضوع قابل للتغيير والتبديل فالحكم يتبعه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مثلاً ما ورد الحديث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 وليس لعرق ظالم حقٌّ</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يرىٰ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إمكان تطبيق هذا الحكم بمعزل عن تأثير الزمان والمكان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وذلك لأنَّ أدوات الاستخراج آنذاك كانت محدودة، وما كان يُستَخرج إنَّما بقدر الحاجة، وأمَّا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حيث توسَّعت القدرات والمعدّات علىٰ الإحياء بحيث هنالك بعض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ركات لها من القدرات علىٰ إحياء بلد بأكمله، ولو طبَّقنا هذا الحديث علىٰ عصرنا لما تبقىٰ أيَّة ثروة 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العلماء والفقهاء الأعلام أنَّ هذه النظرية لا يمكن جريانها في العبادات؛ وذلك لأنَّه بالاتِّفاق أنَّ ملاكات العبادات غير واضحة للبش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فلا يمكن لأحد أن يكشف ملاكاتها، وأنَّ تشخيص الملاك في العبادات إنَّما بيد الشارع المقدَّس لا غير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تطبيق هذه النظرية في المعاملات والسياسات فإنَّه ممكن؛ لإمكان كشف ملاكات الأحكام في باب المعاملات والسياسات، وذلك وفق الأصل الأوَّلي لها، وعلىٰ هذا الأساس يمكن كشف حركة التطوُّر الفقهي في هذين الصنفين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المتتبِّع لأقوال الفقهاء من القدماء والمتأخِّرين يجد أنَّ هذه النظرية قد طُرِحَت من قِبَلهم، وقد أخذوا بعين الاعتبار عنص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الزمان والمكان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بين المسلمين والمش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ركين التحلّي بالعمائم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والتحلّي هو إدارة العمامة تحت الحنك، والاقتعاظ شدُّها من غير إدارة، مع أنَّنا نجد أنَّ سُنَّة التحنُّك متروكة في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وعلَّق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الرواية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في أوَّل الإسلام وابتدائه، وقد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بالتحلّي ونهىٰ عن الاقتعاظ</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 منوطة بالمصالح، والمصالح تتغيَّر بتغيُّر الأوقات وتختلف باختلاف المكلَّفين، فجاز أن يكون الحكم المعيَّن مصلحة لقوم في زمان فيُؤمَر به، ومفسدة لقوم في زمان آخر فيُنهىٰ عنه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صاحب الجواهر حيث تعرَّض لهذه المسألة في بيع الموزون مكيلاً،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الأقوىٰ اعتبار التعارف في ذلك، وهو مختلف باختلاف الأزمنة والأمكنة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أنَّ فقهاء الطائفة الإماميَّة قد لحظوا هذه الجهة،وأنَّ الفقه ملحوظ فيه مواكبته للعصور المتقدِّمة، وقادر علىٰ تلبية جميع </w:t>
      </w:r>
      <w:bookmarkStart w:id="336" w:name="pg7142_66821"/>
    </w:p>
    <w:p>
      <w:pPr>
        <w:pStyle w:val="BookText"/>
        <w:rPr/>
      </w:pPr>
      <w:bookmarkEnd w:id="336"/>
      <w:r>
        <w:rPr>
          <w:rFonts w:ascii="Amiri" w:hAnsi="Amiri" w:eastAsia="Amiri" w:cs="Amiri"/>
          <w:color w:val="111111"/>
          <w:sz w:val="28"/>
          <w:sz w:val="28"/>
          <w:szCs w:val="28"/>
          <w:rtl w:val="true"/>
          <w:lang w:bidi="ar-SA"/>
        </w:rPr>
        <w:t>حاجات الفرد والمجتمع، وليس كما يُتصوَّر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من أنَّ فقه الإماميَّة جمودي ولا يمكن أن يواكب العصر</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4020461_372815092"/>
      <w:bookmarkStart w:id="338" w:name="_Toc116"/>
      <w:bookmarkEnd w:id="337"/>
      <w:r>
        <w:rPr>
          <w:rtl w:val="true"/>
        </w:rPr>
        <w:t>النظرية الثالثة</w:t>
      </w:r>
      <w:r>
        <w:rPr>
          <w:rtl w:val="true"/>
        </w:rPr>
        <w:t>:</w:t>
      </w:r>
      <w:bookmarkEnd w:id="338"/>
    </w:p>
    <w:p>
      <w:pPr>
        <w:pStyle w:val="BookText"/>
        <w:rPr/>
      </w:pPr>
      <w:r>
        <w:rPr>
          <w:rFonts w:ascii="Amiri" w:hAnsi="Amiri" w:eastAsia="Amiri" w:cs="Amiri"/>
          <w:color w:val="111111"/>
          <w:sz w:val="28"/>
          <w:sz w:val="28"/>
          <w:szCs w:val="28"/>
          <w:rtl w:val="true"/>
          <w:lang w:bidi="ar-SA"/>
        </w:rPr>
        <w:t>إنَّ للفهم الديني للفقيه المستكشف للأحكام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الحاضرة في الكتاب والسُّنَّة ضوابط ومعايير، فلا يحقُّ للفقيه بل ولوليِّ الأمر أن يقوم بتغيير أيِّ حكم شرعي، كما لا يحقُّ له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في عرض الكتاب والسُّنَّة، نعم يُستثنىٰ من ذلك موارد،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يتَّفق للفقيه أن يفهم من النصِّ أنَّ هذا الحكم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إمَّا زمني مرحلي أو ظرفي مقيَّد والقيد مفقود حالياً، أو يكون الحكم ولائياً سلطانياً، أي إنَّ الحكم صدر في زاوية الولاية التنفيذية، فيمكن انتهاء أمر الحكم الولائي في عصرنا بناءً علىٰ اختصاص المقام بالمعصوم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عنوان ثانوي حاكم علىٰ العنوان الأوَّلي مثل الحرج والض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رر وقوانين الالتزام الامتثالي، فيمكن لوليِّ الأمر أو الفقيه أن يُجمِّد حكماً أوَّلياً بمقدار دلالة الدليل الثانوي، ومن الواضح أنَّ هذا التجميد ممنهج طبعاً، فإنَّه من شأن الفقيه؛ لأنَّه سلطة 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يُعيِّن كلّيّات العناوين الثانوية ونظام العلاقة فيما بينها وبين العناوين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تشخيص المصداق من شؤون المكلَّفين إلَّا إذا كان هناك 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تشخيص المصداق بيد الوليِّ؛ لأنَّه سلطة تنفيذية إذا كان إحالته إلىٰ المكلَّف يلزم منه الفوضىٰ والهرج والمرج والفساد لما يلحق من ضرر بالنظام الإسلامي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نجعل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من الأوَّل منطقة فراغ تُعطي للفقيهصلاحية في تقنين قوانين، كما تقدَّم في النظرية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المساحات في الوقائع الحياتية لم تتدخَّل فيها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وتُرِكَ تخويلها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للمكلَّف أو الفقيه وفقاً لما يراه الصالح العامّ، وقد تتغيَّر الأحكام تبعاً لتغيُّر موضوعاتها، كما ذكرنا تفصيله في النظرية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الجهات كلُّها لا بدَّ أن تُلحَظ في البحث، وعليه فإنَّ ما تقدَّم من الشبهة اتَّضح بطلانه، حيث تبيَّن بأنَّ الفقه الإمامي قد لحظ عنص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التطوُّر، وأنَّ هنالك مساحات للفقيه يمكن أن يتحرَّك بها بما أتاحه الشارع المقدَّس له، فإنَّ الأحكام المستحدَثة التي ذُكِرَت في بداية الشبهة قد اتَّضح كيفية التعامل معها، وكيف يمكن للفقيه أن يُصدِر حكماً فيها، وذلك وفق المساحة المتروكة من قِبَل الشارع له علىٰ ما تقدَّم تفصيله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أنَّ من يتصوَّر أنَّ حكم الخُمُس يجب أن يتغيَّر تبعاً للزمان والمكان، فهذا تصوُّر باطل؛ وذلك لأنَّ فريضة الخُمُس من الفرائض والأحكام الأصلية والثابتة الدائمة التي نصَّ الشارع المقدَّس علىٰ وجوبها، فلا يمكن إدخالها في ضمن منطقة الفراغ؛ لاختصاصها بالمباحات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يمكن فرض تأثير الزمان والمكان فيها؛ لأنَّها من العبادات التي لا يمكن لغير المعصوم كشف ملاكها، وكذا لا يمكن فرض العنوان الثانوي فيها، فهو حكم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ريعي أصلي كوجوب الصلاة والزكاة والحجِّ غير قابل للتبدُّل والتغيُّر</w:t>
      </w:r>
      <w:r>
        <w:rPr>
          <w:rFonts w:eastAsia="Amiri" w:cs="Amiri" w:ascii="Amiri" w:hAnsi="Amiri"/>
          <w:color w:val="111111"/>
          <w:sz w:val="28"/>
          <w:szCs w:val="28"/>
          <w:rtl w:val="true"/>
          <w:lang w:bidi="ar-SA"/>
        </w:rPr>
        <w:t>.</w:t>
      </w:r>
      <w:bookmarkStart w:id="339" w:name="pg7142_66823"/>
    </w:p>
    <w:p>
      <w:pPr>
        <w:pStyle w:val="Heading2"/>
        <w:numPr>
          <w:ilvl w:val="1"/>
          <w:numId w:val="1"/>
        </w:numPr>
        <w:rPr/>
      </w:pPr>
      <w:bookmarkStart w:id="340" w:name="__RefHeading___Toc4020463_372815092"/>
      <w:bookmarkStart w:id="341" w:name="_Toc117"/>
      <w:bookmarkEnd w:id="339"/>
      <w:bookmarkEnd w:id="340"/>
      <w:r>
        <w:rPr>
          <w:rtl w:val="true"/>
        </w:rPr>
        <w:t>الشبهة الرابعة عشر</w:t>
      </w:r>
      <w:r>
        <w:rPr>
          <w:rtl w:val="true"/>
        </w:rPr>
        <w:t xml:space="preserve">: </w:t>
      </w:r>
      <w:r>
        <w:rPr>
          <w:rtl w:val="true"/>
        </w:rPr>
        <w:t>ابتلاء الخُمُس بمخالفة المنظومة الأخلاقية والعقل العملي</w:t>
      </w:r>
      <w:bookmarkEnd w:id="34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4020465_372815092"/>
      <w:bookmarkStart w:id="343" w:name="_Toc118"/>
      <w:bookmarkEnd w:id="342"/>
      <w:r>
        <w:rPr>
          <w:rtl w:val="true"/>
        </w:rPr>
        <w:t>اشارة</w:t>
      </w:r>
      <w:bookmarkEnd w:id="34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7142_66825"/>
      <w:bookmarkStart w:id="345" w:name="pg7142_66825"/>
      <w:bookmarkEnd w:id="345"/>
    </w:p>
    <w:p>
      <w:pPr>
        <w:pStyle w:val="Heading3"/>
        <w:numPr>
          <w:ilvl w:val="2"/>
          <w:numId w:val="1"/>
        </w:numPr>
        <w:rPr/>
      </w:pPr>
      <w:bookmarkStart w:id="346" w:name="pg7142_66825"/>
      <w:bookmarkStart w:id="347" w:name="__RefHeading___Toc4020467_372815092"/>
      <w:bookmarkStart w:id="348" w:name="_Toc119"/>
      <w:bookmarkEnd w:id="346"/>
      <w:bookmarkEnd w:id="347"/>
      <w:r>
        <w:rPr>
          <w:rtl w:val="true"/>
        </w:rPr>
        <w:t>مفاد الشبهة</w:t>
      </w:r>
      <w:bookmarkEnd w:id="348"/>
    </w:p>
    <w:p>
      <w:pPr>
        <w:pStyle w:val="BookText"/>
        <w:rPr/>
      </w:pPr>
      <w:r>
        <w:rPr>
          <w:rFonts w:ascii="Amiri" w:hAnsi="Amiri" w:eastAsia="Amiri" w:cs="Amiri"/>
          <w:color w:val="111111"/>
          <w:sz w:val="28"/>
          <w:sz w:val="28"/>
          <w:szCs w:val="28"/>
          <w:rtl w:val="true"/>
          <w:lang w:bidi="ar-SA"/>
        </w:rPr>
        <w:t>إنَّ المنظومة الأخلاقية قائمة علىٰ أساس نظام الحقّيَّة، بينما المنظومة الفقهية قائمة علىٰ أساس المنظومة التكليفية القهرية، فإنَّه من الواضح أنَّ هناك علاقة التضادِّ بين الفقه والأخلاق، فالفقه هو عبارة عن فتاوىٰ تتكوَّن من أوامر ونواهي، والأخلاق عبارة عن رياضة روحية باطنية، فلا توجد أيُّ علاقة بينهما، ولذا نجد أنَّ هناك بعض المسائل بعيدة عن القِيَم الأخلاقية والإنسانية، فعلىٰ سبيل المثال حكم الخُمُس فهو تكليف فقهي قهري، وقد يكون من منظار أخلاقي وإنساني فيه إجحاف وظلم، فالشخص الذي يعمل ويكدُّ ليله ونهاره ويجمع الأموال ثمّ بعد ذلك يُطالَب بدفع هذه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 لأشخاص غير عاملين ويعيشون علىٰ هذه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 أليس هذا إجحافاً وظلماً بحقِّه؟ وهكذا العديد من المسائل الفقهية التي لو لوحظت من جهة أخلاقية لكانت متناقضة مع تلك القِيَم</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4020469_372815092"/>
      <w:bookmarkStart w:id="350" w:name="_Toc120"/>
      <w:bookmarkEnd w:id="349"/>
      <w:r>
        <w:rPr>
          <w:rtl w:val="true"/>
        </w:rPr>
        <w:t>ردُّ الشبهة</w:t>
      </w:r>
      <w:bookmarkEnd w:id="35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الشبهة ليست بجديدة، وأوَّل من تعرَّض لها أبو حامد الغزالي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تعرَّض الغزالي إلىٰ مسألة علاقة الفقه بعلم الأخلاق، وقسَّم العلم إلىٰ محمود ومذموم، ثمّ قسَّم المحمود إلىٰ واجب عيني وواجب كفائي، ويقصد بالواجب العيني هو علم </w:t>
      </w:r>
      <w:bookmarkStart w:id="351" w:name="pg7142_66826"/>
    </w:p>
    <w:p>
      <w:pPr>
        <w:pStyle w:val="BookText"/>
        <w:rPr/>
      </w:pPr>
      <w:bookmarkEnd w:id="351"/>
      <w:r>
        <w:rPr>
          <w:rFonts w:ascii="Amiri" w:hAnsi="Amiri" w:eastAsia="Amiri" w:cs="Amiri"/>
          <w:color w:val="111111"/>
          <w:sz w:val="28"/>
          <w:sz w:val="28"/>
          <w:szCs w:val="28"/>
          <w:rtl w:val="true"/>
          <w:lang w:bidi="ar-SA"/>
        </w:rPr>
        <w:t>الأخلاق، وأما الواجب الكفائي فيقصد به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 الغزالي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الدنيوي، ووصف علماء الفقه بأنَّهم علماء الدنيا، وأمَّا العلم الأُخروي فهو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الغزالي بطرح الشبهات في هذا المجال، وأثار شبهة التناقض والتضادِّ بين المنظومة الفقهية والأخلاقية، ووصف علم الفقه بأنَّه ضرورة ناشئة من الخصومات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الغزالي بأنَّ الفقه لا يعتني بباطن الإنسان وروحه، فهو يعتني بمباحث الطهارة والنجاسة الظاهرتين، ولا يعتني بحقيقتهما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الفقه في بعض حالاته يعتمد علىٰ الحيل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وذلك من قبيل تضييق الزوج علىٰ زوجته ممَّا يجعلها تهبه صداقها ومهرها، وكذا التهرُّب من دفع الخُمُس أو الزكاة بأن يهب الزوج ذلك الحقَّ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هذه الشبهة عند مجموعة من الصوفية، وغيرهم حتَّىٰ وقتنا المعاصر، وللإجابة عليها والوقوف علىٰ معالمها نذكر أُموراً عدَّة</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4020471_372815092"/>
      <w:bookmarkStart w:id="353" w:name="_Toc121"/>
      <w:bookmarkEnd w:id="352"/>
      <w:r>
        <w:rPr>
          <w:rtl w:val="true"/>
        </w:rPr>
        <w:t>الأمر الأوَّل</w:t>
      </w:r>
      <w:r>
        <w:rPr>
          <w:rtl w:val="true"/>
        </w:rPr>
        <w:t>:</w:t>
      </w:r>
      <w:bookmarkEnd w:id="35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الإجابة علىٰ هذه الشبهة سيكون بمنظار المنظومة الفقهية الشيعية؛ لأنَّنا نعتقد أنَّ فقه العامَّة لا يصلح لأن يُعَدَّ علماً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علوم الدنيا؛ وذلك لاختلاطه بالبدع والجهالات والأهواء المخترعة التي شُرِّعت برعاية السلطات الحاكمة آنذاك، فهذا موطأ مالك بين يديك فإنَّه كان لا يكتب شيئاً فيه لا تقبل به السلطات العبّاسية، ممَّا جعل الحاكم العبّاسي آنذاك يجعله القانون الرسمي للدولة، وعليه لا بدَّ من جعل الميزان في ردِّ هذه الشبهة المنظومة الفقهية التابعة لمدرسة القرآن الكريم والعترة الطاهرة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354" w:name="pg7142_66827"/>
    </w:p>
    <w:p>
      <w:pPr>
        <w:pStyle w:val="Heading3"/>
        <w:numPr>
          <w:ilvl w:val="2"/>
          <w:numId w:val="1"/>
        </w:numPr>
        <w:rPr/>
      </w:pPr>
      <w:bookmarkStart w:id="355" w:name="__RefHeading___Toc4020473_372815092"/>
      <w:bookmarkStart w:id="356" w:name="_Toc122"/>
      <w:bookmarkEnd w:id="354"/>
      <w:bookmarkEnd w:id="355"/>
      <w:r>
        <w:rPr>
          <w:rtl w:val="true"/>
        </w:rPr>
        <w:t>الأمر الثاني</w:t>
      </w:r>
      <w:r>
        <w:rPr>
          <w:rtl w:val="true"/>
        </w:rPr>
        <w:t>:</w:t>
      </w:r>
      <w:bookmarkEnd w:id="356"/>
    </w:p>
    <w:p>
      <w:pPr>
        <w:pStyle w:val="BookText"/>
        <w:rPr/>
      </w:pPr>
      <w:r>
        <w:rPr>
          <w:rFonts w:ascii="Amiri" w:hAnsi="Amiri" w:eastAsia="Amiri" w:cs="Amiri"/>
          <w:color w:val="111111"/>
          <w:sz w:val="28"/>
          <w:sz w:val="28"/>
          <w:szCs w:val="28"/>
          <w:rtl w:val="true"/>
          <w:lang w:bidi="ar-SA"/>
        </w:rPr>
        <w:t>إنَّ العلاقة بين الفقه والأخلاق ليس كما تصوَّره الغزالي وغيره ممَّن تبعه وهي علاقة التناقض، وإنَّما العلاقة تكاملية، فإنَّ المنظومة الفقهية الشيعية فيها مراتب كسائر القوانين، ففي بعض مراتبه فقه إلزامي وفقه استحبابي، وثالث أخلاقي، بمعنىٰ أنَّ المخاطب في المنظومة الفقهية لا بدَّ أن يلحظ هذه المراتب الثلاث، فليس الفقه علىٰ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يُصطَلح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الإلزامي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المخاطَب به جميع الناس، ويكفي في تحصيله وتحقُّقه أداء ذلك اللزوم، سواء كان أمراً أو نهياً، وهو أدنىٰ مراتب الفقه من حيث الوصول إلىٰ الكمالات والرقيِّ الروحي، وإنَّ أغلب المستشكلين ركَّزوا إشكالاتهم علىٰ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الاستحبابي، فهنالك بعض الأوامر والنواهي لوحظ فيه جهة الاستحباب أي جواز الترك والعمل، وأنَّ جهة العمل متروكة بيد المكلَّف نفسه إن أراد الوصول إلىٰ بعض الكمالات الروحية والقرب من الله تعالىٰ، فعليه أداء هذا التكليف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هذا الصنف إلىٰ مرحلة الإلزام تيسيراً للمكلَّف من الوقوع بالحرج والعس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فإنَّ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المقدَّسة تلحظ دائماً جانب الاعتدال في العبادة وتترك جهة الوصول إلىٰ الرقيِّ الروحي بيد نفس المكلَّف وتُعطيه طُرُقها وكيفياتها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الأخلاقي، إنَّ كلَّ حكم من أحكام الشارع المقدَّس سواء كان إلزامياً أو استحبابياً وغيره من الأحكام الفقهية، يعتبره الشارع أحد أهمّ العوامل في تحقيق كثير من الكمالات الأخلاقية </w:t>
      </w:r>
    </w:p>
    <w:p>
      <w:pPr>
        <w:pStyle w:val="BookText"/>
        <w:rPr/>
      </w:pPr>
      <w:r>
        <w:rPr>
          <w:rFonts w:ascii="Amiri" w:hAnsi="Amiri" w:eastAsia="Amiri" w:cs="Amiri"/>
          <w:color w:val="111111"/>
          <w:sz w:val="28"/>
          <w:sz w:val="28"/>
          <w:szCs w:val="28"/>
          <w:rtl w:val="true"/>
          <w:lang w:bidi="ar-SA"/>
        </w:rPr>
        <w:t>والروحية، فالفقه في معناه الاصطلاحي المتداول يدخل في الحكمة العملية، فهو أحد أهمّ العوامل في زيادة التقوىٰ لدىٰ الإنسان وأحد العوامل التي تربط المكلَّف بالله عزوجل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لا بدَّ أن تُلحَظ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الفقه الإلزامي أو الاستحبابي، ومن جهة الفلسفة الروحية لذلك الحكم، فعلىٰ سبيل المثال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حكم إلزامي يدلُّ علىٰ وجوب الصلاة علىٰ المكلَّف، هذا من زاوية الفقه الإلزامي الذي يكفي فيه أداء هذا الواجب، ولكن في نفس الوقت إنَّ هذه الصلاة وإن كان تأديتها تُسقِط الوجوب والإلزام، ولكن لو لوحظت من جهة أخلاقية روحية، فإنَّ هذه الصلاة فيها جنبة التكامل، وهي في عهدة المكلَّف، فكيف يمكن له أن يجعل هذه الصلاة محلّ رقيِّه الروحي، وهذا ما نصَّ عليه القرآن الكريم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القرآن الكريم يُبيِّن وبكلِّ وضوح العلاقة بين الفقه الإلزامي والفقه الأخلاقي، فإنَّ الصلاة وإن كانت إلزامية إلَّا أنَّ فيها جنبة أخلاقية روحية ينبغي علىٰ المكلَّف أن 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أداء الواجبات والنهي عن المحرَّمات ليس عبارة عن منظومة مستقلَّة، وإنَّما فيها لحاظات لا بدَّ أن يُلتَفت إليها، وهي فلسفة تلك الإلزامات ومقاصدها، فهنالك علاقة وثيقة بين العلمين، سواء من حيث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 من المنظومة الفقهية والأخلاقية محورها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المكلَّف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حيث الهدف، فما يُطلَق عليه في الفقه من تكاليف سواء كانت إلزامية أو استحبابية فهي بنظر علم الفقه عبارة عن وصايا أخلاقية يبلغ من خلالها الفرد إلىٰ نيل </w:t>
      </w:r>
      <w:bookmarkStart w:id="357" w:name="pg7142_66829"/>
    </w:p>
    <w:p>
      <w:pPr>
        <w:pStyle w:val="BookText"/>
        <w:rPr/>
      </w:pPr>
      <w:bookmarkEnd w:id="357"/>
      <w:r>
        <w:rPr>
          <w:rFonts w:ascii="Amiri" w:hAnsi="Amiri" w:eastAsia="Amiri" w:cs="Amiri"/>
          <w:color w:val="111111"/>
          <w:sz w:val="28"/>
          <w:sz w:val="28"/>
          <w:szCs w:val="28"/>
          <w:rtl w:val="true"/>
          <w:lang w:bidi="ar-SA"/>
        </w:rPr>
        <w:t>الدرجات والكمالات، لذلك لا يوجد تكليف عبادي مثلاً لم يُلحَظ فيه الجانب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مسألة صفاء النفس وتهذيبها وتطهير الباطن التي هي هدف الأخلاق لا يمكن بلوغها إلَّا عن طريق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فهي التي تُؤمِّن لنا التكاليف المطلوبة من قِبَل الحقِّ تعالىٰ، وهذه التكاليف لا تقتص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الوجوب أو الحرمة وإنَّما تتعدّاها في كثير من الموارد، وذلك ببيان المستحبّات والمكروهات والآداب التي هي من أهمّ أُسس المنظومة الأخلاقية، حيث إنَّها تعتمد في الوصول إلىٰ الكمال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علىٰ ذلك، وهذا واضح لمن يتتبَّع المصنَّفات التي تختصُّ بذلك</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4020475_372815092"/>
      <w:bookmarkStart w:id="359" w:name="_Toc123"/>
      <w:bookmarkEnd w:id="358"/>
      <w:r>
        <w:rPr>
          <w:rtl w:val="true"/>
        </w:rPr>
        <w:t>الأمر الثالث</w:t>
      </w:r>
      <w:r>
        <w:rPr>
          <w:rtl w:val="true"/>
        </w:rPr>
        <w:t>:</w:t>
      </w:r>
      <w:bookmarkEnd w:id="35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المبادئ الأساسية في المنظومة الإسلاميَّة هو مبدأ التكافل الاجتماعي، ويُراد منه التحام الأفراد فيما بينهم في إطار الودِّ والرحمة، يشدُّ بعضهم بعضاً، كما ورد في الحديث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للمؤمن بمنزلة البنيان يشدُّ بعضه بعضاً</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يكون المؤمن مؤمناً حتَّىٰ يكون لأخيه مثل الجسد إذا ضرب عليه عرق واحد تداعت له سائر عروقه</w:t>
      </w:r>
      <w:r>
        <w:rPr>
          <w:rFonts w:eastAsia="IRNazanin" w:cs="IRNazanin"/>
          <w:color w:val="111111"/>
          <w:sz w:val="28"/>
          <w:szCs w:val="28"/>
          <w:rtl w:val="true"/>
          <w:lang w:bidi="fa-IR"/>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 القرآن الكريم هذا المبدأ بالإيمان،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في المنظومة الإسلاميَّة مظاهر عدَّة للتكافل، فالجهاد في سبيل الله تعالىٰ أحد مظاهر التكافل حيث ينضمُّ فيه الأفراد بعضهم إلىٰ البعض للدفاع عن الإسلام والمسلمين، وكذا التكافل العلمي حيث حثَّ الإسلام علىٰ التعلُّم والتعليم، وأن يُعلِّم العالم الجاهل، وهكذا، فالإسلام وإن لحظ جانب الفرد، ولكن الأساس هو المجتمع وكيفية إيجاد حالة التوازن فيه، وذلك عن طريق مبدأ التكافل والإعانة بين أفراد المجتمع، لذلك أصبحت هنالك حاجة ماسَّة للاختصاصات، فالمهندس والطبيب وكلُّ ذي حرفة فإنَّهم يُقدِّمون الخدمات وفق هذا المبدأ ولحاجة المجتمع لذلك، فالحياة الاجتماعية لا يمكن أن تسير وفق جهود الأفراد والفردية، بل لا بدَّ من انضمام جهود الأفراد بعضهم للبعض لكي يحصل التعايش السليم بين طبقات المجتمع، وهذا النوع أكَّد عليه الإسلام كثيراً، فالإنسان هو الصورة المثالية لتحقيق الطمأنينة في المجتمع ورفع الاحتقان الذي قد يحصل بين أفراده، فعلىٰ ضوء هذا المبدأ تزدهر الحياة، وبدونه لا يمكن للفرد أن يُحقِّق الحياة السعيدة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ظواهر التكافل الاجتماعي المهمَّة هي ظاهرة الإنفاق، وظاهرة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 المالية التي تقرُّها جميع الديانات والمذاهب والدول علىٰ اختلاف مسمّياتها، فإنَّ هذه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 إن لوحظت من جهة فردية قد يُتصوَّر فيها أنَّها ظلم وإجحاف في حقِّ الباذل، ولكن في الحقيقة ليس كذلك لو لوحظت من جهة مبدأ التكافل، والتوازن في المعيشة، والمداراة والرحمة بين بني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فإنَّها تكون من أسمىٰ ظواهر التكافل والقِيَم الأخلاقية، ففريضة الخُمُس مثلاً أو الزكاة أو غيرها من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رائب ليست إجحافاً وظلماً بحقِّ الفرد، لأنَّ الفرد يعيش ضمن مجتمع لا بدَّأن </w:t>
      </w:r>
      <w:bookmarkStart w:id="360" w:name="pg7142_66831"/>
    </w:p>
    <w:p>
      <w:pPr>
        <w:pStyle w:val="BookText"/>
        <w:rPr/>
      </w:pPr>
      <w:bookmarkEnd w:id="360"/>
      <w:r>
        <w:rPr>
          <w:rFonts w:ascii="Amiri" w:hAnsi="Amiri" w:eastAsia="Amiri" w:cs="Amiri"/>
          <w:color w:val="111111"/>
          <w:sz w:val="28"/>
          <w:sz w:val="28"/>
          <w:szCs w:val="28"/>
          <w:rtl w:val="true"/>
          <w:lang w:bidi="ar-SA"/>
        </w:rPr>
        <w:t>يُلحَظ فيه جهة التوزان والتكافل حالها حال بقيَّة القِيَم المتقدِّمة، والشارع المقدَّس قد أعطىٰ ضمانات لذلك الفرد، وعدَّ ذلك طريق وسبيل إلىٰ البرِّ والخير ونيل الدرجات الأُخروية، وجعلها من علائم التقوىٰ والإيمان وغيرها من الدرجات العليا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4020477_372815092"/>
      <w:bookmarkStart w:id="362" w:name="_Toc124"/>
      <w:bookmarkEnd w:id="361"/>
      <w:r>
        <w:rPr>
          <w:rtl w:val="true"/>
        </w:rPr>
        <w:t>إشكال ودفع</w:t>
      </w:r>
      <w:r>
        <w:rPr>
          <w:rtl w:val="true"/>
        </w:rPr>
        <w:t>:</w:t>
      </w:r>
      <w:bookmarkEnd w:id="362"/>
    </w:p>
    <w:p>
      <w:pPr>
        <w:pStyle w:val="BookText"/>
        <w:rPr/>
      </w:pPr>
      <w:r>
        <w:rPr>
          <w:rFonts w:ascii="Amiri" w:hAnsi="Amiri" w:eastAsia="Amiri" w:cs="Amiri"/>
          <w:color w:val="111111"/>
          <w:sz w:val="28"/>
          <w:sz w:val="28"/>
          <w:szCs w:val="28"/>
          <w:rtl w:val="true"/>
          <w:lang w:bidi="ar-SA"/>
        </w:rPr>
        <w:t>لماذا لم يمنح الله تعالىٰ الفقير ما يُغنيه وجعله يعتمد علىٰ هذه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 أليس الرزق علىٰ الله تعالىٰ؟ فلماذا لم يرزق ذلك الفقير ما يكفيه ليرفع عنه الاتِّكالية؟</w:t>
      </w:r>
    </w:p>
    <w:p>
      <w:pPr>
        <w:pStyle w:val="BookText"/>
        <w:rPr/>
      </w:pPr>
      <w:r>
        <w:rPr>
          <w:rFonts w:ascii="Amiri" w:hAnsi="Amiri" w:eastAsia="Amiri" w:cs="Amiri"/>
          <w:color w:val="111111"/>
          <w:sz w:val="28"/>
          <w:sz w:val="28"/>
          <w:szCs w:val="28"/>
          <w:rtl w:val="true"/>
          <w:lang w:bidi="ar-SA"/>
        </w:rPr>
        <w:t>الجواب يكون من خلال جهات عدَّة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غير عاجز علىٰ أن يجعل عباده في مستوىٰ واحد من حيث الغناء المالي، وقد أُشير إلىٰ ذلك في آيات كثيرة في القرآن الكريم،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يَرْزُقُكُمْ مِنَ السَّماءِ وَالْأَرضِ أَمَّنْ يَمْلِكُ السَّمْعَ وَالْأَبْصارَ وَمَنْ يُخْرِجُ الْحَيَّ مِنَ الْمَيِّتِ وَيُخْرِجُ الْمَيِّتَ مِنَ الْحَيِّ وَمَنْ يُدَبِّرُ الْأَمْرَ فَسَيَقُولُونَ اللهُ فَقُلْ أَفَلا تَتَّقُونَ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 يَرْزُقُكُمْ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دَابَّةٍ فِي الْأَرضِ إِلَّا عَلَىٰ اللهِ رِزْقُها وَيَعْلَمُ مُسْتَقَرَّها وَمُسْتَوْدَعَها كُلٌّ فِي كِتابٍ مُبِينٍ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السبب في هذا التمايز لأنَّ الحاجة أساس العمل، فبلا عمل لا يوجد إنتاج، وهذه هي طبيعة الحياة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رية، فإذا كان كلُّ أفراد المجتمع في صفٍّ واحدٍ من الغنىٰ، فهذا معناه لا حاجة للعمل ولا يوجد إنتاج في جانب من جوانب الحياة،فعلىٰ </w:t>
      </w:r>
    </w:p>
    <w:p>
      <w:pPr>
        <w:pStyle w:val="BookText"/>
        <w:rPr/>
      </w:pPr>
      <w:r>
        <w:rPr>
          <w:rFonts w:ascii="Amiri" w:hAnsi="Amiri" w:eastAsia="Amiri" w:cs="Amiri"/>
          <w:color w:val="111111"/>
          <w:sz w:val="28"/>
          <w:sz w:val="28"/>
          <w:szCs w:val="28"/>
          <w:rtl w:val="true"/>
          <w:lang w:bidi="ar-SA"/>
        </w:rPr>
        <w:t>سبيل المثال لو فرضنا أنَّ هناك بلداً كلُّ أفراده أغنياء، ويتمتَّع بثروات مالية، فمن منهم الذي ينزل إلىٰ الحقل ليحرث؟ ومن منهم يبني ويُعمِّر؟ ومن منهم يُحرِّك الآلة؟ ومن منهم يعمل ليسدَّ حاجات المجتمع؟ فإنَّ الحاجة هي التي تدعو ربَّ العمل إلىٰ أن يُنشِد العامل ليتمَّ عمله، والحاجة هي التي تدعو إلىٰ ممارسة الأعمال لكي يسكن الإنسان ويأكل ويشرب ويمارس حياته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 القرآن الكريم بعض علل عدم بسط الرزق لبعض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بَسَطَ اللهُ الرِّزْقَ لِعِبادِهِ لَبَغَوْا فِي الْأَرضِ وَلكِنْ يُنَزِّلُ بِقَدَرٍ ما يَشاءُ إِنَّهُ بِعِبادِهِ خَبِيرٌ بَصِيرٌ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معنىٰ جميل يُبرزه القرآن الكريم، حيث يُبيِّن لنا أنَّ تقدير الرزق لبني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نابع عن خبرة وبصيرة من قِبَل الحقِّ تعالىٰ بشؤون عباده، فإنَّه يعلم لو وسَّع علىٰ العباد الرزق بحسب ما يريدونه ويبغونه لبغوا في الأرض، والبغي يعني الظلم والجرم والجناية، ولكن الله تعالىٰ يُنزِّل الرزق علىٰ البشر بقدر ما يشاء وما يراه من مصلحة لذلك الفرد، فكم نرىٰ في واقعنا المعاصر أنَّ هناك أُناساً كانوا فقراء وعندما أصبحوا أغنياء بذلوا هذه الأموال في طريق الإفساد والمعاصي والظلم وتوغَّلوا في المحرَّمات والعياذ بالله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الملاحظ أنَّ هناك بعض القِيَم بينها تلازم لا يمكن تصوُّر أحدها بدون الآخر، فمثلاً العلم إن لم يكن هناك جهل فلا قيمة للعلم، وكذا الغنىٰ لا يمكن الشعور به إن لم يكن هناك فقر، فلا يوجد في سُلَّم الحياة أُناس كلُّهم علماء وكلُّهم عدول وثقاة، فهذا معناه إلغاء لمسيرة الحياة والتنافس والرقيِّ في جميع المجالات، فالفقير لا بدَّأن </w:t>
      </w:r>
      <w:bookmarkStart w:id="363" w:name="pg7142_66833"/>
    </w:p>
    <w:p>
      <w:pPr>
        <w:pStyle w:val="BookText"/>
        <w:rPr/>
      </w:pPr>
      <w:bookmarkEnd w:id="363"/>
      <w:r>
        <w:rPr>
          <w:rFonts w:ascii="Amiri" w:hAnsi="Amiri" w:eastAsia="Amiri" w:cs="Amiri"/>
          <w:color w:val="111111"/>
          <w:sz w:val="28"/>
          <w:sz w:val="28"/>
          <w:szCs w:val="28"/>
          <w:rtl w:val="true"/>
          <w:lang w:bidi="ar-SA"/>
        </w:rPr>
        <w:t>يسعىٰ ويكدَّ، والغنيُّ لا بدَّ أن يُعطي ويبذل، كما أنَّ الجاهل عليه أن يتعلَّم، والعالم عليه أن يُعلِّم، وبهذا حتَّىٰ تتكون الحياة وتزدهر، ويكون لها قيمة وهدفية، وإلَّا أصبحت اتِّكالية عبثية</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4020479_372815092"/>
      <w:bookmarkStart w:id="365" w:name="_Toc125"/>
      <w:bookmarkEnd w:id="364"/>
      <w:r>
        <w:rPr>
          <w:rtl w:val="true"/>
        </w:rPr>
        <w:t>الأمر الرابع</w:t>
      </w:r>
      <w:r>
        <w:rPr>
          <w:rtl w:val="true"/>
        </w:rPr>
        <w:t>:</w:t>
      </w:r>
      <w:bookmarkEnd w:id="36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في المنظومة الإسلاميَّة ما يُطلَق عليه بالنظرية النسبية، هنالك بعض الأُمور قد يتصوَّر البعض أنَّ فيها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ولكن بلحاظ ومنظار آخر فيها منفعة، فلا يوجد عندنا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مطلقة أو منفعة مطلقة، والإسلام ينظر إلىٰ مثل هذه القضايا بكونها أُموراً نسبية، فيراعي الأصلح فيها ويُؤكِّد عليه، فنظام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 نظام عامٌّ موجود في كلِّ المجتمعات، وهذا النظام إن لوحظ من جهة الفرد قد يُتصوَّر أنَّ فيه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وإجحافاً وظلماً، ولكن من اللحاظ الجمعي والاجتماعي ليس فيه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أو إجحاف، فبحسب السُّلَّم الاجتماعي ليس هنالك ظلم؛ وذلك لأنَّ مسألة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 وإن كان فيها ضرر بنظر الفرد، ولكن في نفس الوقت فيها منفعة وتكامل من ناحية النظم الاجتماعي، فالفقه فيه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مخاطبة الفرد، والآخر لحاظ الجانب الروحي فيه الذي يُلحَظ فيه فاعليته بالنسبة للمجموع لا إلىٰ الفرد فحسب، فالإشكال الذي سُجِّل علىٰ الفقه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بميزان الفقه يلحظ الفرد، ولكن لم يلتفت لزاوية المجموع والمجتمع والناحية الاجتماعية وما فيه من منافع، فهذه مسألة الزكاة بين يديك إن لوحظت من جهة فردية قد يعدُّها البعض إجحافاً، ولكنَّها من الناحية الاجتماعية والإيمانية والمجموعية فإنَّ فيها منفعة كبيرة، وهي رفع الفقر والعوز عن كثير من الأفراد، وإيجاد نوع من التوازن بين أصناف المجتمع</w:t>
      </w:r>
      <w:r>
        <w:rPr>
          <w:rFonts w:eastAsia="Amiri" w:cs="Amiri" w:ascii="Amiri" w:hAnsi="Amiri"/>
          <w:color w:val="111111"/>
          <w:sz w:val="28"/>
          <w:szCs w:val="28"/>
          <w:rtl w:val="true"/>
          <w:lang w:bidi="ar-SA"/>
        </w:rPr>
        <w:t xml:space="preserve">. </w:t>
      </w:r>
      <w:bookmarkStart w:id="366" w:name="pg7142_66834"/>
    </w:p>
    <w:p>
      <w:pPr>
        <w:pStyle w:val="Heading3"/>
        <w:numPr>
          <w:ilvl w:val="2"/>
          <w:numId w:val="1"/>
        </w:numPr>
        <w:rPr/>
      </w:pPr>
      <w:bookmarkStart w:id="367" w:name="__RefHeading___Toc4020481_372815092"/>
      <w:bookmarkStart w:id="368" w:name="_Toc126"/>
      <w:bookmarkEnd w:id="366"/>
      <w:bookmarkEnd w:id="367"/>
      <w:r>
        <w:rPr>
          <w:rtl w:val="true"/>
        </w:rPr>
        <w:t>الأمر الخامس</w:t>
      </w:r>
      <w:r>
        <w:rPr>
          <w:rtl w:val="true"/>
        </w:rPr>
        <w:t>:</w:t>
      </w:r>
      <w:bookmarkEnd w:id="368"/>
    </w:p>
    <w:p>
      <w:pPr>
        <w:pStyle w:val="BookText"/>
        <w:rPr/>
      </w:pPr>
      <w:r>
        <w:rPr>
          <w:rFonts w:ascii="Amiri" w:hAnsi="Amiri" w:eastAsia="Amiri" w:cs="Amiri"/>
          <w:color w:val="111111"/>
          <w:sz w:val="28"/>
          <w:sz w:val="28"/>
          <w:szCs w:val="28"/>
          <w:rtl w:val="true"/>
          <w:lang w:bidi="ar-SA"/>
        </w:rPr>
        <w:t xml:space="preserve">إنَّ المنظومة الفقهية يُلحَظ فيها عدم الجمود علىٰ النصِّ، فهي غير منعزلة عن المنظومة الأخلاقية، وهذا واضح لمن يتتبَّع كلمات وفتاوىٰ الفقهاء، فإنَّ الفقيه لا يجمد علىٰ النصِّ، بل لا بدَّ من مراعاة المنظومة الأخلاقية والجنبة العملية وتأثير عامل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المتغيَّرات التي يمكن أن يدخل فيها عامل الزمان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هذا ملحوظ لدىٰ الفقيه، فكم عندنا من الأحكام اكتسبت عنواناً ثانوياً لأجل أنَّ الحكم الأوَّلي يتصادم مع المنظومة الأخلاقية، وعليه فلا يمكن تأسيس فقه إسلامي بدون أن ينظر الفقيه إلىٰ الفقه الأخلاقي</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4020483_372815092"/>
      <w:bookmarkStart w:id="370" w:name="_Toc127"/>
      <w:bookmarkEnd w:id="369"/>
      <w:r>
        <w:rPr>
          <w:rtl w:val="true"/>
        </w:rPr>
        <w:t>الأمر السادس</w:t>
      </w:r>
      <w:r>
        <w:rPr>
          <w:rtl w:val="true"/>
        </w:rPr>
        <w:t>:</w:t>
      </w:r>
      <w:bookmarkEnd w:id="37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يتصوَّر البعض أنَّ الفقه يقوم في بعض موارده علىٰ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منافٍ للمنظومة الأخلاقية، وفي الحقيقة إنَّ أوَّل من أطلق هذا المصطلح كُتُب أهل السُّنَّة، حيث نقل الغزالي أنَّ الفقيه الذي كان يتهرَّب من الزكاة بنقل هذا الحقِّ إلىٰ زوجته هو القاضي أبو يوسف يعقوب بن إبراهيم بن حبيب الأنصاري تلميذ أبي حنيفة، وأوَّل قاضي للقضاة في العالم الإسلامي والفقيه السُّنّي المبرز في القرن الثاني الهجري، حيث 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وحكي أنَّ أبا يوسف القاضي كان يهب ماله لزوجته آخر الحول ويستوهب مالها إسقاطاً للزكاة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وحكي ذلك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من فقهه</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يرد هذا المصطلح في كلمات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عبائرالمتقدِّمين من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علمائنا، وما وقع عند البعض وإن كنّا لا نرتضيه لكن المراد منه ليس كما يراه الطرف الآخر، فما يعنيه علماء الإماميَّة هو عبارة عن انتفاء الموضوع، وهو خاضع لضوابط وشروط خاصَّة ومنضبطة، فإنَّ الشارع المقدَّس وإن أجاز مثلاً نقل الحقِّ إلىٰ الزوجة لكن هذا الحكم ليس علىٰ إطلاقه، فلا يحقُّ للمكلَّف دفع هذا الحقِّ لزوجته مع عدم وجود الشأنية أو عدم استحقاق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الدفع حقيقياً وليس صورياً فقط، بل لا بدَّ بعد دفعه أن يدخل في ملكها، ولها حقُّ التص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فيه حاله كحال أموالها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سبيل المثال ما يُعبَّر عنه بالهروب من الصوم من خلال السفر، فالبعض يطلق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الحيلة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أنَّنا لو لحظنا هذا الحكم فإنَّه عبارة عن انتفاء موضوع الصوم بالسفر، فإنَّ المسافر لا يجب عليه الصوم، فمن يخرج قبل الزوال قاصداً السفر وقطع المسافة المطلوبة، فهنا ينتفي وجوب الصوم وينتقض بالسفر، وهذا ليس بحيلة وإنَّما الشارع المقدَّس أجاز للمكلَّف السفر في شهر رمضان فإن تحقَّقت شروط السفر وضوابطه فلا مانع من ذلك، وهذا ليس بحيلة في الحقيقة وإنَّما أُطلق عليه هذا المصطلح من غير أن يُراعىٰ فيه الدقَّة وإن كان ليس في محلِّه كما ذكرنا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7142_66837"/>
      <w:bookmarkStart w:id="372" w:name="pg7142_66837"/>
      <w:bookmarkEnd w:id="372"/>
    </w:p>
    <w:p>
      <w:pPr>
        <w:pStyle w:val="Heading2"/>
        <w:numPr>
          <w:ilvl w:val="1"/>
          <w:numId w:val="1"/>
        </w:numPr>
        <w:rPr/>
      </w:pPr>
      <w:bookmarkStart w:id="373" w:name="pg7142_66837"/>
      <w:bookmarkStart w:id="374" w:name="__RefHeading___Toc4020485_372815092"/>
      <w:bookmarkStart w:id="375" w:name="_Toc128"/>
      <w:bookmarkEnd w:id="373"/>
      <w:bookmarkEnd w:id="374"/>
      <w:r>
        <w:rPr>
          <w:rtl w:val="true"/>
        </w:rPr>
        <w:t>ملحقات حول الخُمُس</w:t>
      </w:r>
      <w:bookmarkEnd w:id="37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6" w:name="__RefHeading___Toc4020487_372815092"/>
      <w:bookmarkStart w:id="377" w:name="_Toc129"/>
      <w:bookmarkEnd w:id="376"/>
      <w:r>
        <w:rPr>
          <w:rtl w:val="true"/>
        </w:rPr>
        <w:t>اشارة</w:t>
      </w:r>
      <w:bookmarkEnd w:id="37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7142_66839"/>
      <w:bookmarkStart w:id="379" w:name="pg7142_66839"/>
      <w:bookmarkEnd w:id="379"/>
    </w:p>
    <w:p>
      <w:pPr>
        <w:pStyle w:val="Heading3"/>
        <w:numPr>
          <w:ilvl w:val="2"/>
          <w:numId w:val="1"/>
        </w:numPr>
        <w:rPr/>
      </w:pPr>
      <w:bookmarkStart w:id="380" w:name="pg7142_66839"/>
      <w:bookmarkStart w:id="381" w:name="__RefHeading___Toc4020489_372815092"/>
      <w:bookmarkStart w:id="382" w:name="_Toc130"/>
      <w:bookmarkEnd w:id="380"/>
      <w:bookmarkEnd w:id="381"/>
      <w:r>
        <w:rPr>
          <w:rtl w:val="true"/>
        </w:rPr>
        <w:t>(</w:t>
      </w:r>
      <w:r>
        <w:rPr/>
        <w:t>1</w:t>
      </w:r>
      <w:r>
        <w:rPr>
          <w:rtl w:val="true"/>
        </w:rPr>
        <w:t xml:space="preserve">) </w:t>
      </w:r>
      <w:r>
        <w:rPr>
          <w:rtl w:val="true"/>
        </w:rPr>
        <w:t>فلسفة وفوائد فريضة الخُمُس</w:t>
      </w:r>
      <w:bookmarkEnd w:id="382"/>
    </w:p>
    <w:p>
      <w:pPr>
        <w:pStyle w:val="Heading4"/>
        <w:numPr>
          <w:ilvl w:val="3"/>
          <w:numId w:val="1"/>
        </w:numPr>
        <w:rPr/>
      </w:pPr>
      <w:bookmarkStart w:id="383" w:name="__RefHeading___Toc4020491_372815092"/>
      <w:bookmarkStart w:id="384" w:name="_Toc131"/>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بعد أن اتَّضح أنَّ فريضة الخمس من الواجبات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والضرورية التي شرَّعها الحقُّ تعالىٰ، لا بأس بالوقوف علىٰ بعض فوائده وفلسفته والحكمة من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هذا الحقِّ، وعند تتبُّع النصوص القرآنية والروائية يمكن أن نُجملها بأُمور عدَّة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4020493_372815092"/>
      <w:bookmarkStart w:id="386" w:name="_Toc132"/>
      <w:bookmarkEnd w:id="385"/>
      <w:r>
        <w:rPr>
          <w:rtl w:val="true"/>
        </w:rPr>
        <w:t>الأوَّل</w:t>
      </w:r>
      <w:r>
        <w:rPr>
          <w:rtl w:val="true"/>
        </w:rPr>
        <w:t xml:space="preserve">: </w:t>
      </w:r>
      <w:r>
        <w:rPr>
          <w:rtl w:val="true"/>
        </w:rPr>
        <w:t>تطهير مال الغنيِّ من الشبهات التي تعلَّق به</w:t>
      </w:r>
      <w:r>
        <w:rPr>
          <w:rtl w:val="true"/>
        </w:rPr>
        <w:t>:</w:t>
      </w:r>
      <w:bookmarkEnd w:id="386"/>
    </w:p>
    <w:p>
      <w:pPr>
        <w:pStyle w:val="BookText"/>
        <w:rPr/>
      </w:pPr>
      <w:r>
        <w:rPr>
          <w:rFonts w:ascii="IRNazanin" w:hAnsi="IRNazanin" w:eastAsia="IRNazanin"/>
          <w:color w:val="111111"/>
          <w:sz w:val="28"/>
          <w:sz w:val="28"/>
          <w:szCs w:val="28"/>
          <w:rtl w:val="true"/>
          <w:lang w:bidi="fa-IR"/>
        </w:rPr>
        <w:t xml:space="preserve">أكَّدت جملة من الروايات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الخُمُس يُطهِّر المال، ويزيد في الرزق، ويضاعف التوفيق لدىٰ المؤمن، ورد في موثَّقة السكوني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رجل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كسبت مالاً أغمضت في مطالبه حلالاً وحراماً، وقد أردت التوبة، ولا أدري الحلال منه والحرام وقد اختلط عليَّ،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بخُمُس مالك، فإنَّ الله رضي من الأشياء بالخُمُس، وسائر المال لك حلال</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في موثَّقة عبد الله 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لآخذ من أحدكم الدرهم وإنّي لمن أكثر أهل المدينة مالاً ما أُريد بذلك إلَّا أن تطهروا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387" w:name="pg7142_66840"/>
    </w:p>
    <w:p>
      <w:pPr>
        <w:pStyle w:val="Heading4"/>
        <w:numPr>
          <w:ilvl w:val="3"/>
          <w:numId w:val="1"/>
        </w:numPr>
        <w:rPr/>
      </w:pPr>
      <w:bookmarkStart w:id="388" w:name="__RefHeading___Toc4020495_372815092"/>
      <w:bookmarkStart w:id="389" w:name="_Toc133"/>
      <w:bookmarkEnd w:id="387"/>
      <w:bookmarkEnd w:id="388"/>
      <w:r>
        <w:rPr>
          <w:rtl w:val="true"/>
        </w:rPr>
        <w:t>الثاني</w:t>
      </w:r>
      <w:r>
        <w:rPr>
          <w:rtl w:val="true"/>
        </w:rPr>
        <w:t xml:space="preserve">: </w:t>
      </w:r>
      <w:r>
        <w:rPr>
          <w:rtl w:val="true"/>
        </w:rPr>
        <w:t>الخُمُس عبادة مالية لله تعالى</w:t>
      </w:r>
      <w:r>
        <w:rPr>
          <w:rtl w:val="true"/>
        </w:rPr>
        <w:t>:</w:t>
      </w:r>
      <w:bookmarkEnd w:id="389"/>
    </w:p>
    <w:p>
      <w:pPr>
        <w:pStyle w:val="BookText"/>
        <w:rPr/>
      </w:pPr>
      <w:r>
        <w:rPr>
          <w:rFonts w:ascii="Amiri" w:hAnsi="Amiri" w:eastAsia="Amiri" w:cs="Amiri"/>
          <w:color w:val="111111"/>
          <w:sz w:val="28"/>
          <w:sz w:val="28"/>
          <w:szCs w:val="28"/>
          <w:rtl w:val="true"/>
          <w:lang w:bidi="ar-SA"/>
        </w:rPr>
        <w:t>قد يتصوَّر البعض أنَّ الخُمُس هو خسارة مالية، ولكن في الحقيقة إنَّ حاله حال الصدقات المالية التي نصَّ القرآن الكريم عليها أنَّها من علامات المؤمن، وبها يتحقَّق إيمان الفرد ونيل البرِّ،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دعوة من القرآن الكريم إلىٰ أنَّ التصدُّق ودفع الواجب من الأموال ليس خسارة وإنَّما خيراً كثيراً، ومن هنا فقد عبَّر القرآن الكريم بأنَّ من يُؤدّي فريضة الخُمُس يكون من أهل الإيمان،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الله تعالىٰ في الآية الكريمة أساس الإيمان بالله عزوجل وبكتابه العزيز أداء هذه الفريضة، فهي من أبرز معالم الإيمان به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روي عن عمران بن موسىٰ، عن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آية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فهو لرسوله، وما كان لرسوله فهو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علىٰ المؤمنين أرزاقهم بخمسة دراهم، جعلوا لربِّهم واحداً وأكلوا أربعة أحلّاء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حديثنا صعب مستصعب لا يعمل به ولا يصبر عليه إلَّا ممتحن قلبه للإيمان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4020497_372815092"/>
      <w:bookmarkStart w:id="391" w:name="_Toc134"/>
      <w:bookmarkEnd w:id="390"/>
      <w:r>
        <w:rPr>
          <w:rtl w:val="true"/>
        </w:rPr>
        <w:t>الثالث</w:t>
      </w:r>
      <w:r>
        <w:rPr>
          <w:rtl w:val="true"/>
        </w:rPr>
        <w:t xml:space="preserve">: </w:t>
      </w:r>
      <w:r>
        <w:rPr>
          <w:rtl w:val="true"/>
        </w:rPr>
        <w:t>التطهير من البخل والشحّ والسيطرة على المشاعر</w:t>
      </w:r>
      <w:r>
        <w:rPr>
          <w:rtl w:val="true"/>
        </w:rPr>
        <w:t>:</w:t>
      </w:r>
      <w:bookmarkEnd w:id="39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بعض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أنَّ فريضة الخُمُس تُطهِّرالمؤمن </w:t>
      </w:r>
      <w:bookmarkStart w:id="392" w:name="pg7142_66841"/>
    </w:p>
    <w:p>
      <w:pPr>
        <w:pStyle w:val="BookText"/>
        <w:rPr/>
      </w:pPr>
      <w:bookmarkEnd w:id="392"/>
      <w:r>
        <w:rPr>
          <w:rFonts w:ascii="IRNazanin" w:hAnsi="IRNazanin" w:eastAsia="IRNazanin"/>
          <w:color w:val="111111"/>
          <w:sz w:val="28"/>
          <w:sz w:val="28"/>
          <w:szCs w:val="28"/>
          <w:rtl w:val="true"/>
          <w:lang w:bidi="fa-IR"/>
        </w:rPr>
        <w:t xml:space="preserve">من البخل والشحِّ اللذين يُعَدّان من الأمراض الروحية الخطيرة، حيث ورد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داءٍ أدوىٰ من البخل</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جاءت فريضة الخُمُس كأحد أهمّ الطُّرُق التي من خلالها يُعالَج مرض البخل، فقد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أدّىٰ حقَّ الله ما عليه، وتعرَّض للمزيد، وحلَّ له الباقي من ماله وطاب، وكان الله أقدر علىٰ إنجاز ما وعد العباد من المزيد والتطهير من البخل علىٰ أن يُغني نفسه ممَّا في يديه من الحرام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4020499_372815092"/>
      <w:bookmarkStart w:id="394" w:name="_Toc135"/>
      <w:bookmarkEnd w:id="393"/>
      <w:r>
        <w:rPr>
          <w:rtl w:val="true"/>
        </w:rPr>
        <w:t>الرابع</w:t>
      </w:r>
      <w:r>
        <w:rPr>
          <w:rtl w:val="true"/>
        </w:rPr>
        <w:t xml:space="preserve">: </w:t>
      </w:r>
      <w:r>
        <w:rPr>
          <w:rtl w:val="true"/>
        </w:rPr>
        <w:t xml:space="preserve">التوسعة على فقراء ذراري رسول الله </w:t>
      </w:r>
      <w:r>
        <w:rPr>
          <w:rtl w:val="true"/>
        </w:rPr>
        <w:t>(</w:t>
      </w:r>
      <w:r>
        <w:rPr>
          <w:rtl w:val="true"/>
        </w:rPr>
        <w:t>صلی الله علیه و آله</w:t>
      </w:r>
      <w:r>
        <w:rPr>
          <w:rtl w:val="true"/>
        </w:rPr>
        <w:t>):</w:t>
      </w:r>
      <w:bookmarkEnd w:id="394"/>
    </w:p>
    <w:p>
      <w:pPr>
        <w:pStyle w:val="BookText"/>
        <w:rPr/>
      </w:pPr>
      <w:r>
        <w:rPr>
          <w:rFonts w:ascii="IRNazanin" w:hAnsi="IRNazanin" w:eastAsia="IRNazanin"/>
          <w:color w:val="111111"/>
          <w:sz w:val="28"/>
          <w:sz w:val="28"/>
          <w:szCs w:val="28"/>
          <w:rtl w:val="true"/>
          <w:lang w:bidi="fa-IR"/>
        </w:rPr>
        <w:t>ذكرنا فيما تقدَّم أنَّ أحد أسباب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ريع هذا الحقِّ هو إكراماً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بسبب تحريم الزكاة عليه، ومن هنا فإنَّ من فلسلفة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ريع هذه الفريضة هو التوسيع علىٰ فقراء ذراري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لحرمانهم من الصدقة والزكاة، ففي موثَّقة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قوتل عليه علىٰ شهادة أن لا إله إلَّا الله وأنَّ محمّداً رسول الله، فإنَّ لنا خُمُسه، ولا يحلُّ لأحد أن يشتري من الخُمُس شيئاً حتَّىٰ يصل إلينا حقُّنا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مَّاحرَّم علينا الصدقة أنزل لنا الخُمُس، فالصدقة علينا حرام، والخُمُس لنا فريضة، والكرامة لنا حلال</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95" w:name="pg7142_66842"/>
    </w:p>
    <w:p>
      <w:pPr>
        <w:pStyle w:val="BookText"/>
        <w:rPr/>
      </w:pPr>
      <w:bookmarkEnd w:id="395"/>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يُعذَر عبد اشترىٰ من الخُمُس شيئاً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اشتريته بمالي حتَّىٰ يأذن له أهل الخُمُس</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4020501_372815092"/>
      <w:bookmarkStart w:id="397" w:name="_Toc136"/>
      <w:bookmarkEnd w:id="396"/>
      <w:r>
        <w:rPr>
          <w:rtl w:val="true"/>
        </w:rPr>
        <w:t>الخامس</w:t>
      </w:r>
      <w:r>
        <w:rPr>
          <w:rtl w:val="true"/>
        </w:rPr>
        <w:t xml:space="preserve">: </w:t>
      </w:r>
      <w:r>
        <w:rPr>
          <w:rtl w:val="true"/>
        </w:rPr>
        <w:t>رفع الطبقية وإيجاد حالة التوازن بين أفراد المجتمع</w:t>
      </w:r>
      <w:r>
        <w:rPr>
          <w:rtl w:val="true"/>
        </w:rPr>
        <w:t>:</w:t>
      </w:r>
      <w:bookmarkEnd w:id="397"/>
    </w:p>
    <w:p>
      <w:pPr>
        <w:pStyle w:val="BookText"/>
        <w:rPr/>
      </w:pPr>
      <w:r>
        <w:rPr>
          <w:rFonts w:ascii="Amiri" w:hAnsi="Amiri" w:eastAsia="Amiri" w:cs="Amiri"/>
          <w:color w:val="111111"/>
          <w:sz w:val="28"/>
          <w:sz w:val="28"/>
          <w:szCs w:val="28"/>
          <w:rtl w:val="true"/>
          <w:lang w:bidi="ar-SA"/>
        </w:rPr>
        <w:t>من أهمّ ما جاء به الإسلام هو رفع الطبقية بين أفراد المجتمع، حيث إنَّ الملاحظ في المجتمعات أنَّ هنالك صنفين من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رأس المال والطبقة الكادحة، وأنَّ أغلب الحكومات لا تعتني بالطبقة الكادحة، وهنالك خلل في توزيع الثروات في أغلب الأحيان، ومن هنا جاء الإسلام ببعض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 المالية التي فُرِضَت علىٰ المسلمين، وذلك لرفع هذا النوع من الطبقية، وإيجاد حالة التوازن والتكافل بين أفراد المجتمع، ومن هنا فإنَّ أحد أسباب وفلسفة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 هذا الأمر بالخصوص، فمن خلاله تحلُّ المشاكل الاجتماعية، وعلاج هذه المشكلة وهذه الحالة علىٰ طول الخطِّ والمسيرة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4020503_372815092"/>
      <w:bookmarkStart w:id="399" w:name="_Toc137"/>
      <w:bookmarkEnd w:id="398"/>
      <w:r>
        <w:rPr>
          <w:rtl w:val="true"/>
        </w:rPr>
        <w:t>السادس</w:t>
      </w:r>
      <w:r>
        <w:rPr>
          <w:rtl w:val="true"/>
        </w:rPr>
        <w:t xml:space="preserve">: </w:t>
      </w:r>
      <w:r>
        <w:rPr>
          <w:rtl w:val="true"/>
        </w:rPr>
        <w:t>الاستقلالية المالية مصدر قوَّة للإسلام والمذهب</w:t>
      </w:r>
      <w:r>
        <w:rPr>
          <w:rtl w:val="true"/>
        </w:rPr>
        <w:t>:</w:t>
      </w:r>
      <w:bookmarkEnd w:id="39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مصادر القوَّة هو المال، فإنَّه يُعَدُّ جنبة أساسية في تقوية الدول والحكومات، ومن هنا فإنَّ أيَّ حركة أو حكومة لم تتمتَّع بالاستقلالية المالية يُعَدُّ ذلك ضعفاً لها، كما نراه ونشاهده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رنا من سيطرةالدول الكبرىٰ وهيمنتها علىٰ أموال الحكومات الأُخرىٰ، ولذا فقد عزَّز الإسلام هذه المسألة، وجعل للمسلمين استقلاليتهم المالية التي من خلالها يمكن حفظ الإسلام والمذهب من العدوِّ، وهذا أمر في غاية </w:t>
      </w:r>
    </w:p>
    <w:p>
      <w:pPr>
        <w:pStyle w:val="BookText"/>
        <w:rPr/>
      </w:pPr>
      <w:r>
        <w:rPr>
          <w:rFonts w:ascii="Amiri" w:hAnsi="Amiri" w:eastAsia="Amiri" w:cs="Amiri"/>
          <w:color w:val="111111"/>
          <w:sz w:val="28"/>
          <w:sz w:val="28"/>
          <w:szCs w:val="28"/>
          <w:rtl w:val="true"/>
          <w:lang w:bidi="ar-SA"/>
        </w:rPr>
        <w:t>الأهمّية، فإنَّنا نشاهد بأُمِّ أعيننا لولا وجود وفرض هذه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رائب المالية من قِبَل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المقدَّسة لما استطعنا الدفاع والحفاظ علىٰ معالم المذهب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خلال هذه الأموال تمَّ الحفاظ علىٰ بيضة الإسلام وقدسية المذهب وعدم الانجرار لقرارات العدوِّ وهيمنته وتسلُّطه علىٰ المال العامِّ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فببركة هذه الأموال تمَّ الدفاع عن المقدَّسات، ودعم المجاهدين بالمال والسلاح والطعام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 وإنشاء المؤسَّسات والحوزات العلمية المتصدّية لتدريس العلوم الإسلاميَّة، لتخريج الدعاة والمبلِّغين، وطباعة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الكُتُب التي من خلالها يتمُّ بيان العقيدة الحقَّة وما يحتاجه الفرد في تنظيم حياته العبادية الروحية والمعاملاتية، وكذا بناء المستشفيات ودور الأيتام ودفع ضرورات المؤمنين من الفقراء كتزويجهم ومعالجة مرضاهم وقضاء حوائجهم، وكلُّ ما يصبُّ في مصلحة المذهب وإعلاء كلمته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7142_66845"/>
      <w:bookmarkStart w:id="401" w:name="pg7142_66845"/>
      <w:bookmarkEnd w:id="401"/>
    </w:p>
    <w:p>
      <w:pPr>
        <w:pStyle w:val="Heading3"/>
        <w:numPr>
          <w:ilvl w:val="2"/>
          <w:numId w:val="1"/>
        </w:numPr>
        <w:rPr/>
      </w:pPr>
      <w:bookmarkStart w:id="402" w:name="pg7142_66845"/>
      <w:bookmarkStart w:id="403" w:name="__RefHeading___Toc4020505_372815092"/>
      <w:bookmarkStart w:id="404" w:name="_Toc138"/>
      <w:bookmarkEnd w:id="402"/>
      <w:bookmarkEnd w:id="403"/>
      <w:r>
        <w:rPr>
          <w:rtl w:val="true"/>
        </w:rPr>
        <w:t>(</w:t>
      </w:r>
      <w:r>
        <w:rPr/>
        <w:t>2</w:t>
      </w:r>
      <w:r>
        <w:rPr>
          <w:rtl w:val="true"/>
        </w:rPr>
        <w:t xml:space="preserve">) </w:t>
      </w:r>
      <w:r>
        <w:rPr>
          <w:rtl w:val="true"/>
        </w:rPr>
        <w:t xml:space="preserve">تعيين الوظيفة بالنسبة إلى سهم الإمام </w:t>
      </w:r>
      <w:r>
        <w:rPr>
          <w:rtl w:val="true"/>
        </w:rPr>
        <w:t>(</w:t>
      </w:r>
      <w:r>
        <w:rPr>
          <w:rtl w:val="true"/>
        </w:rPr>
        <w:t>علیه السلام</w:t>
      </w:r>
      <w:r>
        <w:rPr>
          <w:rtl w:val="true"/>
        </w:rPr>
        <w:t>)</w:t>
      </w:r>
      <w:bookmarkEnd w:id="404"/>
    </w:p>
    <w:p>
      <w:pPr>
        <w:pStyle w:val="Heading4"/>
        <w:numPr>
          <w:ilvl w:val="3"/>
          <w:numId w:val="1"/>
        </w:numPr>
        <w:rPr/>
      </w:pPr>
      <w:bookmarkStart w:id="405" w:name="__RefHeading___Toc4020507_372815092"/>
      <w:bookmarkStart w:id="406" w:name="_Toc139"/>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 xml:space="preserve">يتساءل الكثير في خصوص الوظيفة بالنسبة إلىٰ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غيبته، ولا بأس بأن نتعرَّض إلىٰ أقوال العلماء في خصوص ذلك، وأهمّها ستَّة</w:t>
      </w:r>
      <w:r>
        <w:rPr>
          <w:rFonts w:eastAsia="IRNazanin" w:cs="IRNazanin"/>
          <w:color w:val="111111"/>
          <w:sz w:val="28"/>
          <w:szCs w:val="28"/>
          <w:rtl w:val="true"/>
          <w:lang w:bidi="fa-IR"/>
        </w:rPr>
        <w:t>:</w:t>
      </w:r>
    </w:p>
    <w:p>
      <w:pPr>
        <w:pStyle w:val="Heading4"/>
        <w:numPr>
          <w:ilvl w:val="3"/>
          <w:numId w:val="1"/>
        </w:numPr>
        <w:rPr/>
      </w:pPr>
      <w:bookmarkStart w:id="407" w:name="__RefHeading___Toc4020509_372815092"/>
      <w:bookmarkStart w:id="408" w:name="_Toc140"/>
      <w:bookmarkEnd w:id="407"/>
      <w:r>
        <w:rPr>
          <w:rtl w:val="true"/>
        </w:rPr>
        <w:t>القول الأوَّل</w:t>
      </w:r>
      <w:r>
        <w:rPr>
          <w:rtl w:val="true"/>
        </w:rPr>
        <w:t>:</w:t>
      </w:r>
      <w:bookmarkEnd w:id="408"/>
    </w:p>
    <w:p>
      <w:pPr>
        <w:pStyle w:val="BookText"/>
        <w:rPr/>
      </w:pPr>
      <w:r>
        <w:rPr>
          <w:rFonts w:ascii="Amiri" w:hAnsi="Amiri" w:eastAsia="Amiri" w:cs="Amiri"/>
          <w:color w:val="111111"/>
          <w:sz w:val="28"/>
          <w:sz w:val="28"/>
          <w:szCs w:val="28"/>
          <w:rtl w:val="true"/>
          <w:lang w:bidi="ar-SA"/>
        </w:rPr>
        <w:t>ذهب بعض المحدِّثين إلىٰ تحليل هذا الصنف وسقوطه، وذلك بمقتضىٰ ما ورد من أخبار التحليل، وقد تمَّ الردُّ علىٰ هذا القول فيما تقدَّم ضمن البحث عن أخبار التحليل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4020511_372815092"/>
      <w:bookmarkStart w:id="410" w:name="_Toc141"/>
      <w:bookmarkEnd w:id="409"/>
      <w:r>
        <w:rPr>
          <w:rtl w:val="true"/>
        </w:rPr>
        <w:t>القول الثاني</w:t>
      </w:r>
      <w:r>
        <w:rPr>
          <w:rtl w:val="true"/>
        </w:rPr>
        <w:t>:</w:t>
      </w:r>
      <w:bookmarkEnd w:id="4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البعض إلىٰ القول بدفنه أو إلقائه في البحر إلىٰ أن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فيُخرجه، أو الإيصاء به للمؤمنين حتَّىٰ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فيُعطىٰ له، وهو ظاهر من كلمات الشيخ المفيد في المقنعة</w:t>
      </w:r>
      <w:r>
        <w:rPr>
          <w:rFonts w:eastAsia="IRNazanin" w:cs="IRNazanin"/>
          <w:color w:val="111111"/>
          <w:sz w:val="28"/>
          <w:szCs w:val="28"/>
          <w:rtl w:val="true"/>
          <w:lang w:bidi="fa-IR"/>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في النهاية</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صلاح في الكافي</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البرّاج في المهذَّب</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إدريس في السرائر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411" w:name="pg7142_66846"/>
    </w:p>
    <w:p>
      <w:pPr>
        <w:pStyle w:val="BookText"/>
        <w:rPr/>
      </w:pPr>
      <w:bookmarkEnd w:id="411"/>
      <w:r>
        <w:rPr>
          <w:rFonts w:ascii="Amiri" w:hAnsi="Amiri" w:eastAsia="Amiri" w:cs="Amiri"/>
          <w:color w:val="111111"/>
          <w:sz w:val="28"/>
          <w:sz w:val="28"/>
          <w:szCs w:val="28"/>
          <w:rtl w:val="true"/>
          <w:lang w:bidi="ar-SA"/>
        </w:rPr>
        <w:t>وهذه الأقوال لا يمكن المساعدة عليها البتَّة؛ وذلك لأنَّها بحكم إتلاف المال المحترم شرعاً، خلاف ما ورد في جملة من الأدلَّة التي سيأتي بيانها من لزوم صرف هذا الحقِّ في مصارفه المقرَّرة</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020513_372815092"/>
      <w:bookmarkStart w:id="413" w:name="_Toc142"/>
      <w:bookmarkEnd w:id="412"/>
      <w:r>
        <w:rPr>
          <w:rtl w:val="true"/>
        </w:rPr>
        <w:t>القول الثالث</w:t>
      </w:r>
      <w:r>
        <w:rPr>
          <w:rtl w:val="true"/>
        </w:rPr>
        <w:t>:</w:t>
      </w:r>
      <w:bookmarkEnd w:id="413"/>
    </w:p>
    <w:p>
      <w:pPr>
        <w:pStyle w:val="BookText"/>
        <w:rPr/>
      </w:pPr>
      <w:r>
        <w:rPr>
          <w:rFonts w:ascii="Amiri" w:hAnsi="Amiri" w:eastAsia="Amiri" w:cs="Amiri"/>
          <w:color w:val="111111"/>
          <w:sz w:val="28"/>
          <w:sz w:val="28"/>
          <w:szCs w:val="28"/>
          <w:rtl w:val="true"/>
          <w:lang w:bidi="ar-SA"/>
        </w:rPr>
        <w:t>ذهب إليه المحقِّق الحلّي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هذا الحقُّ في الأصناف الثلاثة من بني هاشم كالنصف الآخر من الخُمُس، وتابعه في ذلك جملة من الأصحاب من بعده، ومن هنا يتَّضح أنَّ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بتحليله، وإنَّما قال بتوزيعه إلىٰ السادة الكرام، ولعلَّ مستند هذا القول هو مرسلة حمّاد المعروفة عن العبد الصالح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 يُقسِّم بينهم علىٰ الكفاف والسعة ما يستغنون به في سنتهم، فإن فضل عنهم شيء كان له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مضافاً إلىٰ ضعف سندها فلا دلالة فيها علىٰ أنَّ سهم الإمام 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في ذلك، فما تدلُّ عليه المرسلة هو أنَّ وظيفة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الفقر وجبر النقص الوارد علىٰ سهام الفقراء من سائر الأموال العامَّة التي تكون تحت تصرُّفه</w:t>
      </w:r>
      <w:r>
        <w:rPr>
          <w:rFonts w:eastAsia="IRNazanin" w:cs="IRNazanin"/>
          <w:color w:val="111111"/>
          <w:sz w:val="28"/>
          <w:szCs w:val="28"/>
          <w:rtl w:val="true"/>
          <w:lang w:bidi="fa-IR"/>
        </w:rPr>
        <w:t>.</w:t>
      </w:r>
    </w:p>
    <w:p>
      <w:pPr>
        <w:pStyle w:val="Heading4"/>
        <w:numPr>
          <w:ilvl w:val="3"/>
          <w:numId w:val="1"/>
        </w:numPr>
        <w:rPr/>
      </w:pPr>
      <w:bookmarkStart w:id="414" w:name="__RefHeading___Toc4020515_372815092"/>
      <w:bookmarkStart w:id="415" w:name="_Toc143"/>
      <w:bookmarkEnd w:id="414"/>
      <w:r>
        <w:rPr>
          <w:rtl w:val="true"/>
        </w:rPr>
        <w:t>القول الرابع</w:t>
      </w:r>
      <w:r>
        <w:rPr>
          <w:rtl w:val="true"/>
        </w:rPr>
        <w:t>:</w:t>
      </w:r>
      <w:bookmarkEnd w:id="41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البعض إلىٰ صرفه علىٰ الموالين والشيعة العارفين لحقِّهم، وقد اختاره ابن حمزة في الوسيلة</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مستنده في ذلك مرسلة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w:t>
      </w:r>
      <w:bookmarkStart w:id="416" w:name="pg7142_66847"/>
    </w:p>
    <w:p>
      <w:pPr>
        <w:pStyle w:val="BookText"/>
        <w:rPr/>
      </w:pPr>
      <w:bookmarkEnd w:id="416"/>
      <w:r>
        <w:rPr>
          <w:rFonts w:ascii="Amiri" w:hAnsi="Amiri" w:eastAsia="Amiri" w:cs="Amiri"/>
          <w:color w:val="111111"/>
          <w:sz w:val="28"/>
          <w:sz w:val="28"/>
          <w:szCs w:val="28"/>
          <w:rtl w:val="true"/>
          <w:lang w:bidi="ar-SA"/>
        </w:rPr>
        <w:t>يقدر علىٰ صلتنا فليصل صالحي موالينا</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ومضافاً إلىٰ ضعفها سنداً فلا دلالة فيها علىٰ خصوص الخُمُس، لاحتمال كونها ناظرة إلىٰ الصدقات المندوبة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4020517_372815092"/>
      <w:bookmarkStart w:id="418" w:name="_Toc144"/>
      <w:bookmarkEnd w:id="417"/>
      <w:r>
        <w:rPr>
          <w:rtl w:val="true"/>
        </w:rPr>
        <w:t>القول الخامس</w:t>
      </w:r>
      <w:r>
        <w:rPr>
          <w:rtl w:val="true"/>
        </w:rPr>
        <w:t>:</w:t>
      </w:r>
      <w:bookmarkEnd w:id="418"/>
    </w:p>
    <w:p>
      <w:pPr>
        <w:pStyle w:val="BookText"/>
        <w:rPr/>
      </w:pPr>
      <w:r>
        <w:rPr>
          <w:rFonts w:ascii="Amiri" w:hAnsi="Amiri" w:eastAsia="Amiri" w:cs="Amiri"/>
          <w:color w:val="111111"/>
          <w:sz w:val="28"/>
          <w:sz w:val="28"/>
          <w:szCs w:val="28"/>
          <w:rtl w:val="true"/>
          <w:lang w:bidi="ar-SA"/>
        </w:rPr>
        <w:t>وهو ما اختاره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وأقوىٰ من ذلك معاملته معاملة المال المجهول مالكه باعتبار تعذُّر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معرفة الملك باسمه ونسبه دون شخصه لا تُجدي، بل لعلَّ حكمه حكم مجهول المالك باعتبار تعذُّر الوصول إليه للجهل به، فيتصدَّق به حينئذٍ نائبه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نظراً إلىٰ أنَّ المناط في جواز التصدُّق بالمال عن مالكه لعدم إمكان إيصاله إليه سواءٌ علم به أم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لا يمكن التعويل عليه؛ وذلك لأنَّ من الثابت أنَّ هذه الأموال إنَّما هي ملك لمنصب الإمامة كما تقدَّم وليس لشخص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يُتصوَّر فيه مجهولية المالك، فإنَّ مجهول المالك إنَّما يُتصوَّر في المال الشخصي، وهو خارج عن محلِّ كلامنا</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020519_372815092"/>
      <w:bookmarkStart w:id="420" w:name="_Toc145"/>
      <w:bookmarkEnd w:id="419"/>
      <w:r>
        <w:rPr>
          <w:rtl w:val="true"/>
        </w:rPr>
        <w:t>القول السادس</w:t>
      </w:r>
      <w:r>
        <w:rPr>
          <w:rtl w:val="true"/>
        </w:rPr>
        <w:t>:</w:t>
      </w:r>
      <w:bookmarkEnd w:id="42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اختاره مشهور الأعلام في أزمنتنا المتأخِّرة، وهو أنَّ هذا الصنف 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في كلِّ ما يُحرَز فيه رضا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كالمصالح العامَّة من مساعدة المعوزين وغيرها، وما فيه تشييد قواعد الدين ودعائم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 المبين وبثِّ الأحكام 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الإسلام والتي منأبرز مصاديقها </w:t>
      </w:r>
    </w:p>
    <w:p>
      <w:pPr>
        <w:pStyle w:val="BookText"/>
        <w:rPr/>
      </w:pPr>
      <w:r>
        <w:rPr>
          <w:rFonts w:ascii="Amiri" w:hAnsi="Amiri" w:eastAsia="Amiri" w:cs="Amiri"/>
          <w:color w:val="111111"/>
          <w:sz w:val="28"/>
          <w:sz w:val="28"/>
          <w:szCs w:val="28"/>
          <w:rtl w:val="true"/>
          <w:lang w:bidi="ar-SA"/>
        </w:rPr>
        <w:t>إدارة شؤون الحوزات العلمية والعلماء والمبلِّغين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رغم أنَّه أحسن الأقوال المتقدِّمة لكنَّه مبتنٍ علىٰ أنَّ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له كأمواله الشخصية الأُخرىٰ، فحيث لا يمكن إيصاله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الغيبة الكبرىٰ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فيما يُحرَز فيه رضاه أو يُتصدَّق به عنه ليكون ثوابه الأُخروي إليه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غير تامٍّ؛ لأنَّه قد تقدَّم منّا أنَّ هذه الأموال ملك لمنصب الإمامة وليس لشخص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ليست إرثاً له كما هو واضح في 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وأحاديثهم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ريفة، وعليه فإنَّ الصحيح أنَّ هذا الصنف من الأموال إنَّما يرجع إلىٰ ملك المنصب، وحيث إنَّ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الغيبة الكبرىٰ يتعذَّر الوصول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فينبغي إرجاع هذه الأموال إلىٰ نائبه العامِّ الذي هو الفقيه الجامع 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رائط، بحسب أدلَّة النيابة العامَّة التي تقدَّم ذكرها مفصَّلاً، فالفقيه هو نائب بالنيابة العامَّة في مهمَّة التبليغ، وأداء الحقوق لمستحقِّيها، وصرفها في مواردها المقرَّرة، وغيرها من الصلاحيات التي أُتيحت له من قبيل منصب الفتوىٰ والقضاء والولاية في الأُمور الحسبية وما يصبُّ في تنظيم شؤون الأُمَّة علىٰ تفصيل قد ذُكِرَ في مطوَّلات المصنَّفات</w:t>
      </w:r>
      <w:r>
        <w:rPr>
          <w:rFonts w:eastAsia="IRNazanin" w:cs="IRNazanin"/>
          <w:color w:val="111111"/>
          <w:sz w:val="28"/>
          <w:szCs w:val="28"/>
          <w:rtl w:val="true"/>
          <w:lang w:bidi="fa-IR"/>
        </w:rPr>
        <w:t>.</w:t>
      </w:r>
      <w:bookmarkStart w:id="421" w:name="pg7142_66849"/>
    </w:p>
    <w:p>
      <w:pPr>
        <w:pStyle w:val="Heading3"/>
        <w:numPr>
          <w:ilvl w:val="2"/>
          <w:numId w:val="1"/>
        </w:numPr>
        <w:rPr/>
      </w:pPr>
      <w:bookmarkStart w:id="422" w:name="__RefHeading___Toc4020521_372815092"/>
      <w:bookmarkStart w:id="423" w:name="_Toc146"/>
      <w:bookmarkEnd w:id="421"/>
      <w:bookmarkEnd w:id="422"/>
      <w:r>
        <w:rPr>
          <w:rtl w:val="true"/>
        </w:rPr>
        <w:t>(</w:t>
      </w:r>
      <w:r>
        <w:rPr/>
        <w:t>3</w:t>
      </w:r>
      <w:r>
        <w:rPr>
          <w:rtl w:val="true"/>
        </w:rPr>
        <w:t>)</w:t>
      </w:r>
      <w:r>
        <w:rPr>
          <w:rtl w:val="true"/>
        </w:rPr>
        <w:t>حكم مُنكِر فريضة الخُمُس</w:t>
      </w:r>
      <w:bookmarkEnd w:id="423"/>
    </w:p>
    <w:p>
      <w:pPr>
        <w:pStyle w:val="Heading4"/>
        <w:numPr>
          <w:ilvl w:val="3"/>
          <w:numId w:val="1"/>
        </w:numPr>
        <w:rPr/>
      </w:pPr>
      <w:bookmarkStart w:id="424" w:name="__RefHeading___Toc4020523_372815092"/>
      <w:bookmarkStart w:id="425" w:name="_Toc147"/>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من الأُمور التي بُحِثَت من قِبَل العلماء الأعلام مسألة مُنكِر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روري، وقد شاع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متأخِّري العلماء، وقسَّموا الضرورات إلىٰ قسمين</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4020525_372815092"/>
      <w:bookmarkStart w:id="427" w:name="_Toc148"/>
      <w:bookmarkEnd w:id="426"/>
      <w:r>
        <w:rPr>
          <w:rtl w:val="true"/>
        </w:rPr>
        <w:t>القسم الأوَّل</w:t>
      </w:r>
      <w:r>
        <w:rPr>
          <w:rtl w:val="true"/>
        </w:rPr>
        <w:t xml:space="preserve">: </w:t>
      </w:r>
      <w:r>
        <w:rPr>
          <w:rtl w:val="true"/>
        </w:rPr>
        <w:t>ضروري الدين</w:t>
      </w:r>
      <w:r>
        <w:rPr>
          <w:rtl w:val="true"/>
        </w:rPr>
        <w:t>:</w:t>
      </w:r>
      <w:bookmarkEnd w:id="427"/>
    </w:p>
    <w:p>
      <w:pPr>
        <w:pStyle w:val="BookText"/>
        <w:rPr/>
      </w:pPr>
      <w:r>
        <w:rPr>
          <w:rFonts w:ascii="Amiri" w:hAnsi="Amiri" w:eastAsia="Amiri" w:cs="Amiri"/>
          <w:color w:val="111111"/>
          <w:sz w:val="28"/>
          <w:sz w:val="28"/>
          <w:szCs w:val="28"/>
          <w:rtl w:val="true"/>
          <w:lang w:bidi="ar-SA"/>
        </w:rPr>
        <w:t>وهو عبارة عن العقائد والتش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الثابتة والواضحة والتي تواترت وثبتت قطعيتها لدىٰ جميع المسلمين في القرآن والسُّنَّة القطعية علىٰ أنَّها جزء أساسي في الدين، وقد اهتمَّ بها الشارع اهتماماً كبيراً من خلال التأكيد عليها ممَّا يوجب ارتكازه في أذهان المسلمين بحيث يصير الشيء ضروري الثبوت عندهم وبديهي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عرَّف المحقِّق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عبارة عن الأحكام التي قياسها معها بأن كان صدورها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بديهياً بحيث يكون الاعتراف بصدقهم كافياً في الإذعان بتحقُّقها من غير احتياجها إلىٰ توسُّط مقدّمة خارجية من إجماع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أيضاً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روري هو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الذي يعرفه كلُّ من قارب المسلمين فضلاً عمَّن تديَّن بدينهم، وأنَّ معناه ما يكون دليله واضحاً عند علماء الإسلام بحيث لا يصحُّ الاختلاف فيه بعد تصوُّره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428" w:name="pg7142_66850"/>
    </w:p>
    <w:p>
      <w:pPr>
        <w:pStyle w:val="BookText"/>
        <w:rPr/>
      </w:pPr>
      <w:bookmarkEnd w:id="428"/>
      <w:r>
        <w:rPr>
          <w:rFonts w:ascii="Amiri" w:hAnsi="Amiri" w:eastAsia="Amiri" w:cs="Amiri"/>
          <w:color w:val="111111"/>
          <w:sz w:val="28"/>
          <w:sz w:val="28"/>
          <w:szCs w:val="28"/>
          <w:rtl w:val="true"/>
          <w:lang w:bidi="ar-SA"/>
        </w:rPr>
        <w:t xml:space="preserve">وقال المحدِّث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ضروري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سمعناه من محقِّقي مشايخنا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علماء ملَّتنا وغير ملَّتنا يعرفون أنَّه ممَّا جاء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كالصلاة والزكاة والصوم والحجِّ</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وتنقسم ضرورات الدين إلىٰ ضرورات عقائدية وتش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ريعية فقهية، وذلك من قبيل التوحيد، وأصل النبوَّة، والمعاد، ومن قبيل وجوب أصل الصلاة والصيام والزكاة والحجِّ وغيرها</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020527_372815092"/>
      <w:bookmarkStart w:id="430" w:name="_Toc149"/>
      <w:bookmarkEnd w:id="429"/>
      <w:r>
        <w:rPr>
          <w:rtl w:val="true"/>
        </w:rPr>
        <w:t>القسم الثاني</w:t>
      </w:r>
      <w:r>
        <w:rPr>
          <w:rtl w:val="true"/>
        </w:rPr>
        <w:t xml:space="preserve">: </w:t>
      </w:r>
      <w:r>
        <w:rPr>
          <w:rtl w:val="true"/>
        </w:rPr>
        <w:t>ضروري المذهب</w:t>
      </w:r>
      <w:r>
        <w:rPr>
          <w:rtl w:val="true"/>
        </w:rPr>
        <w:t>:</w:t>
      </w:r>
      <w:bookmarkEnd w:id="430"/>
    </w:p>
    <w:p>
      <w:pPr>
        <w:pStyle w:val="BookText"/>
        <w:rPr/>
      </w:pPr>
      <w:r>
        <w:rPr>
          <w:rFonts w:ascii="Amiri" w:hAnsi="Amiri" w:eastAsia="Amiri" w:cs="Amiri"/>
          <w:color w:val="111111"/>
          <w:sz w:val="28"/>
          <w:sz w:val="28"/>
          <w:szCs w:val="28"/>
          <w:rtl w:val="true"/>
          <w:lang w:bidi="ar-SA"/>
        </w:rPr>
        <w:t>وهي الاعتقادات والتش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التي ثبت تواترها وقطعيتها في مذهب معيَّن وليس عند جميع المسلمين، وعرفها الجميع بأنَّها من مختصّات ذلك المذهب، وهي تنقسم أيضاً إلىٰ ضرورات عقدية وضرورات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تقدَّم أنَّ ضروريات الدين دائرته عامَّة المسلمين، وضروريات المذهب دائرتها خاصَّة بالمسلمين وليس عمومهم، فالاختلاف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 جهة السعة والضيق، والثانية من جهة الآثار المترتِّبة علىٰ كلِّ واحدٍ منها كما سيأتي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واختلفت أقوال الأعلام في مسألة الحكم علىٰ مُنكِر أحد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رورات الدينية، فذهب بعضهم أنَّ إنكار أحد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رورات الدينية يُعَدُّ كفراً وارتداداً، وذلك لكونه سبباً مستقلًّا للكفر، واستدلُّوا علىٰ ذلك بأدلَّة عدَّة لا تخلو من المناقشة، وممكن مراجعة الكُتُب المفصَّلة في ذلك</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آخرون بين الجاهل القاصر والمقصِّ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وبين كون ما يُنكِره </w:t>
      </w:r>
    </w:p>
    <w:p>
      <w:pPr>
        <w:pStyle w:val="BookText"/>
        <w:rPr/>
      </w:pPr>
      <w:r>
        <w:rPr>
          <w:rFonts w:ascii="Amiri" w:hAnsi="Amiri" w:eastAsia="Amiri" w:cs="Amiri"/>
          <w:color w:val="111111"/>
          <w:sz w:val="28"/>
          <w:sz w:val="28"/>
          <w:szCs w:val="28"/>
          <w:rtl w:val="true"/>
          <w:lang w:bidi="ar-SA"/>
        </w:rPr>
        <w:t>المنكر أمراً عقائدياً أو فقهياً، فذهب أصحاب هذا القول إلىٰ أنَّ من أنكر ضرورة دينية عقائدية، كأصل التوحيد مثلاً، أو أصل النبوَّة، فهو خارج عن الإسلام سواء كان قاصراً أو 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وأمَّا من أنكر ضرورة دينية فقهية كأصل وجوب الصلاة أو الصيام، فإن كان 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فحكمه الكفر، وأمَّا إن كان قاصراً فلا يُحكَم بكفره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ذهب إليه مشهور المتأخِّرين وبعض من سبقهم من الأعلام، كالمقدِّس الأردبيلي والقمّي والمحقِّق الخوانساري، فقد قالوا بأنَّ إنكار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روري لا يُعَدُّ سبباً مستقلًّا للكفر، بل إنَّ الحكم بكفره يرجع إمَّا إلىٰ إنكار أصل التوحيد أو الرسالة المحمدية، أمَّا لو كان الإنكار لأحد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رورات المذهبية وليس الدينية من قبيل تفاصيل المعاد، والاعتقاد بأنَّ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وتفاصيل الزكاة، والخُمُس، وغيرها من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رورات الفقهية المذهبية، فقد ذهب العلماء إلىٰ عدم خروجه عن الإسلام، وإنَّما هو خارج عن الإيمان والتشيُّع، فهو مسلم وتترتَّب عليه آثار الإسلام من حقن دمه وماله وعرضه وغيرها من الأحكام التي تثبت بمجرَّد الإسلام، ولذا ينبغي علىٰ المؤمنين الالتفات إلىٰ هذه المسألة، حيث نجد بعض الجهات المبغضة تتَّهم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بالتكفير من خلال استغلال بعض الأقوال أو الاصطلاحات ذات الألفاظ المشتركة كالكفر الذي يُطلَق عند علمائناعلىٰ غير المسلم وغير المؤمن، ولذا ينبغي التفريق بين الضرورات الدينية والمذهبية، لخطورة ما يترتَّب علىٰ مُنكِرها من الآثار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توضيح الفرق بين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رورات الدينية والمذهبية نقول فيما يخصُّ مُنكِر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جليًّا ممَّا تقدَّم بأنَّ أصل الخُمُس من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الثابتة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المقدَّسة، وإنَّ وجوبه كوجوب الصلاة والزكاة، وهو من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روريات الأصلية في الدين التي دلَّت عليها الأدلَّة المتواترة والقطعية لدىٰ المسلمين، والتي من أنكر أصل وجوبها كمن أنكر أصل وجوب الصلاة، فهو إنكار وتكذيب للرسالة المحمّدية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فإنَّ تفاصيل أحكام الخُمُس هي من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روريات المذهبية الفقهية، فمثلاً خُمُس أرباح المكاسب يُعَدُّ من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رورات المذهبية التي اتَّفقت عليها كلمات الإماميَّة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حسب الأدلَّة القطعية المتواترة، واهتمَّ بها الشارع المقدَّس وأكَّد عليها، فمن أنكر خمس المكاسب مثلاً أو غيرها من التفاصيل القطعية لا يُعَدُّ منكراً 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دينية، فلا يوجب خروجه من الإسلام، وإن كان قد أنكر ضرورة مذهبية تجعل إيمانه وتشيُّعه محلّ نظر بحسب ما ورد عن الشارع المقدَّس</w:t>
      </w:r>
      <w:r>
        <w:rPr>
          <w:rFonts w:eastAsia="Amiri" w:cs="Amiri" w:ascii="Amiri" w:hAnsi="Amiri"/>
          <w:color w:val="111111"/>
          <w:sz w:val="28"/>
          <w:szCs w:val="28"/>
          <w:rtl w:val="true"/>
          <w:lang w:bidi="ar-SA"/>
        </w:rPr>
        <w:t>.</w:t>
      </w:r>
      <w:bookmarkStart w:id="431" w:name="pg7142_66853"/>
    </w:p>
    <w:p>
      <w:pPr>
        <w:pStyle w:val="Heading2"/>
        <w:numPr>
          <w:ilvl w:val="1"/>
          <w:numId w:val="1"/>
        </w:numPr>
        <w:rPr/>
      </w:pPr>
      <w:bookmarkStart w:id="432" w:name="__RefHeading___Toc4020529_372815092"/>
      <w:bookmarkStart w:id="433" w:name="_Toc150"/>
      <w:bookmarkEnd w:id="431"/>
      <w:bookmarkEnd w:id="432"/>
      <w:r>
        <w:rPr>
          <w:rtl w:val="true"/>
        </w:rPr>
        <w:t>المصادر والمراجع</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عالم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الهيأة المصرية العامَّة للكتاب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تنوير الحوالك في شرح 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غنية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زهرة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فتوىٰ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الاشتهاردي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الخوئي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قدس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الدكتور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bookmarkStart w:id="434" w:name="pg7142_66857"/>
    </w:p>
    <w:p>
      <w:pPr>
        <w:pStyle w:val="Heading2"/>
        <w:numPr>
          <w:ilvl w:val="1"/>
          <w:numId w:val="1"/>
        </w:numPr>
        <w:rPr/>
      </w:pPr>
      <w:bookmarkStart w:id="435" w:name="__RefHeading___Toc4020531_372815092"/>
      <w:bookmarkStart w:id="436" w:name="_Toc151"/>
      <w:bookmarkEnd w:id="434"/>
      <w:bookmarkEnd w:id="435"/>
      <w:r>
        <w:rPr>
          <w:rtl w:val="true"/>
        </w:rPr>
        <w:t>الفهرس</w:t>
      </w:r>
      <w:bookmarkEnd w:id="436"/>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مقدّمة المقرّر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تشريع فريضة الخُمُس في أرباح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تفعيل النبيِّ لخُمُس المكاسب وعدم جبايته إلىٰ عهد الصادقين دليل علىٰ عدم تشريعه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عقيل وابن الجنيد قالا بعدم وجوب الخُمُس في أرباح المكاسب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خُمُس المكاسب في مصنَّفات الفقهاء القدماء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الخُمُس في زمن الغيبة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من الأحكام الولائية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علىٰ إيصال الخُمُس إلىٰ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آلية جمع وتوزيع فريضة الخُمُس غير تخصُّصية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فريضة الخُمُس لا تخضع للرقابة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المصالحة والمداورة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الشبهة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نصف الخُمُس للسادة من بني هاشم يدعو إلىٰ التفاوت الطبقي </w:t>
      </w:r>
      <w:r>
        <w:rPr>
          <w:rFonts w:eastAsia="Amiri" w:cs="Amiri" w:ascii="Amiri" w:hAnsi="Amiri"/>
          <w:color w:val="111111"/>
          <w:sz w:val="28"/>
          <w:szCs w:val="28"/>
          <w:lang w:bidi="ar-SA"/>
        </w:rPr>
        <w:t>109</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الخُمُس لله ينافي غناه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الحادث بالمتغيّر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الحداثة والمعاصرة والحفاظ علىٰ الأصالة والموروث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الشبهة الرابعة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الخُمُس بمخالفة المنظومة الأخلاقية والعقل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ملحقات حول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وفوائد فريضة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الوظيفة بالنسبة إلىٰ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مُنكِر فريضة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للخليل 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الكبير للفخر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الأوقات والحالات التي تُرجىٰ فيها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الغناء حتَّىٰ في القرآن وتعليمه وأُجرته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للحاكم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وعلَّق عليه بأنَّه صحيح علىٰ شرط الشيخين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أَمْوالُكُمْ وَأَوْلادُكُمْ فِتْنَةٌ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للخوئي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يفضل عن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الفيء والأنفال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يفضل عن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يفضل عن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يفضل عن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الخُمُس لا يجب إلَّا بعد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يفضل عن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الخُمُس فيما يفضل عن مؤونة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 أحمد بن محمّد بن عيسىٰ عن يزيد، وهو يسأل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موضوع الخُمُس، وهي الفائدة وحدودها، فأجابه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مطلق الفائدة سواء كانت تجارة أو غيرها، فالرواية واضحة الدلالة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الخُمُس فيما يفضل عن مؤونة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فقهاء أهل السُّنَّة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واضح لكلِّ من تتبَّع الأحداث والمجريات التاريخية التي حصلت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بدأت السلطة بالاستحواذ علىٰ المصادر المالية التي كانت بيد المسلمين،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وأبرزها أموال الزكاة، بدأ بحادثة مالك بن نويرة الذي امتنع عن إعطاء الزكاة إلَّا للخليفة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رعي الذي نُصِبَ من قِبَل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فتمَّ قتله لامتناعه عن ذلك، وهكذا استمرَّت هذه الطريقة وهذا المنهج حتَّىٰ في عصر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الزكاة في الخيل الإناث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يفضل عن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يفضل عن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يفضل عن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يفضل عن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شِهَابٍ أَنَّ سَالِمَ بْنَ عَبْدِ اللهِ حَدَّثَهُ أَنَّهُ سَمِعَ رَجُلاً مِنْ أَهْلِ الشَّامِ وَهُوَ يَسْأَلُ عَبْدَ اللهِ بْنَ عُمَرَ عَنِ التَّمَتُّعِ بِالْعُمْرَةِ إلىٰ الْحَجِّ، فَقَالَ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أَبَاكَ قَدْ نَهَىٰ عَنْهَا، فَقَالَ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إِنْ كَانَ أَبِي نَهَىٰ عَنْهَا وَصَنَعَهَا رَسُولُ اللهِ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أَأَمْرَ أَبِي نَتَّبِعُ أَمْ أَمْرَ رَسُولِ اللهِ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أَمْرَ رَسُولِ اللهِ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صَنَعَهَا رَسُولُ اللهِ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في شرح موطأ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السياسية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الركزة، وهي القطعة من جواهر الأرض المركوزة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سيب، وهو المال المدفون في الجاهلية أو المعدن لأنَّه من فضل الله وعطائه لمن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الجنيد للاشتهاردي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الخُمُس لا يجب إلَّا بعد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الخُمُس لا يجب إلَّا بعد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إباحة حصَّة الإمام من الخُمُس للشيعة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حصَّة الإمام من الخُمُس للشيعة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حصَّة الإمام من الخُمُس للشيعة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 غنائم دار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إيصال حصَّة الإمام من الخُمُس إليه مع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حصَّة الإمام من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حصَّة الإمام إلىٰ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حصَّة الإمام من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حصَّة الإمام من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حصَّة الإمام من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حصَّة الإمام من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سند الكشّ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هذه الرواية معتبر؛ لأنَّ إبراهيم بن محمّد بن فارس قد شهد الكشّ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آخر من نفس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لا بأس به في نفيه، وهو ظاهر في التوثيق، فيثبت وثاقة علباء، فيصحُّ سند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للرواية أيضاً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إباحة حصَّة الإمام من الخُمُس للشيعة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الخمس فيما يفضل عن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الأحكام الشرعية إلىٰ أقسام عدَّة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حصَّة الإمام من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عليِّ بن مهزيار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أوجبت عليهم الخمس في سنتي هذه في الذهب والفضَّة التي قد حال عليهما الحول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إنَّ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الخُمُس في الذهب والفضَّة مع أنَّهما لا خمس فيهما وإنَّما فيهما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الكفر والارتداد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اصطناع المعروف إلىٰ العلويين والسادات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الزكاة الواجبة علىٰ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النور للإمام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التوقُّف والاحتياط في القضاء والفتوىٰ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أكل مال اليتيم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غرس غرساً فهو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أداء حقِّ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الخمس في الحلال إذا اختلط بالحرام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الاقتصاد في 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الزكاة الواجبة علىٰ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لابن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27109</Words>
  <Characters>123061</Characters>
  <CharactersWithSpaces>149392</CharactersWithSpaces>
  <Paragraphs>1210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2026-08-27T08:02:28Z</dcterms:created>
  <dc:creator>ghaemiyeh.com</dc:creator>
  <dc:description/>
  <dc:language>en-US</dc:language>
  <cp:lastModifiedBy/>
  <dcterms:modified xsi:type="dcterms:W3CDTF">2026-08-27T11:32:33Z</dcterms:modified>
  <cp:revision>1</cp:revision>
  <dc:subject/>
  <dc:title>الخمس فی عصرِ الغیبة شبهات وردود</dc:title>
</cp:coreProperties>
</file>

<file path=docProps/custom.xml><?xml version="1.0" encoding="utf-8"?>
<Properties xmlns="http://schemas.openxmlformats.org/officeDocument/2006/custom-properties" xmlns:vt="http://schemas.openxmlformats.org/officeDocument/2006/docPropsVTypes"/>
</file>