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مقاله فی الاستصحاب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4841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34843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34845_372815092">
            <w:r>
              <w:rPr>
                <w:webHidden/>
                <w:rStyle w:val="IndexLink"/>
                <w:rtl w:val="true"/>
              </w:rPr>
              <w:t>مقدّمة التحقيق‌</w:t>
            </w:r>
            <w:r>
              <w:rPr>
                <w:rStyle w:val="IndexLink"/>
                <w:rtl w:val="true"/>
              </w:rPr>
              <w:tab/>
            </w:r>
            <w:r>
              <w:rPr>
                <w:rStyle w:val="IndexLink"/>
              </w:rPr>
              <w:t>10</w:t>
            </w:r>
          </w:hyperlink>
        </w:p>
        <w:p>
          <w:pPr>
            <w:pStyle w:val="Contents2"/>
            <w:tabs>
              <w:tab w:val="clear" w:pos="8743"/>
              <w:tab w:val="right" w:pos="9026" w:leader="dot"/>
            </w:tabs>
            <w:rPr/>
          </w:pPr>
          <w:hyperlink w:anchor="__RefHeading___Toc3534847_372815092">
            <w:r>
              <w:rPr>
                <w:webHidden/>
                <w:rStyle w:val="IndexLink"/>
                <w:rtl w:val="true"/>
              </w:rPr>
              <w:t>لمحة من حياة المؤلّف قدس سره‌</w:t>
            </w:r>
            <w:r>
              <w:rPr>
                <w:rStyle w:val="IndexLink"/>
                <w:rtl w:val="true"/>
              </w:rPr>
              <w:tab/>
            </w:r>
            <w:r>
              <w:rPr>
                <w:rStyle w:val="IndexLink"/>
              </w:rPr>
              <w:t>11</w:t>
            </w:r>
          </w:hyperlink>
        </w:p>
        <w:p>
          <w:pPr>
            <w:pStyle w:val="Contents2"/>
            <w:tabs>
              <w:tab w:val="clear" w:pos="8743"/>
              <w:tab w:val="right" w:pos="9026" w:leader="dot"/>
            </w:tabs>
            <w:rPr/>
          </w:pPr>
          <w:hyperlink w:anchor="__RefHeading___Toc3534849_372815092">
            <w:r>
              <w:rPr>
                <w:webHidden/>
                <w:rStyle w:val="IndexLink"/>
                <w:rtl w:val="true"/>
              </w:rPr>
              <w:t>منهج التحقيق‌</w:t>
            </w:r>
            <w:r>
              <w:rPr>
                <w:rStyle w:val="IndexLink"/>
                <w:rtl w:val="true"/>
              </w:rPr>
              <w:tab/>
            </w:r>
            <w:r>
              <w:rPr>
                <w:rStyle w:val="IndexLink"/>
              </w:rPr>
              <w:t>18</w:t>
            </w:r>
          </w:hyperlink>
        </w:p>
        <w:p>
          <w:pPr>
            <w:pStyle w:val="Contents2"/>
            <w:tabs>
              <w:tab w:val="clear" w:pos="8743"/>
              <w:tab w:val="right" w:pos="9026" w:leader="dot"/>
            </w:tabs>
            <w:rPr/>
          </w:pPr>
          <w:hyperlink w:anchor="__RefHeading___Toc3534851_372815092">
            <w:r>
              <w:rPr>
                <w:webHidden/>
                <w:rStyle w:val="IndexLink"/>
                <w:rtl w:val="true"/>
              </w:rPr>
              <w:t>مقالة في الاستصحاب‌</w:t>
            </w:r>
            <w:r>
              <w:rPr>
                <w:rStyle w:val="IndexLink"/>
                <w:rtl w:val="true"/>
              </w:rPr>
              <w:tab/>
            </w:r>
            <w:r>
              <w:rPr>
                <w:rStyle w:val="IndexLink"/>
              </w:rPr>
              <w:t>20</w:t>
            </w:r>
          </w:hyperlink>
        </w:p>
        <w:p>
          <w:pPr>
            <w:pStyle w:val="Contents2"/>
            <w:tabs>
              <w:tab w:val="clear" w:pos="8743"/>
              <w:tab w:val="right" w:pos="9026" w:leader="dot"/>
            </w:tabs>
            <w:rPr/>
          </w:pPr>
          <w:hyperlink w:anchor="__RefHeading___Toc3534853_372815092">
            <w:r>
              <w:rPr>
                <w:webHidden/>
                <w:rStyle w:val="IndexLink"/>
                <w:rtl w:val="true"/>
              </w:rPr>
              <w:t>البحث الأوّل</w:t>
            </w:r>
            <w:r>
              <w:rPr>
                <w:rStyle w:val="IndexLink"/>
                <w:rtl w:val="true"/>
              </w:rPr>
              <w:t xml:space="preserve">: </w:t>
            </w:r>
            <w:r>
              <w:rPr>
                <w:rStyle w:val="IndexLink"/>
                <w:rtl w:val="true"/>
              </w:rPr>
              <w:t>في تعريف الاستصحاب</w:t>
            </w:r>
            <w:r>
              <w:rPr>
                <w:rStyle w:val="IndexLink"/>
                <w:rtl w:val="true"/>
              </w:rPr>
              <w:tab/>
            </w:r>
            <w:r>
              <w:rPr>
                <w:rStyle w:val="IndexLink"/>
              </w:rPr>
              <w:t>22</w:t>
            </w:r>
          </w:hyperlink>
        </w:p>
        <w:p>
          <w:pPr>
            <w:pStyle w:val="Contents3"/>
            <w:tabs>
              <w:tab w:val="clear" w:pos="8459"/>
              <w:tab w:val="right" w:pos="9026" w:leader="dot"/>
            </w:tabs>
            <w:rPr/>
          </w:pPr>
          <w:hyperlink w:anchor="__RefHeading___Toc3534855_372815092">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534857_372815092">
            <w:r>
              <w:rPr>
                <w:webHidden/>
                <w:rStyle w:val="IndexLink"/>
                <w:rtl w:val="true"/>
              </w:rPr>
              <w:t>التعريف الأوّل</w:t>
            </w:r>
            <w:r>
              <w:rPr>
                <w:rStyle w:val="IndexLink"/>
                <w:rtl w:val="true"/>
              </w:rPr>
              <w:t xml:space="preserve">: </w:t>
            </w:r>
            <w:r>
              <w:rPr>
                <w:rStyle w:val="IndexLink"/>
                <w:rtl w:val="true"/>
              </w:rPr>
              <w:t>للاستصحاب</w:t>
            </w:r>
            <w:r>
              <w:rPr>
                <w:rStyle w:val="IndexLink"/>
                <w:rtl w:val="true"/>
              </w:rPr>
              <w:tab/>
            </w:r>
            <w:r>
              <w:rPr>
                <w:rStyle w:val="IndexLink"/>
              </w:rPr>
              <w:t>22</w:t>
            </w:r>
          </w:hyperlink>
        </w:p>
        <w:p>
          <w:pPr>
            <w:pStyle w:val="Contents3"/>
            <w:tabs>
              <w:tab w:val="clear" w:pos="8459"/>
              <w:tab w:val="right" w:pos="9026" w:leader="dot"/>
            </w:tabs>
            <w:rPr/>
          </w:pPr>
          <w:hyperlink w:anchor="__RefHeading___Toc3534859_372815092">
            <w:r>
              <w:rPr>
                <w:webHidden/>
                <w:rStyle w:val="IndexLink"/>
                <w:rtl w:val="true"/>
              </w:rPr>
              <w:t>التعريف الثاني للاستصحاب</w:t>
            </w:r>
            <w:r>
              <w:rPr>
                <w:rStyle w:val="IndexLink"/>
                <w:rtl w:val="true"/>
              </w:rPr>
              <w:tab/>
            </w:r>
            <w:r>
              <w:rPr>
                <w:rStyle w:val="IndexLink"/>
              </w:rPr>
              <w:t>26</w:t>
            </w:r>
          </w:hyperlink>
        </w:p>
        <w:p>
          <w:pPr>
            <w:pStyle w:val="Contents3"/>
            <w:tabs>
              <w:tab w:val="clear" w:pos="8459"/>
              <w:tab w:val="right" w:pos="9026" w:leader="dot"/>
            </w:tabs>
            <w:rPr/>
          </w:pPr>
          <w:hyperlink w:anchor="__RefHeading___Toc3534861_372815092">
            <w:r>
              <w:rPr>
                <w:webHidden/>
                <w:rStyle w:val="IndexLink"/>
                <w:rtl w:val="true"/>
              </w:rPr>
              <w:t>التعريف الثالث للاستصحاب</w:t>
            </w:r>
            <w:r>
              <w:rPr>
                <w:rStyle w:val="IndexLink"/>
                <w:rtl w:val="true"/>
              </w:rPr>
              <w:tab/>
            </w:r>
            <w:r>
              <w:rPr>
                <w:rStyle w:val="IndexLink"/>
              </w:rPr>
              <w:t>28</w:t>
            </w:r>
          </w:hyperlink>
        </w:p>
        <w:p>
          <w:pPr>
            <w:pStyle w:val="Contents3"/>
            <w:tabs>
              <w:tab w:val="clear" w:pos="8459"/>
              <w:tab w:val="right" w:pos="9026" w:leader="dot"/>
            </w:tabs>
            <w:rPr/>
          </w:pPr>
          <w:hyperlink w:anchor="__RefHeading___Toc3534863_372815092">
            <w:r>
              <w:rPr>
                <w:webHidden/>
                <w:rStyle w:val="IndexLink"/>
                <w:rtl w:val="true"/>
              </w:rPr>
              <w:t>التعريف الرابع للاستصحاب</w:t>
            </w:r>
            <w:r>
              <w:rPr>
                <w:rStyle w:val="IndexLink"/>
                <w:rtl w:val="true"/>
              </w:rPr>
              <w:tab/>
            </w:r>
            <w:r>
              <w:rPr>
                <w:rStyle w:val="IndexLink"/>
              </w:rPr>
              <w:t>30</w:t>
            </w:r>
          </w:hyperlink>
        </w:p>
        <w:p>
          <w:pPr>
            <w:pStyle w:val="Contents3"/>
            <w:tabs>
              <w:tab w:val="clear" w:pos="8459"/>
              <w:tab w:val="right" w:pos="9026" w:leader="dot"/>
            </w:tabs>
            <w:rPr/>
          </w:pPr>
          <w:hyperlink w:anchor="__RefHeading___Toc3534865_372815092">
            <w:r>
              <w:rPr>
                <w:webHidden/>
                <w:rStyle w:val="IndexLink"/>
                <w:rtl w:val="true"/>
              </w:rPr>
              <w:t>مختار المؤلّف في تعريف الاستصحاب</w:t>
            </w:r>
            <w:r>
              <w:rPr>
                <w:rStyle w:val="IndexLink"/>
                <w:rtl w:val="true"/>
              </w:rPr>
              <w:tab/>
            </w:r>
            <w:r>
              <w:rPr>
                <w:rStyle w:val="IndexLink"/>
              </w:rPr>
              <w:t>30</w:t>
            </w:r>
          </w:hyperlink>
        </w:p>
        <w:p>
          <w:pPr>
            <w:pStyle w:val="Contents2"/>
            <w:tabs>
              <w:tab w:val="clear" w:pos="8743"/>
              <w:tab w:val="right" w:pos="9026" w:leader="dot"/>
            </w:tabs>
            <w:rPr/>
          </w:pPr>
          <w:hyperlink w:anchor="__RefHeading___Toc3534867_372815092">
            <w:r>
              <w:rPr>
                <w:webHidden/>
                <w:rStyle w:val="IndexLink"/>
                <w:rtl w:val="true"/>
              </w:rPr>
              <w:t>البحث الثاني</w:t>
            </w:r>
            <w:r>
              <w:rPr>
                <w:rStyle w:val="IndexLink"/>
                <w:rtl w:val="true"/>
              </w:rPr>
              <w:t xml:space="preserve">: </w:t>
            </w:r>
            <w:r>
              <w:rPr>
                <w:rStyle w:val="IndexLink"/>
                <w:rtl w:val="true"/>
              </w:rPr>
              <w:t>في أقسام الاستصحاب</w:t>
            </w:r>
            <w:r>
              <w:rPr>
                <w:rStyle w:val="IndexLink"/>
                <w:rtl w:val="true"/>
              </w:rPr>
              <w:tab/>
            </w:r>
            <w:r>
              <w:rPr>
                <w:rStyle w:val="IndexLink"/>
              </w:rPr>
              <w:t>32</w:t>
            </w:r>
          </w:hyperlink>
        </w:p>
        <w:p>
          <w:pPr>
            <w:pStyle w:val="Contents3"/>
            <w:tabs>
              <w:tab w:val="clear" w:pos="8459"/>
              <w:tab w:val="right" w:pos="9026" w:leader="dot"/>
            </w:tabs>
            <w:rPr/>
          </w:pPr>
          <w:hyperlink w:anchor="__RefHeading___Toc3534869_372815092">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534871_372815092">
            <w:r>
              <w:rPr>
                <w:webHidden/>
                <w:rStyle w:val="IndexLink"/>
                <w:rtl w:val="true"/>
              </w:rPr>
              <w:t>القول في أقسام الاستصحاب و انّها ثمانية</w:t>
            </w:r>
            <w:r>
              <w:rPr>
                <w:rStyle w:val="IndexLink"/>
                <w:rtl w:val="true"/>
              </w:rPr>
              <w:tab/>
            </w:r>
            <w:r>
              <w:rPr>
                <w:rStyle w:val="IndexLink"/>
              </w:rPr>
              <w:t>33</w:t>
            </w:r>
          </w:hyperlink>
        </w:p>
        <w:p>
          <w:pPr>
            <w:pStyle w:val="Contents3"/>
            <w:tabs>
              <w:tab w:val="clear" w:pos="8459"/>
              <w:tab w:val="right" w:pos="9026" w:leader="dot"/>
            </w:tabs>
            <w:rPr/>
          </w:pPr>
          <w:hyperlink w:anchor="__RefHeading___Toc3534873_372815092">
            <w:r>
              <w:rPr>
                <w:webHidden/>
                <w:rStyle w:val="IndexLink"/>
                <w:rtl w:val="true"/>
              </w:rPr>
              <w:t>القول في الفرق بين أصالة العدم وأصالة البراءة</w:t>
            </w:r>
            <w:r>
              <w:rPr>
                <w:rStyle w:val="IndexLink"/>
                <w:rtl w:val="true"/>
              </w:rPr>
              <w:tab/>
            </w:r>
            <w:r>
              <w:rPr>
                <w:rStyle w:val="IndexLink"/>
              </w:rPr>
              <w:t>38</w:t>
            </w:r>
          </w:hyperlink>
        </w:p>
        <w:p>
          <w:pPr>
            <w:pStyle w:val="Contents2"/>
            <w:tabs>
              <w:tab w:val="clear" w:pos="8743"/>
              <w:tab w:val="right" w:pos="9026" w:leader="dot"/>
            </w:tabs>
            <w:rPr/>
          </w:pPr>
          <w:hyperlink w:anchor="__RefHeading___Toc3534875_372815092">
            <w:r>
              <w:rPr>
                <w:webHidden/>
                <w:rStyle w:val="IndexLink"/>
                <w:rtl w:val="true"/>
              </w:rPr>
              <w:t>البحث الثالث</w:t>
            </w:r>
            <w:r>
              <w:rPr>
                <w:rStyle w:val="IndexLink"/>
                <w:rtl w:val="true"/>
              </w:rPr>
              <w:t xml:space="preserve">: </w:t>
            </w:r>
            <w:r>
              <w:rPr>
                <w:rStyle w:val="IndexLink"/>
                <w:rtl w:val="true"/>
              </w:rPr>
              <w:t>في حجّيّة الاستصحاب و عدمها</w:t>
            </w:r>
            <w:r>
              <w:rPr>
                <w:rStyle w:val="IndexLink"/>
                <w:rtl w:val="true"/>
              </w:rPr>
              <w:tab/>
            </w:r>
            <w:r>
              <w:rPr>
                <w:rStyle w:val="IndexLink"/>
              </w:rPr>
              <w:t>42</w:t>
            </w:r>
          </w:hyperlink>
        </w:p>
        <w:p>
          <w:pPr>
            <w:pStyle w:val="Contents3"/>
            <w:tabs>
              <w:tab w:val="clear" w:pos="8459"/>
              <w:tab w:val="right" w:pos="9026" w:leader="dot"/>
            </w:tabs>
            <w:rPr/>
          </w:pPr>
          <w:hyperlink w:anchor="__RefHeading___Toc3534877_372815092">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534879_372815092">
            <w:r>
              <w:rPr>
                <w:webHidden/>
                <w:rStyle w:val="IndexLink"/>
                <w:rtl w:val="true"/>
              </w:rPr>
              <w:t>القول في النصوص الدالّة على حجّيّة الاستصحاب‌</w:t>
            </w:r>
            <w:r>
              <w:rPr>
                <w:rStyle w:val="IndexLink"/>
                <w:rtl w:val="true"/>
              </w:rPr>
              <w:tab/>
            </w:r>
            <w:r>
              <w:rPr>
                <w:rStyle w:val="IndexLink"/>
              </w:rPr>
              <w:t>42</w:t>
            </w:r>
          </w:hyperlink>
        </w:p>
        <w:p>
          <w:pPr>
            <w:pStyle w:val="Contents3"/>
            <w:tabs>
              <w:tab w:val="clear" w:pos="8459"/>
              <w:tab w:val="right" w:pos="9026" w:leader="dot"/>
            </w:tabs>
            <w:rPr/>
          </w:pPr>
          <w:hyperlink w:anchor="__RefHeading___Toc3534881_372815092">
            <w:r>
              <w:rPr>
                <w:webHidden/>
                <w:rStyle w:val="IndexLink"/>
                <w:rtl w:val="true"/>
              </w:rPr>
              <w:t>الوجه الأوّل</w:t>
            </w:r>
            <w:r>
              <w:rPr>
                <w:rStyle w:val="IndexLink"/>
                <w:rtl w:val="true"/>
              </w:rPr>
              <w:tab/>
            </w:r>
            <w:r>
              <w:rPr>
                <w:rStyle w:val="IndexLink"/>
              </w:rPr>
              <w:t>42</w:t>
            </w:r>
          </w:hyperlink>
        </w:p>
        <w:p>
          <w:pPr>
            <w:pStyle w:val="Contents3"/>
            <w:tabs>
              <w:tab w:val="clear" w:pos="8459"/>
              <w:tab w:val="right" w:pos="9026" w:leader="dot"/>
            </w:tabs>
            <w:rPr/>
          </w:pPr>
          <w:hyperlink w:anchor="__RefHeading___Toc3534883_372815092">
            <w:r>
              <w:rPr>
                <w:webHidden/>
                <w:rStyle w:val="IndexLink"/>
                <w:rtl w:val="true"/>
              </w:rPr>
              <w:t>الرواية الأولى</w:t>
            </w:r>
            <w:r>
              <w:rPr>
                <w:rStyle w:val="IndexLink"/>
                <w:rtl w:val="true"/>
              </w:rPr>
              <w:tab/>
            </w:r>
            <w:r>
              <w:rPr>
                <w:rStyle w:val="IndexLink"/>
              </w:rPr>
              <w:t>43</w:t>
            </w:r>
          </w:hyperlink>
        </w:p>
        <w:p>
          <w:pPr>
            <w:pStyle w:val="Contents3"/>
            <w:tabs>
              <w:tab w:val="clear" w:pos="8459"/>
              <w:tab w:val="right" w:pos="9026" w:leader="dot"/>
            </w:tabs>
            <w:rPr/>
          </w:pPr>
          <w:hyperlink w:anchor="__RefHeading___Toc3534885_372815092">
            <w:r>
              <w:rPr>
                <w:webHidden/>
                <w:rStyle w:val="IndexLink"/>
                <w:rtl w:val="true"/>
              </w:rPr>
              <w:t>الوجه الثاني</w:t>
            </w:r>
            <w:r>
              <w:rPr>
                <w:rStyle w:val="IndexLink"/>
                <w:rtl w:val="true"/>
              </w:rPr>
              <w:tab/>
            </w:r>
            <w:r>
              <w:rPr>
                <w:rStyle w:val="IndexLink"/>
              </w:rPr>
              <w:t>48</w:t>
            </w:r>
          </w:hyperlink>
        </w:p>
        <w:p>
          <w:pPr>
            <w:pStyle w:val="Contents3"/>
            <w:tabs>
              <w:tab w:val="clear" w:pos="8459"/>
              <w:tab w:val="right" w:pos="9026" w:leader="dot"/>
            </w:tabs>
            <w:rPr/>
          </w:pPr>
          <w:hyperlink w:anchor="__RefHeading___Toc3534887_372815092">
            <w:r>
              <w:rPr>
                <w:webHidden/>
                <w:rStyle w:val="IndexLink"/>
                <w:rtl w:val="true"/>
              </w:rPr>
              <w:t>الوجه الثالث</w:t>
            </w:r>
            <w:r>
              <w:rPr>
                <w:rStyle w:val="IndexLink"/>
                <w:rtl w:val="true"/>
              </w:rPr>
              <w:tab/>
            </w:r>
            <w:r>
              <w:rPr>
                <w:rStyle w:val="IndexLink"/>
              </w:rPr>
              <w:t>50</w:t>
            </w:r>
          </w:hyperlink>
        </w:p>
        <w:p>
          <w:pPr>
            <w:pStyle w:val="Contents4"/>
            <w:tabs>
              <w:tab w:val="clear" w:pos="8176"/>
              <w:tab w:val="right" w:pos="9026" w:leader="dot"/>
            </w:tabs>
            <w:rPr/>
          </w:pPr>
          <w:hyperlink w:anchor="__RefHeading___Toc3534889_372815092">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3534891_372815092">
            <w:r>
              <w:rPr>
                <w:webHidden/>
                <w:rStyle w:val="IndexLink"/>
                <w:rtl w:val="true"/>
              </w:rPr>
              <w:t>إيراد كلام لدفع إيهام‌</w:t>
            </w:r>
            <w:r>
              <w:rPr>
                <w:rStyle w:val="IndexLink"/>
                <w:rtl w:val="true"/>
              </w:rPr>
              <w:tab/>
            </w:r>
            <w:r>
              <w:rPr>
                <w:rStyle w:val="IndexLink"/>
              </w:rPr>
              <w:t>52</w:t>
            </w:r>
          </w:hyperlink>
        </w:p>
        <w:p>
          <w:pPr>
            <w:pStyle w:val="Contents5"/>
            <w:tabs>
              <w:tab w:val="clear" w:pos="7892"/>
              <w:tab w:val="right" w:pos="9026" w:leader="dot"/>
            </w:tabs>
            <w:rPr/>
          </w:pPr>
          <w:hyperlink w:anchor="__RefHeading___Toc3534893_372815092">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3534895_372815092">
            <w:r>
              <w:rPr>
                <w:webHidden/>
                <w:rStyle w:val="IndexLink"/>
                <w:rtl w:val="true"/>
              </w:rPr>
              <w:t>القول الأوّل</w:t>
            </w:r>
            <w:r>
              <w:rPr>
                <w:rStyle w:val="IndexLink"/>
                <w:rtl w:val="true"/>
              </w:rPr>
              <w:tab/>
            </w:r>
            <w:r>
              <w:rPr>
                <w:rStyle w:val="IndexLink"/>
              </w:rPr>
              <w:t>53</w:t>
            </w:r>
          </w:hyperlink>
        </w:p>
        <w:p>
          <w:pPr>
            <w:pStyle w:val="Contents5"/>
            <w:tabs>
              <w:tab w:val="clear" w:pos="7892"/>
              <w:tab w:val="right" w:pos="9026" w:leader="dot"/>
            </w:tabs>
            <w:rPr/>
          </w:pPr>
          <w:hyperlink w:anchor="__RefHeading___Toc3534897_372815092">
            <w:r>
              <w:rPr>
                <w:webHidden/>
                <w:rStyle w:val="IndexLink"/>
                <w:rtl w:val="true"/>
              </w:rPr>
              <w:t>القول الثاني</w:t>
            </w:r>
            <w:r>
              <w:rPr>
                <w:rStyle w:val="IndexLink"/>
                <w:rtl w:val="true"/>
              </w:rPr>
              <w:tab/>
            </w:r>
            <w:r>
              <w:rPr>
                <w:rStyle w:val="IndexLink"/>
              </w:rPr>
              <w:t>55</w:t>
            </w:r>
          </w:hyperlink>
        </w:p>
        <w:p>
          <w:pPr>
            <w:pStyle w:val="Contents5"/>
            <w:tabs>
              <w:tab w:val="clear" w:pos="7892"/>
              <w:tab w:val="right" w:pos="9026" w:leader="dot"/>
            </w:tabs>
            <w:rPr/>
          </w:pPr>
          <w:hyperlink w:anchor="__RefHeading___Toc3534899_372815092">
            <w:r>
              <w:rPr>
                <w:webHidden/>
                <w:rStyle w:val="IndexLink"/>
                <w:rtl w:val="true"/>
              </w:rPr>
              <w:t>القول الثالث</w:t>
            </w:r>
            <w:r>
              <w:rPr>
                <w:rStyle w:val="IndexLink"/>
                <w:rtl w:val="true"/>
              </w:rPr>
              <w:tab/>
            </w:r>
            <w:r>
              <w:rPr>
                <w:rStyle w:val="IndexLink"/>
              </w:rPr>
              <w:t>56</w:t>
            </w:r>
          </w:hyperlink>
        </w:p>
        <w:p>
          <w:pPr>
            <w:pStyle w:val="Contents5"/>
            <w:tabs>
              <w:tab w:val="clear" w:pos="7892"/>
              <w:tab w:val="right" w:pos="9026" w:leader="dot"/>
            </w:tabs>
            <w:rPr/>
          </w:pPr>
          <w:hyperlink w:anchor="__RefHeading___Toc3534901_372815092">
            <w:r>
              <w:rPr>
                <w:webHidden/>
                <w:rStyle w:val="IndexLink"/>
                <w:rtl w:val="true"/>
              </w:rPr>
              <w:t>القول الرابع</w:t>
            </w:r>
            <w:r>
              <w:rPr>
                <w:rStyle w:val="IndexLink"/>
                <w:rtl w:val="true"/>
              </w:rPr>
              <w:tab/>
            </w:r>
            <w:r>
              <w:rPr>
                <w:rStyle w:val="IndexLink"/>
              </w:rPr>
              <w:t>58</w:t>
            </w:r>
          </w:hyperlink>
        </w:p>
        <w:p>
          <w:pPr>
            <w:pStyle w:val="Contents3"/>
            <w:tabs>
              <w:tab w:val="clear" w:pos="8459"/>
              <w:tab w:val="right" w:pos="9026" w:leader="dot"/>
            </w:tabs>
            <w:rPr/>
          </w:pPr>
          <w:hyperlink w:anchor="__RefHeading___Toc3534903_372815092">
            <w:r>
              <w:rPr>
                <w:webHidden/>
                <w:rStyle w:val="IndexLink"/>
                <w:rtl w:val="true"/>
              </w:rPr>
              <w:t>الرواية الثانية</w:t>
            </w:r>
            <w:r>
              <w:rPr>
                <w:rStyle w:val="IndexLink"/>
                <w:rtl w:val="true"/>
              </w:rPr>
              <w:tab/>
            </w:r>
            <w:r>
              <w:rPr>
                <w:rStyle w:val="IndexLink"/>
              </w:rPr>
              <w:t>59</w:t>
            </w:r>
          </w:hyperlink>
        </w:p>
        <w:p>
          <w:pPr>
            <w:pStyle w:val="Contents4"/>
            <w:tabs>
              <w:tab w:val="clear" w:pos="8176"/>
              <w:tab w:val="right" w:pos="9026" w:leader="dot"/>
            </w:tabs>
            <w:rPr/>
          </w:pPr>
          <w:hyperlink w:anchor="__RefHeading___Toc3534905_372815092">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3534907_372815092">
            <w:r>
              <w:rPr>
                <w:webHidden/>
                <w:rStyle w:val="IndexLink"/>
                <w:rtl w:val="true"/>
              </w:rPr>
              <w:t>الموضع الأوّل</w:t>
            </w:r>
            <w:r>
              <w:rPr>
                <w:rStyle w:val="IndexLink"/>
                <w:rtl w:val="true"/>
              </w:rPr>
              <w:tab/>
            </w:r>
            <w:r>
              <w:rPr>
                <w:rStyle w:val="IndexLink"/>
              </w:rPr>
              <w:t>60</w:t>
            </w:r>
          </w:hyperlink>
        </w:p>
        <w:p>
          <w:pPr>
            <w:pStyle w:val="Contents4"/>
            <w:tabs>
              <w:tab w:val="clear" w:pos="8176"/>
              <w:tab w:val="right" w:pos="9026" w:leader="dot"/>
            </w:tabs>
            <w:rPr/>
          </w:pPr>
          <w:hyperlink w:anchor="__RefHeading___Toc3534909_372815092">
            <w:r>
              <w:rPr>
                <w:webHidden/>
                <w:rStyle w:val="IndexLink"/>
                <w:rtl w:val="true"/>
              </w:rPr>
              <w:t>الموضع الثاني</w:t>
            </w:r>
            <w:r>
              <w:rPr>
                <w:rStyle w:val="IndexLink"/>
                <w:rtl w:val="true"/>
              </w:rPr>
              <w:tab/>
            </w:r>
            <w:r>
              <w:rPr>
                <w:rStyle w:val="IndexLink"/>
              </w:rPr>
              <w:t>64</w:t>
            </w:r>
          </w:hyperlink>
        </w:p>
        <w:p>
          <w:pPr>
            <w:pStyle w:val="Contents3"/>
            <w:tabs>
              <w:tab w:val="clear" w:pos="8459"/>
              <w:tab w:val="right" w:pos="9026" w:leader="dot"/>
            </w:tabs>
            <w:rPr/>
          </w:pPr>
          <w:hyperlink w:anchor="__RefHeading___Toc3534911_372815092">
            <w:r>
              <w:rPr>
                <w:webHidden/>
                <w:rStyle w:val="IndexLink"/>
                <w:rtl w:val="true"/>
              </w:rPr>
              <w:t>الرواية الثالثة</w:t>
            </w:r>
            <w:r>
              <w:rPr>
                <w:rStyle w:val="IndexLink"/>
                <w:rtl w:val="true"/>
              </w:rPr>
              <w:tab/>
            </w:r>
            <w:r>
              <w:rPr>
                <w:rStyle w:val="IndexLink"/>
              </w:rPr>
              <w:t>65</w:t>
            </w:r>
          </w:hyperlink>
        </w:p>
        <w:p>
          <w:pPr>
            <w:pStyle w:val="Contents3"/>
            <w:tabs>
              <w:tab w:val="clear" w:pos="8459"/>
              <w:tab w:val="right" w:pos="9026" w:leader="dot"/>
            </w:tabs>
            <w:rPr/>
          </w:pPr>
          <w:hyperlink w:anchor="__RefHeading___Toc3534913_372815092">
            <w:r>
              <w:rPr>
                <w:webHidden/>
                <w:rStyle w:val="IndexLink"/>
                <w:rtl w:val="true"/>
              </w:rPr>
              <w:t>الرواية الرابعة</w:t>
            </w:r>
            <w:r>
              <w:rPr>
                <w:rStyle w:val="IndexLink"/>
                <w:rtl w:val="true"/>
              </w:rPr>
              <w:tab/>
            </w:r>
            <w:r>
              <w:rPr>
                <w:rStyle w:val="IndexLink"/>
              </w:rPr>
              <w:t>66</w:t>
            </w:r>
          </w:hyperlink>
        </w:p>
        <w:p>
          <w:pPr>
            <w:pStyle w:val="Contents3"/>
            <w:tabs>
              <w:tab w:val="clear" w:pos="8459"/>
              <w:tab w:val="right" w:pos="9026" w:leader="dot"/>
            </w:tabs>
            <w:rPr/>
          </w:pPr>
          <w:hyperlink w:anchor="__RefHeading___Toc3534915_372815092">
            <w:r>
              <w:rPr>
                <w:webHidden/>
                <w:rStyle w:val="IndexLink"/>
                <w:rtl w:val="true"/>
              </w:rPr>
              <w:t>الرواية الخامسة</w:t>
            </w:r>
            <w:r>
              <w:rPr>
                <w:rStyle w:val="IndexLink"/>
                <w:rtl w:val="true"/>
              </w:rPr>
              <w:tab/>
            </w:r>
            <w:r>
              <w:rPr>
                <w:rStyle w:val="IndexLink"/>
              </w:rPr>
              <w:t>68</w:t>
            </w:r>
          </w:hyperlink>
        </w:p>
        <w:p>
          <w:pPr>
            <w:pStyle w:val="Contents3"/>
            <w:tabs>
              <w:tab w:val="clear" w:pos="8459"/>
              <w:tab w:val="right" w:pos="9026" w:leader="dot"/>
            </w:tabs>
            <w:rPr/>
          </w:pPr>
          <w:hyperlink w:anchor="__RefHeading___Toc3534917_372815092">
            <w:r>
              <w:rPr>
                <w:webHidden/>
                <w:rStyle w:val="IndexLink"/>
                <w:rtl w:val="true"/>
              </w:rPr>
              <w:t>الرواية السادسة</w:t>
            </w:r>
            <w:r>
              <w:rPr>
                <w:rStyle w:val="IndexLink"/>
                <w:rtl w:val="true"/>
              </w:rPr>
              <w:tab/>
            </w:r>
            <w:r>
              <w:rPr>
                <w:rStyle w:val="IndexLink"/>
              </w:rPr>
              <w:t>70</w:t>
            </w:r>
          </w:hyperlink>
        </w:p>
        <w:p>
          <w:pPr>
            <w:pStyle w:val="Contents4"/>
            <w:tabs>
              <w:tab w:val="clear" w:pos="8176"/>
              <w:tab w:val="right" w:pos="9026" w:leader="dot"/>
            </w:tabs>
            <w:rPr/>
          </w:pPr>
          <w:hyperlink w:anchor="__RefHeading___Toc3534919_37281509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534921_372815092">
            <w:r>
              <w:rPr>
                <w:webHidden/>
                <w:rStyle w:val="IndexLink"/>
                <w:rtl w:val="true"/>
              </w:rPr>
              <w:t>القول في شبهة الأخباريّين والجواب عنها</w:t>
            </w:r>
            <w:r>
              <w:rPr>
                <w:rStyle w:val="IndexLink"/>
                <w:rtl w:val="true"/>
              </w:rPr>
              <w:tab/>
            </w:r>
            <w:r>
              <w:rPr>
                <w:rStyle w:val="IndexLink"/>
              </w:rPr>
              <w:t>72</w:t>
            </w:r>
          </w:hyperlink>
        </w:p>
        <w:p>
          <w:pPr>
            <w:pStyle w:val="Contents4"/>
            <w:tabs>
              <w:tab w:val="clear" w:pos="8176"/>
              <w:tab w:val="right" w:pos="9026" w:leader="dot"/>
            </w:tabs>
            <w:rPr/>
          </w:pPr>
          <w:hyperlink w:anchor="__RefHeading___Toc3534923_372815092">
            <w:r>
              <w:rPr>
                <w:webHidden/>
                <w:rStyle w:val="IndexLink"/>
                <w:rtl w:val="true"/>
              </w:rPr>
              <w:t>الجواب عن الأوّل</w:t>
            </w:r>
            <w:r>
              <w:rPr>
                <w:rStyle w:val="IndexLink"/>
                <w:rtl w:val="true"/>
              </w:rPr>
              <w:tab/>
            </w:r>
            <w:r>
              <w:rPr>
                <w:rStyle w:val="IndexLink"/>
              </w:rPr>
              <w:t>73</w:t>
            </w:r>
          </w:hyperlink>
        </w:p>
        <w:p>
          <w:pPr>
            <w:pStyle w:val="Contents4"/>
            <w:tabs>
              <w:tab w:val="clear" w:pos="8176"/>
              <w:tab w:val="right" w:pos="9026" w:leader="dot"/>
            </w:tabs>
            <w:rPr/>
          </w:pPr>
          <w:hyperlink w:anchor="__RefHeading___Toc3534925_372815092">
            <w:r>
              <w:rPr>
                <w:webHidden/>
                <w:rStyle w:val="IndexLink"/>
                <w:rtl w:val="true"/>
              </w:rPr>
              <w:t>الجواب عن الثاني</w:t>
            </w:r>
            <w:r>
              <w:rPr>
                <w:rStyle w:val="IndexLink"/>
                <w:rtl w:val="true"/>
              </w:rPr>
              <w:tab/>
            </w:r>
            <w:r>
              <w:rPr>
                <w:rStyle w:val="IndexLink"/>
              </w:rPr>
              <w:t>75</w:t>
            </w:r>
          </w:hyperlink>
        </w:p>
        <w:p>
          <w:pPr>
            <w:pStyle w:val="Contents2"/>
            <w:tabs>
              <w:tab w:val="clear" w:pos="8743"/>
              <w:tab w:val="right" w:pos="9026" w:leader="dot"/>
            </w:tabs>
            <w:rPr/>
          </w:pPr>
          <w:hyperlink w:anchor="__RefHeading___Toc3534927_372815092">
            <w:r>
              <w:rPr>
                <w:webHidden/>
                <w:rStyle w:val="IndexLink"/>
                <w:rtl w:val="true"/>
              </w:rPr>
              <w:t>فهرس المطالب</w:t>
            </w:r>
            <w:r>
              <w:rPr>
                <w:rStyle w:val="IndexLink"/>
                <w:rtl w:val="true"/>
              </w:rPr>
              <w:tab/>
            </w:r>
            <w:r>
              <w:rPr>
                <w:rStyle w:val="IndexLink"/>
              </w:rPr>
              <w:t>76</w:t>
            </w:r>
          </w:hyperlink>
        </w:p>
        <w:p>
          <w:pPr>
            <w:pStyle w:val="Contents2"/>
            <w:tabs>
              <w:tab w:val="clear" w:pos="8743"/>
              <w:tab w:val="right" w:pos="9026" w:leader="dot"/>
            </w:tabs>
            <w:rPr/>
          </w:pPr>
          <w:hyperlink w:anchor="__RefHeading___Toc3534929_372815092">
            <w:r>
              <w:rPr>
                <w:webHidden/>
                <w:rStyle w:val="IndexLink"/>
                <w:rtl w:val="true"/>
              </w:rPr>
              <w:t xml:space="preserve">فهرس منشورات مكتبة مسجد السيّد حجّة الإسلام قدس سره </w:t>
            </w:r>
            <w:r>
              <w:rPr>
                <w:rStyle w:val="IndexLink"/>
                <w:rtl w:val="true"/>
              </w:rPr>
              <w:t>:</w:t>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46_104257"/>
      <w:bookmarkStart w:id="1" w:name="pg10646_104257"/>
      <w:bookmarkEnd w:id="1"/>
    </w:p>
    <w:p>
      <w:pPr>
        <w:pStyle w:val="Heading2"/>
        <w:numPr>
          <w:ilvl w:val="1"/>
          <w:numId w:val="1"/>
        </w:numPr>
        <w:rPr/>
      </w:pPr>
      <w:bookmarkStart w:id="2" w:name="pg10646_104257"/>
      <w:bookmarkStart w:id="3" w:name="__RefHeading___Toc3534841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مقاله فی الاستصحاب</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على الإطلاق</w:t>
      </w:r>
    </w:p>
    <w:p>
      <w:pPr>
        <w:pStyle w:val="BookText"/>
        <w:rPr/>
      </w:pPr>
      <w:r>
        <w:rPr>
          <w:rFonts w:ascii="Amiri" w:hAnsi="Amiri" w:eastAsia="Amiri" w:cs="Amiri"/>
          <w:color w:val="111111"/>
          <w:sz w:val="28"/>
          <w:sz w:val="28"/>
          <w:szCs w:val="28"/>
          <w:rtl w:val="true"/>
          <w:lang w:bidi="ar-SA"/>
        </w:rPr>
        <w:t>العلّامة المحقّق السيّد محمّد باقر الشفتي قدس سره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الرضا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حلبيان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4843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46_104263"/>
      <w:bookmarkStart w:id="8" w:name="pg10646_104263"/>
      <w:bookmarkEnd w:id="8"/>
    </w:p>
    <w:p>
      <w:pPr>
        <w:pStyle w:val="Heading2"/>
        <w:numPr>
          <w:ilvl w:val="1"/>
          <w:numId w:val="1"/>
        </w:numPr>
        <w:rPr/>
      </w:pPr>
      <w:bookmarkStart w:id="9" w:name="pg10646_104263"/>
      <w:bookmarkStart w:id="10" w:name="__RefHeading___Toc3534845_372815092"/>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فهذه رسالة شريفة في الاستصحاب، تأليف أحد أعلام الطائفة وأعيانها، وهو العلّامة الأصولي والفقيه الربّاني الحاجّ السيّد محمّد باقر بن محمّد نقي الشفتي، المعروف بحجّة الإسلام على الإطلاق، أعلى اللَّه مقامه في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الرسالة مشحونة بالتحقيقات والفوائد الفريدة، ولقد اشتملت على ثلاثة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الاستصحاب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أقسامه </w:t>
      </w:r>
      <w:r>
        <w:rPr>
          <w:rFonts w:eastAsia="Amiri" w:cs="Amiri" w:ascii="Amiri" w:hAnsi="Amiri"/>
          <w:color w:val="111111"/>
          <w:sz w:val="28"/>
          <w:szCs w:val="28"/>
          <w:rtl w:val="true"/>
          <w:lang w:bidi="ar-SA"/>
        </w:rPr>
        <w:t xml:space="preserve">. </w:t>
      </w:r>
      <w:bookmarkStart w:id="12" w:name="pg10646_104264"/>
    </w:p>
    <w:p>
      <w:pPr>
        <w:pStyle w:val="BookText"/>
        <w:rPr/>
      </w:pPr>
      <w:bookmarkEnd w:id="12"/>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حجّيّته و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المؤلّف رحمه الله لم يتمّها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المصنّف قدس سره هذه الرسالة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يظفر على حقيقة الحال، فعليه بمطالعة الرسالة الّتي كتبناها في الاستصحاب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3534847_372815092"/>
      <w:bookmarkStart w:id="14" w:name="_Toc4"/>
      <w:bookmarkEnd w:id="13"/>
      <w:r>
        <w:rPr>
          <w:rtl w:val="true"/>
        </w:rPr>
        <w:t>لمحة من حياة المؤلّف قدس سره‌</w:t>
      </w:r>
      <w:bookmarkEnd w:id="14"/>
    </w:p>
    <w:p>
      <w:pPr>
        <w:pStyle w:val="BookText"/>
        <w:rPr/>
      </w:pPr>
      <w:r>
        <w:rPr>
          <w:rFonts w:ascii="Amiri" w:hAnsi="Amiri" w:eastAsia="Amiri" w:cs="Amiri"/>
          <w:color w:val="111111"/>
          <w:sz w:val="28"/>
          <w:sz w:val="28"/>
          <w:szCs w:val="28"/>
          <w:rtl w:val="true"/>
          <w:lang w:bidi="ar-SA"/>
        </w:rPr>
        <w:t xml:space="preserve">هو السيّد محمّد باقر بن السيّد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النسب، الشفتي الرشتيّ الجيلانيّ الأصل واللقب، الغرويّ الحائريّ الكاظميّ العلم والأدب، العراقي، الاصفهاني البيدآبادي المنشأ والموطن والمدفن والمآب، الشهير في الآفاق بحجّة الإسلام على الإطلاق، من فحول علماء الإمامية في القرنين الثاني عشر والثالث عشر، ومن كبار زعماء الدين وأعلام الطائفة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نسبه الشريف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زكي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شاه قاسم بن 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w:t>
      </w:r>
    </w:p>
    <w:p>
      <w:pPr>
        <w:pStyle w:val="BookText"/>
        <w:rPr/>
      </w:pPr>
      <w:r>
        <w:rPr>
          <w:rFonts w:ascii="Amiri" w:hAnsi="Amiri" w:eastAsia="Amiri" w:cs="Amiri"/>
          <w:color w:val="111111"/>
          <w:sz w:val="28"/>
          <w:sz w:val="28"/>
          <w:szCs w:val="28"/>
          <w:rtl w:val="true"/>
          <w:lang w:bidi="ar-SA"/>
        </w:rPr>
        <w:t xml:space="preserve">السيّد أحمد بن السيّد محمّد بن السيّد أحمد بن السيّد محمّد بن السيّد أبي القاسم بن السيّد حمزة بن الإمام موسى الكاظم عليه 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على أصحّ الأقوال 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
      </w:r>
      <w:r>
        <w:rPr>
          <w:rFonts w:ascii="Amiri" w:hAnsi="Amiri" w:eastAsia="Amiri" w:cs="Amiri"/>
          <w:color w:val="111111"/>
          <w:sz w:val="28"/>
          <w:sz w:val="28"/>
          <w:szCs w:val="28"/>
          <w:rtl w:val="true"/>
          <w:lang w:bidi="ar-SA"/>
        </w:rPr>
        <w:t>في قرية من 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طارم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شفت و هو ابن سبع سنين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هاجر إلى العراق لطلب العلوم الدينيّة والكمالات النفسانيّة في حدود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أو قريبًا من ذلك، و هو ابن ستّ أو سبع عشرة سنة </w:t>
      </w:r>
      <w:r>
        <w:rPr>
          <w:rStyle w:val="FootnoteAnchor"/>
          <w:rtl w:val="true"/>
        </w:rPr>
        <w:footnoteReference w:id="6"/>
      </w:r>
      <w:r>
        <w:rPr>
          <w:rFonts w:ascii="Amiri" w:hAnsi="Amiri" w:eastAsia="Amiri" w:cs="Amiri"/>
          <w:color w:val="111111"/>
          <w:sz w:val="28"/>
          <w:sz w:val="28"/>
          <w:szCs w:val="28"/>
          <w:rtl w:val="true"/>
          <w:lang w:bidi="ar-SA"/>
        </w:rPr>
        <w:t xml:space="preserve">، فحضر في أوّل أمره على الأستاذ الأكبر الآقا محمّد باقر الوحيد البهبهاني قدس سره في كربلاء </w:t>
      </w:r>
      <w:r>
        <w:rPr>
          <w:rStyle w:val="FootnoteAnchor"/>
          <w:rtl w:val="true"/>
        </w:rPr>
        <w:footnoteReference w:id="7"/>
      </w:r>
      <w:r>
        <w:rPr>
          <w:rFonts w:ascii="Amiri" w:hAnsi="Amiri" w:eastAsia="Amiri" w:cs="Amiri"/>
          <w:color w:val="111111"/>
          <w:sz w:val="28"/>
          <w:sz w:val="28"/>
          <w:szCs w:val="28"/>
          <w:rtl w:val="true"/>
          <w:lang w:bidi="ar-SA"/>
        </w:rPr>
        <w:t xml:space="preserve">، ثمّ على أستاذه العلّامة المير سيّد علي الطباطبائي قدس سره صاحب الرياض، وأجازه الرواية عنه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 إلى النجف الأشرف، و أقام فيها سبع سنين، و حضر فيها على العلّامة الطباطبائي بحرالعلوم قدس سره، والشيخ الأكبر صاحب كشف الغطاء رحمه الله، وله الرواية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سافر إلى الكاظميّة فحضر فيها على السيّد المحقّق المُحسن البغداديّ المقدّس الأعرجي رحمه الله قليلًا، فقد قرأ عليه القضاء والشهادات، وأقام عنده مدّة من الزمان، وله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تمّ بها على المترجم في العراق ثمان سنين بلغ فيها درجة سامية و مكانة عالية، رجع إلى ديار العجم </w:t>
      </w:r>
      <w:r>
        <w:rPr>
          <w:rStyle w:val="FootnoteAnchor"/>
          <w:rtl w:val="true"/>
        </w:rPr>
        <w:footnoteReference w:id="8"/>
      </w:r>
      <w:r>
        <w:rPr>
          <w:rFonts w:ascii="IRNazanin" w:hAnsi="IRNazanin" w:eastAsia="IRNazanin"/>
          <w:color w:val="111111"/>
          <w:sz w:val="28"/>
          <w:sz w:val="28"/>
          <w:szCs w:val="28"/>
          <w:rtl w:val="true"/>
          <w:lang w:bidi="fa-IR"/>
        </w:rPr>
        <w:t xml:space="preserve">و ورد اصبهان </w:t>
      </w:r>
      <w:r>
        <w:rPr>
          <w:rStyle w:val="FootnoteAnchor"/>
          <w:rtl w:val="true"/>
        </w:rPr>
        <w:footnoteReference w:id="9"/>
      </w:r>
      <w:r>
        <w:rPr>
          <w:rFonts w:ascii="Amiri" w:hAnsi="Amiri" w:eastAsia="Amiri" w:cs="Amiri"/>
          <w:color w:val="111111"/>
          <w:sz w:val="28"/>
          <w:sz w:val="28"/>
          <w:szCs w:val="28"/>
          <w:rtl w:val="true"/>
          <w:lang w:bidi="ar-SA"/>
        </w:rPr>
        <w:t>وسكنها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الارتحال من اصفهان إلى قم، أيّام زعامة المحقّق القمّي رحمه الله، فحضر مجلسه بما ينيف على ستّة أشهر </w:t>
      </w:r>
      <w:r>
        <w:rPr>
          <w:rStyle w:val="FootnoteAnchor"/>
          <w:rtl w:val="true"/>
        </w:rPr>
        <w:footnoteReference w:id="10"/>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لنفسي الترقّي الكامل في هذه المدّة القليلة بقدر تمام ما حصل لي في مدّة مقامي </w:t>
      </w:r>
    </w:p>
    <w:p>
      <w:pPr>
        <w:pStyle w:val="BookText"/>
        <w:rPr/>
      </w:pPr>
      <w:r>
        <w:rPr>
          <w:rFonts w:ascii="Amiri" w:hAnsi="Amiri" w:eastAsia="Amiri" w:cs="Amiri"/>
          <w:color w:val="111111"/>
          <w:sz w:val="28"/>
          <w:sz w:val="28"/>
          <w:szCs w:val="28"/>
          <w:rtl w:val="true"/>
          <w:lang w:bidi="ar-SA"/>
        </w:rPr>
        <w:t xml:space="preserve">بالعتبات العاليات، فكتب له الميرزا قدس سره إجازة مبسوطة مضبوطة كان يغتنم بها من ذلك السفر المبارك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حجّ بيت اللَّه الحرام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2"/>
      </w:r>
      <w:r>
        <w:rPr>
          <w:rFonts w:ascii="Amiri" w:hAnsi="Amiri" w:eastAsia="Amiri" w:cs="Amiri"/>
          <w:color w:val="111111"/>
          <w:sz w:val="28"/>
          <w:sz w:val="28"/>
          <w:szCs w:val="28"/>
          <w:rtl w:val="true"/>
          <w:lang w:bidi="ar-SA"/>
        </w:rPr>
        <w:t xml:space="preserve">من طريق البحر، و كان ذلك أيّام محمّد علي باشا المصريّ، و كانت له زيارة خاصّة له، فأخذ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 بها سادات المدينة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ميراث أولاد الزهراء استرد لهم</w:t>
      </w:r>
    </w:p>
    <w:p>
      <w:pPr>
        <w:pStyle w:val="BookText"/>
        <w:rPr/>
      </w:pPr>
      <w:r>
        <w:rPr>
          <w:rFonts w:ascii="Amiri" w:hAnsi="Amiri" w:eastAsia="Amiri" w:cs="Amiri"/>
          <w:color w:val="111111"/>
          <w:sz w:val="28"/>
          <w:sz w:val="28"/>
          <w:szCs w:val="28"/>
          <w:rtl w:val="true"/>
          <w:lang w:bidi="ar-SA"/>
        </w:rPr>
        <w:t>من غاصبي فدك في طوفه الحرما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معادن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حدّد المطاف على مذهب الشيعة للمسلمين في مكّة المكرّمة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4"/>
      </w:r>
      <w:r>
        <w:rPr>
          <w:rFonts w:ascii="Amiri" w:hAnsi="Amiri" w:eastAsia="Amiri" w:cs="Amiri"/>
          <w:color w:val="111111"/>
          <w:sz w:val="28"/>
          <w:sz w:val="28"/>
          <w:szCs w:val="28"/>
          <w:rtl w:val="true"/>
          <w:lang w:bidi="ar-SA"/>
        </w:rPr>
        <w:t xml:space="preserve">أخذ في بناء المسجد الأعظم باصبهان </w:t>
      </w:r>
      <w:r>
        <w:rPr>
          <w:rStyle w:val="FootnoteAnchor"/>
          <w:rtl w:val="true"/>
        </w:rPr>
        <w:footnoteReference w:id="15"/>
      </w:r>
      <w:r>
        <w:rPr>
          <w:rFonts w:ascii="Amiri" w:hAnsi="Amiri" w:eastAsia="Amiri" w:cs="Amiri"/>
          <w:color w:val="111111"/>
          <w:sz w:val="28"/>
          <w:sz w:val="28"/>
          <w:szCs w:val="28"/>
          <w:rtl w:val="true"/>
          <w:lang w:bidi="ar-SA"/>
        </w:rPr>
        <w:t xml:space="preserve">، و أنفق عليه ما يقرب من مائة ألف دينار شرعيّ تقريبًا من أمواله الخالصة، و مال بقبلته إلى يمين </w:t>
      </w:r>
    </w:p>
    <w:p>
      <w:pPr>
        <w:pStyle w:val="BookText"/>
        <w:rPr/>
      </w:pPr>
      <w:r>
        <w:rPr>
          <w:rFonts w:ascii="Amiri" w:hAnsi="Amiri" w:eastAsia="Amiri" w:cs="Amiri"/>
          <w:color w:val="111111"/>
          <w:sz w:val="28"/>
          <w:sz w:val="28"/>
          <w:szCs w:val="28"/>
          <w:rtl w:val="true"/>
          <w:lang w:bidi="ar-SA"/>
        </w:rPr>
        <w:t xml:space="preserve">قبلة سائر المساجد يسيرًا، و جعل له مدارس و حجرات للطلبة، وأسّس أساسًا لم يعهد مثله من أحد العلماء والمجتهدين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تقريبًا، ثمّ أجاب دعوة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الأقوال و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عصيرة يوم الأحد، الثاني من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در اول حمل و دويم ربيع دويم</w:t>
      </w:r>
    </w:p>
    <w:p>
      <w:pPr>
        <w:pStyle w:val="BookText"/>
        <w:rPr/>
      </w:pPr>
      <w:r>
        <w:rPr>
          <w:rFonts w:ascii="IRNazanin" w:hAnsi="IRNazanin" w:eastAsia="IRNazanin"/>
          <w:color w:val="111111"/>
          <w:sz w:val="28"/>
          <w:sz w:val="28"/>
          <w:szCs w:val="28"/>
          <w:rtl w:val="true"/>
          <w:lang w:bidi="fa-IR"/>
        </w:rPr>
        <w:t>زدامگاه جهان شد بسوى دار سلام</w:t>
      </w:r>
    </w:p>
    <w:p>
      <w:pPr>
        <w:pStyle w:val="BookText"/>
        <w:rPr/>
      </w:pPr>
      <w:r>
        <w:rPr>
          <w:rFonts w:ascii="IRNazanin" w:hAnsi="IRNazanin" w:eastAsia="IRNazanin"/>
          <w:color w:val="111111"/>
          <w:sz w:val="28"/>
          <w:sz w:val="28"/>
          <w:szCs w:val="28"/>
          <w:rtl w:val="true"/>
          <w:lang w:bidi="fa-IR"/>
        </w:rPr>
        <w:t>بلفظ تازى تاريخ رحلتش گفتم</w:t>
      </w:r>
    </w:p>
    <w:p>
      <w:pPr>
        <w:pStyle w:val="BookText"/>
        <w:rPr/>
      </w:pPr>
      <w:r>
        <w:rPr>
          <w:rFonts w:ascii="IRNazanin" w:hAnsi="IRNazanin" w:eastAsia="IRNazanin"/>
          <w:color w:val="111111"/>
          <w:sz w:val="28"/>
          <w:sz w:val="28"/>
          <w:szCs w:val="28"/>
          <w:rtl w:val="true"/>
          <w:lang w:bidi="fa-IR"/>
        </w:rPr>
        <w:t>چو بشمرى مأتين است و ألف و ستّين 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صلاة الظهر بمرض الاستسقاء، و دفن بعد ثلاثة أيّام من وفاته في البقعة الّتي بناها لنفسه في جانب مسجده الكبير باصبهان، و هي الآن مشهد معروف و مزار متبرّك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مؤلّفات كثيرة، و رسائل متعدّدة، كلّها تفصح عن تضلّعه في شتّى العلوم المختلفة خصوصًا الفقه والرجال، و تظهر منها جامعيّته من المعقول والمنقول، و إليك أسماء بعضها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الأنوار في شرح شرائع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 في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والجواب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والشهادات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رسالة تعيين السلام الثالث في النوافل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اشتراط القبض في الوقف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الغُسالة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تطهير العجين بتخبيزه و عدمه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الأراضي الخراجيّة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الشكّ والسهو في الصلاة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طهارة عرق الجنب من الحرام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حكم صلح حقّ الرجوع في الطلاق الرجعي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في جلد الميتة المدبوغ</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عدم جواز التقليد عن المجتهد الميّت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تحديد آية الكرسي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زيارة عاشوراء و كيفيّتها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الوافي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تقديم اليد على الاستصحاب</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الوصول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أصول معالم الدين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الرجاليّة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رجال الطوسي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أصول الدين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و جواب عن بعض عقائد الشيخيّة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الحلية اللّامعة للبهجة المرضيّة </w:t>
      </w:r>
      <w:bookmarkStart w:id="15" w:name="pg10646_104271"/>
    </w:p>
    <w:p>
      <w:pPr>
        <w:pStyle w:val="Heading2"/>
        <w:numPr>
          <w:ilvl w:val="1"/>
          <w:numId w:val="1"/>
        </w:numPr>
        <w:rPr/>
      </w:pPr>
      <w:bookmarkStart w:id="16" w:name="__RefHeading___Toc3534849_372815092"/>
      <w:bookmarkStart w:id="17" w:name="_Toc5"/>
      <w:bookmarkEnd w:id="15"/>
      <w:bookmarkEnd w:id="16"/>
      <w:r>
        <w:rPr>
          <w:rtl w:val="true"/>
        </w:rPr>
        <w:t>منهج التحقيق‌</w:t>
      </w:r>
      <w:bookmarkEnd w:id="17"/>
    </w:p>
    <w:p>
      <w:pPr>
        <w:pStyle w:val="BookText"/>
        <w:rPr/>
      </w:pPr>
      <w:r>
        <w:rPr>
          <w:rFonts w:ascii="Amiri" w:hAnsi="Amiri" w:eastAsia="Amiri" w:cs="Amiri"/>
          <w:color w:val="111111"/>
          <w:sz w:val="28"/>
          <w:sz w:val="28"/>
          <w:szCs w:val="28"/>
          <w:rtl w:val="true"/>
          <w:lang w:bidi="ar-SA"/>
        </w:rPr>
        <w:t xml:space="preserve">اعتمدنا في تحقيق هذه المقالة الفخيمة على نسختين خطّيتين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لمكتبة مدرسة الفيضيّة بقم المقدّسة، ضمن المجموعة المرقّمة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تقع هذه النسخة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بخطّ النستعليق ؛ وقد رمزنا لها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الثانية للمكتبة المرعشيّة بقم المقدّسة، تحت رقم </w:t>
      </w:r>
      <w:r>
        <w:rPr>
          <w:rFonts w:eastAsia="Amiri" w:cs="Amiri" w:ascii="Amiri" w:hAnsi="Amiri"/>
          <w:color w:val="111111"/>
          <w:sz w:val="28"/>
          <w:szCs w:val="28"/>
          <w:lang w:bidi="ar-SA"/>
        </w:rPr>
        <w:t>8593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تقع هذه النسخة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بخطّ النسخ ؛ وقد رمزنا لها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منهج التحقيق وفق المراحل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 النصّ وتقويمه وترقيمه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الآيات القرآنيّة والأحاديث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الأقوال وكلمات الفقهاء الّتي نقلها المؤلّف من مصادرها الّتي ذكرها إن وجدت، و إلّا فمن مصادر أخرى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النصّ إلى فقرات و مقاطع مع إضافة بعض العناوين المناسبة بين معقوفين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ونسأل اللَّه تبارك و تعالى أن يوفّقنا لإحياء سائر آثار المؤلّف رحمه الله، جزاء لجزيل خدماته المباركة في إحياء الشريعة المطهّرة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كلّ ذلك منّا خالصًا لوجهه الكريم وموجبًا لثوابه الجسيم، انّه هو الجواد الكريم، وأن ينفعنا به يوم حشرنا، انّه سميع مجيب، وآخر دعوانا أن الحمد للَّه ربّ العالمين </w:t>
      </w:r>
      <w:r>
        <w:rPr>
          <w:rFonts w:eastAsia="Amiri" w:cs="Amiri" w:ascii="Amiri" w:hAnsi="Amiri"/>
          <w:color w:val="111111"/>
          <w:sz w:val="28"/>
          <w:szCs w:val="28"/>
          <w:rtl w:val="true"/>
          <w:lang w:bidi="ar-SA"/>
        </w:rPr>
        <w:t xml:space="preserve">. </w:t>
      </w:r>
      <w:bookmarkStart w:id="18" w:name="pg10646_104273"/>
    </w:p>
    <w:p>
      <w:pPr>
        <w:pStyle w:val="Heading2"/>
        <w:numPr>
          <w:ilvl w:val="1"/>
          <w:numId w:val="1"/>
        </w:numPr>
        <w:rPr/>
      </w:pPr>
      <w:bookmarkStart w:id="19" w:name="__RefHeading___Toc3534851_372815092"/>
      <w:bookmarkStart w:id="20" w:name="_Toc6"/>
      <w:bookmarkEnd w:id="18"/>
      <w:bookmarkEnd w:id="19"/>
      <w:r>
        <w:rPr>
          <w:rtl w:val="true"/>
        </w:rPr>
        <w:t>مقالة في الاستصحاب‌</w:t>
      </w:r>
      <w:bookmarkEnd w:id="20"/>
    </w:p>
    <w:p>
      <w:pPr>
        <w:pStyle w:val="BookText"/>
        <w:rPr/>
      </w:pPr>
      <w:r>
        <w:rPr>
          <w:rFonts w:ascii="Amiri" w:hAnsi="Amiri" w:eastAsia="Amiri" w:cs="Amiri"/>
          <w:color w:val="111111"/>
          <w:sz w:val="28"/>
          <w:sz w:val="28"/>
          <w:szCs w:val="28"/>
          <w:rtl w:val="true"/>
          <w:lang w:bidi="ar-SA"/>
        </w:rPr>
        <w:t>بسم اللَّه الرّحمن الرّحيم وانّه المعين</w:t>
      </w:r>
    </w:p>
    <w:p>
      <w:pPr>
        <w:pStyle w:val="BookText"/>
        <w:rPr/>
      </w:pPr>
      <w:r>
        <w:rPr>
          <w:rFonts w:ascii="Amiri" w:hAnsi="Amiri" w:eastAsia="Amiri" w:cs="Amiri"/>
          <w:color w:val="111111"/>
          <w:sz w:val="28"/>
          <w:sz w:val="28"/>
          <w:szCs w:val="28"/>
          <w:rtl w:val="true"/>
          <w:lang w:bidi="ar-SA"/>
        </w:rPr>
        <w:t xml:space="preserve">نحمدك يا من تنزّه عن استصحاب الحال عظمته، و تفرّد بأصالة البقاء والدوام سلطنته، و نصلّي على حبيبك المتمجّد بأصالة عدم التغيّر شريعته وآله وأصحابه الّذين باستصحابهم يقام طريقته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يقول العبد الملتجئ إلى باب سيّده الغافر ابن محمّد نقي الموسويّ محمّد باقر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مقالة في الاستصحاب، تحقيق الحال فيه يستدعي التكلّم في مباحث </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646_104275"/>
      <w:bookmarkStart w:id="22" w:name="pg10646_104275"/>
      <w:bookmarkEnd w:id="22"/>
    </w:p>
    <w:p>
      <w:pPr>
        <w:pStyle w:val="Heading2"/>
        <w:numPr>
          <w:ilvl w:val="1"/>
          <w:numId w:val="1"/>
        </w:numPr>
        <w:rPr/>
      </w:pPr>
      <w:bookmarkStart w:id="23" w:name="pg10646_104275"/>
      <w:bookmarkStart w:id="24" w:name="__RefHeading___Toc3534853_372815092"/>
      <w:bookmarkStart w:id="25" w:name="_Toc7"/>
      <w:bookmarkEnd w:id="23"/>
      <w:bookmarkEnd w:id="24"/>
      <w:r>
        <w:rPr>
          <w:rtl w:val="true"/>
        </w:rPr>
        <w:t>البحث الأوّل</w:t>
      </w:r>
      <w:r>
        <w:rPr>
          <w:rtl w:val="true"/>
        </w:rPr>
        <w:t xml:space="preserve">: </w:t>
      </w:r>
      <w:r>
        <w:rPr>
          <w:rtl w:val="true"/>
        </w:rPr>
        <w:t>في تعريف الاستصحاب</w:t>
      </w:r>
      <w:bookmarkEnd w:id="25"/>
    </w:p>
    <w:p>
      <w:pPr>
        <w:pStyle w:val="Heading3"/>
        <w:numPr>
          <w:ilvl w:val="2"/>
          <w:numId w:val="1"/>
        </w:numPr>
        <w:rPr/>
      </w:pPr>
      <w:bookmarkStart w:id="26" w:name="__RefHeading___Toc3534855_372815092"/>
      <w:bookmarkStart w:id="27" w:name="_Toc8"/>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 فقد اختلف كلام الأصحاب في تعريفه </w:t>
      </w:r>
      <w:r>
        <w:rPr>
          <w:rStyle w:val="FootnoteAnchor"/>
          <w:rtl w:val="true"/>
        </w:rPr>
        <w:footnoteReference w:id="17"/>
      </w:r>
      <w:r>
        <w:rPr>
          <w:rFonts w:ascii="IRNazanin" w:hAnsi="IRNazanin" w:eastAsia="IRNazanin"/>
          <w:color w:val="111111"/>
          <w:sz w:val="28"/>
          <w:sz w:val="28"/>
          <w:szCs w:val="28"/>
          <w:rtl w:val="true"/>
          <w:lang w:bidi="fa-IR"/>
        </w:rPr>
        <w:t>؛</w:t>
      </w:r>
    </w:p>
    <w:p>
      <w:pPr>
        <w:pStyle w:val="Heading3"/>
        <w:numPr>
          <w:ilvl w:val="2"/>
          <w:numId w:val="1"/>
        </w:numPr>
        <w:rPr/>
      </w:pPr>
      <w:bookmarkStart w:id="28" w:name="__RefHeading___Toc3534857_372815092"/>
      <w:bookmarkStart w:id="29" w:name="_Toc9"/>
      <w:bookmarkEnd w:id="28"/>
      <w:r>
        <w:rPr>
          <w:rtl w:val="true"/>
        </w:rPr>
        <w:t>التعريف الأوّل</w:t>
      </w:r>
      <w:r>
        <w:rPr>
          <w:rtl w:val="true"/>
        </w:rPr>
        <w:t xml:space="preserve">: </w:t>
      </w:r>
      <w:r>
        <w:rPr>
          <w:rtl w:val="true"/>
        </w:rPr>
        <w:t>للاستصحاب</w:t>
      </w:r>
      <w:bookmarkEnd w:id="29"/>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إبقاء حكم ثبت على ما كان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وصف لذلك الشي‌ء الثابت و 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w:t>
      </w:r>
    </w:p>
    <w:p>
      <w:pPr>
        <w:pStyle w:val="BookText"/>
        <w:rPr/>
      </w:pPr>
      <w:r>
        <w:rPr>
          <w:rFonts w:ascii="Amiri" w:hAnsi="Amiri" w:eastAsia="Amiri" w:cs="Amiri"/>
          <w:color w:val="111111"/>
          <w:sz w:val="28"/>
          <w:sz w:val="28"/>
          <w:szCs w:val="28"/>
          <w:rtl w:val="true"/>
          <w:lang w:bidi="ar-SA"/>
        </w:rPr>
        <w:t xml:space="preserve">كان ثابتًا، فيستصحب إلى أن يثبت </w:t>
      </w:r>
      <w:r>
        <w:rPr>
          <w:rStyle w:val="FootnoteAnchor"/>
          <w:rtl w:val="true"/>
        </w:rPr>
        <w:footnoteReference w:id="19"/>
      </w:r>
      <w:r>
        <w:rPr>
          <w:rFonts w:ascii="Amiri" w:hAnsi="Amiri" w:eastAsia="Amiri" w:cs="Amiri"/>
          <w:color w:val="111111"/>
          <w:sz w:val="28"/>
          <w:sz w:val="28"/>
          <w:szCs w:val="28"/>
          <w:rtl w:val="true"/>
          <w:lang w:bidi="ar-SA"/>
        </w:rPr>
        <w:t>الخلاف ؛ والإبقاء من فعل المبقي و وصفه، فكيف يجعل أحدهما حدًّا والآخر محدودًا مع أنّ الحدّ محمول على المحدود و مقتضى الحمل الإتّحاد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المجتهد بثبوت الحكم الأوّل في ثاني الحال لدلالة دليله على ثبوته فيها، يصدق عليه أنّه إبقاء حكم </w:t>
      </w:r>
      <w:r>
        <w:rPr>
          <w:rStyle w:val="FootnoteAnchor"/>
          <w:rtl w:val="true"/>
        </w:rPr>
        <w:footnoteReference w:id="20"/>
      </w:r>
      <w:r>
        <w:rPr>
          <w:rFonts w:ascii="Amiri" w:hAnsi="Amiri" w:eastAsia="Amiri" w:cs="Amiri"/>
          <w:color w:val="111111"/>
          <w:sz w:val="28"/>
          <w:sz w:val="28"/>
          <w:szCs w:val="28"/>
          <w:rtl w:val="true"/>
          <w:lang w:bidi="ar-SA"/>
        </w:rPr>
        <w:t xml:space="preserve">ثبت على ما كان، مع أنّه ليس من الاستصحاب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المبقي للحكم إنّما هو الشارع، لا المجتهد، والافتقار إلى الاستصحاب انّما هو بالنسبة إلى المجتهد، لا إلى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كما يكون في الحكم يكون في الموضوع، فالحكم بأنّه إبقاء حكم إلى آخره، يوجب خروج الاستصحاب في الموضوع عن الحدّ، مع أنّه من أفراد المحدود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إبقاء الحكم في الوقت الأوّل على حاله و عدم تغييره فيه كما لايخفى، و على إبقائه في الثاني ولو مع القطع بزواله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فبأنّا لا نسلّم أنّ الاستصحاب وصف لذلك الشي‌ء الثابت، لكونه من مصدر الاستفعال، و هو للطلب،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مصاحبة </w:t>
      </w:r>
    </w:p>
    <w:p>
      <w:pPr>
        <w:pStyle w:val="BookText"/>
        <w:rPr/>
      </w:pPr>
      <w:r>
        <w:rPr>
          <w:rFonts w:ascii="Amiri" w:hAnsi="Amiri" w:eastAsia="Amiri" w:cs="Amiri"/>
          <w:color w:val="111111"/>
          <w:sz w:val="28"/>
          <w:sz w:val="28"/>
          <w:szCs w:val="28"/>
          <w:rtl w:val="true"/>
          <w:lang w:bidi="ar-SA"/>
        </w:rPr>
        <w:t xml:space="preserve">شي‌ء، فهو لا محالة وصف للطالب، 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الحكم كان ثابتًا فيُستصحَب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الفعل فيه مبنيًّا للفاعل، بل للمفعول، والمُستصحِب المجتهد، فيصدق عليه بسبب حكمه بمصاحبة الحكم في ثاني الحال أنّه سبق لذلك الحكم، فيصحّ تفسير الاستصحاب بالإبقاء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فبأنّا لا نسلّم عدم كونه من الاستصحاب ؛ غاية ما في الباب عدم الافتقار إليه لشمول الدليل للحالتين، فلو تمسّك أحد بالاستصحاب فيه أيضًا فلايكون فيه بأس، لكون عمدة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النصوص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لما نحن فيه أيضًا كما ستقف عليه، فيكون الاستصحاب حينئذٍ دليلًا آخر للحكم، كما إذا تعدّدت الأدلّة لمدلول واحد ؛ والافتقار إنّما هو بالنسبة إلى البعض، و غيره مؤكّد، فليكن ما نحن فيه أيضًا كذلك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للحكم بثبوت الحكم في الحالة الثانية على هذا التقدير منشئين،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الدليل لهما، 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في الحالة الأولى بناءً على الاستصحاب ؛ والانتقاض إنّما هو بالنسبة إلى الأوّل، لصدق التعريف المذكور عليه، مع أنّه لا شبهة في عدم كونه من أفراد الاستصحاب ؛ والجواب المذكور مبنيّ على الثاني كما لايخفى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المبقي الحقيقيّ وإن كان هو الشارع فيما إذا كان الحكم ثابتًا في نفس الأمر، لكنّ المجتهد لمّا حكم ببقاء الحكم في الحالتين للمكلّفين، </w:t>
      </w:r>
    </w:p>
    <w:p>
      <w:pPr>
        <w:pStyle w:val="BookText"/>
        <w:rPr/>
      </w:pPr>
      <w:r>
        <w:rPr>
          <w:rFonts w:ascii="Amiri" w:hAnsi="Amiri" w:eastAsia="Amiri" w:cs="Amiri"/>
          <w:color w:val="111111"/>
          <w:sz w:val="28"/>
          <w:sz w:val="28"/>
          <w:szCs w:val="28"/>
          <w:rtl w:val="true"/>
          <w:lang w:bidi="ar-SA"/>
        </w:rPr>
        <w:t xml:space="preserve">يمكن إطلاق الإبقاء بالنسبة إليه على أنّه قد يتخلّف </w:t>
      </w:r>
      <w:r>
        <w:rPr>
          <w:rStyle w:val="FootnoteAnchor"/>
          <w:rtl w:val="true"/>
        </w:rPr>
        <w:footnoteReference w:id="22"/>
      </w:r>
      <w:r>
        <w:rPr>
          <w:rFonts w:ascii="Amiri" w:hAnsi="Amiri" w:eastAsia="Amiri" w:cs="Amiri"/>
          <w:color w:val="111111"/>
          <w:sz w:val="28"/>
          <w:sz w:val="28"/>
          <w:szCs w:val="28"/>
          <w:rtl w:val="true"/>
          <w:lang w:bidi="ar-SA"/>
        </w:rPr>
        <w:t xml:space="preserve">حكمه حكم نفس الأمر، فيكون هو المبقي،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هنا ليس على معناه الاصطلاحيّ، بل المراد به وصف الشي‌ء و حالته، فيندرج تحته الاستصحاب في الموضوع أيضًا، إذ في قولك في الخزف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أرضًا، فالأصل بقاء الأرضيّة إلى أن علمت المخالفة، استصحبت الأرضيّة، و هي حالة من الأحوال ؛ و كذا غيرها ممّا يكون منسلكًا بهذا المنوال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الأوّل فلكونه خلاف الظاهر، وأمّا بالنسبة إلى الثاني فلأنّ البحث عن الاستصحاب إنّما هو لاستنباط الحكم الشرعيّ ؛ و معلوم أنّ مع العلم بزواله لا يذهب أحد إلى إبقائه، و محض الاحتمال لا التفات إليه </w:t>
      </w:r>
      <w:r>
        <w:rPr>
          <w:rFonts w:eastAsia="Amiri" w:cs="Amiri" w:ascii="Amiri" w:hAnsi="Amiri"/>
          <w:color w:val="111111"/>
          <w:sz w:val="28"/>
          <w:szCs w:val="28"/>
          <w:rtl w:val="true"/>
          <w:lang w:bidi="ar-SA"/>
        </w:rPr>
        <w:t xml:space="preserve">. </w:t>
      </w:r>
      <w:bookmarkStart w:id="30" w:name="pg10646_104279"/>
    </w:p>
    <w:p>
      <w:pPr>
        <w:pStyle w:val="Heading3"/>
        <w:numPr>
          <w:ilvl w:val="2"/>
          <w:numId w:val="1"/>
        </w:numPr>
        <w:rPr/>
      </w:pPr>
      <w:bookmarkStart w:id="31" w:name="__RefHeading___Toc3534859_372815092"/>
      <w:bookmarkStart w:id="32" w:name="_Toc10"/>
      <w:bookmarkEnd w:id="30"/>
      <w:bookmarkEnd w:id="31"/>
      <w:r>
        <w:rPr>
          <w:rtl w:val="true"/>
        </w:rPr>
        <w:t>التعريف الثاني للاستصحاب</w:t>
      </w:r>
      <w:bookmarkEnd w:id="32"/>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إثبات الحكم في الزمن الثاني تعويلًا على ثبوته في الأوّل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يتوجّه عليه أكثر </w:t>
      </w:r>
      <w:r>
        <w:rPr>
          <w:rStyle w:val="FootnoteAnchor"/>
          <w:rtl w:val="true"/>
        </w:rPr>
        <w:footnoteReference w:id="24"/>
      </w:r>
      <w:r>
        <w:rPr>
          <w:rFonts w:ascii="Amiri" w:hAnsi="Amiri" w:eastAsia="Amiri" w:cs="Amiri"/>
          <w:color w:val="111111"/>
          <w:sz w:val="28"/>
          <w:sz w:val="28"/>
          <w:szCs w:val="28"/>
          <w:rtl w:val="true"/>
          <w:lang w:bidi="ar-SA"/>
        </w:rPr>
        <w:t xml:space="preserve">ما تقدّم، و يجاب بما يجاب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يتوجّه على ظاهره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عكسه بخروج بعض أقسامه، و هو ما يتمسّك به في إثبات اللغات في بعض الموادّ </w:t>
      </w:r>
      <w:r>
        <w:rPr>
          <w:rStyle w:val="FootnoteAnchor"/>
          <w:rtl w:val="true"/>
        </w:rPr>
        <w:footnoteReference w:id="25"/>
      </w:r>
      <w:r>
        <w:rPr>
          <w:rFonts w:ascii="Amiri" w:hAnsi="Amiri" w:eastAsia="Amiri" w:cs="Amiri"/>
          <w:color w:val="111111"/>
          <w:sz w:val="28"/>
          <w:sz w:val="28"/>
          <w:szCs w:val="28"/>
          <w:rtl w:val="true"/>
          <w:lang w:bidi="ar-SA"/>
        </w:rPr>
        <w:t xml:space="preserve">، كما إذا علم وضع اللفظ لمعنى في العرف ولم يعلم حاله في الشرع واللغة، فنحكم </w:t>
      </w:r>
      <w:r>
        <w:rPr>
          <w:rStyle w:val="FootnoteAnchor"/>
          <w:rtl w:val="true"/>
        </w:rPr>
        <w:footnoteReference w:id="26"/>
      </w:r>
      <w:r>
        <w:rPr>
          <w:rFonts w:ascii="Amiri" w:hAnsi="Amiri" w:eastAsia="Amiri" w:cs="Amiri"/>
          <w:color w:val="111111"/>
          <w:sz w:val="28"/>
          <w:sz w:val="28"/>
          <w:szCs w:val="28"/>
          <w:rtl w:val="true"/>
          <w:lang w:bidi="ar-SA"/>
        </w:rPr>
        <w:t xml:space="preserve">بالاتّحاد لأصالة عدم التغيّر </w:t>
      </w:r>
    </w:p>
    <w:p>
      <w:pPr>
        <w:pStyle w:val="BookText"/>
        <w:rPr/>
      </w:pPr>
      <w:r>
        <w:rPr>
          <w:rFonts w:ascii="Amiri" w:hAnsi="Amiri" w:eastAsia="Amiri" w:cs="Amiri"/>
          <w:color w:val="111111"/>
          <w:sz w:val="28"/>
          <w:sz w:val="28"/>
          <w:szCs w:val="28"/>
          <w:rtl w:val="true"/>
          <w:lang w:bidi="ar-SA"/>
        </w:rPr>
        <w:t xml:space="preserve">و عدم تعدّد الوضع، فيثبت الحكم الثابت في الزمان الثاني في الأوّل، لا الثابت في الزمان الأوّل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التعويل في الحكم بثبوت الحكم في الزمن الثاني إنّما هو على النصوص الآتية، لا على ثبوته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ظاهره وإن أوهم ذلك، لكنّه ليس استصحابًا للوضع الثابت في العرف في زمان تقرير اللغة، بل للعدم السابق على تقرير اللغة إلى زمانه وكذا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الألفاظ للمعاني أمر حادث، و كذا نقل اللفظ من معنى إلى آخر، وكلّ حادث مسبوق الوجود بالعدم، فعدم كلّ حادث سابق على وجوده، فالعدم السابق إنّما يمكن رفع اليد إليه عنه </w:t>
      </w:r>
      <w:r>
        <w:rPr>
          <w:rStyle w:val="FootnoteAnchor"/>
          <w:rtl w:val="true"/>
        </w:rPr>
        <w:footnoteReference w:id="27"/>
      </w:r>
      <w:r>
        <w:rPr>
          <w:rFonts w:ascii="Amiri" w:hAnsi="Amiri" w:eastAsia="Amiri" w:cs="Amiri"/>
          <w:color w:val="111111"/>
          <w:sz w:val="28"/>
          <w:sz w:val="28"/>
          <w:szCs w:val="28"/>
          <w:rtl w:val="true"/>
          <w:lang w:bidi="ar-SA"/>
        </w:rPr>
        <w:t xml:space="preserve">فيما إذا علم انتقاضه بالوجود،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وضع اللفظ لمعنى كان معلومًا، وإنّما علم انتقاض هذا العلم فيما نحن فيه بالنسبة إلى المعنى العرفيّ، و أمّا غيره فلا، كما هو المفروض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حكم بكون المعنى اللغويّ مغايرًا للعرفيّ يلزم رفع اليد عن العدم المعلوم من غير أن يعلم انتقاضه، و هو غير مجوّز، فيستصحب العدم السابق على تقرير اللغة إلى زمانها ؛ و كذا فيما بعده، فيحكم بعدم ثبوت الوضع للمعنى المغاير في زمان تقرير اللغة، و كذا بعده تعويلًا على ثبوته في الزمان السابق عليه </w:t>
      </w:r>
      <w:r>
        <w:rPr>
          <w:rFonts w:eastAsia="Amiri" w:cs="Amiri" w:ascii="Amiri" w:hAnsi="Amiri"/>
          <w:color w:val="111111"/>
          <w:sz w:val="28"/>
          <w:szCs w:val="28"/>
          <w:rtl w:val="true"/>
          <w:lang w:bidi="ar-SA"/>
        </w:rPr>
        <w:t xml:space="preserve">. </w:t>
      </w:r>
      <w:bookmarkStart w:id="33" w:name="pg10646_104281"/>
    </w:p>
    <w:p>
      <w:pPr>
        <w:pStyle w:val="BookText"/>
        <w:rPr/>
      </w:pPr>
      <w:bookmarkEnd w:id="33"/>
      <w:r>
        <w:rPr>
          <w:rFonts w:ascii="Amiri" w:hAnsi="Amiri" w:eastAsia="Amiri" w:cs="Amiri"/>
          <w:color w:val="111111"/>
          <w:sz w:val="28"/>
          <w:sz w:val="28"/>
          <w:szCs w:val="28"/>
          <w:rtl w:val="true"/>
          <w:lang w:bidi="ar-SA"/>
        </w:rPr>
        <w:t>و كذا الكلام بالنسبة إلى عدم التغيّر و عدم تعدّد الوضع، فالاستصحاب إنّما هو بالنسبة إلى العدم السابق على اللغة إلى زمانها مثلًا، و سيجي‌ء ما له ربط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مدلول النصوص الدالّة على حجّيّة الاستصحاب جواز التعويل على الحكم السابق، فالاستصحاب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الحكم في الزمن الثاني تعويلًا على ثبوته في الزمن الأوّل، والتعويل عليه في ذلك بتلك النصوص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534861_372815092"/>
      <w:bookmarkStart w:id="35" w:name="_Toc11"/>
      <w:bookmarkEnd w:id="34"/>
      <w:r>
        <w:rPr>
          <w:rtl w:val="true"/>
        </w:rPr>
        <w:t>التعريف الثالث للاستصحاب</w:t>
      </w:r>
      <w:bookmarkEnd w:id="35"/>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عبارة عن الحكم باستمرار أمر كان يقينيّ الحصول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و مشكوك البقاء بعد ذلك الوقت أو الحال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اشتمل هذا التعريف على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ففيه باعتبارهما مؤاخذة، أمّا بالنسبة إلى الأوّل فلأنّ الاستصحاب كما يكون في الأحكام الثابتة من الأدلّة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المحقّق والعقل القاطع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يكون في الأحكام الثابتة من الأدلّة الظنّيّة، بل الأوّل بالنسبة إلى الثاني قليل جدًّا، فالقول بأنّه الحكم </w:t>
      </w:r>
    </w:p>
    <w:p>
      <w:pPr>
        <w:pStyle w:val="BookText"/>
        <w:rPr/>
      </w:pPr>
      <w:r>
        <w:rPr>
          <w:rFonts w:ascii="Amiri" w:hAnsi="Amiri" w:eastAsia="Amiri" w:cs="Amiri"/>
          <w:color w:val="111111"/>
          <w:sz w:val="28"/>
          <w:sz w:val="28"/>
          <w:szCs w:val="28"/>
          <w:rtl w:val="true"/>
          <w:lang w:bidi="ar-SA"/>
        </w:rPr>
        <w:t xml:space="preserve">باستمرار أمر كان يقينيّ الحصول، يوجب خروج الاستصحاب في الأحكام الظنّيّة الحصول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بالنسبة إلى الثاني فلأنّه سيجي‌ء انّ الاستصحاب كما يكون في الزمان الّذي يكون ثبوت الحكم الثابت فيه مشكوكًا، كذا يكون في الزمان الّذي يكون ثبوته فيه مظنونًا و في الّذي يكون ثبوته فيه موهومًا، فتخصيصه بالأوّل يوجب خروج القسمين الأخيرين عن حدّه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الحكم مظنونًا، لا ينافي قطعيّة حصوله، إمّا بأن يكون المراد أنّ الظنّ بذلك الشي‌ء قطعيّ الحصول، أو يكون المراد قطعيّ العمل به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الشكّ ما قابل القطع، فيشمل الأقسام الثلاثة بأسرها، فتأمّل </w:t>
      </w:r>
      <w:r>
        <w:rPr>
          <w:rFonts w:eastAsia="Amiri" w:cs="Amiri" w:ascii="Amiri" w:hAnsi="Amiri"/>
          <w:color w:val="111111"/>
          <w:sz w:val="28"/>
          <w:szCs w:val="28"/>
          <w:rtl w:val="true"/>
          <w:lang w:bidi="ar-SA"/>
        </w:rPr>
        <w:t xml:space="preserve">. </w:t>
      </w:r>
      <w:bookmarkStart w:id="36" w:name="pg10646_104283"/>
    </w:p>
    <w:p>
      <w:pPr>
        <w:pStyle w:val="Heading3"/>
        <w:numPr>
          <w:ilvl w:val="2"/>
          <w:numId w:val="1"/>
        </w:numPr>
        <w:rPr/>
      </w:pPr>
      <w:bookmarkStart w:id="37" w:name="__RefHeading___Toc3534863_372815092"/>
      <w:bookmarkStart w:id="38" w:name="_Toc12"/>
      <w:bookmarkEnd w:id="36"/>
      <w:bookmarkEnd w:id="37"/>
      <w:r>
        <w:rPr>
          <w:rtl w:val="true"/>
        </w:rPr>
        <w:t>التعريف الرابع للاستصحاب</w:t>
      </w:r>
      <w:bookmarkEnd w:id="38"/>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الحكم ببقاء الشي‌ء على ما كان حتّى يثبت خلافه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كفاك ما قدّمناك من التكلّم في التعاريف الثلاثة عن التكلّم فيه، بل التكلّم في التعريفين الأوّلين عن التكلّم في الثالث زيادة على ما مرّ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534865_372815092"/>
      <w:bookmarkStart w:id="40" w:name="_Toc13"/>
      <w:bookmarkEnd w:id="39"/>
      <w:r>
        <w:rPr>
          <w:rtl w:val="true"/>
        </w:rPr>
        <w:t>مختار المؤلّف في تعريف الاستصحاب</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إذا أحطت خبرًا بما ذكرناه يظهر لك إمكان الحكم بصحّة الحدود المذكورة بأسرها، لكن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لكن بعد تبديل الحكم فيه بالأمر و نحوه </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إثبات أمر في الزمان الثاني تعويلًا على ثبوته في الأوّل ؛ يظهر الوجه بعد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الحكم ببقاء الشي‌ء المشكوك البقاء في زمان لثبوته في الزمن السابق عليه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ببقاء الشي‌ء الثابت في زمان لم يعلم بقائه فيه ولا عدمه فيه </w:t>
      </w:r>
      <w:r>
        <w:rPr>
          <w:rFonts w:eastAsia="Amiri" w:cs="Amiri" w:ascii="Amiri" w:hAnsi="Amiri"/>
          <w:color w:val="111111"/>
          <w:sz w:val="28"/>
          <w:szCs w:val="28"/>
          <w:rtl w:val="true"/>
          <w:lang w:bidi="ar-SA"/>
        </w:rPr>
        <w:t xml:space="preserve">. </w:t>
      </w:r>
      <w:bookmarkStart w:id="41" w:name="pg10646_104285"/>
    </w:p>
    <w:p>
      <w:pPr>
        <w:pStyle w:val="Heading2"/>
        <w:numPr>
          <w:ilvl w:val="1"/>
          <w:numId w:val="1"/>
        </w:numPr>
        <w:rPr/>
      </w:pPr>
      <w:bookmarkStart w:id="42" w:name="__RefHeading___Toc3534867_372815092"/>
      <w:bookmarkStart w:id="43" w:name="_Toc14"/>
      <w:bookmarkEnd w:id="41"/>
      <w:bookmarkEnd w:id="42"/>
      <w:r>
        <w:rPr>
          <w:rtl w:val="true"/>
        </w:rPr>
        <w:t>البحث الثاني</w:t>
      </w:r>
      <w:r>
        <w:rPr>
          <w:rtl w:val="true"/>
        </w:rPr>
        <w:t xml:space="preserve">: </w:t>
      </w:r>
      <w:r>
        <w:rPr>
          <w:rtl w:val="true"/>
        </w:rPr>
        <w:t>في أقسام الاستصحاب</w:t>
      </w:r>
      <w:bookmarkEnd w:id="43"/>
    </w:p>
    <w:p>
      <w:pPr>
        <w:pStyle w:val="Heading3"/>
        <w:numPr>
          <w:ilvl w:val="2"/>
          <w:numId w:val="1"/>
        </w:numPr>
        <w:rPr/>
      </w:pPr>
      <w:bookmarkStart w:id="44" w:name="__RefHeading___Toc3534869_372815092"/>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والبحث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ينقسم إلى حال العقل، واستصحاب حال الشرع، لأنّ ذلك الشي‌ء الثابت المستصحب إمّا أن يعلم ثبوته من العقل، أو من الشرع ؛ والحكم ببقاء الأوّل يسمّى بالأوّل، و ببقاء الثاني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التقديرين إمّا أن يكون المحكوم ببقائه عدم الشي‌ء أو وجوده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التقادير إمّا أن يكون ذلك الشي‌ء حكمًا شرعيًّا، أو موضوعه و متعلّقه، فالأقسام ثمانية </w:t>
      </w:r>
      <w:r>
        <w:rPr>
          <w:rFonts w:eastAsia="Amiri" w:cs="Amiri" w:ascii="Amiri" w:hAnsi="Amiri"/>
          <w:color w:val="111111"/>
          <w:sz w:val="28"/>
          <w:szCs w:val="28"/>
          <w:rtl w:val="true"/>
          <w:lang w:bidi="ar-SA"/>
        </w:rPr>
        <w:t xml:space="preserve">: </w:t>
      </w:r>
      <w:bookmarkStart w:id="46" w:name="pg10646_104286"/>
    </w:p>
    <w:p>
      <w:pPr>
        <w:pStyle w:val="Heading3"/>
        <w:numPr>
          <w:ilvl w:val="2"/>
          <w:numId w:val="1"/>
        </w:numPr>
        <w:rPr/>
      </w:pPr>
      <w:bookmarkStart w:id="47" w:name="__RefHeading___Toc3534871_372815092"/>
      <w:bookmarkStart w:id="48" w:name="_Toc16"/>
      <w:bookmarkEnd w:id="46"/>
      <w:bookmarkEnd w:id="47"/>
      <w:r>
        <w:rPr>
          <w:rtl w:val="true"/>
        </w:rPr>
        <w:t>القول في أقسام الاستصحاب و انّها ثمانية</w:t>
      </w:r>
      <w:bookmarkEnd w:id="4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الاستصحاب في العدم الّذي هو حال العقل و متعلّق الحكم الشرعيّ،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تعدّد الوضع في اللفظ، لما عرفت من أنّ وضع الألفاظ حادث، والعقل قاض بمسبوقيّة الحوادث بالعدم ؛ و أصالة عدم النقل فيما إذا علم وضع اللفظ في العرف، لا اللغة ؛ و أصالة عدم المخصّص والمقيّد للعامّ والمطلق، لكون اقترانهما بهما و ذكرهما أمرًا حادثًا ؛ و كذا عدم المعارض للدليل ؛ و عدم الجارح والمذكّي للراوي، و أشباهها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الخارج عنه الّذي له مدخل في ثبوته، والأمور المذكورة كذلك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إلّا انّ المستصحب هو الحكم، كما إذا شكّ في حرمة 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عدمه، لقضاء العقل بعدمها قبل البلوغ، فيستصحب ؛ وكذا الوجوب و غيرهما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الاستصحاب في العدم المعلوم من الشرع، و هو متعلّق الحكم، كأصالة عدم التذكية، لكون الحيوان في حال الحياة غير مذكّ شرعًا ؛ وعدم دخول الوقت ؛ وعدم انقضاء الحول ؛ و عدم انتقال المال من المالك ؛ و عدم زوال التغيّر ؛ و أمثالها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الثالث إلّا انّ المستصحب نفس الحكم ؛ كأصالة عدم جواز الصلاة والإفطار فيما شكّ في دخول الوقت والليل ؛ و عدم جواز العقد على الزوجة فيما شكّ في انقضاء العدّة ؛ و عدم زوال النجاسة ؛ و عدم جواز الاشتغال بالنوافل فيما إذا شكّ في براءة الذمّة عن الفريضة ؛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الاستصحاب في الوجود المعلوم من العقل، و هو متعلّق الحكم ؛ كأصالة بقاء المعنى اللغويّ والشرعيّ على ما كان، فيما علم كلّ منهما بالعلائم المقرّرة لذلك، لا بالاستماع من الواضع، مع احتمال العموم، كما ستقف على وجهه ؛ وأصالة بقاء الحياة فيما شكّ أنّ الملاقاة بالرطوبة كانت بعد زواله، أم لا، فتأمّل ؛ 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الخامس إلّا انّ المستصحب نفس الحكم الشرعيّ ؛ كالأحكام الثابتة من العقل إذا شكّ في ثبوتها لما يوجب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الاستصحاب في الوجود المعلوم من الشرع، و هو متعلّق الحكم ؛ كأصالة بقاء وقت الصلاة ؛ و غيرها من الأمور الموقّتة ؛ و أصالة بقاء النصاب ؛ و بقاء القلّة أو الكثرة في الماء ؛ و بقاء التغيّر ؛ و نحو ذلك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الاستصحاب في الوجود المعلوم من الشرع، وهو نفس الحكم ؛ كأصالة جواز الأكل فيما شكّ في الانفجار ؛ و وجوب إتيان الموقّتة فيما شكّ في خروج أوقاتها ؛ و بقاء النجاسة فيما </w:t>
      </w:r>
    </w:p>
    <w:p>
      <w:pPr>
        <w:pStyle w:val="BookText"/>
        <w:rPr/>
      </w:pPr>
      <w:r>
        <w:rPr>
          <w:rFonts w:ascii="Amiri" w:hAnsi="Amiri" w:eastAsia="Amiri" w:cs="Amiri"/>
          <w:color w:val="111111"/>
          <w:sz w:val="28"/>
          <w:sz w:val="28"/>
          <w:szCs w:val="28"/>
          <w:rtl w:val="true"/>
          <w:lang w:bidi="ar-SA"/>
        </w:rPr>
        <w:t xml:space="preserve">شكّ في زوالها، و </w:t>
      </w:r>
      <w:r>
        <w:rPr>
          <w:rStyle w:val="FootnoteAnchor"/>
          <w:rtl w:val="true"/>
        </w:rPr>
        <w:footnoteReference w:id="32"/>
      </w:r>
      <w:r>
        <w:rPr>
          <w:rFonts w:ascii="Amiri" w:hAnsi="Amiri" w:eastAsia="Amiri" w:cs="Amiri"/>
          <w:color w:val="111111"/>
          <w:sz w:val="28"/>
          <w:sz w:val="28"/>
          <w:szCs w:val="28"/>
          <w:rtl w:val="true"/>
          <w:lang w:bidi="ar-SA"/>
        </w:rPr>
        <w:t xml:space="preserve">بقاء الطهارة في كلّ ما شكّ في نجاسته، و منه الجلد المشتبه بين كونه من المذكّى و غيره ؛ وأشباهها، فإنّه أكثر من أن يحصى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ببقاء الثابت، فحصره في القسمين إنّما يصحّ إذا انحصر طريق العلم بالثبوت بالعقل و </w:t>
      </w:r>
      <w:r>
        <w:rPr>
          <w:rStyle w:val="FootnoteAnchor"/>
          <w:rtl w:val="true"/>
        </w:rPr>
        <w:footnoteReference w:id="33"/>
      </w:r>
      <w:r>
        <w:rPr>
          <w:rFonts w:ascii="Amiri" w:hAnsi="Amiri" w:eastAsia="Amiri" w:cs="Amiri"/>
          <w:color w:val="111111"/>
          <w:sz w:val="28"/>
          <w:sz w:val="28"/>
          <w:szCs w:val="28"/>
          <w:rtl w:val="true"/>
          <w:lang w:bidi="ar-SA"/>
        </w:rPr>
        <w:t xml:space="preserve">الشرع، أو لم يكن الحكم ببقاء الثابت من غيرهما استصحابًا، و كلاهما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كما يعلم الثبوت بهما، كذا يعلم بالحواسّ ؛ كما إذا احسّ تغيّر أحد أوصاف الماء المعهودة بالنجاسة، فإنّ الشارع حكم بالنجاسة عند تغيّر أحد أوصافه الثلاثة، و تحقّق التغيّر إنّما يعلم بالحواسّ ؛ فإذا شكّ في زوال التغيّر بسبب ممازجته بما يساويه في الصفة نقول بأنّ هناك حينئذٍ 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استصحاب الحال المعلومة من الشرع واستصحاب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الحالة المعلومة من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استصحاب في متعلّق الحكم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الحكم ببقاء النصاب، فإنّ تحديده إنّما يعلم من الشرع ؛ وأمّا تحقّقه في خصوص هذا الموضع، فإنّما يعلم بالحسّ، فاستصحابه عند الشكّ في بقائه استصحاب حال الحسّ ؛ وكذا استصحاب رطوبة الثوب مثلًا، و هكذا الحال في كلّ ما يكون على هذا المنوال ؛ و منه ما إذا سمع من الواضع أنّه وضع اللفظ لمعنى </w:t>
      </w:r>
    </w:p>
    <w:p>
      <w:pPr>
        <w:pStyle w:val="BookText"/>
        <w:rPr/>
      </w:pPr>
      <w:r>
        <w:rPr>
          <w:rFonts w:ascii="Amiri" w:hAnsi="Amiri" w:eastAsia="Amiri" w:cs="Amiri"/>
          <w:color w:val="111111"/>
          <w:sz w:val="28"/>
          <w:sz w:val="28"/>
          <w:szCs w:val="28"/>
          <w:rtl w:val="true"/>
          <w:lang w:bidi="ar-SA"/>
        </w:rPr>
        <w:t xml:space="preserve">معيّن، ثمّ شكّ في نقله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مقتضى النصوص الآتية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على القول بأنّ الحواسّ ليست مدركة، بل المدرك في الأشياء بأسرها العقل وإنّما هي آلته في الجزئيّات، فظاهر ؛ إذ الاستصحاب حينئذٍ استصحاب للحالة العقليّة، فيندرج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بأنّها مدركة، فلأنّ الأمور المحسوسة معلومة للعقل أيضًا، لكن بالواسطة، فيكون الأمور المعلومة بالحواسّ معلومة للعقل أيضًا، فيندرج تحته،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عليك أنّه ليس المراد من الحالة العقليّة ما يقابل الشرعيّة </w:t>
      </w:r>
      <w:r>
        <w:rPr>
          <w:rStyle w:val="FootnoteAnchor"/>
          <w:rtl w:val="true"/>
        </w:rPr>
        <w:footnoteReference w:id="34"/>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ثبوته من الشرع، بل ما علم من العقل، سواء عاضده الشرع، أم لا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المراد من الحكم الشرعيّ أعمّ من الطلبيّ والوضعيّ، فقد يجتمع كثير من الأقسام المذكورة في مورد واحد باعتبارات مختلفة ؛ مثلًا إذا علم تغيّر الماء ثمّ شكّ في زواله لما تقدّم أو لغيره، فهناك يتحقّق استصحاب حال العقل في متعلّق </w:t>
      </w:r>
    </w:p>
    <w:p>
      <w:pPr>
        <w:pStyle w:val="BookText"/>
        <w:rPr/>
      </w:pPr>
      <w:r>
        <w:rPr>
          <w:rFonts w:ascii="Amiri" w:hAnsi="Amiri" w:eastAsia="Amiri" w:cs="Amiri"/>
          <w:color w:val="111111"/>
          <w:sz w:val="28"/>
          <w:sz w:val="28"/>
          <w:szCs w:val="28"/>
          <w:rtl w:val="true"/>
          <w:lang w:bidi="ar-SA"/>
        </w:rPr>
        <w:t xml:space="preserve">الحكم وجوديًّا و عدميًّا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بقاء التغيّر، أو عدم زواله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حال الشرع إذا فرض إخبار الشارع بتحقّق التغيّر ؛ و كذا استصحاب حال الشرع في الحكم طلبيًّا أو وضعيًّا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الأصل حرمة استعماله، أو وجوب الاجتناب عنه، أو بقاء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أن يكون المراد من الحالة العقليّة ما ذكر، هل النسبة بينها و بين الحالة الشرعيّة العموم من وجه، بأن يكون المراد من الحالة العقليّة ما علم ثبوته من العقل، سواء عاضده الشرع، أم لا ؛ و من الشرعيّة ما علم ثبوته من الشرع، سواء تمكّن العقل من دركه، أم لا ؟</w:t>
      </w:r>
    </w:p>
    <w:p>
      <w:pPr>
        <w:pStyle w:val="BookText"/>
        <w:rPr/>
      </w:pPr>
      <w:r>
        <w:rPr>
          <w:rFonts w:ascii="Amiri" w:hAnsi="Amiri" w:eastAsia="Amiri" w:cs="Amiri"/>
          <w:color w:val="111111"/>
          <w:sz w:val="28"/>
          <w:sz w:val="28"/>
          <w:szCs w:val="28"/>
          <w:rtl w:val="true"/>
          <w:lang w:bidi="ar-SA"/>
        </w:rPr>
        <w:t xml:space="preserve">الظاهر ذلك، لكن لا بمعنى أن يكون عموم العقليّة بالنسبة إلى ما لم يكن وظيفة الشرع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كالأحكام العقليّة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لخفاء فرض اندراجه مورد الاستصحاب، كما يظهر للمتأمّل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ولاستلزامه اختلال القسمة على النحو المذكور ولو في بعض الموارد حينئذٍ لايلزم أن يكون استصحاب الحالة العقليّة منحصرًا في الحكم الشرعيّ و متعلّقه، بل بمعنى أن يكون عمومها بالنسبة إلى ما لم يعلم من الشرع ثبوته وإن كان من وظيفته، فعلى هذا يكون الحكم الشرعيّ في القسمة أعمّ ممّا أخذ من الشرع و ممّا يكون من شأنه ذلك، فتأمّل </w:t>
      </w:r>
      <w:r>
        <w:rPr>
          <w:rFonts w:eastAsia="Amiri" w:cs="Amiri" w:ascii="Amiri" w:hAnsi="Amiri"/>
          <w:color w:val="111111"/>
          <w:sz w:val="28"/>
          <w:szCs w:val="28"/>
          <w:rtl w:val="true"/>
          <w:lang w:bidi="ar-SA"/>
        </w:rPr>
        <w:t xml:space="preserve">. </w:t>
      </w:r>
      <w:bookmarkStart w:id="49" w:name="pg10646_104291"/>
    </w:p>
    <w:p>
      <w:pPr>
        <w:pStyle w:val="Heading3"/>
        <w:numPr>
          <w:ilvl w:val="2"/>
          <w:numId w:val="1"/>
        </w:numPr>
        <w:rPr/>
      </w:pPr>
      <w:bookmarkStart w:id="50" w:name="__RefHeading___Toc3534873_372815092"/>
      <w:bookmarkStart w:id="51" w:name="_Toc17"/>
      <w:bookmarkEnd w:id="49"/>
      <w:bookmarkEnd w:id="50"/>
      <w:r>
        <w:rPr>
          <w:rtl w:val="true"/>
        </w:rPr>
        <w:t>القول في الفرق بين أصالة العدم وأصالة البراءة</w:t>
      </w:r>
      <w:bookmarkEnd w:id="51"/>
    </w:p>
    <w:p>
      <w:pPr>
        <w:pStyle w:val="BookText"/>
        <w:rPr/>
      </w:pPr>
      <w:r>
        <w:rPr>
          <w:rFonts w:ascii="Amiri" w:hAnsi="Amiri" w:eastAsia="Amiri" w:cs="Amiri"/>
          <w:color w:val="111111"/>
          <w:sz w:val="28"/>
          <w:sz w:val="28"/>
          <w:szCs w:val="28"/>
          <w:rtl w:val="true"/>
          <w:lang w:bidi="ar-SA"/>
        </w:rPr>
        <w:t xml:space="preserve">و ممّا ينبغي التنبيه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العدم والنفي هل يكون متّحدًا مع أصالة البراءة، أم لا ؟</w:t>
      </w:r>
    </w:p>
    <w:p>
      <w:pPr>
        <w:pStyle w:val="BookText"/>
        <w:rPr/>
      </w:pPr>
      <w:r>
        <w:rPr>
          <w:rFonts w:ascii="Amiri" w:hAnsi="Amiri" w:eastAsia="Amiri" w:cs="Amiri"/>
          <w:color w:val="111111"/>
          <w:sz w:val="28"/>
          <w:sz w:val="28"/>
          <w:szCs w:val="28"/>
          <w:rtl w:val="true"/>
          <w:lang w:bidi="ar-SA"/>
        </w:rPr>
        <w:t xml:space="preserve">والظاهر من المحقّق والشهيد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حيث قال الأوّل بعد أن ذكر استصحاب النفي في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التمسّك بالبراءة الأصليّة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الثاني بعده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المعبّر عنه بالبراءة الأصليّة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البراءة لها معنيان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فيه براءة الذمّة السابقة، و هي متّحدة مع استصحاب النفي في الحال مع ظهور الفرق بينهما من حيث انّ المستصحب في الأوّل العدم، و في الثاني في الوجود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 انتفاء الحكم في الحال لانتفاء الدليل على ثبوته مع قطع النظر عن ملاحظة السابق، لدلالة العقل والشرع على انتفاء التكليف عند عدم البرهان، و عدم العتاب عند انتفاء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من أقسام الاستصحاب، فلا يقول به مَن لم يقل بحجّيّته، بخلاف الثاني، بل الظاهر أنّه اتّفاقيّ عند المجتهدين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اللَّه ليضلّ قومًا بعد إذ هديهم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 يحيى من حىّ عن بيّنة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 غير ما ذكر </w:t>
      </w:r>
      <w:r>
        <w:rPr>
          <w:rStyle w:val="FootnoteAnchor"/>
          <w:rtl w:val="true"/>
        </w:rPr>
        <w:footnoteReference w:id="40"/>
      </w:r>
      <w:r>
        <w:rPr>
          <w:rFonts w:ascii="Amiri" w:hAnsi="Amiri" w:eastAsia="Amiri" w:cs="Amiri"/>
          <w:color w:val="111111"/>
          <w:sz w:val="28"/>
          <w:sz w:val="28"/>
          <w:szCs w:val="28"/>
          <w:rtl w:val="true"/>
          <w:lang w:bidi="ar-SA"/>
        </w:rPr>
        <w:t xml:space="preserve">من الآيات المتكثّرة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امرء ركب والجهالة فليس عليه شي‌ء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الأعلى عن الصادق عليه السلام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جعل في الناس أداة ينالون بها </w:t>
      </w:r>
    </w:p>
    <w:p>
      <w:pPr>
        <w:pStyle w:val="BookText"/>
        <w:rPr/>
      </w:pPr>
      <w:r>
        <w:rPr>
          <w:rFonts w:ascii="Amiri" w:hAnsi="Amiri" w:eastAsia="Amiri" w:cs="Amiri"/>
          <w:color w:val="111111"/>
          <w:sz w:val="28"/>
          <w:sz w:val="28"/>
          <w:szCs w:val="28"/>
          <w:rtl w:val="true"/>
          <w:lang w:bidi="ar-SA"/>
        </w:rPr>
        <w:t xml:space="preserve">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Style w:val="FootnoteAnchor"/>
          <w:rtl w:val="true"/>
        </w:rPr>
        <w:footnoteReference w:id="43"/>
      </w:r>
      <w:r>
        <w:rPr>
          <w:rFonts w:ascii="Amiri" w:hAnsi="Amiri" w:eastAsia="Amiri" w:cs="Amiri"/>
          <w:color w:val="111111"/>
          <w:sz w:val="28"/>
          <w:sz w:val="28"/>
          <w:szCs w:val="28"/>
          <w:rtl w:val="true"/>
          <w:lang w:bidi="ar-SA"/>
        </w:rPr>
        <w:t xml:space="preserve">كلّفوا على </w:t>
      </w:r>
      <w:r>
        <w:rPr>
          <w:rStyle w:val="FootnoteAnchor"/>
          <w:rtl w:val="true"/>
        </w:rPr>
        <w:footnoteReference w:id="44"/>
      </w:r>
      <w:r>
        <w:rPr>
          <w:rFonts w:ascii="Amiri" w:hAnsi="Amiri" w:eastAsia="Amiri" w:cs="Amiri"/>
          <w:color w:val="111111"/>
          <w:sz w:val="28"/>
          <w:sz w:val="28"/>
          <w:szCs w:val="28"/>
          <w:rtl w:val="true"/>
          <w:lang w:bidi="ar-SA"/>
        </w:rPr>
        <w:t>المعرفة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اللَّه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Style w:val="FootnoteAnchor"/>
          <w:rtl w:val="true"/>
        </w:rPr>
        <w:footnoteReference w:id="47"/>
      </w:r>
      <w:r>
        <w:rPr>
          <w:rFonts w:ascii="Amiri" w:hAnsi="Amiri" w:eastAsia="Amiri" w:cs="Amiri"/>
          <w:color w:val="111111"/>
          <w:sz w:val="28"/>
          <w:sz w:val="28"/>
          <w:szCs w:val="28"/>
          <w:rtl w:val="true"/>
          <w:lang w:bidi="ar-SA"/>
        </w:rPr>
        <w:t xml:space="preserve">و سألته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اللَّه ليضلّ قومًا بعد إذ هديهم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يعرّفهم ما يرضيه و ما يسخطه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شيئًا هل عليه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لا يعلمون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حجب اللَّه علمه عن العباد فهو موضوع عنهم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الخبر المشتهر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ما لا يعلمون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ما ذكر من الأخبار </w:t>
      </w:r>
      <w:r>
        <w:rPr>
          <w:rFonts w:eastAsia="Amiri" w:cs="Amiri" w:ascii="Amiri" w:hAnsi="Amiri"/>
          <w:color w:val="111111"/>
          <w:sz w:val="28"/>
          <w:szCs w:val="28"/>
          <w:rtl w:val="true"/>
          <w:lang w:bidi="ar-SA"/>
        </w:rPr>
        <w:t xml:space="preserve">. </w:t>
      </w:r>
      <w:bookmarkStart w:id="52" w:name="pg10646_104295"/>
    </w:p>
    <w:p>
      <w:pPr>
        <w:pStyle w:val="Heading2"/>
        <w:numPr>
          <w:ilvl w:val="1"/>
          <w:numId w:val="1"/>
        </w:numPr>
        <w:rPr/>
      </w:pPr>
      <w:bookmarkStart w:id="53" w:name="__RefHeading___Toc3534875_372815092"/>
      <w:bookmarkStart w:id="54" w:name="_Toc18"/>
      <w:bookmarkEnd w:id="52"/>
      <w:bookmarkEnd w:id="53"/>
      <w:r>
        <w:rPr>
          <w:rtl w:val="true"/>
        </w:rPr>
        <w:t>البحث الثالث</w:t>
      </w:r>
      <w:r>
        <w:rPr>
          <w:rtl w:val="true"/>
        </w:rPr>
        <w:t xml:space="preserve">: </w:t>
      </w:r>
      <w:r>
        <w:rPr>
          <w:rtl w:val="true"/>
        </w:rPr>
        <w:t>في حجّيّة الاستصحاب و عدمها</w:t>
      </w:r>
      <w:bookmarkEnd w:id="54"/>
    </w:p>
    <w:p>
      <w:pPr>
        <w:pStyle w:val="Heading3"/>
        <w:numPr>
          <w:ilvl w:val="2"/>
          <w:numId w:val="1"/>
        </w:numPr>
        <w:rPr/>
      </w:pPr>
      <w:bookmarkStart w:id="55" w:name="__RefHeading___Toc3534877_372815092"/>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 قد كثر التشاجر بين العلماء في هذا المرام إلى أن تحقّق بينهم ثمانية أقوال،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الحجيّة في جميع الأقسام المذكورة، و هو المختار</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534879_372815092"/>
      <w:bookmarkStart w:id="58" w:name="_Toc20"/>
      <w:bookmarkEnd w:id="57"/>
      <w:r>
        <w:rPr>
          <w:rtl w:val="true"/>
        </w:rPr>
        <w:t>القول في النصوص الدالّة على حجّيّة الاستصحاب‌</w:t>
      </w:r>
      <w:bookmarkEnd w:id="58"/>
    </w:p>
    <w:p>
      <w:pPr>
        <w:pStyle w:val="BookText"/>
        <w:rPr/>
      </w:pPr>
      <w:r>
        <w:rPr>
          <w:rFonts w:ascii="Amiri" w:hAnsi="Amiri" w:eastAsia="Amiri" w:cs="Amiri"/>
          <w:color w:val="111111"/>
          <w:sz w:val="28"/>
          <w:sz w:val="28"/>
          <w:szCs w:val="28"/>
          <w:rtl w:val="true"/>
          <w:lang w:bidi="ar-SA"/>
        </w:rPr>
        <w:t xml:space="preserve">والمستند فيه وجوه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534881_372815092"/>
      <w:bookmarkStart w:id="60" w:name="_Toc21"/>
      <w:bookmarkEnd w:id="59"/>
      <w:r>
        <w:rPr>
          <w:rtl w:val="true"/>
        </w:rPr>
        <w:t>الوجه الأوّل</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المتكثّرة الواردة عن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آلاف السلام والتحيّة </w:t>
      </w:r>
      <w:r>
        <w:rPr>
          <w:rFonts w:eastAsia="Amiri" w:cs="Amiri" w:ascii="Amiri" w:hAnsi="Amiri"/>
          <w:color w:val="111111"/>
          <w:sz w:val="28"/>
          <w:szCs w:val="28"/>
          <w:rtl w:val="true"/>
          <w:lang w:bidi="ar-SA"/>
        </w:rPr>
        <w:t xml:space="preserve">. </w:t>
      </w:r>
      <w:bookmarkStart w:id="61" w:name="pg10646_104296"/>
    </w:p>
    <w:p>
      <w:pPr>
        <w:pStyle w:val="Heading3"/>
        <w:numPr>
          <w:ilvl w:val="2"/>
          <w:numId w:val="1"/>
        </w:numPr>
        <w:rPr/>
      </w:pPr>
      <w:bookmarkStart w:id="62" w:name="__RefHeading___Toc3534883_372815092"/>
      <w:bookmarkStart w:id="63" w:name="_Toc22"/>
      <w:bookmarkEnd w:id="61"/>
      <w:bookmarkEnd w:id="62"/>
      <w:r>
        <w:rPr>
          <w:rtl w:val="true"/>
        </w:rPr>
        <w:t>الرواية الأولى</w:t>
      </w:r>
      <w:bookmarkEnd w:id="63"/>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في أوائل كتاب الطهارة من التهذيب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 هو على وضوء أتوجب الخفقة والخفقتان عليه الوضوء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قد تنام العين ولا ينام القلب والأذن، فإذا نامت العين والأذن والقلب فقد وجب الوضوء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شي‌ء ولم يعلم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أنّه قد نام حتّى يجي‌ء من ذلك أمر بيّن، و إلّا فإنّه على يقين من وضوئه، ولا ينقض اليقين بالشكّ أبدًا </w:t>
      </w:r>
      <w:r>
        <w:rPr>
          <w:rStyle w:val="FootnoteAnchor"/>
          <w:rtl w:val="true"/>
        </w:rPr>
        <w:footnoteReference w:id="55"/>
      </w:r>
      <w:r>
        <w:rPr>
          <w:rFonts w:ascii="Amiri" w:hAnsi="Amiri" w:eastAsia="Amiri" w:cs="Amiri"/>
          <w:color w:val="111111"/>
          <w:sz w:val="28"/>
          <w:sz w:val="28"/>
          <w:szCs w:val="28"/>
          <w:rtl w:val="true"/>
          <w:lang w:bidi="ar-SA"/>
        </w:rPr>
        <w:t xml:space="preserve">، ولكن ينقضه بيقين آخر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والفاء والقاف، كضربة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الرأس بسبب النعاس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نرتّب قياسًا </w:t>
      </w:r>
      <w:r>
        <w:rPr>
          <w:rStyle w:val="FootnoteAnchor"/>
          <w:rtl w:val="true"/>
        </w:rPr>
        <w:footnoteReference w:id="58"/>
      </w:r>
      <w:r>
        <w:rPr>
          <w:rFonts w:ascii="Amiri" w:hAnsi="Amiri" w:eastAsia="Amiri" w:cs="Amiri"/>
          <w:color w:val="111111"/>
          <w:sz w:val="28"/>
          <w:sz w:val="28"/>
          <w:szCs w:val="28"/>
          <w:rtl w:val="true"/>
          <w:lang w:bidi="ar-SA"/>
        </w:rPr>
        <w:t xml:space="preserve">على هيئة الشكل الأوّل في كلّ مورد من </w:t>
      </w:r>
    </w:p>
    <w:p>
      <w:pPr>
        <w:pStyle w:val="BookText"/>
        <w:rPr/>
      </w:pPr>
      <w:r>
        <w:rPr>
          <w:rFonts w:ascii="Amiri" w:hAnsi="Amiri" w:eastAsia="Amiri" w:cs="Amiri"/>
          <w:color w:val="111111"/>
          <w:sz w:val="28"/>
          <w:sz w:val="28"/>
          <w:szCs w:val="28"/>
          <w:rtl w:val="true"/>
          <w:lang w:bidi="ar-SA"/>
        </w:rPr>
        <w:t xml:space="preserve">موارد الاستصحاب،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كان يقينًا </w:t>
      </w:r>
      <w:r>
        <w:rPr>
          <w:rStyle w:val="FootnoteAnchor"/>
          <w:rtl w:val="true"/>
        </w:rPr>
        <w:footnoteReference w:id="59"/>
      </w:r>
      <w:r>
        <w:rPr>
          <w:rFonts w:ascii="Amiri" w:hAnsi="Amiri" w:eastAsia="Amiri" w:cs="Amiri"/>
          <w:color w:val="111111"/>
          <w:sz w:val="28"/>
          <w:sz w:val="28"/>
          <w:szCs w:val="28"/>
          <w:rtl w:val="true"/>
          <w:lang w:bidi="ar-SA"/>
        </w:rPr>
        <w:t xml:space="preserve">، و كلّما كان كذلك لايجوز انتقاضه بالشكّ، فهذا لايجوز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الكلام على تقديره، و أمّا الكبرى فلعموم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لاينقض اليقين بالشكّ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عليه من وجوه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العموم من الحديث مبنيّ على كون المفرد المحلّى باللام للعموم، و هو ممنوع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استفادته منه و من أمثاله إنّما هو عند انتفاء العهديّة، و هنا ليس كذلك، لما قرّره النحاة من أنّ النكرة إذا أعيدت معرفة كان الثاني عين الأوّل </w:t>
      </w:r>
      <w:r>
        <w:rPr>
          <w:rStyle w:val="FootnoteAnchor"/>
          <w:rtl w:val="true"/>
        </w:rPr>
        <w:footnoteReference w:id="61"/>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المصباحُ في زجاجة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2"/>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 مقتضى ذلك كون اليقين فيما نحن فيه إشارة إلى اليقين في الوضوء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تقدير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من ذلك أن يكون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لاتنقض الشكّ </w:t>
      </w:r>
      <w:r>
        <w:rPr>
          <w:rStyle w:val="FootnoteAnchor"/>
          <w:rtl w:val="true"/>
        </w:rPr>
        <w:footnoteReference w:id="64"/>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كلّ اليقين بالشكّ ؛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الإيجاب، و هو كما يكون في ضمن السلب الكلّي كذا يكون في ضمن السلب الجزئي، فيجتمع مع الإيجاب الجزئي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أهل بلد ليس بعالم ؛ والاستدلال إنّما يتمّ على الأوّل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الحديث من قبيل الثاني، فإذا قام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حديث استفادة العموم من المفرد المحلّى باللام، فهو انّ حمل المفرد على العموم في أمثال المقام ممّا لا محيص عنه، أمّا على القول بكونه موضوعًا لذلك </w:t>
      </w:r>
      <w:r>
        <w:rPr>
          <w:rStyle w:val="FootnoteAnchor"/>
          <w:rtl w:val="true"/>
        </w:rPr>
        <w:footnoteReference w:id="65"/>
      </w:r>
      <w:r>
        <w:rPr>
          <w:rFonts w:ascii="IRNazanin" w:hAnsi="IRNazanin" w:eastAsia="IRNazanin"/>
          <w:color w:val="111111"/>
          <w:sz w:val="28"/>
          <w:sz w:val="28"/>
          <w:szCs w:val="28"/>
          <w:rtl w:val="true"/>
          <w:lang w:bidi="fa-IR"/>
        </w:rPr>
        <w:t xml:space="preserve">، فظاهر ؛ و أمّا على العدم </w:t>
      </w:r>
      <w:r>
        <w:rPr>
          <w:rStyle w:val="FootnoteAnchor"/>
          <w:rtl w:val="true"/>
        </w:rPr>
        <w:footnoteReference w:id="66"/>
      </w:r>
      <w:r>
        <w:rPr>
          <w:rFonts w:ascii="Amiri" w:hAnsi="Amiri" w:eastAsia="Amiri" w:cs="Amiri"/>
          <w:color w:val="111111"/>
          <w:sz w:val="28"/>
          <w:sz w:val="28"/>
          <w:szCs w:val="28"/>
          <w:rtl w:val="true"/>
          <w:lang w:bidi="ar-SA"/>
        </w:rPr>
        <w:t xml:space="preserve">فللقطع بعدم إرادة الماهيّة من حيث هي، بل من حيث تحقّقها في ضمن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إمّا يحمل على العموم، أو على البعض المعيّن، أو غيره، لا سبيل إلى الأخيرين، أمّا الأخيرين فلمنافاته الحكمة والإغراء بالجهل ؛ وأمّا على الأوّل فلانتفاء المخصّص على تقديره، فتعيّن الأوّل وهو المطلوب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اللام حقيقة في الجنس، فيختلف حكم المفرد المحلّى بها </w:t>
      </w:r>
    </w:p>
    <w:p>
      <w:pPr>
        <w:pStyle w:val="BookText"/>
        <w:rPr/>
      </w:pPr>
      <w:r>
        <w:rPr>
          <w:rFonts w:ascii="Amiri" w:hAnsi="Amiri" w:eastAsia="Amiri" w:cs="Amiri"/>
          <w:color w:val="111111"/>
          <w:sz w:val="28"/>
          <w:sz w:val="28"/>
          <w:szCs w:val="28"/>
          <w:rtl w:val="true"/>
          <w:lang w:bidi="ar-SA"/>
        </w:rPr>
        <w:t xml:space="preserve">فيما إذا كان المطلوب إيجاده و عدمه، إذ على الأوّل يكفي في صدق الامتثال إيجاده في ضمن فرد من أفراده كما لايخفى ؛ و على الثاني لايتحقّق الامتثال إلّا بتركه في ضمن جميع الأفراد، فيلزمه العموم، و 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يفيد التكرار والدوام، بخلاف الأمر ؛ و ما نحن فيه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حكاية إعادة النكرة معرفة، فهو انّه حكم أغلبيّ لا لزوميّ ؛ و بالجملة فيما لم يترجّح خلافه بمرجّح، والمرجّح لانتفاء العهديّة فيما نحن فيه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في الحديث لو كان إشارة إلى اليقين في الوضوء خاصّة، لكان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نقض اليقين الوضوئيّ بالشكّ ؛ و هذا المعنى كان مفهومًا من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على يقين من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أنّه بمنزلة التعليل للحكم المذكور، فيعمّ جميع موارده، فلا حاجة لإفادة هذا الحكم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إذا كان المراد منه مطلق اليقين، فإنّ المفهوم منه حينئذٍ فائدة جديدة جليلة ؛ و حمل كلام الحكيم على أكثر فائدة أولى، والتأكيد مرجوح بالنسبة إلى التأسيس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خصوص عدم جواز نقض الوضوء، لكان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يقين من وضوء، إذ هو مع إفادته هذا المعنى مناسبة له لايوهم خلاف المقصود، بل المقصود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إلّا فإنّه على يقين من وضوئه، ولاينقض اليقين بالشكّ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إفادة حكم كلّي شامل للمدّعى و غيره بقياس على </w:t>
      </w:r>
    </w:p>
    <w:p>
      <w:pPr>
        <w:pStyle w:val="BookText"/>
        <w:rPr/>
      </w:pPr>
      <w:r>
        <w:rPr>
          <w:rFonts w:ascii="Amiri" w:hAnsi="Amiri" w:eastAsia="Amiri" w:cs="Amiri"/>
          <w:color w:val="111111"/>
          <w:sz w:val="28"/>
          <w:sz w:val="28"/>
          <w:szCs w:val="28"/>
          <w:rtl w:val="true"/>
          <w:lang w:bidi="ar-SA"/>
        </w:rPr>
        <w:t xml:space="preserve">هيئة الشكل الأوّل،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يقين لاتنقض بالشكّ، كما لايخفى على من له أنس بأساليب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صرف الكلّية إلى كلّ يقين في الوضوء مع مخالفته للظاهر، قد عرفت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نظيرٌ 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الثاني إشارة إلى خصوص اليقين السابق، يكون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الشكّ السابق، وهو الشكّ الّذي يوجبه النوم ؛ و لمّا لم يمكن منه إرادة هذا المعنى لمخالفته للواقع ولمناسبة أن يقال في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ينقضه بيقين آخر أو شكّ آخر، كذلك يظهر منه عدم كون المراد من اليقين اليقين السابق فقط، فيكون شاملًا له ولغيره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شاملًا للوضوء و غيره، و هو المطلوب،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حكاية رفع الإيجاب الكلّي، فنقول بعد تسليم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وقع لهذا الكلام، لظهوره في الأفراد، فعلى هذا يكون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شيئًا من اليقين و فردًا من أفراده بالشكّ، لا سيّما مع التأكيد بالتأبيد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رفع الكلّي فيما نحن فيه ما يتحقّق في ضمن السلب الجزئيّ </w:t>
      </w:r>
      <w:r>
        <w:rPr>
          <w:rStyle w:val="FootnoteAnchor"/>
          <w:rtl w:val="true"/>
        </w:rPr>
        <w:footnoteReference w:id="67"/>
      </w:r>
      <w:r>
        <w:rPr>
          <w:rFonts w:ascii="Amiri" w:hAnsi="Amiri" w:eastAsia="Amiri" w:cs="Amiri"/>
          <w:color w:val="111111"/>
          <w:sz w:val="28"/>
          <w:sz w:val="28"/>
          <w:szCs w:val="28"/>
          <w:rtl w:val="true"/>
          <w:lang w:bidi="ar-SA"/>
        </w:rPr>
        <w:t xml:space="preserve">،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بعض اليقين به ؛ وهو مع استلزامه الإغراء بالجهل فيما إذا كان المراد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يقين الوضوء و غيره، و خلوّ الكلام عن الفائدة إذا كان المراد الأوّل كما تقدّم، يفسده </w:t>
      </w:r>
      <w:bookmarkStart w:id="64" w:name="pg10646_104301"/>
    </w:p>
    <w:p>
      <w:pPr>
        <w:pStyle w:val="BookText"/>
        <w:rPr/>
      </w:pPr>
      <w:bookmarkEnd w:id="64"/>
      <w:r>
        <w:rPr>
          <w:rFonts w:ascii="Amiri" w:hAnsi="Amiri" w:eastAsia="Amiri" w:cs="Amiri"/>
          <w:color w:val="111111"/>
          <w:sz w:val="28"/>
          <w:sz w:val="28"/>
          <w:szCs w:val="28"/>
          <w:rtl w:val="true"/>
          <w:lang w:bidi="ar-SA"/>
        </w:rPr>
        <w:t xml:space="preserve">الاستدراك المذكور،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ينقضه بيقين آخر و شكّ ؛ إذ حينئذٍ كما يكون اليقين ناقضًا لليقين، يكون الشكّ ناقضًا لبعض أقسامه أيضًا، فعدم ذكر الشكّ في الاستدراك قرينة على أنّ المراد من السلب هو السلب الكلّي، لا سلب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متحقّق في الأفراد بأسرها كما لايخفى، فيلزم أن يكون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لكونه استدراكًا منه، ولكون الضمير في الاستدراك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اليقين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إرادة العموم من الراجع يستلزم إرادة العموم من المرجع، إذ المخالفة مخالفة الظاهر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534885_372815092"/>
      <w:bookmarkStart w:id="66" w:name="_Toc23"/>
      <w:bookmarkEnd w:id="65"/>
      <w:r>
        <w:rPr>
          <w:rtl w:val="true"/>
        </w:rPr>
        <w:t>الوجه الثاني</w:t>
      </w:r>
      <w:bookmarkEnd w:id="66"/>
    </w:p>
    <w:p>
      <w:pPr>
        <w:pStyle w:val="BookText"/>
        <w:rPr/>
      </w:pPr>
      <w:r>
        <w:rPr>
          <w:rFonts w:ascii="Amiri" w:hAnsi="Amiri" w:eastAsia="Amiri" w:cs="Amiri"/>
          <w:color w:val="111111"/>
          <w:sz w:val="28"/>
          <w:sz w:val="28"/>
          <w:szCs w:val="28"/>
          <w:rtl w:val="true"/>
          <w:lang w:bidi="ar-SA"/>
        </w:rPr>
        <w:t xml:space="preserve">والوجه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أنّ الاستصحاب عبارةٌ عن الحكم ببقاء الشي‌ء، سواء كان بقائه مشكوكًا أو مظنونًا أو موهومًا، و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الحكم بثبوت الحكم فيما إذا كان مشكوكًا فيه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الحال فيما إذا كان مظنونًا، بناءً على أنّ 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اليقين </w:t>
      </w:r>
    </w:p>
    <w:p>
      <w:pPr>
        <w:pStyle w:val="BookText"/>
        <w:rPr/>
      </w:pPr>
      <w:r>
        <w:rPr>
          <w:rFonts w:ascii="Amiri" w:hAnsi="Amiri" w:eastAsia="Amiri" w:cs="Amiri"/>
          <w:color w:val="111111"/>
          <w:sz w:val="28"/>
          <w:sz w:val="28"/>
          <w:szCs w:val="28"/>
          <w:rtl w:val="true"/>
          <w:lang w:bidi="ar-SA"/>
        </w:rPr>
        <w:t>بالشكّ يدلّ على عدم جواز نقضه بالوهم بطريق أولى، لكن يبقى الحال فيما لو كان موهومًا، لعدم ثبوته لا من المنطوق ولا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مبنيّ على أنّ المراد من الشكّ في الحديث معناه المصطلح،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الاحتمالين المتقابلين و تردّد الذهن بينهما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وهو ممنوع، لكنّه اصطلاحًا خاصًّا </w:t>
      </w:r>
      <w:r>
        <w:rPr>
          <w:rStyle w:val="FootnoteAnchor"/>
          <w:rtl w:val="true"/>
        </w:rPr>
        <w:footnoteReference w:id="69"/>
      </w:r>
      <w:r>
        <w:rPr>
          <w:rFonts w:ascii="Amiri" w:hAnsi="Amiri" w:eastAsia="Amiri" w:cs="Amiri"/>
          <w:color w:val="111111"/>
          <w:sz w:val="28"/>
          <w:sz w:val="28"/>
          <w:szCs w:val="28"/>
          <w:rtl w:val="true"/>
          <w:lang w:bidi="ar-SA"/>
        </w:rPr>
        <w:t xml:space="preserve">، فلا يجوز أن يكون محلًّا للألفاظ الواردة في الكتاب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تسليم ثبوت الحقيقة الشرعيّة فيه أو شيوعه في المعنى المعروف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هو إذا لم يكن مدخولًا للنفي، أو مقابلًا لليقين ؛ وأمّا 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ثابت بلا شكّ، أو من غير شكّ،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بل المراد منه حينئذٍ ما قابل اليقين </w:t>
      </w:r>
      <w:r>
        <w:rPr>
          <w:rStyle w:val="FootnoteAnchor"/>
          <w:rtl w:val="true"/>
        </w:rPr>
        <w:footnoteReference w:id="70"/>
      </w:r>
      <w:r>
        <w:rPr>
          <w:rFonts w:ascii="Amiri" w:hAnsi="Amiri" w:eastAsia="Amiri" w:cs="Amiri"/>
          <w:color w:val="111111"/>
          <w:sz w:val="28"/>
          <w:sz w:val="28"/>
          <w:szCs w:val="28"/>
          <w:rtl w:val="true"/>
          <w:lang w:bidi="ar-SA"/>
        </w:rPr>
        <w:t xml:space="preserve">، فيشمل الظنّ والوهم أيضًا ؛ و هو مسلّم ولو في محاورات المتشرّعين كما لا يخفى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من القبيل الثاني، فلا يكون الشكّ فيه محمولًا على المعنى المصطلح، بل على المعنى المذكور، فعلى هذا يكون مقتضى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لاتنقض </w:t>
      </w:r>
      <w:bookmarkStart w:id="67" w:name="pg10646_104303"/>
    </w:p>
    <w:p>
      <w:pPr>
        <w:pStyle w:val="BookText"/>
        <w:rPr/>
      </w:pPr>
      <w:bookmarkEnd w:id="67"/>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اليقين بغير اليقين، فيدلّ على عدم نقض </w:t>
      </w:r>
      <w:r>
        <w:rPr>
          <w:rStyle w:val="FootnoteAnchor"/>
          <w:rtl w:val="true"/>
        </w:rPr>
        <w:footnoteReference w:id="71"/>
      </w:r>
      <w:r>
        <w:rPr>
          <w:rFonts w:ascii="Amiri" w:hAnsi="Amiri" w:eastAsia="Amiri" w:cs="Amiri"/>
          <w:color w:val="111111"/>
          <w:sz w:val="28"/>
          <w:sz w:val="28"/>
          <w:szCs w:val="28"/>
          <w:rtl w:val="true"/>
          <w:lang w:bidi="ar-SA"/>
        </w:rPr>
        <w:t xml:space="preserve">بالظنّ أيضًا، و 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ينقضه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قرينة أخرى على ما ذكر، إذ لو لم يكن المراد من الشكّ المعنى المذكور، يكون الظنّ أيضًا ناقضًا، فيلزم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ينقضه بيقين آخر أو 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شهادة السياق عليه، فلاحظ حتّى يظهر لك وجهه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534887_372815092"/>
      <w:bookmarkStart w:id="69" w:name="_Toc24"/>
      <w:bookmarkEnd w:id="68"/>
      <w:r>
        <w:rPr>
          <w:rtl w:val="true"/>
        </w:rPr>
        <w:t>الوجه الثالث</w:t>
      </w:r>
      <w:bookmarkEnd w:id="69"/>
    </w:p>
    <w:p>
      <w:pPr>
        <w:pStyle w:val="Heading4"/>
        <w:numPr>
          <w:ilvl w:val="3"/>
          <w:numId w:val="1"/>
        </w:numPr>
        <w:rPr/>
      </w:pPr>
      <w:bookmarkStart w:id="70" w:name="__RefHeading___Toc3534889_372815092"/>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ممّا أسلفناه عدم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بالأشياء المتيقّن الثبوت، لجريانه ولو فيما ثبت من الأدلّة الظنّيّة، بل هو أغلب ؛ والقدر الثابت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فلا يتمّ التقريب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سلف أنّ مدلوله عدم جواز نقض شي‌ء من اليقين بغيره، والأحكام الظنّيّة جواز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قبل طريان الشكّ، فيستصحب بعده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الشي‌ء متيقّن، وكلّ متيقّن لايجوز نقضه بغيره، فيتمّ الاستدلال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يمكن دعوى الإجماع المركّب، لأنّا لم نجد مع شدّة اختلافهم في المسألة تأمّلهم من الجهة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الجواب عمّا لو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الصحيح في الحكم الوضعيّ الثبوتيّ، لوضوح أنّ مدلوله الحكم ببقاء الطهارة عند الشكّ، فكيف يتمسكّ به في حجّية الأقسام بأقسامه المذكورة بأسرها ؟</w:t>
      </w:r>
    </w:p>
    <w:p>
      <w:pPr>
        <w:pStyle w:val="BookText"/>
        <w:rPr/>
      </w:pPr>
      <w:r>
        <w:rPr>
          <w:rFonts w:ascii="Amiri" w:hAnsi="Amiri" w:eastAsia="Amiri" w:cs="Amiri"/>
          <w:color w:val="111111"/>
          <w:sz w:val="28"/>
          <w:sz w:val="28"/>
          <w:szCs w:val="28"/>
          <w:rtl w:val="true"/>
          <w:lang w:bidi="ar-SA"/>
        </w:rPr>
        <w:t xml:space="preserve">و ذلك لأنّ التعويل في الاستدلال إنّما هو على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لا على مورده، إذ العبرة بعموم اللفظ، لا بخصوص المحلّ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ما سنذكره من النصوص الأخر ناطقةٌ بصحّة ما أوردناه من الأجوبة المذكورة، كما ستقف عليه إن شاء اللَّه تعالى </w:t>
      </w:r>
      <w:r>
        <w:rPr>
          <w:rFonts w:eastAsia="Amiri" w:cs="Amiri" w:ascii="Amiri" w:hAnsi="Amiri"/>
          <w:color w:val="111111"/>
          <w:sz w:val="28"/>
          <w:szCs w:val="28"/>
          <w:rtl w:val="true"/>
          <w:lang w:bidi="ar-SA"/>
        </w:rPr>
        <w:t xml:space="preserve">. </w:t>
      </w:r>
      <w:bookmarkStart w:id="72" w:name="pg10646_104305"/>
    </w:p>
    <w:p>
      <w:pPr>
        <w:pStyle w:val="Heading4"/>
        <w:numPr>
          <w:ilvl w:val="3"/>
          <w:numId w:val="1"/>
        </w:numPr>
        <w:rPr/>
      </w:pPr>
      <w:bookmarkStart w:id="73" w:name="__RefHeading___Toc3534891_372815092"/>
      <w:bookmarkStart w:id="74" w:name="_Toc26"/>
      <w:bookmarkEnd w:id="72"/>
      <w:bookmarkEnd w:id="73"/>
      <w:r>
        <w:rPr>
          <w:rtl w:val="true"/>
        </w:rPr>
        <w:t>إيراد كلام لدفع إيهام‌</w:t>
      </w:r>
      <w:bookmarkEnd w:id="74"/>
    </w:p>
    <w:p>
      <w:pPr>
        <w:pStyle w:val="Heading5"/>
        <w:numPr>
          <w:ilvl w:val="4"/>
          <w:numId w:val="1"/>
        </w:numPr>
        <w:rPr/>
      </w:pPr>
      <w:bookmarkStart w:id="75" w:name="__RefHeading___Toc3534893_372815092"/>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اقتران شي‌ء بالقيود المتبائنة يستدعي أن يكون كلّ واحد من المقيّدات مع القيود قسمًا لذلك الشي‌ء، و أن يكون كلّ واحد من تلك الأقسام قسيمًا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الحاصلة في الذهن إمّا أن لايكون محتملًا للنقيض، أو يحتمله ؛ والأوّل يسمّى باليقين، فهو على هذا أعمّ من العلم والجهل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إمّا أن يكون احتمال النقيض مساويًا، أو مرجوحًا، أو راجحًا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يسمّى بالشكّ، فهو على ما تقدّم عبارةٌ عن تساوي الاحتمالين المتقابلين و تردّد الذهن بينهما من دون 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بالظنّ، فهو عبارة عن الاعتقاد الراجح مع احتمال النقيض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بالوهم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شبهة في تباين كلّ واحد من القيود المذكورة مع الآخر، فيلزم أن يكون كلّ واحد من اليقين والشكّ و غيرهما مقابلًا للآخر ؛ والمتقابلان هما اللّذان لايمكن اجتماعهما في محلّ واحد من جهة واحدة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مع الشكّ فيه لما </w:t>
      </w:r>
      <w:bookmarkStart w:id="77" w:name="pg10646_104306"/>
    </w:p>
    <w:p>
      <w:pPr>
        <w:pStyle w:val="BookText"/>
        <w:rPr/>
      </w:pPr>
      <w:bookmarkEnd w:id="77"/>
      <w:r>
        <w:rPr>
          <w:rFonts w:ascii="Amiri" w:hAnsi="Amiri" w:eastAsia="Amiri" w:cs="Amiri"/>
          <w:color w:val="111111"/>
          <w:sz w:val="28"/>
          <w:sz w:val="28"/>
          <w:szCs w:val="28"/>
          <w:rtl w:val="true"/>
          <w:lang w:bidi="ar-SA"/>
        </w:rPr>
        <w:t xml:space="preserve">علمت، فلهذا اختلف العلماء في معنى نقض اليقين بالشكّ المذكور في الصحيح المذكور و غيره على أقوال </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3534895_372815092"/>
      <w:bookmarkStart w:id="79" w:name="_Toc28"/>
      <w:bookmarkEnd w:id="78"/>
      <w:r>
        <w:rPr>
          <w:rtl w:val="true"/>
        </w:rPr>
        <w:t>القول الأوّل</w:t>
      </w:r>
      <w:bookmarkEnd w:id="7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في الذكرى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يرفعه الشكّ، لا نعني به اجتماع اليقين والشكّ في الزمان الواحد، لامتناع ذلك ؛ ضرورة أنّ الشكّ في أحد النقيضين يرفع يقين الآخر، بل المعنى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الّذي كان في الزمن الأوّل لايخرج عن حكمه بالشكّ في الزمن الثاني، لأصالة بقاء ما كان، فيؤول إلى اجتماع الظنّ والشكّ في الزمان الواحد، فيرجّح الظنّ عليه كما هو مطّرد في العبادات، انتهى كلامه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الأمور المعتبرة في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المتعلّق والزمان، و هنا وإن تحقّق الأوّل، لظهور أنّ متعلّق اليقين والشكّ الطهارة، لكنّ الثاني غير متحقّق، لأنّ اليقين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والشكّ في اللاحق، فمعنى عدم نقض اليقين </w:t>
      </w:r>
    </w:p>
    <w:p>
      <w:pPr>
        <w:pStyle w:val="BookText"/>
        <w:rPr/>
      </w:pP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رفع اليد عن مقتضاه في الزمان الّذي بدّل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فيؤول إلى اجتماع الظنّ والشك في زمان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فيه، لأنّه كما يمتنع اجتماع اليقين والشكّ في زمان واحد، كذا يمتنع اجتماع الظنّ والشكّ أيضًا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مقصوده أنّه يؤول الحال إلى اجتماع الظنّ بعد الالتفات إلى مقتضى الاستصحاب والشكّ مع قطع النظر عنه، فزمان الظنّ والشكّ واحد، لكن ليس من جهة واحدة، بل من جهتين ؛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الشكّ الوهم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وإن كانا لايخلوان من بُعد، 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أحد الطرفين </w:t>
      </w:r>
      <w:r>
        <w:rPr>
          <w:rStyle w:val="FootnoteAnchor"/>
          <w:rtl w:val="true"/>
        </w:rPr>
        <w:footnoteReference w:id="74"/>
      </w:r>
      <w:r>
        <w:rPr>
          <w:rFonts w:ascii="Amiri" w:hAnsi="Amiri" w:eastAsia="Amiri" w:cs="Amiri"/>
          <w:color w:val="111111"/>
          <w:sz w:val="28"/>
          <w:sz w:val="28"/>
          <w:szCs w:val="28"/>
          <w:rtl w:val="true"/>
          <w:lang w:bidi="ar-SA"/>
        </w:rPr>
        <w:t xml:space="preserve">يرفع يقين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يرفع الاستبعاد، إذ كيف يتصوّر ممّن حكم بأنّ الشكّ في أحد الطرفين يرفع يقين الآخر، الحكم باجتماع الظنّ والشكّ بمعناه من جهة واحدة، مع أنّه كما أنّ الشكّ في أحد الطرفين يرفع يقين الآخر به، كذا يرفع الظنّ الآخر به ؛ لما عرفت من أنّه كما يكون الشكّ مباينًا لليقين، كذا يكون مباينًا للظنّ من دون تعقّل فرق بينهما أصلًا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يكون مراده أحد الأمرين المذكورين لا سيّما الثاني، فإنّه ليس فيه إلّا استعمال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الوهم، فليس فيه إلّا استعمال اللفظ في غير معناه الظاهر مع قيام القرينة </w:t>
      </w:r>
      <w:r>
        <w:rPr>
          <w:rFonts w:eastAsia="Amiri" w:cs="Amiri" w:ascii="Amiri" w:hAnsi="Amiri"/>
          <w:color w:val="111111"/>
          <w:sz w:val="28"/>
          <w:szCs w:val="28"/>
          <w:rtl w:val="true"/>
          <w:lang w:bidi="ar-SA"/>
        </w:rPr>
        <w:t xml:space="preserve">. </w:t>
      </w:r>
      <w:bookmarkStart w:id="80" w:name="pg10646_104308"/>
    </w:p>
    <w:p>
      <w:pPr>
        <w:pStyle w:val="BookText"/>
        <w:rPr/>
      </w:pPr>
      <w:bookmarkEnd w:id="80"/>
      <w:r>
        <w:rPr>
          <w:rFonts w:ascii="Amiri" w:hAnsi="Amiri" w:eastAsia="Amiri" w:cs="Amiri"/>
          <w:color w:val="111111"/>
          <w:sz w:val="28"/>
          <w:sz w:val="28"/>
          <w:szCs w:val="28"/>
          <w:rtl w:val="true"/>
          <w:lang w:bidi="ar-SA"/>
        </w:rPr>
        <w:t xml:space="preserve">و لعمري انّ أمثال هذه الإيرادات على مثله خروجٌ عن مسلك الصواب، و عدولٌ عن جادة الإنصاف </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534897_372815092"/>
      <w:bookmarkStart w:id="82" w:name="_Toc29"/>
      <w:bookmarkEnd w:id="81"/>
      <w:r>
        <w:rPr>
          <w:rtl w:val="true"/>
        </w:rPr>
        <w:t>القول الثاني</w:t>
      </w:r>
      <w:bookmarkEnd w:id="82"/>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البهائي، حيث قال بعد أن أورد ما ذكره شيخنا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باليقين 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اليقين،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استباحة الصلاة الّتي هي مستصحبة من حين الفراغ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للمكلّف من </w:t>
      </w:r>
      <w:r>
        <w:rPr>
          <w:rStyle w:val="FootnoteAnchor"/>
          <w:rtl w:val="true"/>
        </w:rPr>
        <w:footnoteReference w:id="75"/>
      </w:r>
      <w:r>
        <w:rPr>
          <w:rFonts w:ascii="Amiri" w:hAnsi="Amiri" w:eastAsia="Amiri" w:cs="Amiri"/>
          <w:color w:val="111111"/>
          <w:sz w:val="28"/>
          <w:sz w:val="28"/>
          <w:szCs w:val="28"/>
          <w:rtl w:val="true"/>
          <w:lang w:bidi="ar-SA"/>
        </w:rPr>
        <w:t xml:space="preserve">أوّل وهلة قبل ملاحظة الاستصحاب المذكور، انتهى كلامه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عدم نقض اليقين بالشكّ، إبقاء اليقين ؛ و هو غير ممكن، إذ المفروض أنّه شاكّ ؛ و يمتنع الحكم بإبقاء اليقين مع الشكّ في متعلّقه، لاستلزامه أن يكون المشكوك متيقّنًا حين كونه مشكوكًا، فلابدّ أن يكون المراد ما يمكن الحكم باستقراره واجتماعه مع الشكّ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أثر اليقين كذلك، لوضوح إمكان الحكم باستباحة الدخول في العبادة </w:t>
      </w:r>
      <w:bookmarkStart w:id="83" w:name="pg10646_104309"/>
    </w:p>
    <w:p>
      <w:pPr>
        <w:pStyle w:val="BookText"/>
        <w:rPr/>
      </w:pPr>
      <w:bookmarkEnd w:id="83"/>
      <w:r>
        <w:rPr>
          <w:rFonts w:ascii="Amiri" w:hAnsi="Amiri" w:eastAsia="Amiri" w:cs="Amiri"/>
          <w:color w:val="111111"/>
          <w:sz w:val="28"/>
          <w:sz w:val="28"/>
          <w:szCs w:val="28"/>
          <w:rtl w:val="true"/>
          <w:lang w:bidi="ar-SA"/>
        </w:rPr>
        <w:t xml:space="preserve">المشروطة بالطهارة عند الشكّ فيها عقلًا و قد حكم الشارع به ؛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ملاحظة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بعد ملاحظته لا يبقى مشكوكًا، و هو ليس بلازم، بل قد يبقى بعدها مشكوكًا، بل موهومًا، كما إذا ظنّ النوم المستولي أو غيره من الأحداث الناقضة للطهارة، فإنّ ملاحظة الاستصحاب حينئذٍ لا يوجب أن يكون النوم مثلًا موهومًا و إن كان بقاء أثر الطهارة حينئذٍ مظنونًا أو متيقّنًا، لدلالة الشرع على أنّ النوم المظنون غير 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المعنى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الثاني حذف مضاف، أو إطلاق السبب على المسبّب، بخلافه على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بانتفاء الفرق بينهما، والدليل عليه قول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الّذي كان في الزمن الأوّل لايخرج عن حكمه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معلومٌ أنّ حكم اليقين فيما نحن فيه هو استباحة الدخول في الصلاة، و هو المعنى الثاني، وأمر الاختلاف في العبارة هيّن، فتأمّل </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534899_372815092"/>
      <w:bookmarkStart w:id="85" w:name="_Toc30"/>
      <w:bookmarkEnd w:id="84"/>
      <w:r>
        <w:rPr>
          <w:rtl w:val="true"/>
        </w:rPr>
        <w:t>القول الثالث</w:t>
      </w:r>
      <w:bookmarkEnd w:id="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ممّا ذكره صاحب المدارك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w:t>
      </w:r>
      <w:r>
        <w:rPr>
          <w:rStyle w:val="FootnoteAnchor"/>
          <w:rtl w:val="true"/>
        </w:rPr>
        <w:footnoteReference w:id="77"/>
      </w:r>
      <w:r>
        <w:rPr>
          <w:rFonts w:ascii="Amiri" w:hAnsi="Amiri" w:eastAsia="Amiri" w:cs="Amiri"/>
          <w:color w:val="111111"/>
          <w:sz w:val="28"/>
          <w:sz w:val="28"/>
          <w:szCs w:val="28"/>
          <w:rtl w:val="true"/>
          <w:lang w:bidi="ar-SA"/>
        </w:rPr>
        <w:t xml:space="preserve">تيقّن الحدث و شكّ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بالحدث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السبب، لا الأثر الحاصل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فتيقّن </w:t>
      </w:r>
      <w:r>
        <w:rPr>
          <w:rStyle w:val="FootnoteAnchor"/>
          <w:rtl w:val="true"/>
        </w:rPr>
        <w:footnoteReference w:id="78"/>
      </w:r>
      <w:r>
        <w:rPr>
          <w:rFonts w:ascii="Amiri" w:hAnsi="Amiri" w:eastAsia="Amiri" w:cs="Amiri"/>
          <w:color w:val="111111"/>
          <w:sz w:val="28"/>
          <w:sz w:val="28"/>
          <w:szCs w:val="28"/>
          <w:rtl w:val="true"/>
          <w:lang w:bidi="ar-SA"/>
        </w:rPr>
        <w:t xml:space="preserve">حصوله بهذا المعنى لاينافى الشكّ في وقوع الطهارة بعده وإن اتّحد وقتهما، انتهى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تيقّن الطهارة و شكّ في الحدث، المراد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الفعل، لا الأثر الحاصل من ذلك ؛ و تيقّن حصولها بهذا المعنى لاينافي الشكّ في وقوع الحدث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 بين الثاني ظاهر، أمّا بينه و بين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ظرف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السابق، و ظرف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فقد اختلف الزمان، فلا تنافى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ظرفهما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زمان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المتعلّق مختلف، إذ متعلّق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الطهارة مثلاً ؛ و متعلّق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بقائها، أو وقوع الحدث بعدها ؛ و هما متلازمان،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في الحال أنّه أتى بالطهارة في السابق، و شكّ في الحال بقائها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الظاهر، إذ الظاهر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عند اجتماعهما </w:t>
      </w:r>
      <w:bookmarkStart w:id="86" w:name="pg10646_104311"/>
    </w:p>
    <w:p>
      <w:pPr>
        <w:pStyle w:val="BookText"/>
        <w:rPr/>
      </w:pPr>
      <w:bookmarkEnd w:id="86"/>
      <w:r>
        <w:rPr>
          <w:rFonts w:ascii="Amiri" w:hAnsi="Amiri" w:eastAsia="Amiri" w:cs="Amiri"/>
          <w:color w:val="111111"/>
          <w:sz w:val="28"/>
          <w:sz w:val="28"/>
          <w:szCs w:val="28"/>
          <w:rtl w:val="true"/>
          <w:lang w:bidi="ar-SA"/>
        </w:rPr>
        <w:t xml:space="preserve">في وقت واحد لايرفع اليد عن اليقين بالشكّ، لكنّ التفصيل بين نفس الفعل وأثره ممّا لا يظهر وجهه، إذ كما يكون تحقّق نفس الفعل في السابق متيقّنًا في الحال، كذلك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شكّ في الحال بقاء نفس الفعل في الحال، كذلك شكّ في بقاء أثره، فالحكم بأنّ المراد بالحدث نفس السبب لا الأثر، ليس بسديد،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وإن كان كذلك في نفس الأمر، لكنّ الظاهر من سياق الصحيح المذكور انّ متعلّق اليقين نفس الفعل،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ببقاء نفس الفعل والسبب لايخلو عن تكلّف ظاهر، بخلاف الأثر كما لايخفى على المتأمّل </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534901_372815092"/>
      <w:bookmarkStart w:id="88" w:name="_Toc31"/>
      <w:bookmarkEnd w:id="87"/>
      <w:r>
        <w:rPr>
          <w:rtl w:val="true"/>
        </w:rPr>
        <w:t>القول الرابع</w:t>
      </w:r>
      <w:bookmarkEnd w:id="8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سيجي‌ء عند بيان ما ذهب إليه المحقّق الخوانساريّ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89" w:name="pg10646_104312"/>
    </w:p>
    <w:p>
      <w:pPr>
        <w:pStyle w:val="Heading3"/>
        <w:numPr>
          <w:ilvl w:val="2"/>
          <w:numId w:val="1"/>
        </w:numPr>
        <w:rPr/>
      </w:pPr>
      <w:bookmarkStart w:id="90" w:name="__RefHeading___Toc3534903_372815092"/>
      <w:bookmarkStart w:id="91" w:name="_Toc32"/>
      <w:bookmarkEnd w:id="89"/>
      <w:bookmarkEnd w:id="90"/>
      <w:r>
        <w:rPr>
          <w:rtl w:val="true"/>
        </w:rPr>
        <w:t>الرواية الثانية</w:t>
      </w:r>
      <w:bookmarkEnd w:id="91"/>
    </w:p>
    <w:p>
      <w:pPr>
        <w:pStyle w:val="Heading4"/>
        <w:numPr>
          <w:ilvl w:val="3"/>
          <w:numId w:val="1"/>
        </w:numPr>
        <w:rPr/>
      </w:pPr>
      <w:bookmarkStart w:id="92" w:name="__RefHeading___Toc3534905_372815092"/>
      <w:bookmarkStart w:id="93" w:name="_Toc33"/>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أيضًا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الثياب والبدن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زيادات التهذيب، حيث قال في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انّه قد أصابه ولم أتيقّن ذلك، فنظرت ولم </w:t>
      </w:r>
      <w:r>
        <w:rPr>
          <w:rStyle w:val="FootnoteAnchor"/>
          <w:rtl w:val="true"/>
        </w:rPr>
        <w:footnoteReference w:id="81"/>
      </w:r>
      <w:r>
        <w:rPr>
          <w:rFonts w:ascii="Amiri" w:hAnsi="Amiri" w:eastAsia="Amiri" w:cs="Amiri"/>
          <w:color w:val="111111"/>
          <w:sz w:val="28"/>
          <w:sz w:val="28"/>
          <w:szCs w:val="28"/>
          <w:rtl w:val="true"/>
          <w:lang w:bidi="ar-SA"/>
        </w:rPr>
        <w:t>أر شيئًا، ثمّ صلّيت فرأيت فيه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 لا تعيد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ثمّ شككت، فليس ينبغي لك أن تنقض اليقين بالشكّ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قد أصابه، فلم </w:t>
      </w:r>
      <w:r>
        <w:rPr>
          <w:rStyle w:val="FootnoteAnchor"/>
          <w:rtl w:val="true"/>
        </w:rPr>
        <w:footnoteReference w:id="82"/>
      </w:r>
      <w:r>
        <w:rPr>
          <w:rFonts w:ascii="Amiri" w:hAnsi="Amiri" w:eastAsia="Amiri" w:cs="Amiri"/>
          <w:color w:val="111111"/>
          <w:sz w:val="28"/>
          <w:sz w:val="28"/>
          <w:szCs w:val="28"/>
          <w:rtl w:val="true"/>
          <w:lang w:bidi="ar-SA"/>
        </w:rPr>
        <w:t>أدر أين هو، فأغسله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من ثوبك الناحية الّتي ترى أنّه قد أصابها حتّى تكون على يقين من طهارتك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في أنّه أصابه شي‌ء أن أنظر فيه ؟ </w:t>
      </w:r>
      <w:bookmarkStart w:id="94" w:name="pg10646_104313"/>
    </w:p>
    <w:p>
      <w:pPr>
        <w:pStyle w:val="BookText"/>
        <w:rPr/>
      </w:pPr>
      <w:bookmarkEnd w:id="9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 إنّما تريد أن تذهب الشكّ الّذي وقع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 تعيد إذا شككت في موضع منه، ثمّ رأيته وإن لم تشكّ، ثمّ رأيته رطبًا قطعت الصلاة و غسلته، ثمّ بنيت على الصلاة، لأنّك لا تدري لعلّه شي‌ء أوقع عليك، فليس ينبغي أن تنقض اليقين بالشكّ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غسل المني إذا أصاب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العلل، بسند صحيح، بأدنى اختلاف في اللفظ، لا في المعنى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موضعين من هذا الحديث دلالة على المدّعى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534907_372815092"/>
      <w:bookmarkStart w:id="96" w:name="_Toc34"/>
      <w:bookmarkEnd w:id="95"/>
      <w:r>
        <w:rPr>
          <w:rtl w:val="true"/>
        </w:rPr>
        <w:t>الموضع الأوّل</w:t>
      </w:r>
      <w:bookmarkEnd w:id="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ثمّ شككت، فليس ينبغي لك أن تنقض اليقين بالشكّ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عالمًا بسبق النجاسة على الصلاة، لاحتماله أن يكون </w:t>
      </w:r>
      <w:r>
        <w:rPr>
          <w:rStyle w:val="FootnoteAnchor"/>
          <w:rtl w:val="true"/>
        </w:rPr>
        <w:footnoteReference w:id="85"/>
      </w:r>
      <w:r>
        <w:rPr>
          <w:rFonts w:ascii="Amiri" w:hAnsi="Amiri" w:eastAsia="Amiri" w:cs="Amiri"/>
          <w:color w:val="111111"/>
          <w:sz w:val="28"/>
          <w:sz w:val="28"/>
          <w:szCs w:val="28"/>
          <w:rtl w:val="true"/>
          <w:lang w:bidi="ar-SA"/>
        </w:rPr>
        <w:t xml:space="preserve">تلك النجاسة متأخّرة عن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الظاهر من الجواب ؛ و دلالته على المدّعى حينئذٍ ظاهرة، إذ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كنت في تلك الحالة متيقّنًا على طهارة ثوبك و بدنك قبل تلك الحالة، ثمّ ظننت النجاسة، ثمّ صلّيت، ثمّ رأيت النجاسة ولا تعلم أن يكون النجاسة تلك النجاسة المظنونة، لاحتمال تأخّرها عن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حكمت بنجاسة الثوب مثلًا قبل الصلاة، كنت ناقضًا لليقين بالشكّ، فالطهارة مستصحبة إلى تيقّن النجاسة، و هو بعد الصلاة، لا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بكون النجاسة قبل الصلاة ؛ و لعلّه الظاهر من السؤال، و حينئذٍ يكون الوجه في عدم إعادة الصلاة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النفس الأمريّة من غير علم المكلّف بها غير مضرّ بصحّة الصلاة، لانتفاء الشرطيّة المطلقة، فليس على هذا إلّا الصلاة في النجاسة المظنونة مع تيقّن سبق الطهارة، وهو غير مضرّ، لعدم جواز نقض اليقين بالشكّ ؛ و على التقديرين دلالته على المرام متحقّقة كما لايخفى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الإيرادات السالفة و إن كانت متوجّهة في هذا المقام أيضًا، إلّا انّها مجابة </w:t>
      </w:r>
    </w:p>
    <w:p>
      <w:pPr>
        <w:pStyle w:val="BookText"/>
        <w:rPr/>
      </w:pPr>
      <w:r>
        <w:rPr>
          <w:rFonts w:ascii="Amiri" w:hAnsi="Amiri" w:eastAsia="Amiri" w:cs="Amiri"/>
          <w:color w:val="111111"/>
          <w:sz w:val="28"/>
          <w:sz w:val="28"/>
          <w:szCs w:val="28"/>
          <w:rtl w:val="true"/>
          <w:lang w:bidi="ar-SA"/>
        </w:rPr>
        <w:t xml:space="preserve">بما تقدّم، بل الأمر في هذا الحديث بالنسبة إلى بعض الوجوه المتقدّمة أسهل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أنّ الاستصحاب عبارةٌ عن الحكم ببقاء الثابت، سواء كان ثبوته مظنونًا، أو مشكوكًا، أو موهومًا ؛ و دلالة هذا الحديث على حجّيّته في جميع الأقسام بأسرها مبيّنة، إذ السؤال مفروض فيما إذا كان بقاء السابق موهومًا، لكون إصابة النجاسة مظنونة، فحكمه عليه السلام بعد رفع اليد عن مقتضى اليقين السابق مع موهوميّته يدلّ على عدم رفع اليد عنه فيما إذا كان مشكوكًا أو مظنونًا بطريق أولى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الظنّ موجودٌ في السؤال، كذلك الشكّ مأخوذ في الجواب حيث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ثمّ شككت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بعده ؛ و كما يمكن أنّ الأوّل قرينة لصرف الثاني عن ظاهره، كما يمكن العكس، فما المرجّح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قدّمناه منع ظهور الشكّ في المعنى المعروف فيما إذا ذكر في مقابلة اليقين كما فيما نحن فيه، فيبقى ظهور الظنّ في معناه سالمًا عن المعارض، لاسيّما بعد تقويته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أتيقّن ذلك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صرفك الشكّ عن ظاهره أولى من العكس، لكون استعماله في غيره أكثر من استعمال الظنّ في غير معناه كما لايخفى، فرفع اليد عن ظاهر الشكّ متعيّن إمّا بحمله على الظنّ لموافقة السؤال، فيكون دلالته على عدم نقض اليقين بالشكّ والوهم بطريق أولى ؛ أو على الأعمّ منه و غيره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قابل اليقين، فيكون دلالته على عدم نقض اليقين في الأقسام المذكورة بالعموم والإطلاق، بل بالمنطوق والمفهوم ؛ أمّا الأوّل ففي الجميع كما عرفت، و أمّا الثاني ففي القسمين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حمل الشكّ في الجواب على ما قابل اليقين له بالنسبة إلى عدم نقض اليقين بالشكّ والوهم دلالتان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بالمنطوق ؛ و هو الدلالة عليه بالإطلاق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 و ذلك لأنّ استفادة حكم السؤال من الجواب ممّا لاشبهة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المفروض فيه ظنّ إصابة النجاسة، يدلّ الجواب على إبقاء الحكم فيما كان خلافه مظنونًا، فيستفاد إبقاء الحكم فيما كان خلافه مظنونًا، أو مشكوكًا بالفحوى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دلالة المنطوق وإن كانت مسلّمة،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المفهوم ممنوعة، لأنّ الظنّ و إن كان مأخوذًا في السؤال، 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فلم أر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عدم بقائه على ظنّه الحاصل له أوّلًا ؛ والجواب إنّما هو جواب لهذا السؤال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استلزام النظر والتفحّص و عدم رؤية النجاسة لإنقلاب الظنّ </w:t>
      </w:r>
      <w:bookmarkStart w:id="97" w:name="pg10646_104317"/>
    </w:p>
    <w:p>
      <w:pPr>
        <w:pStyle w:val="BookText"/>
        <w:rPr/>
      </w:pPr>
      <w:bookmarkEnd w:id="97"/>
      <w:r>
        <w:rPr>
          <w:rFonts w:ascii="Amiri" w:hAnsi="Amiri" w:eastAsia="Amiri" w:cs="Amiri"/>
          <w:color w:val="111111"/>
          <w:sz w:val="28"/>
          <w:sz w:val="28"/>
          <w:szCs w:val="28"/>
          <w:rtl w:val="true"/>
          <w:lang w:bidi="ar-SA"/>
        </w:rPr>
        <w:t xml:space="preserve">بالشكّ والوهم على فرض التسليم إنّما هو إذا كانت النجاسة ذات جرم ظاهر ؛ وأمّا 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كرشحات البول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و ترك استفصاله عليه السلام بين هذا و غيره دليلٌ على ثبوت الحكم في الموضعين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534909_372815092"/>
      <w:bookmarkStart w:id="99" w:name="_Toc35"/>
      <w:bookmarkEnd w:id="98"/>
      <w:r>
        <w:rPr>
          <w:rtl w:val="true"/>
        </w:rPr>
        <w:t>الموضع الثاني</w:t>
      </w:r>
      <w:bookmarkEnd w:id="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تدري لعلّه شي‌ء أوقع عليك، فليس ينبغي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والأمر فيه بعد ما سبق من الإيراد والجواب ظاهر </w:t>
      </w:r>
      <w:r>
        <w:rPr>
          <w:rFonts w:eastAsia="Amiri" w:cs="Amiri" w:ascii="Amiri" w:hAnsi="Amiri"/>
          <w:color w:val="111111"/>
          <w:sz w:val="28"/>
          <w:szCs w:val="28"/>
          <w:rtl w:val="true"/>
          <w:lang w:bidi="ar-SA"/>
        </w:rPr>
        <w:t xml:space="preserve">. </w:t>
      </w:r>
      <w:bookmarkStart w:id="100" w:name="pg10646_104318"/>
    </w:p>
    <w:p>
      <w:pPr>
        <w:pStyle w:val="Heading3"/>
        <w:numPr>
          <w:ilvl w:val="2"/>
          <w:numId w:val="1"/>
        </w:numPr>
        <w:rPr/>
      </w:pPr>
      <w:bookmarkStart w:id="101" w:name="__RefHeading___Toc3534911_372815092"/>
      <w:bookmarkStart w:id="102" w:name="_Toc36"/>
      <w:bookmarkEnd w:id="100"/>
      <w:bookmarkEnd w:id="101"/>
      <w:r>
        <w:rPr>
          <w:rtl w:val="true"/>
        </w:rPr>
        <w:t>الرواية الثالثة</w:t>
      </w:r>
      <w:bookmarkEnd w:id="102"/>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الكافي </w:t>
      </w:r>
      <w:r>
        <w:rPr>
          <w:rStyle w:val="FootnoteAnchor"/>
          <w:rtl w:val="true"/>
        </w:rPr>
        <w:footnoteReference w:id="87"/>
      </w:r>
      <w:r>
        <w:rPr>
          <w:rFonts w:ascii="Amiri" w:hAnsi="Amiri" w:eastAsia="Amiri" w:cs="Amiri"/>
          <w:color w:val="111111"/>
          <w:sz w:val="28"/>
          <w:sz w:val="28"/>
          <w:szCs w:val="28"/>
          <w:rtl w:val="true"/>
          <w:lang w:bidi="ar-SA"/>
        </w:rPr>
        <w:t>عن زرارة أيضًا،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 في أربع هو أم في اثنين </w:t>
      </w:r>
      <w:r>
        <w:rPr>
          <w:rStyle w:val="FootnoteAnchor"/>
          <w:rtl w:val="true"/>
        </w:rPr>
        <w:footnoteReference w:id="88"/>
      </w:r>
      <w:r>
        <w:rPr>
          <w:rFonts w:ascii="Amiri" w:hAnsi="Amiri" w:eastAsia="Amiri" w:cs="Amiri"/>
          <w:color w:val="111111"/>
          <w:sz w:val="28"/>
          <w:sz w:val="28"/>
          <w:szCs w:val="28"/>
          <w:rtl w:val="true"/>
          <w:lang w:bidi="ar-SA"/>
        </w:rPr>
        <w:t xml:space="preserve">و قد أحرز الثنتين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ركعتين وأربع سجدات وهو قائم بفاتحة الكتاب ويتشهّد ولا شي‌ء عليه، وإذا لم يدر في ثلاث هو أو في أربع وقد أحرز الثلاث قام فأضاف إليها أخرى ولا شي‌ء عليه، ولاينقض اليقين بالشكّ، ولا يدخل الشكّ باليقين </w:t>
      </w:r>
      <w:r>
        <w:rPr>
          <w:rStyle w:val="FootnoteAnchor"/>
          <w:rtl w:val="true"/>
        </w:rPr>
        <w:footnoteReference w:id="89"/>
      </w:r>
      <w:r>
        <w:rPr>
          <w:rFonts w:ascii="Amiri" w:hAnsi="Amiri" w:eastAsia="Amiri" w:cs="Amiri"/>
          <w:color w:val="111111"/>
          <w:sz w:val="28"/>
          <w:sz w:val="28"/>
          <w:szCs w:val="28"/>
          <w:rtl w:val="true"/>
          <w:lang w:bidi="ar-SA"/>
        </w:rPr>
        <w:t xml:space="preserve">، ولا يخلط أحدهما بالآخر، ولكنّه ينقض الشكّ باليقين و يتمّ على اليقين، فيبنى عليه ولا يعتدّ بالشكّ في حال من الأحوال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03" w:name="pg10646_104319"/>
    </w:p>
    <w:p>
      <w:pPr>
        <w:pStyle w:val="Heading3"/>
        <w:numPr>
          <w:ilvl w:val="2"/>
          <w:numId w:val="1"/>
        </w:numPr>
        <w:rPr/>
      </w:pPr>
      <w:bookmarkStart w:id="104" w:name="__RefHeading___Toc3534913_372815092"/>
      <w:bookmarkStart w:id="105" w:name="_Toc37"/>
      <w:bookmarkEnd w:id="103"/>
      <w:bookmarkEnd w:id="104"/>
      <w:r>
        <w:rPr>
          <w:rtl w:val="true"/>
        </w:rPr>
        <w:t>الرواية الرابعة</w:t>
      </w:r>
      <w:bookmarkEnd w:id="105"/>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يجوز الصلاة فيه من اللباس والمكان وما 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زيادات التهذيب،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أعير الذمّي ثوبي و أنا أعلم انّه يشرب الخمر ويأكل لحم الخنزير، فيرد عليّ، فأغسله قبل أن أصلّي فيه ؟</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ولاتغسله من أجل ذلك، فإنّك أعرته إيّاه و هو طاهر، ولم تستيقن أنّه نجّسه، فلا بأس أن تصلّى فيه حتّى تستيقن أنّه نجّسه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أعرته إيّاه و هو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تعليلٌ لعدم وجوب الغسل، مآله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وجوب الغسل إنّما هو لتيقّن سبق الطهارة، فيعلم منه لزوم إبقاء الطهارة السابقة في كلّ ما تحقّق ذلك، فيتعدّي إلى كلّ ما كان على هذا المنوال وإن لم يكن في ثوب العارية، بل في أيّ شي‌ء كان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عارية الثوب للذمّيّ مع العلم بشرب الخمر وأكل لحم الخنزير مضافًا إلى نجاسة بدنه، يستلزم الظنّ بملاقاته للثوب مع الرطوبة، فيلزم منه الظنّ بالنجاسة، لاحتمال السؤال كون زمان العارية ساعة أو ساعتين أو ساعات، بل </w:t>
      </w:r>
    </w:p>
    <w:p>
      <w:pPr>
        <w:pStyle w:val="BookText"/>
        <w:rPr/>
      </w:pPr>
      <w:r>
        <w:rPr>
          <w:rFonts w:ascii="Amiri" w:hAnsi="Amiri" w:eastAsia="Amiri" w:cs="Amiri"/>
          <w:color w:val="111111"/>
          <w:sz w:val="28"/>
          <w:sz w:val="28"/>
          <w:szCs w:val="28"/>
          <w:rtl w:val="true"/>
          <w:lang w:bidi="ar-SA"/>
        </w:rPr>
        <w:t xml:space="preserve">يوم أو يومين أو أيّامًا ؛ و ترك تفصيله عليه السلام بين هذه الأفراد يدلّ على اشتراك الجميع في الحكم، فمدلوله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الحكم السابق فيما إذا كان موهوم البقاء، فيدلّ على بقائه فيما كان مشكوك البقاء أو مظنونه بطريق أولى كما لايخفى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مسلّم، لكنّ المتحصّل منه استصحاب الطهارة السابقة في كلّ مورد تحقّق العلم بها ؛ و لا يعلم منه الدلالة على حجّية الاستصحاب في الأقسام المذكورة بأسرها، لوضوح اختصاص مفهوم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تيقّن سبق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كما لايخفى، فتأمّل </w:t>
      </w:r>
      <w:r>
        <w:rPr>
          <w:rFonts w:eastAsia="Amiri" w:cs="Amiri" w:ascii="Amiri" w:hAnsi="Amiri"/>
          <w:color w:val="111111"/>
          <w:sz w:val="28"/>
          <w:szCs w:val="28"/>
          <w:rtl w:val="true"/>
          <w:lang w:bidi="ar-SA"/>
        </w:rPr>
        <w:t xml:space="preserve">. </w:t>
      </w:r>
      <w:bookmarkStart w:id="106" w:name="pg10646_104321"/>
    </w:p>
    <w:p>
      <w:pPr>
        <w:pStyle w:val="Heading3"/>
        <w:numPr>
          <w:ilvl w:val="2"/>
          <w:numId w:val="1"/>
        </w:numPr>
        <w:rPr/>
      </w:pPr>
      <w:bookmarkStart w:id="107" w:name="__RefHeading___Toc3534915_372815092"/>
      <w:bookmarkStart w:id="108" w:name="_Toc38"/>
      <w:bookmarkEnd w:id="106"/>
      <w:bookmarkEnd w:id="107"/>
      <w:r>
        <w:rPr>
          <w:rtl w:val="true"/>
        </w:rPr>
        <w:t>الرواية الخامسة</w:t>
      </w:r>
      <w:bookmarkEnd w:id="108"/>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كتاب الصوم من التهذيبين عن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و أنا بالمدينة أسأله </w:t>
      </w:r>
      <w:r>
        <w:rPr>
          <w:rStyle w:val="FootnoteAnchor"/>
          <w:rtl w:val="true"/>
        </w:rPr>
        <w:footnoteReference w:id="92"/>
      </w:r>
      <w:r>
        <w:rPr>
          <w:rFonts w:ascii="Amiri" w:hAnsi="Amiri" w:eastAsia="Amiri" w:cs="Amiri"/>
          <w:color w:val="111111"/>
          <w:sz w:val="28"/>
          <w:sz w:val="28"/>
          <w:szCs w:val="28"/>
          <w:rtl w:val="true"/>
          <w:lang w:bidi="ar-SA"/>
        </w:rPr>
        <w:t>عن اليوم الّذي يشكّ فيه من شهر رمضان هل يصام أم لا ؟</w:t>
      </w:r>
    </w:p>
    <w:p>
      <w:p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لايدخل فيه الشكّ، صم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وأفطر للرؤية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سنده من يتأمّل في شأنه إلّا عليّ بن محمّد القاساني، فإنّ المحكيّ عن رجال الشيخ أنّه بعد أن وثّق عليّ بن شيرة، قال 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 بن محمّد القاساني ضعيف اصبهاني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فيعلم منه أنّ بنائه على انّهما متغايران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النجاشي أنّهما واحد، حيث قال في رجاله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شيرة القاساني أبوالحسن، كان فقيهًا مكثرًا من الحديث فاضلاً، غمز عليه أحمد بن محمّد بن عيسى، و ذكر أنّه سمع منه </w:t>
      </w:r>
    </w:p>
    <w:p>
      <w:pPr>
        <w:pStyle w:val="BookText"/>
        <w:rPr/>
      </w:pPr>
      <w:r>
        <w:rPr>
          <w:rFonts w:ascii="Amiri" w:hAnsi="Amiri" w:eastAsia="Amiri" w:cs="Amiri"/>
          <w:color w:val="111111"/>
          <w:sz w:val="28"/>
          <w:sz w:val="28"/>
          <w:szCs w:val="28"/>
          <w:rtl w:val="true"/>
          <w:lang w:bidi="ar-SA"/>
        </w:rPr>
        <w:t xml:space="preserve">مذاهب منكرة، و ليس في كتبه ما يدلّ على ذلك، له كتاب التأديب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عليّ بن أحمد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عن عليّ بن محمّد بن شيرة القاساني بكتبه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بعد أن نقل عن الشيخ التوثيق والتضعيف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انّهما واحد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عليه بما نقلنا عن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التعويل على توثيق الشيخ فيما نحن فيه، فالحديث صحيح ؛ و إلّا فحسنٌ للمدح الّذي مدحه النجاشي إيّاه ؛ و يؤيّده ما نقل من رواية محمّد بن أحمد بن يحيى عنه ولم يستثن روايته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 فالحديث معتمد، و دلالته بعد ما أسلفنا القول في مثله ظاهرة، بل بالنسبة إلى بعض الوجوه المتقدّمة أولى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من تأمّل هذه النصوص المعتبرة وما شابهها بعين الإنصاف و عدل عن مسلك الجور والاعتساف، يظهر عليه الجواب ظهورًا بيّنًا أنّ تكرّر هذه </w:t>
      </w:r>
      <w:bookmarkStart w:id="109" w:name="pg10646_104323"/>
    </w:p>
    <w:p>
      <w:pPr>
        <w:pStyle w:val="BookText"/>
        <w:rPr/>
      </w:pPr>
      <w:bookmarkEnd w:id="109"/>
      <w:r>
        <w:rPr>
          <w:rFonts w:ascii="Amiri" w:hAnsi="Amiri" w:eastAsia="Amiri" w:cs="Amiri"/>
          <w:color w:val="111111"/>
          <w:sz w:val="28"/>
          <w:sz w:val="28"/>
          <w:szCs w:val="28"/>
          <w:rtl w:val="true"/>
          <w:lang w:bidi="ar-SA"/>
        </w:rPr>
        <w:t xml:space="preserve">المقالة في نصوص متكثّرة قرينةٌ ظاهرة و أمارة باهرة على أنّ مقصودهم عليهم السلام منها إعطاء قاعدة كلّية يستفاد منها أحكام جزئيّات متكثّرة، فالمناقشة فيها باختصاصها بموارد مخصوصة ممّا لا يقبله الطباع السليمة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534917_372815092"/>
      <w:bookmarkStart w:id="111" w:name="_Toc39"/>
      <w:bookmarkEnd w:id="110"/>
      <w:r>
        <w:rPr>
          <w:rtl w:val="true"/>
        </w:rPr>
        <w:t>الرواية السادسة</w:t>
      </w:r>
      <w:bookmarkEnd w:id="111"/>
    </w:p>
    <w:p>
      <w:pPr>
        <w:pStyle w:val="Heading4"/>
        <w:numPr>
          <w:ilvl w:val="3"/>
          <w:numId w:val="1"/>
        </w:numPr>
        <w:rPr/>
      </w:pPr>
      <w:bookmarkStart w:id="112" w:name="__RefHeading___Toc3534919_372815092"/>
      <w:bookmarkStart w:id="113" w:name="_Toc40"/>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الخصال باسناده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أميرالمؤمنين عليه السلام علّم أصحابه في مجلس واحد أربعمائة باب ممّا يصلح للمسلم في دينه و 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ذكر عليه السلام من جملة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فيمض </w:t>
      </w:r>
      <w:r>
        <w:rPr>
          <w:rStyle w:val="FootnoteAnchor"/>
          <w:rtl w:val="true"/>
        </w:rPr>
        <w:footnoteReference w:id="99"/>
      </w:r>
      <w:r>
        <w:rPr>
          <w:rFonts w:ascii="Amiri" w:hAnsi="Amiri" w:eastAsia="Amiri" w:cs="Amiri"/>
          <w:color w:val="111111"/>
          <w:sz w:val="28"/>
          <w:sz w:val="28"/>
          <w:szCs w:val="28"/>
          <w:rtl w:val="true"/>
          <w:lang w:bidi="ar-SA"/>
        </w:rPr>
        <w:t xml:space="preserve">على يقينه، فإنّ الشكّ لاينقض اليقين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العلاّمة المجلسي أنّه رواه في البحار في مَن شكّ في شي‌ء من أفعال الوضوء، عن الخصال، عن أبيه، عن سعد بن عبداللَّه، عن محمّد بن عيسى اليقطيني، عن القاسم بن يحيى، عن جدّه الحسين الراشد </w:t>
      </w:r>
      <w:r>
        <w:rPr>
          <w:rStyle w:val="FootnoteAnchor"/>
          <w:rtl w:val="true"/>
        </w:rPr>
        <w:footnoteReference w:id="101"/>
      </w:r>
      <w:r>
        <w:rPr>
          <w:rFonts w:ascii="Amiri" w:hAnsi="Amiri" w:eastAsia="Amiri" w:cs="Amiri"/>
          <w:color w:val="111111"/>
          <w:sz w:val="28"/>
          <w:sz w:val="28"/>
          <w:szCs w:val="28"/>
          <w:rtl w:val="true"/>
          <w:lang w:bidi="ar-SA"/>
        </w:rPr>
        <w:t xml:space="preserve">، عن أبي بصير و محمّد بن مسلم،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w:t>
      </w:r>
    </w:p>
    <w:p>
      <w:pPr>
        <w:pStyle w:val="BookText"/>
        <w:rPr/>
      </w:pPr>
      <w:r>
        <w:rPr>
          <w:rFonts w:ascii="Amiri" w:hAnsi="Amiri" w:eastAsia="Amiri" w:cs="Amiri"/>
          <w:color w:val="111111"/>
          <w:sz w:val="28"/>
          <w:sz w:val="28"/>
          <w:szCs w:val="28"/>
          <w:rtl w:val="true"/>
          <w:lang w:bidi="ar-SA"/>
        </w:rPr>
        <w:t xml:space="preserve">فشكّ، فليمض على يقينه، فانّ الشكّ لاينقض اليقين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انّه ذكر أنّه رأى رسالة قديمة مفردة فيها هذا الخبر بطريقين صحيحين ؛ و عنه انّه رواه عن تحف العقول أيضًا مرسلًا </w:t>
      </w:r>
      <w:r>
        <w:rPr>
          <w:rStyle w:val="FootnoteAnchor"/>
          <w:rtl w:val="true"/>
        </w:rPr>
        <w:footnoteReference w:id="103"/>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هذا الخبر في غاية الوثاقة والاعتبار على طريقة القدماء، واعتمد عليه الكليني و ذكر أكثر أجزائه متفرّقة، وكذا غيره من المحدّثين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دلالته على المدّعى من الظهور غير مفتقرة إلى البيان ؛ و يظهر منه صحّة ما ذكرناه آنفًا من أنّ مقصودهم عليهم السلام من تلك المقالة إعطاء قاعدة كلّية، كما لايخفى على ذي سداد و فطنة </w:t>
      </w:r>
      <w:r>
        <w:rPr>
          <w:rFonts w:eastAsia="Amiri" w:cs="Amiri" w:ascii="Amiri" w:hAnsi="Amiri"/>
          <w:color w:val="111111"/>
          <w:sz w:val="28"/>
          <w:szCs w:val="28"/>
          <w:rtl w:val="true"/>
          <w:lang w:bidi="ar-SA"/>
        </w:rPr>
        <w:t xml:space="preserve">. </w:t>
      </w:r>
      <w:bookmarkStart w:id="114" w:name="pg10646_104325"/>
    </w:p>
    <w:p>
      <w:pPr>
        <w:pStyle w:val="Heading4"/>
        <w:numPr>
          <w:ilvl w:val="3"/>
          <w:numId w:val="1"/>
        </w:numPr>
        <w:rPr/>
      </w:pPr>
      <w:bookmarkStart w:id="115" w:name="__RefHeading___Toc3534921_372815092"/>
      <w:bookmarkStart w:id="116" w:name="_Toc41"/>
      <w:bookmarkEnd w:id="114"/>
      <w:bookmarkEnd w:id="115"/>
      <w:r>
        <w:rPr>
          <w:rtl w:val="true"/>
        </w:rPr>
        <w:t>القول في شبهة الأخباريّين والجواب عنها</w:t>
      </w:r>
      <w:bookmarkEnd w:id="116"/>
    </w:p>
    <w:p>
      <w:pPr>
        <w:pStyle w:val="BookText"/>
        <w:rPr/>
      </w:pPr>
      <w:r>
        <w:rPr>
          <w:rFonts w:ascii="Amiri" w:hAnsi="Amiri" w:eastAsia="Amiri" w:cs="Amiri"/>
          <w:color w:val="111111"/>
          <w:sz w:val="28"/>
          <w:sz w:val="28"/>
          <w:szCs w:val="28"/>
          <w:rtl w:val="true"/>
          <w:lang w:bidi="ar-SA"/>
        </w:rPr>
        <w:t xml:space="preserve">والمحكيّ عن رؤساء الأخباريّين </w:t>
      </w:r>
      <w:r>
        <w:rPr>
          <w:rStyle w:val="FootnoteAnchor"/>
          <w:rtl w:val="true"/>
        </w:rPr>
        <w:footnoteReference w:id="105"/>
      </w:r>
      <w:r>
        <w:rPr>
          <w:rFonts w:ascii="Amiri" w:hAnsi="Amiri" w:eastAsia="Amiri" w:cs="Amiri"/>
          <w:color w:val="111111"/>
          <w:sz w:val="28"/>
          <w:sz w:val="28"/>
          <w:szCs w:val="28"/>
          <w:rtl w:val="true"/>
          <w:lang w:bidi="ar-SA"/>
        </w:rPr>
        <w:t xml:space="preserve">بعد ذكر جملة من النصوص المذكورة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المقالة </w:t>
      </w:r>
      <w:r>
        <w:rPr>
          <w:rStyle w:val="FootnoteAnchor"/>
          <w:rtl w:val="true"/>
        </w:rPr>
        <w:footnoteReference w:id="106"/>
      </w:r>
      <w:r>
        <w:rPr>
          <w:rFonts w:ascii="Amiri" w:hAnsi="Amiri" w:eastAsia="Amiri" w:cs="Amiri"/>
          <w:color w:val="111111"/>
          <w:sz w:val="28"/>
          <w:sz w:val="28"/>
          <w:szCs w:val="28"/>
          <w:rtl w:val="true"/>
          <w:lang w:bidi="ar-SA"/>
        </w:rPr>
        <w:t xml:space="preserve">تقتضي جواز العمل باستصحاب أحكام اللَّه تعالى، كما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والشافعيّة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تقتضى بطلان قول أكثر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والحنفيّة بعدم جواز العمل به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عجز عن جوابها كثير من فحول الأصوليّين والفقهاء، و قد أجبنا عنها في الفوائد المدنيّة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17" w:name="pg10646_104326"/>
    </w:p>
    <w:p>
      <w:pPr>
        <w:pStyle w:val="BookText"/>
        <w:rPr/>
      </w:pPr>
      <w:bookmarkEnd w:id="117"/>
      <w:r>
        <w:rPr>
          <w:rFonts w:ascii="Amiri" w:hAnsi="Amiri" w:eastAsia="Amiri" w:cs="Amiri"/>
          <w:color w:val="111111"/>
          <w:sz w:val="28"/>
          <w:sz w:val="28"/>
          <w:szCs w:val="28"/>
          <w:rtl w:val="true"/>
          <w:lang w:bidi="ar-SA"/>
        </w:rPr>
        <w:t xml:space="preserve">و محصّل جوابها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مدلول النصوص الحكم ببقاء الموضوع على حاله فيما إذا لم يحصل فيه تغيّر وإنّما تبدّل اليقين بالشكّ ؛ والّذي سمّوه استصحابًا راجع بالحقيقة إلى إجراء حكم موضوع آخر يتّحد معه بالذات و يغايره بالقيد والصفات ؛ و من المعلوم أنّه إذا تبدّل قيد الموضوع والمسألة بنقيض ذلك القيد اختلف موضوع المسألتين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تواتر الأخبار بأنّ كلّ ما يحتاج إليه الأمّة ورد فيه حكم، ويحصر الحكم بين الرشد و بين الغيّ و ما يجب فيه 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مراده أنّ مقتضى المقالة الأولى ورود الحكم في الموارد الّتي سمّوها بالاستصحاب و غيرها ؛ و هو غير معلوم لنا، و إلّا لم نفتقر إلى الاستصحاب، فعلى هذا يجب فيه السكوت، لأنّ مقتضى المقالة الثانية أنّ ما لم رشده </w:t>
      </w:r>
      <w:r>
        <w:rPr>
          <w:rStyle w:val="FootnoteAnchor"/>
          <w:rtl w:val="true"/>
        </w:rPr>
        <w:footnoteReference w:id="109"/>
      </w:r>
      <w:r>
        <w:rPr>
          <w:rFonts w:ascii="Amiri" w:hAnsi="Amiri" w:eastAsia="Amiri" w:cs="Amiri"/>
          <w:color w:val="111111"/>
          <w:sz w:val="28"/>
          <w:sz w:val="28"/>
          <w:szCs w:val="28"/>
          <w:rtl w:val="true"/>
          <w:lang w:bidi="ar-SA"/>
        </w:rPr>
        <w:t xml:space="preserve">و لا غيّه يجب فيه التوقّف، و ما نحن فيه من هذا القبيل </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534923_372815092"/>
      <w:bookmarkStart w:id="119" w:name="_Toc42"/>
      <w:bookmarkEnd w:id="118"/>
      <w:r>
        <w:rPr>
          <w:rtl w:val="true"/>
        </w:rPr>
        <w:t>الجواب عن الأوّل</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مراده إمّا أن يكون النصوص غير دالّة على </w:t>
      </w:r>
    </w:p>
    <w:p>
      <w:pPr>
        <w:pStyle w:val="BookText"/>
        <w:rPr/>
      </w:pPr>
      <w:r>
        <w:rPr>
          <w:rFonts w:ascii="Amiri" w:hAnsi="Amiri" w:eastAsia="Amiri" w:cs="Amiri"/>
          <w:color w:val="111111"/>
          <w:sz w:val="28"/>
          <w:sz w:val="28"/>
          <w:szCs w:val="28"/>
          <w:rtl w:val="true"/>
          <w:lang w:bidi="ar-SA"/>
        </w:rPr>
        <w:t xml:space="preserve">استصحاب الحكم، لكون مدلولها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يؤمى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تقتضي جواز العمل باستصحاب أحكام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w:t>
      </w:r>
      <w:r>
        <w:rPr>
          <w:rStyle w:val="FootnoteAnchor"/>
          <w:rtl w:val="true"/>
        </w:rPr>
        <w:footnoteReference w:id="110"/>
      </w:r>
      <w:r>
        <w:rPr>
          <w:rFonts w:ascii="Amiri" w:hAnsi="Amiri" w:eastAsia="Amiri" w:cs="Amiri"/>
          <w:color w:val="111111"/>
          <w:sz w:val="28"/>
          <w:sz w:val="28"/>
          <w:szCs w:val="28"/>
          <w:rtl w:val="true"/>
          <w:lang w:bidi="ar-SA"/>
        </w:rPr>
        <w:t xml:space="preserve">كان بعض كلماته غير ملائم لذلك،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بعضها في الطهارة بمعنييها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عن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بعموم اللفظ، لا بخصوص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مراده أنّ القائلين بالاستصحاب يقولون به فيما إذا تغيّر الموضوع بالكلّية و يندرج تحت حقيقة أخرى،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ثبوت مثله من النصوص وإن كان مسلّمًا، لكن لم يقل أحد من القائلين بالاستصحاب بذلك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 أنّهم يقولون به فيما اذا حصل تغيّر مّا في الموضوع، لكن لا بحيث أن يندرج تحت حقيقة أخرى، فهو مسلّم، لكن لا نسلّم أنّه لم يثبت من النصوص ذلك، لوضوح أنّ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شاملٌ له قطعًا، بل مورد كثير فيها ذلك، إذ الطهارة المتيقّنة بعد أن زال وصف التيقّن منها يصدق عليها أنّها ممّا حصل فيه اليقين كما لايخفى ؛ و هكذا الحال في غيرها </w:t>
      </w:r>
      <w:r>
        <w:rPr>
          <w:rFonts w:eastAsia="Amiri" w:cs="Amiri" w:ascii="Amiri" w:hAnsi="Amiri"/>
          <w:color w:val="111111"/>
          <w:sz w:val="28"/>
          <w:szCs w:val="28"/>
          <w:rtl w:val="true"/>
          <w:lang w:bidi="ar-SA"/>
        </w:rPr>
        <w:t xml:space="preserve">. </w:t>
      </w:r>
      <w:bookmarkStart w:id="120" w:name="pg10646_104328"/>
    </w:p>
    <w:p>
      <w:pPr>
        <w:pStyle w:val="Heading4"/>
        <w:numPr>
          <w:ilvl w:val="3"/>
          <w:numId w:val="1"/>
        </w:numPr>
        <w:rPr/>
      </w:pPr>
      <w:bookmarkStart w:id="121" w:name="__RefHeading___Toc3534925_372815092"/>
      <w:bookmarkStart w:id="122" w:name="_Toc43"/>
      <w:bookmarkEnd w:id="120"/>
      <w:bookmarkEnd w:id="121"/>
      <w:r>
        <w:rPr>
          <w:rtl w:val="true"/>
        </w:rPr>
        <w:t>الجواب عن الثاني</w:t>
      </w:r>
      <w:bookmarkEnd w:id="122"/>
    </w:p>
    <w:p>
      <w:pPr>
        <w:pStyle w:val="BookText"/>
        <w:rPr/>
      </w:pPr>
      <w:r>
        <w:rPr>
          <w:rFonts w:ascii="Amiri" w:hAnsi="Amiri" w:eastAsia="Amiri" w:cs="Amiri"/>
          <w:color w:val="111111"/>
          <w:sz w:val="28"/>
          <w:sz w:val="28"/>
          <w:szCs w:val="28"/>
          <w:rtl w:val="true"/>
          <w:lang w:bidi="ar-SA"/>
        </w:rPr>
        <w:t xml:space="preserve">و 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فبالمنع إن أراد ورود الحكم في كلّ موضع بخصوصه كما لايخفى ؛ وليس المراد من النصوص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الأعمّ من ذلك، فهو مسلّم و غير مناف لما نحن بصدده، لأنّ النصوص المذكورة قد دلّت على حكم الموارد الّتي نتمسّك فيها بالاستصحاب بالعموم، فيكون تلك الموارد ما علم الحال فيه، لا من المشتبه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انتهى ما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نظفر على نسخة أكمل منها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اللَّه تعالى يحدث بعد ذلك أمرًا </w:t>
      </w:r>
      <w:r>
        <w:rPr>
          <w:rFonts w:eastAsia="Amiri" w:cs="Amiri" w:ascii="Amiri" w:hAnsi="Amiri"/>
          <w:color w:val="111111"/>
          <w:sz w:val="28"/>
          <w:szCs w:val="28"/>
          <w:rtl w:val="true"/>
          <w:lang w:bidi="ar-SA"/>
        </w:rPr>
        <w:t xml:space="preserve">]. </w:t>
      </w:r>
      <w:bookmarkStart w:id="123" w:name="pg10646_104329"/>
    </w:p>
    <w:p>
      <w:pPr>
        <w:pStyle w:val="Heading2"/>
        <w:numPr>
          <w:ilvl w:val="1"/>
          <w:numId w:val="1"/>
        </w:numPr>
        <w:rPr/>
      </w:pPr>
      <w:bookmarkStart w:id="124" w:name="__RefHeading___Toc3534927_372815092"/>
      <w:bookmarkStart w:id="125" w:name="_Toc44"/>
      <w:bookmarkEnd w:id="123"/>
      <w:bookmarkEnd w:id="124"/>
      <w:r>
        <w:rPr>
          <w:rtl w:val="true"/>
        </w:rPr>
        <w:t>فهرس المطالب</w:t>
      </w:r>
      <w:bookmarkEnd w:id="125"/>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لمحة من حياة المؤلّف قدس سره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الاستصحاب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التعريف الأوّل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التعريف الثاني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التعريف الثالث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التعريف الرابع </w:t>
      </w:r>
      <w:r>
        <w:rPr>
          <w:rFonts w:eastAsia="Amiri" w:cs="Amiri" w:ascii="Amiri" w:hAnsi="Amiri"/>
          <w:color w:val="111111"/>
          <w:sz w:val="28"/>
          <w:szCs w:val="28"/>
          <w:lang w:bidi="ar-SA"/>
        </w:rPr>
        <w:t>27</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مختار المؤلّف في تعريف الاستصحاب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الاستصحاب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القول في أقسام الاستصحاب و انّها ثمانية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القول في الفرق بين أصالة العدم و أصالة البراءة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الاستصحاب و عدمها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القول في النصوص الدالّة على حجّيّة الاستصحاب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إيراد كلام لدفع إيهام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الرواية السادسة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القول في شبهة الأخباريّين والجواب عنها </w:t>
      </w:r>
      <w:r>
        <w:rPr>
          <w:rFonts w:eastAsia="Amiri" w:cs="Amiri" w:ascii="Amiri" w:hAnsi="Amiri"/>
          <w:color w:val="111111"/>
          <w:sz w:val="28"/>
          <w:szCs w:val="28"/>
          <w:lang w:bidi="ar-SA"/>
        </w:rPr>
        <w:t>69</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26" w:name="pg10646_104331"/>
    </w:p>
    <w:p>
      <w:pPr>
        <w:pStyle w:val="Heading2"/>
        <w:numPr>
          <w:ilvl w:val="1"/>
          <w:numId w:val="1"/>
        </w:numPr>
        <w:rPr/>
      </w:pPr>
      <w:bookmarkStart w:id="127" w:name="__RefHeading___Toc3534929_372815092"/>
      <w:bookmarkStart w:id="128" w:name="_Toc45"/>
      <w:bookmarkEnd w:id="126"/>
      <w:bookmarkEnd w:id="127"/>
      <w:r>
        <w:rPr>
          <w:rtl w:val="true"/>
        </w:rPr>
        <w:t xml:space="preserve">فهرس منشورات مكتبة مسجد السيّد حجّة الإسلام قدس سره </w:t>
      </w:r>
      <w:r>
        <w:rPr>
          <w:rtl w:val="true"/>
        </w:rPr>
        <w:t>:</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في شرح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في أحكام الصلاة و مسائلها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في ترجمة حجّة الإسلام الشفتي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في إثبات الإمامة لأهل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في أحوال رواة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الحدود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العصيريّة في أحكام الخمر والعصير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في الإمام الثاني عشر القائم الحجّة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 وپاسخ‌ها پيرامون عقائد شيخيّه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الصّحاح المستخرج من الصحيحين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الحلية اللّامعة في شرح البهجة المرضيّة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رسائل فقهيّة حول مسألة سلام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شكّ و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تتمّه كتابِ تحفة الأبرار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نينوا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وپاسخ درباره زيارت عاشورا و </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صاحب الترجمة قدس سره في بعض إجازاته،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المولى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فزنا بالاستفادة من جنابه في أوائل التحصيل في علم الأصول، و قرأنا عليه من مصنّفاته ما هو مشهور بالفوائد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نفسه قدس سره في حواشي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وانتقلنا منها إلى ديار العجم في سنة خمس ومائتين بعد الألف، وكان مولانا مولى الكلّ آقا محمّد باقر البهبهاني في الحيات، ثمّ انتقل إلى الفردوس الأعلى في سنة ستّ ومائتين بعد الألف قدّس اللَّه تعالى روحه السعيد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قدس سره في حاشية بعض إجازاته ما هذا كلامه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 عبدالباقي إلى دار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ورودي في اصبهان في سنة سبع و مائتين بعد الألف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المترجم رحمه الله في حاشية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اتّفق لي في سنة مائتين وخمس عشر بعد الألف الإرتحال من اصبهان إلى بلدة قم، ومكثت فيها أربعة أشهر أو أكثر، وكنت مشتغلًا بكتابة هذا المجلّد من الشرح، إلخ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نفسه قدس سره في مناسكه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أشار بذلك الميرزا حبيب اللَّه النيّر رحمه الله ضمن مرثيته للمترجم‌قدس سره بقوله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التاريخ معاصره الأديب الفاضل الميرزا محمّد علي الطباطبائي الزوّاري، المتخلّص بوفا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تذكرته الموسومة بالمآثر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الّتي جمع فيها بعض من‌القصائد والمقطّعات الّتي أنشدها الشعراء في مدح حجّة الإسلام قدس سره ووصف مسجده الأعظم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في محلّة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محلّات أصفهان العظيمة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مطابق لما كتبه صاحب الروضات رحمه الله في بياضه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مقدّمة النهريّة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وكذا مطابق لما كتبه العلّامة الشيخ محمّد جعفر بن محمّد إبراهيم الكرباسي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في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مخطوطات مكتبة مركز إحياء التراث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كذلك العالم الفاضل الشاعر رضا قليخان هما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في تاريخ وفاته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اختلف كلماتهم فيه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أنيس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تجريد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يختلف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بالأكثر هو الوجه الأوّل والثالث والرابع والوجه الأخير من وجهي الخامس، فيختصّ الإيراد الثاني بالتعريف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كلمة لم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في ثبوت الحكم في ثاني الحال فيما إذا دلّ الدليل على ثبوته في الحالتين، انّما هو على ذلك الدليل، لا على ثبوته في الأوّل وكذا الخامس غير ما ذكر، وهو ظاهر، منه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الموادّ، إذ لو علم حال اللفظ في اللغة ولم يعلم في الشرع أو العرف، لم يكن الأمر كذلك، بل هناك إثبات الحكم في الوقت الثاني تعويلًا على ثبوته في الأوّل، منه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فتحكم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الأصوليّة للوحيد البهبهاني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الوحيد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الظنّيّ الحصول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الرسائل الفقهيّة للوحيد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بقاء ما كان على ما كان حتّى يثبت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التعريف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انّه الحكم باستمرار ما كان إلى أن يعلم زواله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لو كان المراد من العقليّة ذلك، لا وجه للتقسيم على النحو المذكور، بل اللازم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الاستصحاب ينقسم إلى استصحاب حال العقل وحال الشرع، و على التقديرين إمّا أن يكون المستصحب وجود الشي‌ء أو عدمه، وعلى تقدير استصحاب حال العقل إمّا أن يكون الاستصحاب في متعلّق حكم العقل، أو في حكم العقل نفسه، وهكذا بالنسبة إلى حال الشرع، فتأمّل، 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الأصوليّة والعربيّة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بهذه العبارة، بل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رجل ركب أمرًا بجهالة فلا شي‌ء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إلخ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البيان والتعريف ولزوم الحجّة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على خلقه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على خلقه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أمّتي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والنسيان وما أكرهوا عليه وما لا يطيقون وما لا يعلمون، إلخ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بالشكّ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الأحداث الموجبة للطهارة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القياس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يقينيًّا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ذهب إليه الشيخ وابن إدريس، منه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الأقوم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لاستقامة المعنى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إصطلاح خاصّ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معنى قولنا هنا كذلك من غير 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أن يظنّ انّه كذلك، أو يشكّ، أو يوهم فيه، بل كونه كذلك مقطوع به، أو من غير أن يظنّ انّه على خلافه، أو يشكّ فيه، أو يوهم، والأوّل أظهر؛ وبالجملة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هنا كلمة لم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هذا ثابت بلا شكّ إلى قولنا بلا تأمّل فيه، منه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لاستقامة المعنى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النقيضين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وتيقّن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 بما وعد، والأسف أنّه قدس سره لم يتمّ الكتاب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أن تكون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لاستقامة المعنى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الثلاث والأربع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اثنتين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اليقين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الحالات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التهذيب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تعليقة الوحيد البهبهاني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فليمض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راشد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عنه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الأسترآبادي في الفوائد المكّيّة، وهذا الكتاب جزء من التراث المفقود في العصر الحاضر، وقد ذكره العلّامة المجلسي قدس سره في عداد مصادر كتابه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والحاشية على استصحاب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رشده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11009</Words>
  <Characters>42895</Characters>
  <CharactersWithSpaces>53478</CharactersWithSpaces>
  <Paragraphs>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2026-08-27T07:44:52Z</dcterms:created>
  <dc:creator>ghaemiyeh.com</dc:creator>
  <dc:description/>
  <dc:language>en-US</dc:language>
  <cp:lastModifiedBy/>
  <dcterms:modified xsi:type="dcterms:W3CDTF">2026-08-27T11:14:57Z</dcterms:modified>
  <cp:revision>1</cp:revision>
  <dc:subject/>
  <dc:title>مقاله فی الاستصحاب</dc:title>
</cp:coreProperties>
</file>

<file path=docProps/custom.xml><?xml version="1.0" encoding="utf-8"?>
<Properties xmlns="http://schemas.openxmlformats.org/officeDocument/2006/custom-properties" xmlns:vt="http://schemas.openxmlformats.org/officeDocument/2006/docPropsVTypes"/>
</file>