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العقیده بالمهدیه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2839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12841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12843_372815092">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3512845_37281509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512847_372815092">
            <w:r>
              <w:rPr>
                <w:webHidden/>
                <w:rStyle w:val="IndexLink"/>
                <w:rtl w:val="true"/>
              </w:rPr>
              <w:t>إيحاءات العقيدة بالمهديّة</w:t>
            </w:r>
            <w:r>
              <w:rPr>
                <w:rStyle w:val="IndexLink"/>
                <w:rtl w:val="true"/>
              </w:rPr>
              <w:tab/>
            </w:r>
            <w:r>
              <w:rPr>
                <w:rStyle w:val="IndexLink"/>
              </w:rPr>
              <w:t>16</w:t>
            </w:r>
          </w:hyperlink>
        </w:p>
        <w:p>
          <w:pPr>
            <w:pStyle w:val="Contents3"/>
            <w:tabs>
              <w:tab w:val="clear" w:pos="8459"/>
              <w:tab w:val="right" w:pos="9026" w:leader="dot"/>
            </w:tabs>
            <w:rPr/>
          </w:pPr>
          <w:hyperlink w:anchor="__RefHeading___Toc3512849_372815092">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512851_372815092">
            <w:r>
              <w:rPr>
                <w:webHidden/>
                <w:rStyle w:val="IndexLink"/>
                <w:rtl w:val="true"/>
              </w:rPr>
              <w:t>الأصل في العقيدة بالمهديّة</w:t>
            </w:r>
            <w:r>
              <w:rPr>
                <w:rStyle w:val="IndexLink"/>
                <w:rtl w:val="true"/>
              </w:rPr>
              <w:tab/>
            </w:r>
            <w:r>
              <w:rPr>
                <w:rStyle w:val="IndexLink"/>
              </w:rPr>
              <w:t>18</w:t>
            </w:r>
          </w:hyperlink>
        </w:p>
        <w:p>
          <w:pPr>
            <w:pStyle w:val="Contents2"/>
            <w:tabs>
              <w:tab w:val="clear" w:pos="8743"/>
              <w:tab w:val="right" w:pos="9026" w:leader="dot"/>
            </w:tabs>
            <w:rPr/>
          </w:pPr>
          <w:hyperlink w:anchor="__RefHeading___Toc3512853_372815092">
            <w:r>
              <w:rPr>
                <w:webHidden/>
                <w:rStyle w:val="IndexLink"/>
                <w:rtl w:val="true"/>
              </w:rPr>
              <w:t>الكتب المفردة في المهديّة</w:t>
            </w:r>
            <w:r>
              <w:rPr>
                <w:rStyle w:val="IndexLink"/>
                <w:rtl w:val="true"/>
              </w:rPr>
              <w:tab/>
            </w:r>
            <w:r>
              <w:rPr>
                <w:rStyle w:val="IndexLink"/>
              </w:rPr>
              <w:t>22</w:t>
            </w:r>
          </w:hyperlink>
        </w:p>
        <w:p>
          <w:pPr>
            <w:pStyle w:val="Contents3"/>
            <w:tabs>
              <w:tab w:val="clear" w:pos="8459"/>
              <w:tab w:val="right" w:pos="9026" w:leader="dot"/>
            </w:tabs>
            <w:rPr/>
          </w:pPr>
          <w:hyperlink w:anchor="__RefHeading___Toc3512855_37281509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512857_372815092">
            <w:r>
              <w:rPr>
                <w:webHidden/>
                <w:rStyle w:val="IndexLink"/>
                <w:rtl w:val="true"/>
              </w:rPr>
              <w:t>أسماء المشايخ وأرباب الجوامع</w:t>
            </w:r>
            <w:r>
              <w:rPr>
                <w:rStyle w:val="IndexLink"/>
                <w:rtl w:val="true"/>
              </w:rPr>
              <w:t>:</w:t>
              <w:tab/>
            </w:r>
            <w:r>
              <w:rPr>
                <w:rStyle w:val="IndexLink"/>
              </w:rPr>
              <w:t>24</w:t>
            </w:r>
          </w:hyperlink>
        </w:p>
        <w:p>
          <w:pPr>
            <w:pStyle w:val="Contents3"/>
            <w:tabs>
              <w:tab w:val="clear" w:pos="8459"/>
              <w:tab w:val="right" w:pos="9026" w:leader="dot"/>
            </w:tabs>
            <w:rPr/>
          </w:pPr>
          <w:hyperlink w:anchor="__RefHeading___Toc3512859_372815092">
            <w:r>
              <w:rPr>
                <w:webHidden/>
                <w:rStyle w:val="IndexLink"/>
                <w:rtl w:val="true"/>
              </w:rPr>
              <w:t>أسماء المشاهير من التابعين وغيرهم</w:t>
            </w:r>
            <w:r>
              <w:rPr>
                <w:rStyle w:val="IndexLink"/>
                <w:rtl w:val="true"/>
              </w:rPr>
              <w:t>:</w:t>
              <w:tab/>
            </w:r>
            <w:r>
              <w:rPr>
                <w:rStyle w:val="IndexLink"/>
              </w:rPr>
              <w:t>27</w:t>
            </w:r>
          </w:hyperlink>
        </w:p>
        <w:p>
          <w:pPr>
            <w:pStyle w:val="Contents3"/>
            <w:tabs>
              <w:tab w:val="clear" w:pos="8459"/>
              <w:tab w:val="right" w:pos="9026" w:leader="dot"/>
            </w:tabs>
            <w:rPr/>
          </w:pPr>
          <w:hyperlink w:anchor="__RefHeading___Toc3512861_372815092">
            <w:r>
              <w:rPr>
                <w:webHidden/>
                <w:rStyle w:val="IndexLink"/>
                <w:rtl w:val="true"/>
              </w:rPr>
              <w:t>أسماء الصحابة والصحابيّات</w:t>
            </w:r>
            <w:r>
              <w:rPr>
                <w:rStyle w:val="IndexLink"/>
                <w:rtl w:val="true"/>
              </w:rPr>
              <w:t>:</w:t>
              <w:tab/>
            </w:r>
            <w:r>
              <w:rPr>
                <w:rStyle w:val="IndexLink"/>
              </w:rPr>
              <w:t>29</w:t>
            </w:r>
          </w:hyperlink>
        </w:p>
        <w:p>
          <w:pPr>
            <w:pStyle w:val="Contents2"/>
            <w:tabs>
              <w:tab w:val="clear" w:pos="8743"/>
              <w:tab w:val="right" w:pos="9026" w:leader="dot"/>
            </w:tabs>
            <w:rPr/>
          </w:pPr>
          <w:hyperlink w:anchor="__RefHeading___Toc3512863_372815092">
            <w:r>
              <w:rPr>
                <w:webHidden/>
                <w:rStyle w:val="IndexLink"/>
                <w:rtl w:val="true"/>
              </w:rPr>
              <w:t>أربعون حدیثاً في العقیدة بالمهدیة</w:t>
            </w:r>
            <w:r>
              <w:rPr>
                <w:rStyle w:val="IndexLink"/>
                <w:rtl w:val="true"/>
              </w:rPr>
              <w:tab/>
            </w:r>
            <w:r>
              <w:rPr>
                <w:rStyle w:val="IndexLink"/>
              </w:rPr>
              <w:t>32</w:t>
            </w:r>
          </w:hyperlink>
        </w:p>
        <w:p>
          <w:pPr>
            <w:pStyle w:val="Contents2"/>
            <w:tabs>
              <w:tab w:val="clear" w:pos="8743"/>
              <w:tab w:val="right" w:pos="9026" w:leader="dot"/>
            </w:tabs>
            <w:rPr/>
          </w:pPr>
          <w:hyperlink w:anchor="__RefHeading___Toc3512865_372815092">
            <w:r>
              <w:rPr>
                <w:webHidden/>
                <w:rStyle w:val="IndexLink"/>
                <w:rtl w:val="true"/>
              </w:rPr>
              <w:t>مصادر التحقیق</w:t>
            </w:r>
            <w:r>
              <w:rPr>
                <w:rStyle w:val="IndexLink"/>
                <w:rtl w:val="true"/>
              </w:rPr>
              <w:tab/>
            </w:r>
            <w:r>
              <w:rPr>
                <w:rStyle w:val="IndexLink"/>
              </w:rPr>
              <w:t>46</w:t>
            </w:r>
          </w:hyperlink>
        </w:p>
        <w:p>
          <w:pPr>
            <w:pStyle w:val="Contents2"/>
            <w:tabs>
              <w:tab w:val="clear" w:pos="8743"/>
              <w:tab w:val="right" w:pos="9026" w:leader="dot"/>
            </w:tabs>
            <w:rPr/>
          </w:pPr>
          <w:hyperlink w:anchor="__RefHeading___Toc3512867_372815092">
            <w:r>
              <w:rPr>
                <w:webHidden/>
                <w:rStyle w:val="IndexLink"/>
                <w:rtl w:val="true"/>
              </w:rPr>
              <w:t>الفهرس</w:t>
            </w:r>
            <w:r>
              <w:rPr>
                <w:rStyle w:val="IndexLink"/>
                <w:rtl w:val="true"/>
              </w:rPr>
              <w:tab/>
            </w:r>
            <w:r>
              <w:rPr>
                <w:rStyle w:val="IndexLink"/>
              </w:rPr>
              <w:t>50</w:t>
            </w:r>
          </w:hyperlink>
        </w:p>
        <w:p>
          <w:pPr>
            <w:pStyle w:val="Contents2"/>
            <w:tabs>
              <w:tab w:val="clear" w:pos="8743"/>
              <w:tab w:val="right" w:pos="9026" w:leader="dot"/>
            </w:tabs>
            <w:rPr/>
          </w:pPr>
          <w:hyperlink w:anchor="__RefHeading___Toc3512869_372815092">
            <w:r>
              <w:rPr>
                <w:webHidden/>
                <w:rStyle w:val="IndexLink"/>
                <w:rtl w:val="true"/>
              </w:rPr>
              <w:t>آثار سماحة آية الله العظمى الصافي الگلپايگاني مدّ ظلّه الوارف</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43_100084"/>
      <w:bookmarkStart w:id="1" w:name="pg10643_100084"/>
      <w:bookmarkEnd w:id="1"/>
    </w:p>
    <w:p>
      <w:pPr>
        <w:pStyle w:val="Heading2"/>
        <w:numPr>
          <w:ilvl w:val="1"/>
          <w:numId w:val="1"/>
        </w:numPr>
        <w:rPr/>
      </w:pPr>
      <w:bookmarkStart w:id="2" w:name="pg10643_100084"/>
      <w:bookmarkStart w:id="3" w:name="__RefHeading___Toc3512839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العقیده بالمهدیه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الصافی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 الله صافی گلپایگانی دام ظله،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 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4584327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2841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العقیدة بالمهدیة</w:t>
      </w:r>
    </w:p>
    <w:p>
      <w:pPr>
        <w:pStyle w:val="BookText"/>
        <w:rPr/>
      </w:pPr>
      <w:r>
        <w:rPr>
          <w:rFonts w:ascii="IRNazanin" w:hAnsi="IRNazanin" w:eastAsia="IRNazanin"/>
          <w:color w:val="111111"/>
          <w:sz w:val="28"/>
          <w:sz w:val="28"/>
          <w:szCs w:val="28"/>
          <w:rtl w:val="true"/>
          <w:lang w:bidi="fa-IR"/>
        </w:rPr>
        <w:t>الفقیه الکبیر المرجع الدیني الأعلی سماحة آیة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الله العظمی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الشیخ لطف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الشریف</w:t>
      </w:r>
      <w:r>
        <w:rPr>
          <w:rFonts w:eastAsia="Amiri" w:cs="Amiri" w:ascii="Amiri" w:hAnsi="Amiri"/>
          <w:color w:val="111111"/>
          <w:sz w:val="28"/>
          <w:szCs w:val="28"/>
          <w:rtl w:val="true"/>
          <w:lang w:bidi="ar-SA"/>
        </w:rPr>
        <w:t xml:space="preserve">) </w:t>
      </w:r>
      <w:bookmarkStart w:id="7" w:name="pg10643_100088"/>
    </w:p>
    <w:p>
      <w:pPr>
        <w:pStyle w:val="Heading2"/>
        <w:numPr>
          <w:ilvl w:val="1"/>
          <w:numId w:val="1"/>
        </w:numPr>
        <w:rPr/>
      </w:pPr>
      <w:bookmarkStart w:id="8" w:name="__RefHeading___Toc3512843_372815092"/>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العقيدة بالمهديّة عقيدة إسلامية خالصة نبعت من الكتاب والسنّة واتّفق المسلمون سلفاً وخلفاً عليه، وحكم بتواتر أحاديثها جمع من الأكابر والأفذاذ</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القصد من هذه المقالة هو إثبات ما ورد في النصّ المذكور في أعلاه، فالكاتب المحترم، عند البحث في ذلك، يورد مقدّمة قصيرة جامعة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بالمهديّة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بعد ذلك بتعريف كتاب بعنوان البرهان في علامات مهديّ آخر الزمان وبتوضيحه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الكتاب المذكور من جملة الكتب المستقلّة الّتي كتبت في هذه العقيدة الشريفة، ومؤلّف الكتاب من مشاهير علماء أهل السنّة،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حسام الدين المتّقي الشاذلي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ينقل في كتابه روايات المهدوية عن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التابعين، 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المشايخ وأرباب الجوامع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هؤلاء مع أربعين حديثاً من الروايات المذكورة في كتاب البرهان تأتي في ختام هذه المقالة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لمّا كانت هذه المقالة مفيدةً ونافعةً، فضلاً عن كونها صغيرة الحجم أيضاً، نُعيد طبعها ونشرها، آملين أن يمُنّ الله جلّ جلاله بالقبول الحسن على الكاتب والناشر، وعجّل الله فرج مولانا صاحب الزمان</w:t>
      </w:r>
      <w:r>
        <w:rPr>
          <w:rFonts w:eastAsia="Amiri" w:cs="Amiri" w:ascii="Amiri" w:hAnsi="Amiri"/>
          <w:color w:val="111111"/>
          <w:sz w:val="28"/>
          <w:szCs w:val="28"/>
          <w:rtl w:val="true"/>
          <w:lang w:bidi="ar-SA"/>
        </w:rPr>
        <w:t xml:space="preserve">. </w:t>
      </w:r>
      <w:bookmarkStart w:id="10" w:name="pg10643_100090"/>
    </w:p>
    <w:p>
      <w:pPr>
        <w:pStyle w:val="Heading2"/>
        <w:numPr>
          <w:ilvl w:val="1"/>
          <w:numId w:val="1"/>
        </w:numPr>
        <w:rPr/>
      </w:pPr>
      <w:bookmarkStart w:id="11" w:name="__RefHeading___Toc3512845_372815092"/>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أبي القاسم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العقيدة بالمهديّة عقيدة إسلامية خالصة، نبعت من الكتاب والسنّة، واتّفق المسلمون سلفاً وخَلَفاً عليها، وحكم بتواتر أحاديثها جمع من الأكابر والأفذاذ</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فكرة إسلامية مبنيّة على أقوى الأدلّة النقلية والعقلية، ويؤيّدها التاريخ والشواهد الكثيرة، ولم يبلغنا إنكارها والشكّ فيها من أحد من المسلمين، خواصّهم وعوامّهم، إلّا بعض الناشئة المتأثّرين بدعايات الغربييّن، والساقطين في شبكات الاستعمار، والّذين لا يفسّرون الثقافة إلّا بإنكار النصوص أو تأويلها بما يوافق أهواء الملحدين والمادِّيّين، وقد حاولوا بذلك فتح باب لو فتحت ولا وفَّقهم الله له لسقط الاعتماد على السنّة، والاستناد إليها، وبظواهرها، وظواهر الكتاب، ووقعت الشريعة والدعوة المحمّدية في معرض التغيير والتحريف حسب ما </w:t>
      </w:r>
    </w:p>
    <w:p>
      <w:pPr>
        <w:pStyle w:val="BookText"/>
        <w:rPr/>
      </w:pPr>
      <w:r>
        <w:rPr>
          <w:rFonts w:ascii="Amiri" w:hAnsi="Amiri" w:eastAsia="Amiri" w:cs="Amiri"/>
          <w:color w:val="111111"/>
          <w:sz w:val="28"/>
          <w:sz w:val="28"/>
          <w:szCs w:val="28"/>
          <w:rtl w:val="true"/>
          <w:lang w:bidi="ar-SA"/>
        </w:rPr>
        <w:t>يريده أهل البدع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إنكار مثل هذه الأحاديث الّتي صرّح رجال علم الحديث ومهرة هذا الفنّ من المتقدّمين والمعاصرين بتواترها، فما ظنُّك بغيرها من الأحاديث المستفيضة والآحاد؟</w:t>
      </w:r>
    </w:p>
    <w:p>
      <w:pPr>
        <w:pStyle w:val="BookText"/>
        <w:rPr/>
      </w:pPr>
      <w:r>
        <w:rPr>
          <w:rFonts w:ascii="Amiri" w:hAnsi="Amiri" w:eastAsia="Amiri" w:cs="Amiri"/>
          <w:color w:val="111111"/>
          <w:sz w:val="28"/>
          <w:sz w:val="28"/>
          <w:szCs w:val="28"/>
          <w:rtl w:val="true"/>
          <w:lang w:bidi="ar-SA"/>
        </w:rPr>
        <w:t>وقد نبَّه على خطر هؤلاء الخارجين على الكتاب والسنّة وجرأتهم على الله ورسوله جماعة من علماء الإسلام، وألّفوا في تفنيد آرائهم الكتب والمقالات، ولا أرى وراء ذلك إلّا أيدي الّذين يريدون تضعيف التزام المسلمين وتمسُّكهم بنصوص الشريعة، فما يمنعهم عن النفوذ في بلاد المسلمين والسلطة عليهم إلّا تمسّك المسلمين بالكتاب والسنّة، ولم يفتح لهم باب ذلك إلّا بعد ضعف هذا الالتزام والغفلة عنه، عصمنا الله تعالى من فتن أهل الزيغ</w:t>
      </w:r>
    </w:p>
    <w:p>
      <w:pPr>
        <w:pStyle w:val="BookText"/>
        <w:rPr/>
      </w:pPr>
      <w:r>
        <w:rPr>
          <w:rFonts w:ascii="IRNazanin" w:hAnsi="IRNazanin" w:eastAsia="IRNazanin"/>
          <w:color w:val="111111"/>
          <w:sz w:val="28"/>
          <w:sz w:val="28"/>
          <w:szCs w:val="28"/>
          <w:rtl w:val="true"/>
          <w:lang w:bidi="fa-IR"/>
        </w:rPr>
        <w:t>والأهواء، وأذناب الاستعمار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يُضحِك الثكلى أنّ هؤلاء الّذين اتّبعوا أهواءهم كثيراً ما استندوا في تضعيف هذه الأحاديث تارةً بأنّ هذه العقيدة ليست في أصلها من عقائد أهل السنّة القدماء، ولم يقع لها ذكر بين الصحابة في القرن الأوّل ولا بين التابعين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 بأنّها سبّبت المنازعات والثورات على الحكومات، والدعايات السياسية، وثالثةً ببعض اختلافات وقع في بعض أحاديثها مع البعض الآخر، وهذا من غرائب ما تشبّث به في رد السنّة النبوية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دليل أقوى على وقوع ذكرها بين الصحابة والتابعين، وأنّ النبيّ’ هو المصدر الأوّل لبثّ هذه العقيدة بين المسلمين، من هذه الأحاديث المتواترة، ومن إجماع المسلمين، ومن أنّهم لم يردّوا دعوى أحد من مدّعي المهدوية بإنكار صحّة خروج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ردّوهم بفقدانهم الصفات والعلائم المذكورة له، كما تشهد بذلك حكاية محمد بن عجلان مع جعفر بن سليمان، وما قاله فقهاء أهل المدينة وأشرافهم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تكن هذه الأحاديث مع كثرتها وتواترها، واتّفاق المسلمين على مضمونها دليلاً، فبأيِّ دليل يُستند على صحَّة نسبة أيّة عقيدة إسلامية إلى الصحابة، وإلى الرسول الأعظم’؟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لا تجد عقيدة ولا أصلاً لم تقع حولها المنازعات والمخاصمات، وقد وقعت حول الاُلوهيّة وحول النبوّات المنازعات والمخاصمات أكثر من المهديّة بكثير، كما وقع النزاع بين الأشاعرة وغيرهم، وبين أتباع المذاهب من الشوافع والأحناف والحنابلة والمالكية وغيرهم منازعات وحروب كثيرة،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والأمن وغيرهما من المفاهيم الّتي اتّفق أبناء الإنسان كلّهم على لزومها </w:t>
      </w:r>
    </w:p>
    <w:p>
      <w:pPr>
        <w:pStyle w:val="BookText"/>
        <w:rPr/>
      </w:pPr>
      <w:r>
        <w:rPr>
          <w:rFonts w:ascii="IRNazanin" w:hAnsi="IRNazanin" w:eastAsia="IRNazanin"/>
          <w:color w:val="111111"/>
          <w:sz w:val="28"/>
          <w:sz w:val="28"/>
          <w:szCs w:val="28"/>
          <w:rtl w:val="true"/>
          <w:lang w:bidi="fa-IR"/>
        </w:rPr>
        <w:t>وقعت حولها وحول تحقّقها،</w:t>
      </w:r>
    </w:p>
    <w:p>
      <w:pPr>
        <w:pStyle w:val="BookText"/>
        <w:rPr/>
      </w:pPr>
      <w:r>
        <w:rPr>
          <w:rFonts w:ascii="Amiri" w:hAnsi="Amiri" w:eastAsia="Amiri" w:cs="Amiri"/>
          <w:color w:val="111111"/>
          <w:sz w:val="28"/>
          <w:sz w:val="28"/>
          <w:szCs w:val="28"/>
          <w:rtl w:val="true"/>
          <w:lang w:bidi="ar-SA"/>
        </w:rPr>
        <w:t>ودفع من اتّخذها وسيلةً لمقاصدها السياسية معارك 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لا تجد ضحايا موضوع أكثر من ضحايا البشرية بإسم إقامة الحقّ ورعاية العدل والقسط، والحماية عن حرّية الإنسان وحقوقه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لبس الحقّ بالباطل، وعرض الباطل مقام الحقّ وإن كان يصدر من أهل الباطل والمبطلين بكثير غير أنّه لا يضرُّ الحقَّ،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الْبَاطِلِفَيَدْمَغُهُ فَإِذَا هُوَ زَاهِقٌ وَلَكُمُ الْوَيْلُ مِمَّا تَصِفُونَ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أنّ قبول دعوة الدجاجلة المدَّعين للمهدوية كثيراً ما يقع من أجل عدم الاهتداء بعلامات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وخصائصه المصرَّحة بها في الأحاديث، وإلّا ليس فيه موضع للإضلال والتضليل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واجب العلماء أن يبيّنوا هذه العقيدة وما تهدف إليه، وما به يعرف المهديّ من الدجاجلة المدَّعين للمهدوية وفق الروايات المأثورة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الفروق بين المتواتر وغيره أنّ في المتواتر اللفظي التفصيلي يحصل القطع واليقين بصدور حديث معيّن بعين ألفاظ متنه، وفيه لا يمكن الاختلاف والتعارض إلّا مع متواتر آخر، والمتّبع فيه </w:t>
      </w:r>
    </w:p>
    <w:p>
      <w:pPr>
        <w:pStyle w:val="BookText"/>
        <w:rPr/>
      </w:pPr>
      <w:r>
        <w:rPr>
          <w:rFonts w:ascii="Amiri" w:hAnsi="Amiri" w:eastAsia="Amiri" w:cs="Amiri"/>
          <w:color w:val="111111"/>
          <w:sz w:val="28"/>
          <w:sz w:val="28"/>
          <w:szCs w:val="28"/>
          <w:rtl w:val="true"/>
          <w:lang w:bidi="ar-SA"/>
        </w:rPr>
        <w:t>علاج التعارض بالتوفيق، والجمع بينهما بحمل العامّ على الخاصّ، أو المطلق على المقيّد، أو الظاهر على الأظهر، وغير ذلك، وإلّا فيتساقط ظاهر كلٍّ منهما من صلاحية الاستناد به، وفي المتواتر الإجمالي لا عبرة بالاختلاف وتعارض متون الأحاديث الّتي علم إجمالاً بصدور واحد منها بلفظه، بل يؤخذ ما هو الأخصّ مضموناً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المتواتر المعنويّ وهو ما اتّفق عليه عدّة أحاديث يحصل القطع بها عليه وإن لم يكن بينها مقطوع الصدور بلفظه ومتنه، مثل ما جاء في جود حاتم من الحكايات الكثيرة، فإنّ من جميعها يحصل القطع بما هو القدر المشترك والمضمون العامّ بين</w:t>
      </w:r>
    </w:p>
    <w:p>
      <w:pPr>
        <w:pStyle w:val="BookText"/>
        <w:rPr/>
      </w:pPr>
      <w:r>
        <w:rPr>
          <w:rFonts w:ascii="Amiri" w:hAnsi="Amiri" w:eastAsia="Amiri" w:cs="Amiri"/>
          <w:color w:val="111111"/>
          <w:sz w:val="28"/>
          <w:sz w:val="28"/>
          <w:szCs w:val="28"/>
          <w:rtl w:val="true"/>
          <w:lang w:bidi="ar-SA"/>
        </w:rPr>
        <w:t>الجميع، وهو وجود حاتم في زمانٍ من الأزمنة، وجوده يؤخذ بالقدر المشترك والمضمون المتّفق عليه بين الأحاديث</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لا يضرّ بالتواتر اختلاف المتون والمضامين، بل في غير المتواتر أيضاً من الأحاديث لا يضرّ الاختلاف بصحّة ما هو الصحيح بين المتعارضين، وما هو أقوى بحسب السنّة أو المتن أو الشواهد والمتابعات، وهذه اُمور لا يعرفها إلّا الحاذق في فنّ الحديث، وإلّا فلو أمكن ترك الأحاديث بمجرّد وجود تعارض بينها لزم ترك جلّها لولا كلّها، ولتغيّر وجه الشريعة في أكثر الأحكام الفرعية؛ لأنّه قلَّ موضوع </w:t>
      </w:r>
    </w:p>
    <w:p>
      <w:pPr>
        <w:pStyle w:val="BookText"/>
        <w:rPr/>
      </w:pPr>
      <w:r>
        <w:rPr>
          <w:rFonts w:ascii="Amiri" w:hAnsi="Amiri" w:eastAsia="Amiri" w:cs="Amiri"/>
          <w:color w:val="111111"/>
          <w:sz w:val="28"/>
          <w:sz w:val="28"/>
          <w:szCs w:val="28"/>
          <w:rtl w:val="true"/>
          <w:lang w:bidi="ar-SA"/>
        </w:rPr>
        <w:t>في العقائد والأحكام والتاريخ وتفسير القرآن الكريم وغيرها يكون أحاديثه سليمة من التعارض، ولو بالعموم والخصوص والإطلاق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فالمتّبع في علاج هذه التعارضات الّتي لا يخلو كلام أهل المحاورة عنها وفي تشخيص الحديث الصحيح عن السقيم، والقويّ عن الضعيف، والمعتبر والحجّة عن غير المعتبر، هي القواعد المعتبرة العقلانية، والرجوع إلى مهرة الفنّ، وردّ بعض الأحاديث إلى البعض، والجمع والتوفيق بينها في موارد إمكان الجمع والأخذ بما هو أقوى سنداً أو متناً أو أوفق بالكتاب والسنّة الثابتة وغير ذلك، لا ردّها والإعراض عنها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الّتي وردت في المهديّة كلُّها تلاحظ على ضوء هذه القواعد، فيؤخذ بمتواترها، ويعامل مع آحادها معاملة غيرها من أخبار الآحاد، فيقوى بعضها ببعض، ويفسِّر بعضها بعضاً، ويؤخذ بالضعيف منها أيضاً بالشواهد، والمتابعات، وغيرها من المؤيّدات المعتبرة، فلا يردُّ مثل هذه الأحاديث إلّا الجاهل بفنّ الحديث، والمثقّف المعادي للسنّة، والمتأثرّ بالدعايات الباطلة وأضاليل المستعمرين</w:t>
      </w:r>
      <w:r>
        <w:rPr>
          <w:rFonts w:eastAsia="Amiri" w:cs="Amiri" w:ascii="Amiri" w:hAnsi="Amiri"/>
          <w:color w:val="111111"/>
          <w:sz w:val="28"/>
          <w:szCs w:val="28"/>
          <w:rtl w:val="true"/>
          <w:lang w:bidi="ar-SA"/>
        </w:rPr>
        <w:t xml:space="preserve">. </w:t>
      </w:r>
      <w:bookmarkStart w:id="13" w:name="pg10643_100096"/>
    </w:p>
    <w:p>
      <w:pPr>
        <w:pStyle w:val="Heading2"/>
        <w:numPr>
          <w:ilvl w:val="1"/>
          <w:numId w:val="1"/>
        </w:numPr>
        <w:rPr/>
      </w:pPr>
      <w:bookmarkStart w:id="14" w:name="__RefHeading___Toc3512847_372815092"/>
      <w:bookmarkStart w:id="15" w:name="_Toc5"/>
      <w:bookmarkEnd w:id="13"/>
      <w:bookmarkEnd w:id="14"/>
      <w:r>
        <w:rPr>
          <w:rtl w:val="true"/>
        </w:rPr>
        <w:t>إيحاءات العقيدة بالمهديّة</w:t>
      </w:r>
      <w:bookmarkEnd w:id="15"/>
    </w:p>
    <w:p>
      <w:pPr>
        <w:pStyle w:val="Heading3"/>
        <w:numPr>
          <w:ilvl w:val="2"/>
          <w:numId w:val="1"/>
        </w:numPr>
        <w:rPr/>
      </w:pPr>
      <w:bookmarkStart w:id="16" w:name="__RefHeading___Toc3512849_372815092"/>
      <w:bookmarkStart w:id="17" w:name="_Toc6"/>
      <w:bookmarkEnd w:id="16"/>
      <w:r>
        <w:rPr>
          <w:rtl w:val="true"/>
        </w:rPr>
        <w:t>اشارة</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أنّ العقيدة بالمهديّة عقيدة ينبعث منها الرجاء، والنشاط والعمل، وتطرد الفشل واليأس والكسل، وتشجِّع الحركات الإصلاحيّة والإسلامية، وتقوّي النفوس الثائرة على الاستكبار والاستضعاف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لم يستكمل أهدافه، ولم يصل إلى تحقيق كلّ ما جاء لأجل تحقّقه، وسيكون المستقبل للإسلام، ولابدّ من يوم يحكم فيه الإسلام على الأرض، ويقضي على كلّ المظالم والاستضعاف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وسيلجأ أبناء العالم إلى الإسلام، كلّ يوم أظهر من أمس، ويرون نوره أسطع، وضياءه ألمع من قبل، وسنشاهد جميعاً فشل هذه الأنظمة السائدة المستكبرة، والأحزاب المتنمّرة الملحدة، وسوف يعرض الإسلام برامجه الاقتصادية والسياسية في بسط الأمن والأمان، وتحقيق أهداف الإنسانية، والقضاء على الجهل والظلم والعدوان والعنصرية، وتتفتّح قلوب البشريّة لقبول الإسلام وبرامجه الّتي هي العلاج الوحيد للمشاكل اللاإنسانية العالقة في المجتمعات البشريّة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فالبشريّة الحائرة لم ولن تجد ضالّتها في الأنظمة الغربية والشرقية، ولم تنتج هذه الأنظمة والمكاتب إلّا زيادة الطين بلّةً، وتعقيد الاُمور والمشاكل، والدعارة والخلاعة والفساد والاستعلاء والاستكبار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والعقيدة بالمهديّة توقظ شعورنا بكرامة الإنسان، وأنّ الأرض لله لا للظالمين والمستعمرين، وأنّ العاقبة للمتّقين، وأنّ الله أرسل رسوله النبيّ الخاتم سيّدنا محمداً’ بالهدى ودين الحقّ ليظهره على الدين كلّه، وتُشرِبنا حبَّ الحقّ والعدل والإحسان، وتُنهِضنا لإعلاء كلمة الله وإقامة حدوده وتنفيذ سلطانه، وتربطنا بمبادئنا الإسلامية، وتطالبنا بالعمل بمسؤولياتنا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سرصفحه با این عنوان باشد تا صفحه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تعالى أصدق القائلين،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8" w:name="pg10643_100098"/>
    </w:p>
    <w:p>
      <w:pPr>
        <w:pStyle w:val="BookText"/>
        <w:rPr/>
      </w:pPr>
      <w:bookmarkEnd w:id="18"/>
      <w:r>
        <w:rPr>
          <w:rFonts w:ascii="Amiri" w:hAnsi="Amiri" w:eastAsia="Amiri" w:cs="Amiri"/>
          <w:color w:val="111111"/>
          <w:sz w:val="28"/>
          <w:sz w:val="28"/>
          <w:szCs w:val="28"/>
          <w:rtl w:val="true"/>
          <w:lang w:bidi="ar-SA"/>
        </w:rPr>
        <w:t>ويقول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512851_372815092"/>
      <w:bookmarkStart w:id="20" w:name="_Toc7"/>
      <w:bookmarkEnd w:id="19"/>
      <w:r>
        <w:rPr>
          <w:rtl w:val="true"/>
        </w:rPr>
        <w:t>الأصل في العقيدة بالمهديّة</w:t>
      </w:r>
      <w:bookmarkEnd w:id="20"/>
    </w:p>
    <w:p>
      <w:pPr>
        <w:pStyle w:val="BookText"/>
        <w:rPr/>
      </w:pPr>
      <w:r>
        <w:rPr>
          <w:rFonts w:ascii="Amiri" w:hAnsi="Amiri" w:eastAsia="Amiri" w:cs="Amiri"/>
          <w:color w:val="111111"/>
          <w:sz w:val="28"/>
          <w:sz w:val="28"/>
          <w:szCs w:val="28"/>
          <w:rtl w:val="true"/>
          <w:lang w:bidi="ar-SA"/>
        </w:rPr>
        <w:t>والأصل في العقيدة بالمهديّة، وظهور الإسلام على جميع الأديان، وانتهاء العالم في سيره إلى حكومة الإسلام وحكومة أحكام الله، ووحدة القوانين والأنظمة، وخلافة المؤمنين الصالحين في الأرض، وتبديل خوف البشرية بالأمن، وزوال الاستضعاف بكلِّ صوره ومظاهره، هو ما كان في نفس دعوة الإسلام وعقيدة التوحيد وكلمة الإخلاص من القوَّة المبدئية للقضاء على جميع مظاهر الشرك والاستكبار، ولتحرير الإنسان من سلطان</w:t>
      </w:r>
    </w:p>
    <w:p>
      <w:pPr>
        <w:pStyle w:val="BookText"/>
        <w:rPr/>
      </w:pPr>
      <w:r>
        <w:rPr>
          <w:rFonts w:ascii="Amiri" w:hAnsi="Amiri" w:eastAsia="Amiri" w:cs="Amiri"/>
          <w:color w:val="111111"/>
          <w:sz w:val="28"/>
          <w:sz w:val="28"/>
          <w:szCs w:val="28"/>
          <w:rtl w:val="true"/>
          <w:lang w:bidi="ar-SA"/>
        </w:rPr>
        <w:t>الطواغيت، وإخراج البشرية من ذلِّ عبادة الناس إلى عزِّ عبادة 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نرى من أنّ العالم ينحو في سيره لإقامة مجتمع بشريّ عالميّ، </w:t>
      </w:r>
    </w:p>
    <w:p>
      <w:pPr>
        <w:pStyle w:val="BookText"/>
        <w:rPr/>
      </w:pPr>
      <w:r>
        <w:rPr>
          <w:rFonts w:ascii="Amiri" w:hAnsi="Amiri" w:eastAsia="Amiri" w:cs="Amiri"/>
          <w:color w:val="111111"/>
          <w:sz w:val="28"/>
          <w:sz w:val="28"/>
          <w:szCs w:val="28"/>
          <w:rtl w:val="true"/>
          <w:lang w:bidi="ar-SA"/>
        </w:rPr>
        <w:t>وإدغام المجتمعات بعضها ببعض، وتقليل الفوارق السياسية والاجتماعية من الطبقية والعنصرية، والعلم والتقدّم الصناعي، أتاح للبشرية أن تكون جملة واحدة، وأن تكون الملل ملّةً واحدةً، وتوسيع العلاقات والروابط بين الملل والأقوام، جعلهم كأهل بلد واحد ومحلّة واحدة، فكما خلّف البشرية المجتمعات القبلية، ووصلت في سيرها إلى المجتمعات المدنية الّتي تأسّست على أساس دويلات ومناطق موزّعة من حيث اللغة، أو على أساس منافع سياسية أو اقتصادية أو عنصرية، وترغب كلّ واحدة منها في التغلّب والسلطة والسيطرة على غيرها، فالاُمّة الكبيرة سوف تتخلّص دوماً من هذه الحكومات والوحدات الصغيرة فتصبح وحدةً كبرى وحكومةً إلهية عالميةً عظمى، لا تخصّ بفرد وطائفة ومنطقة وعنصر دون آخر، بل حكومة الإسلام الّتي تشمل الجميع، والجميع فيها سواء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وعد الله به المؤمنين والبشرية جمعاء في الكتاب المجيد، وبشَّرنا به على لسان أنبيائه ورسله، وما أخبَرنا به نبيُّنا الصادق الأمين’، فكما آمنّا بكلّ ما أخبرنا به من المغيّبات، وآمنّا بملائكة الله وكتبه ورسله، وما ثبت إخباره به من تفاصيل المعاد والجنّة والنار وغير ذلك من اُمور لا يمكن إثبات أصلها أو تفصيلاتها إلّا بالوحي وإخبار النبيّ’، آمنّا </w:t>
      </w:r>
    </w:p>
    <w:p>
      <w:pPr>
        <w:pStyle w:val="BookText"/>
        <w:rPr/>
      </w:pPr>
      <w:r>
        <w:rPr>
          <w:rFonts w:ascii="Amiri" w:hAnsi="Amiri" w:eastAsia="Amiri" w:cs="Amiri"/>
          <w:color w:val="111111"/>
          <w:sz w:val="28"/>
          <w:sz w:val="28"/>
          <w:szCs w:val="28"/>
          <w:rtl w:val="true"/>
          <w:lang w:bidi="ar-SA"/>
        </w:rPr>
        <w:t>بذلك أيضاً، ونسأل الله الثبات عليه وعلى جميع مبادئنا الإسلامية، والاعتقادات الصحيحة القويمة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643_100102"/>
      <w:bookmarkStart w:id="22" w:name="pg10643_100102"/>
      <w:bookmarkEnd w:id="22"/>
    </w:p>
    <w:p>
      <w:pPr>
        <w:pStyle w:val="Heading2"/>
        <w:numPr>
          <w:ilvl w:val="1"/>
          <w:numId w:val="1"/>
        </w:numPr>
        <w:rPr/>
      </w:pPr>
      <w:bookmarkStart w:id="23" w:name="pg10643_100102"/>
      <w:bookmarkStart w:id="24" w:name="__RefHeading___Toc3512853_372815092"/>
      <w:bookmarkStart w:id="25" w:name="_Toc8"/>
      <w:bookmarkEnd w:id="23"/>
      <w:bookmarkEnd w:id="24"/>
      <w:r>
        <w:rPr>
          <w:rtl w:val="true"/>
        </w:rPr>
        <w:t>الكتب المفردة في المهديّة</w:t>
      </w:r>
      <w:bookmarkEnd w:id="25"/>
    </w:p>
    <w:p>
      <w:pPr>
        <w:pStyle w:val="Heading3"/>
        <w:numPr>
          <w:ilvl w:val="2"/>
          <w:numId w:val="1"/>
        </w:numPr>
        <w:rPr/>
      </w:pPr>
      <w:bookmarkStart w:id="26" w:name="__RefHeading___Toc3512855_372815092"/>
      <w:bookmarkStart w:id="27" w:name="_Toc9"/>
      <w:bookmarkEnd w:id="26"/>
      <w:r>
        <w:rPr>
          <w:rtl w:val="true"/>
        </w:rPr>
        <w:t>اشارة</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 علماء الإسلام بأحاديث المهديّ وإخراجها وتحقيقها وتثبيت الإيمان بها في القلوب اهتماماً كبيراً، فمضافاً إلى إخراجها في كتب السُّنن والجوامع والمسانيد وغيرها أفردوا فيما جاء فيه من الأحاديث والآثار كتباً كثيرة، وقفتُ على ما يربو على الثلاثين ممّا أفرده أكابر أهل السنّة في ذلك،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البيان في أخبار صاحب الزمان والقول المختصر في علامات المهديّ المنتظر وعقد الدُرَر والعُرف الوَرديّ وغيرها من الكتب الّتي أقلّ ما يثبت بها هو أنّ العقيدة بالمهديّة عقيدة إسلامية، أصلها ثابت في الكتاب والسنّة، وأنّها عقيدة جميع السلف والصحابة والتابعين، لا تختصُّ بفِرقة من فِرق المسلمين، وهي أحد البراهين على ختم رسالات السماء بنبيِّنا محمد خاتم الأنبياء’، وأنّ شريعته لا تُنسَخ أبداً، وأنّ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اختار أبو داود في سننه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ودلّت عليه الأحاديث الصحيحة</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الثاني عشر، الّذين بشّر الرسول الأعظم الاُمّة بهم في الأحاديث المرويّة بطرق كثيرة في المسند والصحيحين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الاطّلاع على قوّة ما استند عليه المسلمون في العقيدة بالمهديّة، وكثرة أحاديثها ومخرّجيها، واشتهارها بين علماء المسلمين فليراجع كتب الجوامع والسنن والمسانيد والتفاسير والتاريخ والرجال واللغة وغيرها، ليعرف أنّ استقصاء هذه الأحاديث والكتب المخرّجة فيها صعب جدّاً، ونحن نسرد الكلام فيما جاء في كتاب واحد حول هذا الموضوع كنموذج منها، ودليل على كثرة ما في غيره، وهو كتاب البرهان في علامات مهديّ آخر الزمان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بحول الله تعالى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والمؤلّف، فهما غنيّان عن التعريف؛ لأنّ الكتاب معروف، توجد نسخه المخطوطة في عدّة من المكتبات الكبيرة، وطبع أخيراً من النسخة الفتوغرافية الّتي مخطوطتها محفوظة في مكتبة المسجد الحرام بمكّة المكرّمة، ورأيت نسخةً مخطوطةً منه ومحفوظة في مكتبة جامع المغفور له الإمام البروجردي بقم</w:t>
      </w:r>
      <w:r>
        <w:rPr>
          <w:rFonts w:eastAsia="Amiri" w:cs="Amiri" w:ascii="Amiri" w:hAnsi="Amiri"/>
          <w:color w:val="111111"/>
          <w:sz w:val="28"/>
          <w:szCs w:val="28"/>
          <w:rtl w:val="true"/>
          <w:lang w:bidi="ar-SA"/>
        </w:rPr>
        <w:t xml:space="preserve">. </w:t>
      </w:r>
      <w:bookmarkStart w:id="28" w:name="pg10643_100104"/>
    </w:p>
    <w:p>
      <w:pPr>
        <w:pStyle w:val="BookText"/>
        <w:rPr/>
      </w:pPr>
      <w:bookmarkEnd w:id="28"/>
      <w:r>
        <w:rPr>
          <w:rFonts w:ascii="Amiri" w:hAnsi="Amiri" w:eastAsia="Amiri" w:cs="Amiri"/>
          <w:color w:val="111111"/>
          <w:sz w:val="28"/>
          <w:sz w:val="28"/>
          <w:szCs w:val="28"/>
          <w:rtl w:val="true"/>
          <w:lang w:bidi="ar-SA"/>
        </w:rPr>
        <w:t>وأمّا مؤلّفه فهو العالم الكبير المحدّث عليّ بن حسام الدين بن عبد الملك المتّقي الشاذلي المدينيّ الهنديّ، المتوفّى سنة سبع وسبعين وتسعمائة، مشهور، ترجمته موجودة في كتب التراجم، كما أنّها مذكورة في مقدّمة النسخة المطبوعة من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هذا الكتاب ممّا أردنا الاطّلاع عليه جملةً فهي أسماء المشايخ والمحدّثين وأرباب الجوامع والسنن والمسانيد، الّذين خرّجوا هذه الأحاديث في كتبهم، وأخرجها مؤلّف هذا الكتاب عنهم، وأسماء جماعة من المشاهير والتابعين الّذين رووا هذه الأحاديث والآثار، وأسماء جمع من الصحابة الّذين رووها</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أسماؤهم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512857_372815092"/>
      <w:bookmarkStart w:id="30" w:name="_Toc10"/>
      <w:bookmarkEnd w:id="29"/>
      <w:r>
        <w:rPr>
          <w:rtl w:val="true"/>
        </w:rPr>
        <w:t>أسماء المشايخ وأرباب الجوامع</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 أحد شيوخ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اُسامة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سفيان الشيباني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سعيد الداني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الحربي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المقري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المناوي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غنم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الإسكافي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أحمد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الآبري</w:t>
      </w:r>
      <w:r>
        <w:rPr>
          <w:rFonts w:eastAsia="Amiri" w:cs="Amiri" w:ascii="Amiri" w:hAnsi="Amiri"/>
          <w:color w:val="111111"/>
          <w:sz w:val="28"/>
          <w:szCs w:val="28"/>
          <w:rtl w:val="true"/>
          <w:lang w:bidi="ar-SA"/>
        </w:rPr>
        <w:t xml:space="preserve">. </w:t>
      </w:r>
      <w:bookmarkStart w:id="31" w:name="pg10643_100107"/>
    </w:p>
    <w:p>
      <w:pPr>
        <w:pStyle w:val="BookText"/>
        <w:rPr/>
      </w:pPr>
      <w:bookmarkEnd w:id="31"/>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أحمد بن محمد بن عبد الله بن صدقة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512859_372815092"/>
      <w:bookmarkStart w:id="33" w:name="_Toc11"/>
      <w:bookmarkEnd w:id="32"/>
      <w:r>
        <w:rPr>
          <w:rtl w:val="true"/>
        </w:rPr>
        <w:t>أسماء المشاهير من التابعين وغيرهم</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عمرو 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عليّ الباقر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علقمة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أرطاة بن منذر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بن عُيينة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طلحة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أرطاة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ضمرة بن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بن 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bookmarkStart w:id="34" w:name="pg10643_100109"/>
    </w:p>
    <w:p>
      <w:pPr>
        <w:pStyle w:val="BookText"/>
        <w:rPr/>
      </w:pPr>
      <w:bookmarkEnd w:id="34"/>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شوذب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دينار بن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صامت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ميسرة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اُميّة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512861_372815092"/>
      <w:bookmarkStart w:id="36" w:name="_Toc12"/>
      <w:bookmarkEnd w:id="35"/>
      <w:r>
        <w:rPr>
          <w:rtl w:val="true"/>
        </w:rPr>
        <w:t>أسماء الصحابة والصحابيّات</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اُبَيُّ بن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الصدفي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حبيبة</w:t>
      </w:r>
      <w:r>
        <w:rPr>
          <w:rFonts w:eastAsia="Amiri" w:cs="Amiri" w:ascii="Amiri" w:hAnsi="Amiri"/>
          <w:color w:val="111111"/>
          <w:sz w:val="28"/>
          <w:szCs w:val="28"/>
          <w:rtl w:val="true"/>
          <w:lang w:bidi="ar-SA"/>
        </w:rPr>
        <w:t xml:space="preserve">. </w:t>
      </w:r>
      <w:bookmarkStart w:id="37" w:name="pg10643_100112"/>
    </w:p>
    <w:p>
      <w:pPr>
        <w:pStyle w:val="Heading2"/>
        <w:numPr>
          <w:ilvl w:val="1"/>
          <w:numId w:val="1"/>
        </w:numPr>
        <w:rPr/>
      </w:pPr>
      <w:bookmarkStart w:id="38" w:name="__RefHeading___Toc3512863_372815092"/>
      <w:bookmarkStart w:id="39" w:name="_Toc13"/>
      <w:bookmarkEnd w:id="37"/>
      <w:bookmarkEnd w:id="38"/>
      <w:r>
        <w:rPr>
          <w:rtl w:val="true"/>
        </w:rPr>
        <w:t>أربعون حدیثاً في العقیدة بالمهدیة</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بعد ذلك رأينا لمزيد بصيرة القارئ، ولعدم خلوّ هذه الرسالة من متون هذه الأحاديث، ولأجل كسب الثواب الموعود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اُمَّتِي،</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اُمَّتِي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أربعين حديثاً من أحاديث هذا الكتاب الّتي تربو على مائتين، في هذه الرسالة فيما يلي، وما توفيقي إلّا بالله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أحمد</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شيبة</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ونعيم بن حمّاد، في الفتن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داود وابن ماجة والطبراني والحاكم،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وابن ماجة وأبو نعيم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سَبْعَةُ وُلْدِ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وَعَلِيٌّ، وَجَعْفَرٌ، وَالْحَسَنُ، وَالْحُسَيْنُ، وَالْمَهْدِيُّ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 وصحّحه،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يَلِيَ الْمَهْديُّ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الأوسط من طريق عمرو بن عليّ،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الْمَهْديُّ أَمْ مِنْ غَيْرِنَا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يَخْتَمَ اللهُ، كَمَا بِنَا فَتَحَ، وَبِنَا يُسْتَنْقَذُونَ مِنَ الشِّرْكِ، وَبِنَا يُؤَلِّفُ اللهُ بَيْنَ قُلُوبِهِمْ بَعْدَ عَدَاوَةِ الشِّرْكِ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بن حمّاد، وأبو نعيم من طريق مكحول،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أَمِنَّا آلَ مُحَمَّدٍ الْمَهْدِيُّ أَمْ مِنْ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يَخْتِمُ اللهُ بِهِ الدِّينَ كَمَا فَتَحَ، بِنَا يُنْقَذُونَ مِنَ الْفِتْنَةِ كَمَا أُنْقِذُوا مِنَ الشِّرْكِ، وَبِنَا يُؤَلِّفُ اللهُ بَيْنَ قُلُوبِهِمْ، وَبِناَ يُصْبِحوُنَ بَعْدَ عَدَاوَةِ الْفِتْنَةِ إِخْوَانًا،كَمَا أَصْبَحُوا بَعْدَ عَدَاوَةِ الشِّرْكِ إِخْوَاناً فِي دِينِهِم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الحارث بن أبي اُسامة وأبو نعيم،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لَتُمْلَأَنَّ الْأَرْضُ ظُلْماً وَعُدْوَاناً ثُمَّ لَيَخْرُجَنَّ رَجُلٌ مِنْ أَهْلِ بَيْتِي حَتَّى يَمْلَأَهَا قِسْطاً وَعَدْلًا كَمَا مُلِئَتْ عُدْوَاناً وَظُلْماً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 في الكبير، وأبو نعيم،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أَهْلِ بَيْتِي يُوَاطِئُ اسْمُهُ اسْمِي، وَخُلُقُهُ خُلُقِي، يَمْلَأُهَا قِسْطاً وَعَدْلًا کَماَ مُلِئَتْ ظُلْماً وَجَوْراً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الْأُمَّةِ مِنْ مُلُوكٍ جَبَابِرَةٍ كَيْفَ يَقْتَتِلوُنَ وَيُخِيفُونَ الْمُطِيعِينَ إِلَّا مَنْ أَظْهَرَ طَاعَتَهُمْ فَالْمُؤْمِنُ التَّقِيُّ لَيُصَانِعُهُمْ بِلِسَانِهِ وَيَفِرُّ مِنْهُمْ بِقَلْبِهِ وَجَنَانِهِ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عَزَّ وَجَلَّ أَنْ يُعِيدَ الْإِسْلَامَ عَزِيزاً قَصَمَ كُلَّ جَبَّارٍ عَنِيدٍ، وَهُوَ الْقَادِرُ عَلَى مَا يَشَاءُ أَنْ يُصْلِحَ أُمَّةً بَعْدَ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يَمْلِكَ مِنْ أَهْلِ بَيْتِي رَجُلٌ، تَجْري الْمَلَاحِمُ عَلَى يَدَيْهِ وَيُظْهِر الْإِسْلَامَ لَا يُخْلِفُ وَعْدَهُ، وَهُوَ سَرِيعُ الْحِساب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الحسن بن سفيان وأبو نعيم،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لَيَمْلِكُ فيهَا رَجُلٌ مِنْ أَهْلِ بَيْتي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الروياني في مسنده، وأبو نعيم،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 لَوْنُهُ لَوْنٌ عَرَبِيٌّ، وَجِسْمُهُ جِسْمٌ إِسْرَائِيلِيٌّ، عَلَى خَدِّهِ الْأَيْمَنِ خَالٌ كَأَنَّهُ كَوْكَبٌ دُرِّيٌّ، يَمْلَأُ الْأَرْضَ عَدْلًا كَمَا مُلِئَتْ جَوْراً وَظُلْماً، يَرْضَى فِي خِلَافَتِهِ أَهْلُ الْأَرْضِ وَأَهْلُ السَّمَاءِ وَالطَّيْرُ فِي الْجَوِّ</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نعيم،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الْمَهْدِيُّ مِنْ وُلْدِكِ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فَاطِمَةُ، الْمَهْدِيّ مِنْكِ</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في الكبير، وأبو نعيم، عن الهلال</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بَعَثَنِي بِالْحَقِّ مِنْهُمَا يَعْني الْحَسَنُ وَالْحُسَيْنُ مَهْدِيُّ هَذِهِ الْأُمَّةِ إِذَا صَارَتِ الدُّنْيَا هَرْجاً وَمَرْجاً، وَتَظَاهَرَتِ الْفِتَنُ، وَتَقَطَّعَتِ السُّبُلُ، وَأَغَارَ بَعْضُهُمْ عَلَى بَعْضٍ فَلَا كَبِيرٌ يَرْحَمُ صَغِيراً، وَلَا صَغِيرٌ يُوَقِّرُ كَبِيراً، يَبْعَثُ اللهُ عِنْدَ ذَلِكَ مِنْهُمَا مَنْ يَفْتَحُ حُصُونَ الضَّلَالَةِ </w:t>
      </w:r>
    </w:p>
    <w:p>
      <w:pPr>
        <w:pStyle w:val="BookText"/>
        <w:rPr/>
      </w:pPr>
      <w:r>
        <w:rPr>
          <w:rFonts w:ascii="Amiri" w:hAnsi="Amiri" w:eastAsia="Amiri" w:cs="Amiri"/>
          <w:color w:val="111111"/>
          <w:sz w:val="28"/>
          <w:sz w:val="28"/>
          <w:szCs w:val="28"/>
          <w:rtl w:val="true"/>
          <w:lang w:bidi="ar-SA"/>
        </w:rPr>
        <w:t>وَقُلُوباً غُفْلاً يَقُومُ بِالدِّينِ فِي آخِرِ الزَّمَانِ كَمَا قُمْتُ بِهِ فِي أَوَّلِ الزَّمَانِ، وَيَمْلَأُ الدُّنْيَا عَدْلًا كَمَا مُلِئَتْ جَوْراً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وعائشة،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عِتْرَتِي، يُقَاتِلُ عَلَى سُنَّتِي</w:t>
      </w:r>
    </w:p>
    <w:p>
      <w:pPr>
        <w:pStyle w:val="BookText"/>
        <w:rPr/>
      </w:pPr>
      <w:r>
        <w:rPr>
          <w:rFonts w:ascii="Amiri" w:hAnsi="Amiri" w:eastAsia="Amiri" w:cs="Amiri"/>
          <w:color w:val="111111"/>
          <w:sz w:val="28"/>
          <w:sz w:val="28"/>
          <w:szCs w:val="28"/>
          <w:rtl w:val="true"/>
          <w:lang w:bidi="ar-SA"/>
        </w:rPr>
        <w:t>كَمَا قَاتَلْتُ أَنَا عَلَى الْوَحْيِ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مِنَّا، مِنْ وُلْدِ فَاطِمَةَ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فِتْنَةٌ غَبْرَاءُ مُظْلِمَةٌ، تَتْبَعُ الْفِتَنُ بَعْضُهَا بَعْضاً، حَتَّى يَخْرُجَ رَجُلٌ مِنْ أَهْلِ بَيْتي يُقَالُ لَهُ الْمَهْدِيُّ، فَإِنْ أَدْرَكْتَهُ فَاتَّبِعْهُ، وَكُنْ مِنَ الْمُهْتَدينَ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الداني،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أنّه سيخرج منكم رجل يعدل في هذه الاُمّة،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نَرْجوُ مَا يَرْجُو النَّاسُ، وَإِنَّا نَرْجُو لَوْ لَمْ يَبْقَ مِنَ الدُّنْيَا إِلّا يَوْمٌ لَطَوَّلَ اللهُ ذَلِكَ الْيَوْمَ </w:t>
      </w:r>
    </w:p>
    <w:p>
      <w:pPr>
        <w:pStyle w:val="BookText"/>
        <w:rPr/>
      </w:pPr>
      <w:r>
        <w:rPr>
          <w:rFonts w:ascii="Amiri" w:hAnsi="Amiri" w:eastAsia="Amiri" w:cs="Amiri"/>
          <w:color w:val="111111"/>
          <w:sz w:val="28"/>
          <w:sz w:val="28"/>
          <w:szCs w:val="28"/>
          <w:rtl w:val="true"/>
          <w:lang w:bidi="ar-SA"/>
        </w:rPr>
        <w:t>حَتَّى يَكُونَ مَا تَرْجُو هَذِهِ الاُمَّةُ، وَقَبْلَ ذَلكَ فِتَنٌ شَرُّ فِتْنَةٍ، يُمْسِي الرَّجُلُ مُؤْمِناً وَيُصْبِحُ كَافِراً، وَيُصْبِحُ مُؤْمِناً وَيُمْسِي كَافِراً، فَمَنْ أَدْرَكَ ذَلِكَ مِنْكُمْ فَلْيَتَّقِ اللهَ، وَلْيَكُنْ مِنْ أَحْلَاسِ بَيْتِهِ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 النَّفْسُ الزَّكِيَّةُ، وَأَخُوهُ يُقْتَلُ بِمَكَّةَ ضَيْعَةً،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أَميرَكُمْ فُلَانٌ، وَذَلِكَ الْمَهْدِيُّ، الَّذِي يَمْلَأُ الْأَرْضَ حَقّاً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 في الأوسط، عن طلحة بن عبيد الله،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لَا يَهْدَأُ مِنْهَا جَانِبٌ إِلَّا جَاشَ مِنْهَا جَانِبٌ،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أَميرَكُمْ فُلَانٌ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نعيم، والخطيب في تلخيص المتشابه،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مَهْدِيٌّ فَاتَّبِعُوهُ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الْحَقَّ فِي آلِ مُحَمَّدٍ، فَعِنْدَ ذَلِكَ يَظْهَرُ الْمَهْدِيُّ عَلَى أَفْوَاهِ النَّاسِ، وَيُشْرَبُونَ حُبَّهُ، وَلَا يَكُونُ لَهُمْ ذِكْرٌ غَيْرُهُ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إِنَّ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فَاسْمَعوُا لَهُ، أَطيعوُهُ فِي سَنَةِ الصَّوْتِ الْمَعْمَعَةِ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بِالْمَغْرِبِ، وَرَايَةٌ بِالْجَزِيرَةِ، وَرَايَةٌ بِالشَّامِ، تَدُومُ الْفِتْنَةُ بَيْنَهُمْ سَنَة ثُمَّ ذَكَرَ خُرُوجَ السُّفْيَانِي وَمَا يَفْعَلُهُ مِنَ الْظُلْمِ وَالْجَور، ثُمَّ ذَكَرَ خُرُوجَ الْمَهْدِيِّ وَمُبَايَعَةَ النَّاسِ لَهُ بَيْنَ الرُّكْنِ وَالْمَقَامِ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بِالْجُيوُشِ حَتَّى يَسُيرَ بِوَادِي الْقُرَى فِي هُدُوءٍ وَرِفْقٍ، وَيَلْحَقَهُ هُنَاكَ ابْنُ عَمِّهِ الْحَسَنِيُّ فِي اثْنَيْ عَشَرَ أَلْفِ فَارِسٍ،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أَنَا أَحَقُّ بِهَذَا الْجَيْشِ مِنْكَ، أَنَا ابْنُ الْحَسَنِ وَأَنَا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آيَةٍ فَاُبَايِعَكَ؟</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فَيَوْمِئُ الْمَهْدِيُّ إِلَى الطَّيْرِ فَيَسْقَطُ عَلَى يَدَيْهِ، وَيَغْرِسُ قَضيباً فِي بُقْعَةٍ مِنَ الْأَرْضِ فَيَخْضَرُّ وَيُورِقُ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عَمِّي، </w:t>
      </w:r>
    </w:p>
    <w:p>
      <w:pPr>
        <w:pStyle w:val="BookText"/>
        <w:rPr/>
      </w:pP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وأبو نعيم،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عِنْدَ انْقِطَاعٍ مِنَ الزَّمَانِ وَظُهُورٍ مِنْ الْفِتَنِ رَجُلٌ يُقَالُ لَهُ الْمَهْدِيُّ، يَكُونُ عَطَاؤُهُ حَثِيّاً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يَکُونُ عِنْدَ انْقِطَاعٍ مِنَ الزَّمَانِ، لَيَبْعَثَنَّ اللهُ مِنْ عِتْرَتِي رَجُلاً أَفْرَقَ الثَّنَايَا، أَجْلَى الْجَبْهَةِ، يَمْلَأُ الْأَرْضَ عَدْلًا يُفِيضُ الْمَالَ فَيْضاً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ومسلم، عن أبي سعيد وجابر، عن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حذيفة بن اليمان، عن النبيّ’ في قضيّة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ومبايعته بين الركن والمقام، وخروجه متوجّهاً إلى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وَجَبْرَائيلُ عَلَى مُقَدِّمَتِهِ، وَميكَائيلُ عَلَى سَاقَتِهِ، يَفْرَحُ بِهِ أَهْلُ السَّمَاءِ وَالْأَرْضِ، وَالطَّيْرُ وَالْوَحْشُ، وَالْحيتَانُ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w:t>
      </w:r>
    </w:p>
    <w:p>
      <w:pPr>
        <w:pStyle w:val="BookText"/>
        <w:rPr/>
      </w:pPr>
      <w:r>
        <w:rPr>
          <w:rFonts w:ascii="Amiri" w:hAnsi="Amiri" w:eastAsia="Amiri" w:cs="Amiri"/>
          <w:color w:val="111111"/>
          <w:sz w:val="28"/>
          <w:sz w:val="28"/>
          <w:szCs w:val="28"/>
          <w:rtl w:val="true"/>
          <w:lang w:bidi="ar-SA"/>
        </w:rPr>
        <w:t>وعثمان بن سعيد المقري في سُننه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والباوردي في المعرفة، وأبونعيم،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بُشْراكُمْ بِالْمَهْدِيِّ رَجُلٌ مِنْ قُرَيْشٍ مِنْ أُمَّتِي عَلَى اخْتِلَافٍ مِنَ النَّاسِ وَزَلَازِلَ، فَيَمْلَأُ الْأَرْضَ قِسْطاً وَعَدْلاً كَمَا مُلِئَتْ جَوْراً وَظُلْماً، وَيَرْضَى عَنْهُ سَاكِنُ السَّمَاءِ وَسَاكِنُ الْأَرْضِ، وَيُقَسِّمُ الْمَالَ صِحَاحاً بِالسَّوِيةِ بَيْنَ النَّاسِ، يَمْلَأُ قُلُوبَ أُمَّةِ مُحَمَّدٍ غِنًى وَيَسَعُهُمْ عَدْلُهُ حَتَّى أَنَّهُ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فَمَا يَأْتيهِ أَحَدٌ إِلَّا رَجُلٌ وَاحِدٌ، يَأْتِيهِ يَسْأَلُهُ،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السَّادِنَ يُعْطيكَ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فَيُحْثي، فَلاَ يَسْتَطيِعُ أَنْ يَحْمِلَهُ، فَيَخْرُجُ بِهِ فَيَنْدَمُ،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کُنْتُ أَجْشَعَ أُمَّةِ مُحَمَّدٍ نَفْساً، کُلُّهُمْ دُعِي إِلی هَذاَ المَالِ فَتَرَکَهُ غَيْري، فَيَرُدُّهُ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شَيْئاً أَعْطَيْنَاهُ، فَيَلْبَثُ فِي ذَلِكَ سِتّاً أَوْ سَبْعاً أَوْ تِسْعَ سِنِينَ وَلَا خَيْرَ فِي الْحَياةِ بَعْدَهُ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يعنی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عن أبي سعيد،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أَجْلَى الْجَبْهَةِ، أَقْنَى الْأَنْفِ</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بن حمّاد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 مِنْهَا فِتْنَةُ الْأَحْلَاسِ، يَكُونُ فيهَا حَرْبٌ وَهَرْبٌ، ثُمَّ بَعْدَهَا فِتْنَةٌ أَشَدُّ مِنْهَا، ثُمَّ تَكُونُ فِتْنَةٌ كُلَّمَا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تَمَادَّتْ حَتَّى لَا يَبْقَى بَيْتٌ إِلَّا دَخَلَتْهُ، وَلَا مُسْلِمٌ إِلَّا مَلَّتْهُ حَتَّى يَخْرُجَ رَجُلٌ مِنْ عِتْرَتِي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نعيم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يُقْتَلَ ثُلْثٌ، وَيَمُوتَ ثُلْثٌ، وَيَبْقَى ثُلْثٌ</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رجل من 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لَا يَخْرُجُ حَتَّى تُقْتَلَ النَّفْسُ الزَّكِيَّةُ، فَإِذَا قُتِلَتِ النَّفْسُ الزَّكِيَّةُ غَضِبَ عَلَيْهِمْ مَنْ فِي السَّمَاءِ وَمَنْ فِي الْأَرْضِ، فَأَتَى النَّاسَ، فَزَفَّوْهُ كَمَا تُزَفُّ الْعَرُوسُ إِلَى زَوْجِهَا لَيْلَةَ عُرْسِهَا، وَهُوَ يَمْلَأُ الْأَرْضَ قِسْطاً وَعَدْلاً، وَتَخْرُجُ الْأَرْضُ نَبَاتَهَا، وَتُمْطِرُ السَّمَاءُ مَطَرَهَا، وَتُنَعِّمُ اُمَّتِي فِي وِلَايَتِهِ نِعْمَةً لَمْ تُنَعِّمُهَا قَطُّ</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عمرو الداني في سننه،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يَلْتَفِتُ الْمَهْدِيُّ وَقَدْ نَزَلَ عِيسَى ابْنُ مَرْيَمَ كَأَنَّمَا يَقْطُرُ مِنْ شَعْرِهِ الُمَاءُ، فَيَقُولُ الْمَهْدِيُّ تَقَدَّمْ، صَلِّ بِالنَّاسِ فَيَقُولُ عِيسَى إِنَّمَا أُقِيمَتِ الصَّلَاةُ لَكَ، فَيُصَلِّي خَلْفَ رَجُلٍ مِنْ وُلْدِي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الأوسط، والحاكم،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الرَّجُلَ بَيْنَ الرُّكْنِ وَالْمَقَامِ عِدَّةُ أَهْلِ بَدْرٍ، فَيَأْتيِهِ عَصَائِبُ أَهْلِ الْعِرَاقِ وَأَبْدَالُ أَهْلِ الشَّامِ، فَيَغْزُوهُ جَيْشٌ مِنْ أَهْلِ الشَّامِ حَتَّى انْتَهَوْا بِالْبَيْدَاءِ خَسْفٌ بِهِمْ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الحنفيّة، قال</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رجل عن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تِسْعاً،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يَخْرُجُ فِي آخِرِ الزَّمَانِ،</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قيلَ،</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لَهُ قَوْماً قَزَعاً كَقَزَعِ السَّحَابِ يُؤَلِّفُ بَيْنَ قُلُوبِهِمْ، </w:t>
      </w:r>
    </w:p>
    <w:p>
      <w:pPr>
        <w:pStyle w:val="BookText"/>
        <w:rPr/>
      </w:pPr>
      <w:r>
        <w:rPr>
          <w:rFonts w:ascii="Amiri" w:hAnsi="Amiri" w:eastAsia="Amiri" w:cs="Amiri"/>
          <w:color w:val="111111"/>
          <w:sz w:val="28"/>
          <w:sz w:val="28"/>
          <w:szCs w:val="28"/>
          <w:rtl w:val="true"/>
          <w:lang w:bidi="ar-SA"/>
        </w:rPr>
        <w:t>لَا يَسْتَوْحَشوُنَ عَلَى أَحَدٍ، وَلَا يَفْرَحوُنَ بِأَحَدٍ، دَخَلَ فيهِمْ عَلَى عِدَّةِ أَصْحَابِ بَدْرٍ، لَمْ يَسْبِقُهُمُ الْأَوَّلوُنَ وَلَا يُدْرِكُهُمُ الْآخِرُونَ، وَعَلَى عَدَدِ أَصْحَابِ طَالوُتَ الَّذِينَ جَاوَزوُا النَّهْرَ مَعَهُ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ماجة، والطبراني، عن عبد الله بن حارث ابن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فَيُوَطِّئُونَ لِلْمَهْدِيِّ سُلْطَانَهُ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غنم الكوفي في كتاب الفتن،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وَيْحاً لِلطَّالِقَانِ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بِهَا كُنُوزاً لَيْسَتْ مِنْ ذَهَبٍ وَلَا فِضَّةٍ وَلَكِنْ بِهَا رِجَالٌ عَرَفُوا اللهَ حَقَّ مَعْرِفَتِهِ وَهُمْ أَنْصَارُ الْمَهْدِيِّ فِي آخِرِ الزَّمَانِ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بكر الإسكافي في فوائد الأخبار،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كَذَّبَ بِالدَّجَّالِ فَقَدْ كَفَرَ، وَمَنْ كَذَّبَ </w:t>
      </w:r>
    </w:p>
    <w:p>
      <w:pPr>
        <w:pStyle w:val="BookText"/>
        <w:rPr/>
      </w:pPr>
      <w:r>
        <w:rPr>
          <w:rFonts w:ascii="Amiri" w:hAnsi="Amiri" w:eastAsia="Amiri" w:cs="Amiri"/>
          <w:color w:val="111111"/>
          <w:sz w:val="28"/>
          <w:sz w:val="28"/>
          <w:szCs w:val="28"/>
          <w:rtl w:val="true"/>
          <w:lang w:bidi="ar-SA"/>
        </w:rPr>
        <w:t>بِالْمَهْدِيِّ فَقَدْ كَفَرَ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 لله تعالى على ما شرَّفني بإخراج هذه الأربعين حديثاً من الأحاديث 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أراد التوسّع في ذلك فعليه بتتبّع كتب</w:t>
      </w:r>
    </w:p>
    <w:p>
      <w:pPr>
        <w:pStyle w:val="BookText"/>
        <w:rPr/>
      </w:pPr>
      <w:r>
        <w:rPr>
          <w:rFonts w:ascii="IRNazanin" w:hAnsi="IRNazanin" w:eastAsia="IRNazanin"/>
          <w:color w:val="111111"/>
          <w:sz w:val="28"/>
          <w:sz w:val="28"/>
          <w:szCs w:val="28"/>
          <w:rtl w:val="true"/>
          <w:lang w:bidi="fa-IR"/>
        </w:rPr>
        <w:t>المسانيد والجوامع، والموسوعات الكبيرة كالبحار والعوالم، وكتاب كمال الدين للصدوق، والغيبة للشيخ الطوسي، وكفاية الأثر وکتابنا منتخب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الخير،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bookmarkStart w:id="40" w:name="pg10643_100126"/>
    </w:p>
    <w:p>
      <w:pPr>
        <w:pStyle w:val="Heading2"/>
        <w:numPr>
          <w:ilvl w:val="1"/>
          <w:numId w:val="1"/>
        </w:numPr>
        <w:rPr/>
      </w:pPr>
      <w:bookmarkStart w:id="41" w:name="__RefHeading___Toc3512865_372815092"/>
      <w:bookmarkStart w:id="42" w:name="_Toc14"/>
      <w:bookmarkEnd w:id="40"/>
      <w:bookmarkEnd w:id="41"/>
      <w:r>
        <w:rPr>
          <w:rtl w:val="true"/>
        </w:rPr>
        <w:t>مصادر التحقیق</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الإختصاص، 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علامات مهديّ آخر الزمان، المتّقي الهندي، علاء 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الخيّام،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الأحوذي بشرح جامع الترمذي، المبارکفوري، محمد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الکتب العلمية،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وعقاب الأعمال،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الشريف الرضي،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ابن ماجة القزوينی، محمد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سليمان بن 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في الأحاديث الدينية، ابن أبي جمهور الأحسائي،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 الشهداء،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ابنحجر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ابن حمّاد المروزي، نعيم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الأستار عن وجه الغائب عن الأبصار، المحدث النوري، 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الصحيحين، الحاکم النيسابوري،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بن حنبل،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الأحاديث والآثار، ابن أبي شيبة الکوفي،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الصافي الگلپايگاني، لطف الله، مکتبة الصدر</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0643_100130"/>
      <w:bookmarkStart w:id="44" w:name="pg10643_100130"/>
      <w:bookmarkEnd w:id="44"/>
    </w:p>
    <w:p>
      <w:pPr>
        <w:pStyle w:val="Heading2"/>
        <w:numPr>
          <w:ilvl w:val="1"/>
          <w:numId w:val="1"/>
        </w:numPr>
        <w:rPr/>
      </w:pPr>
      <w:bookmarkStart w:id="45" w:name="pg10643_100130"/>
      <w:bookmarkStart w:id="46" w:name="__RefHeading___Toc3512867_372815092"/>
      <w:bookmarkStart w:id="47" w:name="_Toc15"/>
      <w:bookmarkEnd w:id="45"/>
      <w:bookmarkEnd w:id="46"/>
      <w:r>
        <w:rPr>
          <w:rtl w:val="true"/>
        </w:rPr>
        <w:t>الفهرس</w:t>
      </w:r>
      <w:bookmarkEnd w:id="47"/>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إيحاءات العقيدة بالمهديّة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الأصل في العقيدة بالمهديّة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الكتب المفردة في المهديّة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أسماء المشايخ وأرباب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أسماء المشاهير من التابعين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أسماء الصحابة والصحابيّات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أربعون حدیثاً في العقیدة بالمهدیة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643_100132"/>
      <w:bookmarkStart w:id="49" w:name="pg10643_100132"/>
      <w:bookmarkEnd w:id="49"/>
    </w:p>
    <w:p>
      <w:pPr>
        <w:pStyle w:val="Heading2"/>
        <w:numPr>
          <w:ilvl w:val="1"/>
          <w:numId w:val="1"/>
        </w:numPr>
        <w:rPr/>
      </w:pPr>
      <w:bookmarkStart w:id="50" w:name="pg10643_100132"/>
      <w:bookmarkStart w:id="51" w:name="__RefHeading___Toc3512869_372815092"/>
      <w:bookmarkStart w:id="52" w:name="_Toc16"/>
      <w:bookmarkEnd w:id="50"/>
      <w:bookmarkEnd w:id="51"/>
      <w:r>
        <w:rPr>
          <w:rtl w:val="true"/>
        </w:rPr>
        <w:t>آثار سماحة آية الله العظمى الصافي الگلپايگاني مدّ ظلّه الوارف</w:t>
      </w:r>
      <w:bookmarkEnd w:id="52"/>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نصّ الکتاب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في علامات مهديّ آخر الزمان،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المبارکفوري، تحفة الأحوذي،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الصدوق، ثواب الأعمال،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المفيد، الإختصاص،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الشافعي أنّه قال في هذه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ولهذا حكاية عجيبة عن أحمد بن حنبل تطلب من كتاب الأربعين للشيخ أبي الفتح محمد بن أحمد بن أبي الفوارس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في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شيبة الکوفي،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المروزي، الفتن،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يدلُّ على أنّ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دلّت عليه أخبار كثيرة ذكرناها في منتخب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نعيم، عن محمد بن الحنفيّة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معنى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عقد بيده تسعاً عدد الأئمّة التسعة من ولد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بلغ إلى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يخرج في آخر الزمان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كشف الأستار،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عبد الله الحاكم في مستدركه،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ومسلم، ولم يُخرِجاه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البرهان في علامات مهديّ آخر الزمان،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في علامات مهديّ آخر الزمان،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البرهان في علامات مهديّ آخر الزمان،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الهندي، البرهان في علامات مهديّ آخر الزمان،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الهندي، البرهان في علامات مهديّ آخر الزمان،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3.jpeg"/><Relationship Id="rId55" Type="http://schemas.openxmlformats.org/officeDocument/2006/relationships/image" Target="media/image3.jpeg"/><Relationship Id="rId56" Type="http://schemas.openxmlformats.org/officeDocument/2006/relationships/footer" Target="footer49.xml"/><Relationship Id="rId57" Type="http://schemas.openxmlformats.org/officeDocument/2006/relationships/image" Target="media/image4.jpeg"/><Relationship Id="rId58" Type="http://schemas.openxmlformats.org/officeDocument/2006/relationships/image" Target="media/image4.jpeg"/><Relationship Id="rId59" Type="http://schemas.openxmlformats.org/officeDocument/2006/relationships/footer" Target="footer50.xml"/><Relationship Id="rId60" Type="http://schemas.openxmlformats.org/officeDocument/2006/relationships/image" Target="media/image5.jpeg"/><Relationship Id="rId61" Type="http://schemas.openxmlformats.org/officeDocument/2006/relationships/image" Target="media/image5.jpeg"/><Relationship Id="rId62" Type="http://schemas.openxmlformats.org/officeDocument/2006/relationships/footer" Target="footer51.xml"/><Relationship Id="rId63" Type="http://schemas.openxmlformats.org/officeDocument/2006/relationships/image" Target="media/image6.jpeg"/><Relationship Id="rId64" Type="http://schemas.openxmlformats.org/officeDocument/2006/relationships/image" Target="media/image6.jpeg"/><Relationship Id="rId65" Type="http://schemas.openxmlformats.org/officeDocument/2006/relationships/footer" Target="footer52.xml"/><Relationship Id="rId66" Type="http://schemas.openxmlformats.org/officeDocument/2006/relationships/image" Target="media/image7.jpeg"/><Relationship Id="rId67" Type="http://schemas.openxmlformats.org/officeDocument/2006/relationships/image" Target="media/image7.jpeg"/><Relationship Id="rId68" Type="http://schemas.openxmlformats.org/officeDocument/2006/relationships/footer" Target="footer53.xml"/><Relationship Id="rId69" Type="http://schemas.openxmlformats.org/officeDocument/2006/relationships/image" Target="media/image8.jpeg"/><Relationship Id="rId70" Type="http://schemas.openxmlformats.org/officeDocument/2006/relationships/image" Target="media/image8.jpeg"/><Relationship Id="rId71" Type="http://schemas.openxmlformats.org/officeDocument/2006/relationships/footer" Target="footer54.xml"/><Relationship Id="rId72" Type="http://schemas.openxmlformats.org/officeDocument/2006/relationships/image" Target="media/image9.jpeg"/><Relationship Id="rId73" Type="http://schemas.openxmlformats.org/officeDocument/2006/relationships/image" Target="media/image9.jpeg"/><Relationship Id="rId74" Type="http://schemas.openxmlformats.org/officeDocument/2006/relationships/footer" Target="footer55.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56.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5472</Words>
  <Characters>25691</Characters>
  <CharactersWithSpaces>30675</CharactersWithSpaces>
  <Paragraphs>616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2026-08-27T07:44:32Z</dcterms:created>
  <dc:creator>ghaemiyeh.com</dc:creator>
  <dc:description/>
  <dc:language>en-US</dc:language>
  <cp:lastModifiedBy/>
  <dcterms:modified xsi:type="dcterms:W3CDTF">2026-08-27T11:14:35Z</dcterms:modified>
  <cp:revision>1</cp:revision>
  <dc:subject/>
  <dc:title>العقیده بالمهدیه</dc:title>
</cp:coreProperties>
</file>

<file path=docProps/custom.xml><?xml version="1.0" encoding="utf-8"?>
<Properties xmlns="http://schemas.openxmlformats.org/officeDocument/2006/custom-properties" xmlns:vt="http://schemas.openxmlformats.org/officeDocument/2006/docPropsVTypes"/>
</file>