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نقد قواعد النحویین فی ضوء کلام امیر المؤمنین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58230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958232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958234_372815092">
            <w:r>
              <w:rPr>
                <w:webHidden/>
                <w:rStyle w:val="IndexLink"/>
                <w:rtl w:val="true"/>
              </w:rPr>
              <w:t>مقدمة المؤسسة</w:t>
            </w:r>
            <w:r>
              <w:rPr>
                <w:rStyle w:val="IndexLink"/>
                <w:rtl w:val="true"/>
              </w:rPr>
              <w:tab/>
            </w:r>
            <w:r>
              <w:rPr>
                <w:rStyle w:val="IndexLink"/>
              </w:rPr>
              <w:t>14</w:t>
            </w:r>
          </w:hyperlink>
        </w:p>
        <w:p>
          <w:pPr>
            <w:pStyle w:val="Contents2"/>
            <w:tabs>
              <w:tab w:val="clear" w:pos="8743"/>
              <w:tab w:val="right" w:pos="9026" w:leader="dot"/>
            </w:tabs>
            <w:rPr/>
          </w:pPr>
          <w:hyperlink w:anchor="__RefHeading___Toc2958236_372815092">
            <w:r>
              <w:rPr>
                <w:webHidden/>
                <w:rStyle w:val="IndexLink"/>
                <w:rtl w:val="true"/>
              </w:rPr>
              <w:t>المقدِّمة</w:t>
            </w:r>
            <w:r>
              <w:rPr>
                <w:rStyle w:val="IndexLink"/>
                <w:rtl w:val="true"/>
              </w:rPr>
              <w:tab/>
            </w:r>
            <w:r>
              <w:rPr>
                <w:rStyle w:val="IndexLink"/>
              </w:rPr>
              <w:t>16</w:t>
            </w:r>
          </w:hyperlink>
        </w:p>
        <w:p>
          <w:pPr>
            <w:pStyle w:val="Contents2"/>
            <w:tabs>
              <w:tab w:val="clear" w:pos="8743"/>
              <w:tab w:val="right" w:pos="9026" w:leader="dot"/>
            </w:tabs>
            <w:rPr/>
          </w:pPr>
          <w:hyperlink w:anchor="__RefHeading___Toc2958238_372815092">
            <w:r>
              <w:rPr>
                <w:webHidden/>
                <w:rStyle w:val="IndexLink"/>
                <w:rtl w:val="true"/>
              </w:rPr>
              <w:t>التمهيد</w:t>
            </w:r>
            <w:r>
              <w:rPr>
                <w:rStyle w:val="IndexLink"/>
                <w:rtl w:val="true"/>
              </w:rPr>
              <w:t xml:space="preserve">: </w:t>
            </w:r>
            <w:r>
              <w:rPr>
                <w:rStyle w:val="IndexLink"/>
                <w:rtl w:val="true"/>
              </w:rPr>
              <w:t xml:space="preserve">الاستقراء بين كلام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والنحويين</w:t>
            </w:r>
            <w:r>
              <w:rPr>
                <w:rStyle w:val="IndexLink"/>
                <w:rtl w:val="true"/>
              </w:rPr>
              <w:t>:</w:t>
              <w:tab/>
            </w:r>
            <w:r>
              <w:rPr>
                <w:rStyle w:val="IndexLink"/>
              </w:rPr>
              <w:t>26</w:t>
            </w:r>
          </w:hyperlink>
        </w:p>
        <w:p>
          <w:pPr>
            <w:pStyle w:val="Contents3"/>
            <w:tabs>
              <w:tab w:val="clear" w:pos="8459"/>
              <w:tab w:val="right" w:pos="9026" w:leader="dot"/>
            </w:tabs>
            <w:rPr/>
          </w:pPr>
          <w:hyperlink w:anchor="__RefHeading___Toc2958240_372815092">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2958242_372815092">
            <w:r>
              <w:rPr>
                <w:webHidden/>
                <w:rStyle w:val="IndexLink"/>
                <w:rtl w:val="true"/>
              </w:rPr>
              <w:t>المطلب الأول</w:t>
            </w:r>
            <w:r>
              <w:rPr>
                <w:rStyle w:val="IndexLink"/>
                <w:rtl w:val="true"/>
              </w:rPr>
              <w:t xml:space="preserve">: </w:t>
            </w:r>
            <w:r>
              <w:rPr>
                <w:rStyle w:val="IndexLink"/>
                <w:rtl w:val="true"/>
              </w:rPr>
              <w:t>الاستقراء في اللغة والاصطلاح</w:t>
            </w:r>
            <w:r>
              <w:rPr>
                <w:rStyle w:val="IndexLink"/>
                <w:rtl w:val="true"/>
              </w:rPr>
              <w:t>:</w:t>
              <w:tab/>
            </w:r>
            <w:r>
              <w:rPr>
                <w:rStyle w:val="IndexLink"/>
              </w:rPr>
              <w:t>27</w:t>
            </w:r>
          </w:hyperlink>
        </w:p>
        <w:p>
          <w:pPr>
            <w:pStyle w:val="Contents3"/>
            <w:tabs>
              <w:tab w:val="clear" w:pos="8459"/>
              <w:tab w:val="right" w:pos="9026" w:leader="dot"/>
            </w:tabs>
            <w:rPr/>
          </w:pPr>
          <w:hyperlink w:anchor="__RefHeading___Toc2958244_372815092">
            <w:r>
              <w:rPr>
                <w:webHidden/>
                <w:rStyle w:val="IndexLink"/>
                <w:rtl w:val="true"/>
              </w:rPr>
              <w:t>المطلب الثاني</w:t>
            </w:r>
            <w:r>
              <w:rPr>
                <w:rStyle w:val="IndexLink"/>
                <w:rtl w:val="true"/>
              </w:rPr>
              <w:t xml:space="preserve">: </w:t>
            </w:r>
            <w:r>
              <w:rPr>
                <w:rStyle w:val="IndexLink"/>
                <w:rtl w:val="true"/>
              </w:rPr>
              <w:t>أنواع الاستقراء</w:t>
            </w:r>
            <w:r>
              <w:rPr>
                <w:rStyle w:val="IndexLink"/>
                <w:rtl w:val="true"/>
              </w:rPr>
              <w:t>:</w:t>
              <w:tab/>
            </w:r>
            <w:r>
              <w:rPr>
                <w:rStyle w:val="IndexLink"/>
              </w:rPr>
              <w:t>29</w:t>
            </w:r>
          </w:hyperlink>
        </w:p>
        <w:p>
          <w:pPr>
            <w:pStyle w:val="Contents3"/>
            <w:tabs>
              <w:tab w:val="clear" w:pos="8459"/>
              <w:tab w:val="right" w:pos="9026" w:leader="dot"/>
            </w:tabs>
            <w:rPr/>
          </w:pPr>
          <w:hyperlink w:anchor="__RefHeading___Toc2958246_372815092">
            <w:r>
              <w:rPr>
                <w:webHidden/>
                <w:rStyle w:val="IndexLink"/>
                <w:rtl w:val="true"/>
              </w:rPr>
              <w:t>المطلب الثالث</w:t>
            </w:r>
            <w:r>
              <w:rPr>
                <w:rStyle w:val="IndexLink"/>
                <w:rtl w:val="true"/>
              </w:rPr>
              <w:t xml:space="preserve">: </w:t>
            </w:r>
            <w:r>
              <w:rPr>
                <w:rStyle w:val="IndexLink"/>
                <w:rtl w:val="true"/>
              </w:rPr>
              <w:t>عَلاقة الاستقراء الناقص بالاستقراء التام</w:t>
            </w:r>
            <w:r>
              <w:rPr>
                <w:rStyle w:val="IndexLink"/>
                <w:rtl w:val="true"/>
              </w:rPr>
              <w:t>:</w:t>
              <w:tab/>
            </w:r>
            <w:r>
              <w:rPr>
                <w:rStyle w:val="IndexLink"/>
              </w:rPr>
              <w:t>31</w:t>
            </w:r>
          </w:hyperlink>
        </w:p>
        <w:p>
          <w:pPr>
            <w:pStyle w:val="Contents3"/>
            <w:tabs>
              <w:tab w:val="clear" w:pos="8459"/>
              <w:tab w:val="right" w:pos="9026" w:leader="dot"/>
            </w:tabs>
            <w:rPr/>
          </w:pPr>
          <w:hyperlink w:anchor="__RefHeading___Toc2958248_372815092">
            <w:r>
              <w:rPr>
                <w:webHidden/>
                <w:rStyle w:val="IndexLink"/>
                <w:rtl w:val="true"/>
              </w:rPr>
              <w:t>المطلب الرابع</w:t>
            </w:r>
            <w:r>
              <w:rPr>
                <w:rStyle w:val="IndexLink"/>
                <w:rtl w:val="true"/>
              </w:rPr>
              <w:t xml:space="preserve">: </w:t>
            </w:r>
            <w:r>
              <w:rPr>
                <w:rStyle w:val="IndexLink"/>
                <w:rtl w:val="true"/>
              </w:rPr>
              <w:t>علاقة الاستقراء الناقص بالقياس</w:t>
            </w:r>
            <w:r>
              <w:rPr>
                <w:rStyle w:val="IndexLink"/>
                <w:rtl w:val="true"/>
              </w:rPr>
              <w:t>:</w:t>
              <w:tab/>
            </w:r>
            <w:r>
              <w:rPr>
                <w:rStyle w:val="IndexLink"/>
              </w:rPr>
              <w:t>33</w:t>
            </w:r>
          </w:hyperlink>
        </w:p>
        <w:p>
          <w:pPr>
            <w:pStyle w:val="Contents3"/>
            <w:tabs>
              <w:tab w:val="clear" w:pos="8459"/>
              <w:tab w:val="right" w:pos="9026" w:leader="dot"/>
            </w:tabs>
            <w:rPr/>
          </w:pPr>
          <w:hyperlink w:anchor="__RefHeading___Toc2958250_372815092">
            <w:r>
              <w:rPr>
                <w:webHidden/>
                <w:rStyle w:val="IndexLink"/>
                <w:rtl w:val="true"/>
              </w:rPr>
              <w:t>المطلب الخامس</w:t>
            </w:r>
            <w:r>
              <w:rPr>
                <w:rStyle w:val="IndexLink"/>
                <w:rtl w:val="true"/>
              </w:rPr>
              <w:t xml:space="preserve">: </w:t>
            </w:r>
            <w:r>
              <w:rPr>
                <w:rStyle w:val="IndexLink"/>
                <w:rtl w:val="true"/>
              </w:rPr>
              <w:t>أسباب نقص الاستقراء</w:t>
            </w:r>
            <w:r>
              <w:rPr>
                <w:rStyle w:val="IndexLink"/>
                <w:rtl w:val="true"/>
              </w:rPr>
              <w:t>:</w:t>
              <w:tab/>
            </w:r>
            <w:r>
              <w:rPr>
                <w:rStyle w:val="IndexLink"/>
              </w:rPr>
              <w:t>35</w:t>
            </w:r>
          </w:hyperlink>
        </w:p>
        <w:p>
          <w:pPr>
            <w:pStyle w:val="Contents4"/>
            <w:tabs>
              <w:tab w:val="clear" w:pos="8176"/>
              <w:tab w:val="right" w:pos="9026" w:leader="dot"/>
            </w:tabs>
            <w:rPr/>
          </w:pPr>
          <w:hyperlink w:anchor="__RefHeading___Toc2958252_372815092">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2958254_372815092">
            <w:r>
              <w:rPr>
                <w:webHidden/>
                <w:rStyle w:val="IndexLink"/>
                <w:rtl w:val="true"/>
              </w:rPr>
              <w:t>أولًا</w:t>
            </w:r>
            <w:r>
              <w:rPr>
                <w:rStyle w:val="IndexLink"/>
                <w:rtl w:val="true"/>
              </w:rPr>
              <w:t xml:space="preserve">: </w:t>
            </w:r>
            <w:r>
              <w:rPr>
                <w:rStyle w:val="IndexLink"/>
                <w:rtl w:val="true"/>
              </w:rPr>
              <w:t>النقص في الرواية</w:t>
            </w:r>
            <w:r>
              <w:rPr>
                <w:rStyle w:val="IndexLink"/>
                <w:rtl w:val="true"/>
              </w:rPr>
              <w:t>:</w:t>
              <w:tab/>
            </w:r>
            <w:r>
              <w:rPr>
                <w:rStyle w:val="IndexLink"/>
              </w:rPr>
              <w:t>35</w:t>
            </w:r>
          </w:hyperlink>
        </w:p>
        <w:p>
          <w:pPr>
            <w:pStyle w:val="Contents5"/>
            <w:tabs>
              <w:tab w:val="clear" w:pos="7892"/>
              <w:tab w:val="right" w:pos="9026" w:leader="dot"/>
            </w:tabs>
            <w:rPr/>
          </w:pPr>
          <w:hyperlink w:anchor="__RefHeading___Toc2958256_372815092">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2958258_372815092">
            <w:r>
              <w:rPr>
                <w:webHidden/>
                <w:rStyle w:val="IndexLink"/>
                <w:rtl w:val="true"/>
              </w:rPr>
              <w:t>أ</w:t>
            </w:r>
            <w:r>
              <w:rPr>
                <w:rStyle w:val="IndexLink"/>
                <w:rtl w:val="true"/>
              </w:rPr>
              <w:t xml:space="preserve">. </w:t>
            </w:r>
            <w:r>
              <w:rPr>
                <w:rStyle w:val="IndexLink"/>
                <w:rtl w:val="true"/>
              </w:rPr>
              <w:t>أثر نقص الاستقراء في المفردات</w:t>
            </w:r>
            <w:r>
              <w:rPr>
                <w:rStyle w:val="IndexLink"/>
                <w:rtl w:val="true"/>
              </w:rPr>
              <w:t>:</w:t>
              <w:tab/>
            </w:r>
            <w:r>
              <w:rPr>
                <w:rStyle w:val="IndexLink"/>
              </w:rPr>
              <w:t>37</w:t>
            </w:r>
          </w:hyperlink>
        </w:p>
        <w:p>
          <w:pPr>
            <w:pStyle w:val="Contents5"/>
            <w:tabs>
              <w:tab w:val="clear" w:pos="7892"/>
              <w:tab w:val="right" w:pos="9026" w:leader="dot"/>
            </w:tabs>
            <w:rPr/>
          </w:pPr>
          <w:hyperlink w:anchor="__RefHeading___Toc2958260_372815092">
            <w:r>
              <w:rPr>
                <w:webHidden/>
                <w:rStyle w:val="IndexLink"/>
                <w:rtl w:val="true"/>
              </w:rPr>
              <w:t>ب</w:t>
            </w:r>
            <w:r>
              <w:rPr>
                <w:rStyle w:val="IndexLink"/>
                <w:rtl w:val="true"/>
              </w:rPr>
              <w:t xml:space="preserve">- </w:t>
            </w:r>
            <w:r>
              <w:rPr>
                <w:rStyle w:val="IndexLink"/>
                <w:rtl w:val="true"/>
              </w:rPr>
              <w:t>أثر نقص الاستقراء في التراكيب</w:t>
            </w:r>
            <w:r>
              <w:rPr>
                <w:rStyle w:val="IndexLink"/>
                <w:rtl w:val="true"/>
              </w:rPr>
              <w:t>:</w:t>
              <w:tab/>
            </w:r>
            <w:r>
              <w:rPr>
                <w:rStyle w:val="IndexLink"/>
              </w:rPr>
              <w:t>37</w:t>
            </w:r>
          </w:hyperlink>
        </w:p>
        <w:p>
          <w:pPr>
            <w:pStyle w:val="Contents4"/>
            <w:tabs>
              <w:tab w:val="clear" w:pos="8176"/>
              <w:tab w:val="right" w:pos="9026" w:leader="dot"/>
            </w:tabs>
            <w:rPr/>
          </w:pPr>
          <w:hyperlink w:anchor="__RefHeading___Toc2958262_372815092">
            <w:r>
              <w:rPr>
                <w:webHidden/>
                <w:rStyle w:val="IndexLink"/>
                <w:rtl w:val="true"/>
              </w:rPr>
              <w:t>ثانيًا</w:t>
            </w:r>
            <w:r>
              <w:rPr>
                <w:rStyle w:val="IndexLink"/>
                <w:rtl w:val="true"/>
              </w:rPr>
              <w:t xml:space="preserve">: </w:t>
            </w:r>
            <w:r>
              <w:rPr>
                <w:rStyle w:val="IndexLink"/>
                <w:rtl w:val="true"/>
              </w:rPr>
              <w:t>الاعتماد على الشِّعر أكثر من النثر في الاستشهاد</w:t>
            </w:r>
            <w:r>
              <w:rPr>
                <w:rStyle w:val="IndexLink"/>
                <w:rtl w:val="true"/>
              </w:rPr>
              <w:t>:</w:t>
              <w:tab/>
            </w:r>
            <w:r>
              <w:rPr>
                <w:rStyle w:val="IndexLink"/>
              </w:rPr>
              <w:t>39</w:t>
            </w:r>
          </w:hyperlink>
        </w:p>
        <w:p>
          <w:pPr>
            <w:pStyle w:val="Contents4"/>
            <w:tabs>
              <w:tab w:val="clear" w:pos="8176"/>
              <w:tab w:val="right" w:pos="9026" w:leader="dot"/>
            </w:tabs>
            <w:rPr/>
          </w:pPr>
          <w:hyperlink w:anchor="__RefHeading___Toc2958264_372815092">
            <w:r>
              <w:rPr>
                <w:webHidden/>
                <w:rStyle w:val="IndexLink"/>
                <w:rtl w:val="true"/>
              </w:rPr>
              <w:t>ثالثًا</w:t>
            </w:r>
            <w:r>
              <w:rPr>
                <w:rStyle w:val="IndexLink"/>
                <w:rtl w:val="true"/>
              </w:rPr>
              <w:t xml:space="preserve">: </w:t>
            </w:r>
            <w:r>
              <w:rPr>
                <w:rStyle w:val="IndexLink"/>
                <w:rtl w:val="true"/>
              </w:rPr>
              <w:t xml:space="preserve">الاختلاف المنهجي في </w:t>
            </w:r>
            <w:r>
              <w:rPr>
                <w:rStyle w:val="IndexLink"/>
                <w:rtl w:val="true"/>
              </w:rPr>
              <w:t>(</w:t>
            </w:r>
            <w:r>
              <w:rPr>
                <w:rStyle w:val="IndexLink"/>
                <w:rtl w:val="true"/>
              </w:rPr>
              <w:t>السماع</w:t>
            </w:r>
            <w:r>
              <w:rPr>
                <w:rStyle w:val="IndexLink"/>
                <w:rtl w:val="true"/>
              </w:rPr>
              <w:t xml:space="preserve">) </w:t>
            </w:r>
            <w:r>
              <w:rPr>
                <w:rStyle w:val="IndexLink"/>
                <w:rtl w:val="true"/>
              </w:rPr>
              <w:t>بين مدرسَتَی البصرة والكوفة</w:t>
            </w:r>
            <w:r>
              <w:rPr>
                <w:rStyle w:val="IndexLink"/>
                <w:rtl w:val="true"/>
              </w:rPr>
              <w:t>:</w:t>
              <w:tab/>
            </w:r>
            <w:r>
              <w:rPr>
                <w:rStyle w:val="IndexLink"/>
              </w:rPr>
              <w:t>42</w:t>
            </w:r>
          </w:hyperlink>
        </w:p>
        <w:p>
          <w:pPr>
            <w:pStyle w:val="Contents3"/>
            <w:tabs>
              <w:tab w:val="clear" w:pos="8459"/>
              <w:tab w:val="right" w:pos="9026" w:leader="dot"/>
            </w:tabs>
            <w:rPr/>
          </w:pPr>
          <w:hyperlink w:anchor="__RefHeading___Toc2958266_372815092">
            <w:r>
              <w:rPr>
                <w:webHidden/>
                <w:rStyle w:val="IndexLink"/>
                <w:rtl w:val="true"/>
              </w:rPr>
              <w:t>المطلب السادس</w:t>
            </w:r>
            <w:r>
              <w:rPr>
                <w:rStyle w:val="IndexLink"/>
                <w:rtl w:val="true"/>
              </w:rPr>
              <w:t xml:space="preserve">: </w:t>
            </w:r>
            <w:r>
              <w:rPr>
                <w:rStyle w:val="IndexLink"/>
                <w:rtl w:val="true"/>
              </w:rPr>
              <w:t xml:space="preserve">أهمیة کلام الإمام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فی معالجة نقص الستقراء</w:t>
            </w:r>
            <w:r>
              <w:rPr>
                <w:rStyle w:val="IndexLink"/>
                <w:rtl w:val="true"/>
              </w:rPr>
              <w:t>:</w:t>
              <w:tab/>
            </w:r>
            <w:r>
              <w:rPr>
                <w:rStyle w:val="IndexLink"/>
              </w:rPr>
              <w:t>46</w:t>
            </w:r>
          </w:hyperlink>
        </w:p>
        <w:p>
          <w:pPr>
            <w:pStyle w:val="Contents4"/>
            <w:tabs>
              <w:tab w:val="clear" w:pos="8176"/>
              <w:tab w:val="right" w:pos="9026" w:leader="dot"/>
            </w:tabs>
            <w:rPr/>
          </w:pPr>
          <w:hyperlink w:anchor="__RefHeading___Toc2958268_372815092">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2958270_372815092">
            <w:r>
              <w:rPr>
                <w:webHidden/>
                <w:rStyle w:val="IndexLink"/>
              </w:rPr>
              <w:t>1</w:t>
            </w:r>
            <w:r>
              <w:rPr>
                <w:rStyle w:val="IndexLink"/>
                <w:rtl w:val="true"/>
              </w:rPr>
              <w:t xml:space="preserve">. </w:t>
            </w:r>
            <w:r>
              <w:rPr>
                <w:rStyle w:val="IndexLink"/>
                <w:rtl w:val="true"/>
              </w:rPr>
              <w:t>الحكم بالمنع</w:t>
            </w:r>
            <w:r>
              <w:rPr>
                <w:rStyle w:val="IndexLink"/>
                <w:rtl w:val="true"/>
              </w:rPr>
              <w:t>:</w:t>
              <w:tab/>
            </w:r>
            <w:r>
              <w:rPr>
                <w:rStyle w:val="IndexLink"/>
              </w:rPr>
              <w:t>46</w:t>
            </w:r>
          </w:hyperlink>
        </w:p>
        <w:p>
          <w:pPr>
            <w:pStyle w:val="Contents4"/>
            <w:tabs>
              <w:tab w:val="clear" w:pos="8176"/>
              <w:tab w:val="right" w:pos="9026" w:leader="dot"/>
            </w:tabs>
            <w:rPr/>
          </w:pPr>
          <w:hyperlink w:anchor="__RefHeading___Toc2958272_372815092">
            <w:r>
              <w:rPr>
                <w:webHidden/>
                <w:rStyle w:val="IndexLink"/>
              </w:rPr>
              <w:t>2</w:t>
            </w:r>
            <w:r>
              <w:rPr>
                <w:rStyle w:val="IndexLink"/>
                <w:rtl w:val="true"/>
              </w:rPr>
              <w:t xml:space="preserve">. </w:t>
            </w:r>
            <w:r>
              <w:rPr>
                <w:rStyle w:val="IndexLink"/>
                <w:rtl w:val="true"/>
              </w:rPr>
              <w:t>الحكم بالضرورة الشعرية</w:t>
            </w:r>
            <w:r>
              <w:rPr>
                <w:rStyle w:val="IndexLink"/>
                <w:rtl w:val="true"/>
              </w:rPr>
              <w:t>:</w:t>
              <w:tab/>
            </w:r>
            <w:r>
              <w:rPr>
                <w:rStyle w:val="IndexLink"/>
              </w:rPr>
              <w:t>47</w:t>
            </w:r>
          </w:hyperlink>
        </w:p>
        <w:p>
          <w:pPr>
            <w:pStyle w:val="Contents4"/>
            <w:tabs>
              <w:tab w:val="clear" w:pos="8176"/>
              <w:tab w:val="right" w:pos="9026" w:leader="dot"/>
            </w:tabs>
            <w:rPr/>
          </w:pPr>
          <w:hyperlink w:anchor="__RefHeading___Toc2958274_372815092">
            <w:r>
              <w:rPr>
                <w:webHidden/>
                <w:rStyle w:val="IndexLink"/>
              </w:rPr>
              <w:t>3</w:t>
            </w:r>
            <w:r>
              <w:rPr>
                <w:rStyle w:val="IndexLink"/>
                <w:rtl w:val="true"/>
              </w:rPr>
              <w:t xml:space="preserve">. </w:t>
            </w:r>
            <w:r>
              <w:rPr>
                <w:rStyle w:val="IndexLink"/>
                <w:rtl w:val="true"/>
              </w:rPr>
              <w:t>الحكم بعدم ورود السماع</w:t>
            </w:r>
            <w:r>
              <w:rPr>
                <w:rStyle w:val="IndexLink"/>
                <w:rtl w:val="true"/>
              </w:rPr>
              <w:t>:</w:t>
              <w:tab/>
            </w:r>
            <w:r>
              <w:rPr>
                <w:rStyle w:val="IndexLink"/>
              </w:rPr>
              <w:t>48</w:t>
            </w:r>
          </w:hyperlink>
        </w:p>
        <w:p>
          <w:pPr>
            <w:pStyle w:val="Contents4"/>
            <w:tabs>
              <w:tab w:val="clear" w:pos="8176"/>
              <w:tab w:val="right" w:pos="9026" w:leader="dot"/>
            </w:tabs>
            <w:rPr/>
          </w:pPr>
          <w:hyperlink w:anchor="__RefHeading___Toc2958276_372815092">
            <w:r>
              <w:rPr>
                <w:webHidden/>
                <w:rStyle w:val="IndexLink"/>
              </w:rPr>
              <w:t>4</w:t>
            </w:r>
            <w:r>
              <w:rPr>
                <w:rStyle w:val="IndexLink"/>
                <w:rtl w:val="true"/>
              </w:rPr>
              <w:t xml:space="preserve">. </w:t>
            </w:r>
            <w:r>
              <w:rPr>
                <w:rStyle w:val="IndexLink"/>
                <w:rtl w:val="true"/>
              </w:rPr>
              <w:t>الحكم بالنّدرة</w:t>
            </w:r>
            <w:r>
              <w:rPr>
                <w:rStyle w:val="IndexLink"/>
                <w:rtl w:val="true"/>
              </w:rPr>
              <w:t>:</w:t>
              <w:tab/>
            </w:r>
            <w:r>
              <w:rPr>
                <w:rStyle w:val="IndexLink"/>
              </w:rPr>
              <w:t>51</w:t>
            </w:r>
          </w:hyperlink>
        </w:p>
        <w:p>
          <w:pPr>
            <w:pStyle w:val="Contents2"/>
            <w:tabs>
              <w:tab w:val="clear" w:pos="8743"/>
              <w:tab w:val="right" w:pos="9026" w:leader="dot"/>
            </w:tabs>
            <w:rPr/>
          </w:pPr>
          <w:hyperlink w:anchor="__RefHeading___Toc2958278_372815092">
            <w:r>
              <w:rPr>
                <w:webHidden/>
                <w:rStyle w:val="IndexLink"/>
                <w:rtl w:val="true"/>
              </w:rPr>
              <w:t xml:space="preserve">الباب الأول ما مَنَعَهُ أغلبُ النَحْويينَ وَوردَ في كَلامِ الإمام علي </w:t>
            </w:r>
            <w:r>
              <w:rPr>
                <w:rStyle w:val="IndexLink"/>
                <w:rtl w:val="true"/>
              </w:rPr>
              <w:t>(</w:t>
            </w:r>
            <w:r>
              <w:rPr>
                <w:rStyle w:val="IndexLink"/>
                <w:rtl w:val="true"/>
              </w:rPr>
              <w:t>علیه السلام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2958280_372815092">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2958282_372815092">
            <w:r>
              <w:rPr>
                <w:webHidden/>
                <w:rStyle w:val="IndexLink"/>
                <w:rtl w:val="true"/>
              </w:rPr>
              <w:t>توطئة</w:t>
            </w:r>
            <w:r>
              <w:rPr>
                <w:rStyle w:val="IndexLink"/>
                <w:rtl w:val="true"/>
              </w:rPr>
              <w:t>:</w:t>
              <w:tab/>
            </w:r>
            <w:r>
              <w:rPr>
                <w:rStyle w:val="IndexLink"/>
              </w:rPr>
              <w:t>62</w:t>
            </w:r>
          </w:hyperlink>
        </w:p>
        <w:p>
          <w:pPr>
            <w:pStyle w:val="Contents3"/>
            <w:tabs>
              <w:tab w:val="clear" w:pos="8459"/>
              <w:tab w:val="right" w:pos="9026" w:leader="dot"/>
            </w:tabs>
            <w:rPr/>
          </w:pPr>
          <w:hyperlink w:anchor="__RefHeading___Toc2958284_372815092">
            <w:r>
              <w:rPr>
                <w:webHidden/>
                <w:rStyle w:val="IndexLink"/>
                <w:rtl w:val="true"/>
              </w:rPr>
              <w:t>الفصل الأول ما مَنَعَهُ أغلبُ النَحْويينَ في الأسماء</w:t>
            </w:r>
            <w:r>
              <w:rPr>
                <w:rStyle w:val="IndexLink"/>
                <w:rtl w:val="true"/>
              </w:rPr>
              <w:tab/>
            </w:r>
            <w:r>
              <w:rPr>
                <w:rStyle w:val="IndexLink"/>
              </w:rPr>
              <w:t>68</w:t>
            </w:r>
          </w:hyperlink>
        </w:p>
        <w:p>
          <w:pPr>
            <w:pStyle w:val="Contents4"/>
            <w:tabs>
              <w:tab w:val="clear" w:pos="8176"/>
              <w:tab w:val="right" w:pos="9026" w:leader="dot"/>
            </w:tabs>
            <w:rPr/>
          </w:pPr>
          <w:hyperlink w:anchor="__RefHeading___Toc2958286_372815092">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2958288_372815092">
            <w:r>
              <w:rPr>
                <w:webHidden/>
                <w:rStyle w:val="IndexLink"/>
                <w:rtl w:val="true"/>
              </w:rPr>
              <w:t>المسألة الأولى</w:t>
            </w:r>
            <w:r>
              <w:rPr>
                <w:rStyle w:val="IndexLink"/>
                <w:rtl w:val="true"/>
              </w:rPr>
              <w:t xml:space="preserve">: </w:t>
            </w:r>
            <w:r>
              <w:rPr>
                <w:rStyle w:val="IndexLink"/>
                <w:rtl w:val="true"/>
              </w:rPr>
              <w:t xml:space="preserve">جواز زيادة </w:t>
            </w:r>
            <w:r>
              <w:rPr>
                <w:rStyle w:val="IndexLink"/>
                <w:rtl w:val="true"/>
              </w:rPr>
              <w:t>(</w:t>
            </w:r>
            <w:r>
              <w:rPr>
                <w:rStyle w:val="IndexLink"/>
                <w:rtl w:val="true"/>
              </w:rPr>
              <w:t>الباء</w:t>
            </w:r>
            <w:r>
              <w:rPr>
                <w:rStyle w:val="IndexLink"/>
                <w:rtl w:val="true"/>
              </w:rPr>
              <w:t xml:space="preserve">) </w:t>
            </w:r>
            <w:r>
              <w:rPr>
                <w:rStyle w:val="IndexLink"/>
                <w:rtl w:val="true"/>
              </w:rPr>
              <w:t>في الخبر المثبَت</w:t>
            </w:r>
            <w:r>
              <w:rPr>
                <w:rStyle w:val="IndexLink"/>
                <w:rtl w:val="true"/>
              </w:rPr>
              <w:t>:</w:t>
              <w:tab/>
            </w:r>
            <w:r>
              <w:rPr>
                <w:rStyle w:val="IndexLink"/>
              </w:rPr>
              <w:t>70</w:t>
            </w:r>
          </w:hyperlink>
        </w:p>
        <w:p>
          <w:pPr>
            <w:pStyle w:val="Contents4"/>
            <w:tabs>
              <w:tab w:val="clear" w:pos="8176"/>
              <w:tab w:val="right" w:pos="9026" w:leader="dot"/>
            </w:tabs>
            <w:rPr/>
          </w:pPr>
          <w:hyperlink w:anchor="__RefHeading___Toc2958290_372815092">
            <w:r>
              <w:rPr>
                <w:webHidden/>
                <w:rStyle w:val="IndexLink"/>
                <w:rtl w:val="true"/>
              </w:rPr>
              <w:t>المسألة الثانية</w:t>
            </w:r>
            <w:r>
              <w:rPr>
                <w:rStyle w:val="IndexLink"/>
                <w:rtl w:val="true"/>
              </w:rPr>
              <w:t xml:space="preserve">: </w:t>
            </w:r>
            <w:r>
              <w:rPr>
                <w:rStyle w:val="IndexLink"/>
                <w:rtl w:val="true"/>
              </w:rPr>
              <w:t xml:space="preserve">جواز اقتران الخبر ب </w:t>
            </w:r>
            <w:r>
              <w:rPr>
                <w:rStyle w:val="IndexLink"/>
                <w:rtl w:val="true"/>
              </w:rPr>
              <w:t>(</w:t>
            </w:r>
            <w:r>
              <w:rPr>
                <w:rStyle w:val="IndexLink"/>
                <w:rtl w:val="true"/>
              </w:rPr>
              <w:t>الفاء</w:t>
            </w:r>
            <w:r>
              <w:rPr>
                <w:rStyle w:val="IndexLink"/>
                <w:rtl w:val="true"/>
              </w:rPr>
              <w:t xml:space="preserve">) </w:t>
            </w:r>
            <w:r>
              <w:rPr>
                <w:rStyle w:val="IndexLink"/>
                <w:rtl w:val="true"/>
              </w:rPr>
              <w:t>من غير تضمّنه معنى الشرط</w:t>
            </w:r>
            <w:r>
              <w:rPr>
                <w:rStyle w:val="IndexLink"/>
                <w:rtl w:val="true"/>
              </w:rPr>
              <w:t>:</w:t>
              <w:tab/>
            </w:r>
            <w:r>
              <w:rPr>
                <w:rStyle w:val="IndexLink"/>
              </w:rPr>
              <w:t>74</w:t>
            </w:r>
          </w:hyperlink>
        </w:p>
        <w:p>
          <w:pPr>
            <w:pStyle w:val="Contents4"/>
            <w:tabs>
              <w:tab w:val="clear" w:pos="8176"/>
              <w:tab w:val="right" w:pos="9026" w:leader="dot"/>
            </w:tabs>
            <w:rPr/>
          </w:pPr>
          <w:hyperlink w:anchor="__RefHeading___Toc2958292_372815092">
            <w:r>
              <w:rPr>
                <w:webHidden/>
                <w:rStyle w:val="IndexLink"/>
                <w:rtl w:val="true"/>
              </w:rPr>
              <w:t>المسألة الثالثة</w:t>
            </w:r>
            <w:r>
              <w:rPr>
                <w:rStyle w:val="IndexLink"/>
                <w:rtl w:val="true"/>
              </w:rPr>
              <w:t xml:space="preserve">: </w:t>
            </w:r>
            <w:r>
              <w:rPr>
                <w:rStyle w:val="IndexLink"/>
                <w:rtl w:val="true"/>
              </w:rPr>
              <w:t>جواز إظهار متعلِّق شبه الجملة الواقعة خبرًا</w:t>
            </w:r>
            <w:r>
              <w:rPr>
                <w:rStyle w:val="IndexLink"/>
                <w:rtl w:val="true"/>
              </w:rPr>
              <w:t>:</w:t>
              <w:tab/>
            </w:r>
            <w:r>
              <w:rPr>
                <w:rStyle w:val="IndexLink"/>
              </w:rPr>
              <w:t>81</w:t>
            </w:r>
          </w:hyperlink>
        </w:p>
        <w:p>
          <w:pPr>
            <w:pStyle w:val="Contents4"/>
            <w:tabs>
              <w:tab w:val="clear" w:pos="8176"/>
              <w:tab w:val="right" w:pos="9026" w:leader="dot"/>
            </w:tabs>
            <w:rPr/>
          </w:pPr>
          <w:hyperlink w:anchor="__RefHeading___Toc2958294_372815092">
            <w:r>
              <w:rPr>
                <w:webHidden/>
                <w:rStyle w:val="IndexLink"/>
                <w:rtl w:val="true"/>
              </w:rPr>
              <w:t>المسألة الرابعة</w:t>
            </w:r>
            <w:r>
              <w:rPr>
                <w:rStyle w:val="IndexLink"/>
                <w:rtl w:val="true"/>
              </w:rPr>
              <w:t xml:space="preserve">: </w:t>
            </w:r>
            <w:r>
              <w:rPr>
                <w:rStyle w:val="IndexLink"/>
                <w:rtl w:val="true"/>
              </w:rPr>
              <w:t xml:space="preserve">جواز دخول </w:t>
            </w:r>
            <w:r>
              <w:rPr>
                <w:rStyle w:val="IndexLink"/>
                <w:rtl w:val="true"/>
              </w:rPr>
              <w:t>(</w:t>
            </w:r>
            <w:r>
              <w:rPr>
                <w:rStyle w:val="IndexLink"/>
                <w:rtl w:val="true"/>
              </w:rPr>
              <w:t>لام</w:t>
            </w:r>
            <w:r>
              <w:rPr>
                <w:rStyle w:val="IndexLink"/>
                <w:rtl w:val="true"/>
              </w:rPr>
              <w:t xml:space="preserve">) </w:t>
            </w:r>
            <w:r>
              <w:rPr>
                <w:rStyle w:val="IndexLink"/>
                <w:rtl w:val="true"/>
              </w:rPr>
              <w:t xml:space="preserve">الابتداء على خبر </w:t>
            </w:r>
            <w:r>
              <w:rPr>
                <w:rStyle w:val="IndexLink"/>
                <w:rtl w:val="true"/>
              </w:rPr>
              <w:t>(</w:t>
            </w:r>
            <w:r>
              <w:rPr>
                <w:rStyle w:val="IndexLink"/>
                <w:rtl w:val="true"/>
              </w:rPr>
              <w:t>لكنّ</w:t>
            </w:r>
            <w:r>
              <w:rPr>
                <w:rStyle w:val="IndexLink"/>
                <w:rtl w:val="true"/>
              </w:rPr>
              <w:t>):</w:t>
              <w:tab/>
            </w:r>
            <w:r>
              <w:rPr>
                <w:rStyle w:val="IndexLink"/>
              </w:rPr>
              <w:t>88</w:t>
            </w:r>
          </w:hyperlink>
        </w:p>
        <w:p>
          <w:pPr>
            <w:pStyle w:val="Contents4"/>
            <w:tabs>
              <w:tab w:val="clear" w:pos="8176"/>
              <w:tab w:val="right" w:pos="9026" w:leader="dot"/>
            </w:tabs>
            <w:rPr/>
          </w:pPr>
          <w:hyperlink w:anchor="__RefHeading___Toc2958296_372815092">
            <w:r>
              <w:rPr>
                <w:webHidden/>
                <w:rStyle w:val="IndexLink"/>
                <w:rtl w:val="true"/>
              </w:rPr>
              <w:t>المسألة الخامسة</w:t>
            </w:r>
            <w:r>
              <w:rPr>
                <w:rStyle w:val="IndexLink"/>
                <w:rtl w:val="true"/>
              </w:rPr>
              <w:t xml:space="preserve">: </w:t>
            </w:r>
            <w:r>
              <w:rPr>
                <w:rStyle w:val="IndexLink"/>
                <w:rtl w:val="true"/>
              </w:rPr>
              <w:t xml:space="preserve">جواز إعمال </w:t>
            </w:r>
            <w:r>
              <w:rPr>
                <w:rStyle w:val="IndexLink"/>
                <w:rtl w:val="true"/>
              </w:rPr>
              <w:t>(</w:t>
            </w:r>
            <w:r>
              <w:rPr>
                <w:rStyle w:val="IndexLink"/>
                <w:rtl w:val="true"/>
              </w:rPr>
              <w:t>لا</w:t>
            </w:r>
            <w:r>
              <w:rPr>
                <w:rStyle w:val="IndexLink"/>
                <w:rtl w:val="true"/>
              </w:rPr>
              <w:t xml:space="preserve">) </w:t>
            </w:r>
            <w:r>
              <w:rPr>
                <w:rStyle w:val="IndexLink"/>
                <w:rtl w:val="true"/>
              </w:rPr>
              <w:t>النافية للجنس في المعارف</w:t>
            </w:r>
            <w:r>
              <w:rPr>
                <w:rStyle w:val="IndexLink"/>
                <w:rtl w:val="true"/>
              </w:rPr>
              <w:t>:</w:t>
              <w:tab/>
            </w:r>
            <w:r>
              <w:rPr>
                <w:rStyle w:val="IndexLink"/>
              </w:rPr>
              <w:t>92</w:t>
            </w:r>
          </w:hyperlink>
        </w:p>
        <w:p>
          <w:pPr>
            <w:pStyle w:val="Contents4"/>
            <w:tabs>
              <w:tab w:val="clear" w:pos="8176"/>
              <w:tab w:val="right" w:pos="9026" w:leader="dot"/>
            </w:tabs>
            <w:rPr/>
          </w:pPr>
          <w:hyperlink w:anchor="__RefHeading___Toc2958298_372815092">
            <w:r>
              <w:rPr>
                <w:webHidden/>
                <w:rStyle w:val="IndexLink"/>
                <w:rtl w:val="true"/>
              </w:rPr>
              <w:t>المسألة السادسة</w:t>
            </w:r>
            <w:r>
              <w:rPr>
                <w:rStyle w:val="IndexLink"/>
                <w:rtl w:val="true"/>
              </w:rPr>
              <w:t xml:space="preserve">: </w:t>
            </w:r>
            <w:r>
              <w:rPr>
                <w:rStyle w:val="IndexLink"/>
                <w:rtl w:val="true"/>
              </w:rPr>
              <w:t xml:space="preserve">جواز بناء </w:t>
            </w:r>
            <w:r>
              <w:rPr>
                <w:rStyle w:val="IndexLink"/>
                <w:rtl w:val="true"/>
              </w:rPr>
              <w:t>(</w:t>
            </w:r>
            <w:r>
              <w:rPr>
                <w:rStyle w:val="IndexLink"/>
                <w:rtl w:val="true"/>
              </w:rPr>
              <w:t>أمسِ</w:t>
            </w:r>
            <w:r>
              <w:rPr>
                <w:rStyle w:val="IndexLink"/>
                <w:rtl w:val="true"/>
              </w:rPr>
              <w:t xml:space="preserve">) </w:t>
            </w:r>
            <w:r>
              <w:rPr>
                <w:rStyle w:val="IndexLink"/>
                <w:rtl w:val="true"/>
              </w:rPr>
              <w:t>على الكسر عند تنكيره</w:t>
            </w:r>
            <w:r>
              <w:rPr>
                <w:rStyle w:val="IndexLink"/>
                <w:rtl w:val="true"/>
              </w:rPr>
              <w:t>:</w:t>
              <w:tab/>
            </w:r>
            <w:r>
              <w:rPr>
                <w:rStyle w:val="IndexLink"/>
              </w:rPr>
              <w:t>98</w:t>
            </w:r>
          </w:hyperlink>
        </w:p>
        <w:p>
          <w:pPr>
            <w:pStyle w:val="Contents4"/>
            <w:tabs>
              <w:tab w:val="clear" w:pos="8176"/>
              <w:tab w:val="right" w:pos="9026" w:leader="dot"/>
            </w:tabs>
            <w:rPr/>
          </w:pPr>
          <w:hyperlink w:anchor="__RefHeading___Toc2958300_372815092">
            <w:r>
              <w:rPr>
                <w:webHidden/>
                <w:rStyle w:val="IndexLink"/>
                <w:rtl w:val="true"/>
              </w:rPr>
              <w:t>المسألة السابعة</w:t>
            </w:r>
            <w:r>
              <w:rPr>
                <w:rStyle w:val="IndexLink"/>
                <w:rtl w:val="true"/>
              </w:rPr>
              <w:t xml:space="preserve">: </w:t>
            </w:r>
            <w:r>
              <w:rPr>
                <w:rStyle w:val="IndexLink"/>
                <w:rtl w:val="true"/>
              </w:rPr>
              <w:t xml:space="preserve">جواز استعمال </w:t>
            </w:r>
            <w:r>
              <w:rPr>
                <w:rStyle w:val="IndexLink"/>
                <w:rtl w:val="true"/>
              </w:rPr>
              <w:t>(</w:t>
            </w:r>
            <w:r>
              <w:rPr>
                <w:rStyle w:val="IndexLink"/>
                <w:rtl w:val="true"/>
              </w:rPr>
              <w:t>مهما</w:t>
            </w:r>
            <w:r>
              <w:rPr>
                <w:rStyle w:val="IndexLink"/>
                <w:rtl w:val="true"/>
              </w:rPr>
              <w:t xml:space="preserve">) </w:t>
            </w:r>
            <w:r>
              <w:rPr>
                <w:rStyle w:val="IndexLink"/>
                <w:rtl w:val="true"/>
              </w:rPr>
              <w:t>ظرفية</w:t>
            </w:r>
            <w:r>
              <w:rPr>
                <w:rStyle w:val="IndexLink"/>
                <w:rtl w:val="true"/>
              </w:rPr>
              <w:t>:</w:t>
              <w:tab/>
            </w:r>
            <w:r>
              <w:rPr>
                <w:rStyle w:val="IndexLink"/>
              </w:rPr>
              <w:t>104</w:t>
            </w:r>
          </w:hyperlink>
        </w:p>
        <w:p>
          <w:pPr>
            <w:pStyle w:val="Contents4"/>
            <w:tabs>
              <w:tab w:val="clear" w:pos="8176"/>
              <w:tab w:val="right" w:pos="9026" w:leader="dot"/>
            </w:tabs>
            <w:rPr/>
          </w:pPr>
          <w:hyperlink w:anchor="__RefHeading___Toc2958302_372815092">
            <w:r>
              <w:rPr>
                <w:webHidden/>
                <w:rStyle w:val="IndexLink"/>
                <w:rtl w:val="true"/>
              </w:rPr>
              <w:t>المسألة الثامنة</w:t>
            </w:r>
            <w:r>
              <w:rPr>
                <w:rStyle w:val="IndexLink"/>
                <w:rtl w:val="true"/>
              </w:rPr>
              <w:t xml:space="preserve">: </w:t>
            </w:r>
            <w:r>
              <w:rPr>
                <w:rStyle w:val="IndexLink"/>
                <w:rtl w:val="true"/>
              </w:rPr>
              <w:t>جواز عدم مشاركة الفاعل للمفعول له</w:t>
            </w:r>
            <w:r>
              <w:rPr>
                <w:rStyle w:val="IndexLink"/>
                <w:rtl w:val="true"/>
              </w:rPr>
              <w:t>:</w:t>
              <w:tab/>
            </w:r>
            <w:r>
              <w:rPr>
                <w:rStyle w:val="IndexLink"/>
              </w:rPr>
              <w:t>110</w:t>
            </w:r>
          </w:hyperlink>
        </w:p>
        <w:p>
          <w:pPr>
            <w:pStyle w:val="Contents4"/>
            <w:tabs>
              <w:tab w:val="clear" w:pos="8176"/>
              <w:tab w:val="right" w:pos="9026" w:leader="dot"/>
            </w:tabs>
            <w:rPr/>
          </w:pPr>
          <w:hyperlink w:anchor="__RefHeading___Toc2958304_372815092">
            <w:r>
              <w:rPr>
                <w:webHidden/>
                <w:rStyle w:val="IndexLink"/>
                <w:rtl w:val="true"/>
              </w:rPr>
              <w:t>المسألة التاسعة</w:t>
            </w:r>
            <w:r>
              <w:rPr>
                <w:rStyle w:val="IndexLink"/>
                <w:rtl w:val="true"/>
              </w:rPr>
              <w:t xml:space="preserve">: </w:t>
            </w:r>
            <w:r>
              <w:rPr>
                <w:rStyle w:val="IndexLink"/>
                <w:rtl w:val="true"/>
              </w:rPr>
              <w:t>جواز الإضافة الظرفية</w:t>
            </w:r>
            <w:r>
              <w:rPr>
                <w:rStyle w:val="IndexLink"/>
                <w:rtl w:val="true"/>
              </w:rPr>
              <w:t>:</w:t>
              <w:tab/>
            </w:r>
            <w:r>
              <w:rPr>
                <w:rStyle w:val="IndexLink"/>
              </w:rPr>
              <w:t>114</w:t>
            </w:r>
          </w:hyperlink>
        </w:p>
        <w:p>
          <w:pPr>
            <w:pStyle w:val="Contents4"/>
            <w:tabs>
              <w:tab w:val="clear" w:pos="8176"/>
              <w:tab w:val="right" w:pos="9026" w:leader="dot"/>
            </w:tabs>
            <w:rPr/>
          </w:pPr>
          <w:hyperlink w:anchor="__RefHeading___Toc2958306_372815092">
            <w:r>
              <w:rPr>
                <w:webHidden/>
                <w:rStyle w:val="IndexLink"/>
                <w:rtl w:val="true"/>
              </w:rPr>
              <w:t>المسألة العاشرة</w:t>
            </w:r>
            <w:r>
              <w:rPr>
                <w:rStyle w:val="IndexLink"/>
                <w:rtl w:val="true"/>
              </w:rPr>
              <w:t xml:space="preserve">: </w:t>
            </w:r>
            <w:r>
              <w:rPr>
                <w:rStyle w:val="IndexLink"/>
                <w:rtl w:val="true"/>
              </w:rPr>
              <w:t>جواز حذف الموصول الإسمي</w:t>
            </w:r>
            <w:r>
              <w:rPr>
                <w:rStyle w:val="IndexLink"/>
                <w:rtl w:val="true"/>
              </w:rPr>
              <w:t>:</w:t>
              <w:tab/>
            </w:r>
            <w:r>
              <w:rPr>
                <w:rStyle w:val="IndexLink"/>
              </w:rPr>
              <w:t>121</w:t>
            </w:r>
          </w:hyperlink>
        </w:p>
        <w:p>
          <w:pPr>
            <w:pStyle w:val="Contents4"/>
            <w:tabs>
              <w:tab w:val="clear" w:pos="8176"/>
              <w:tab w:val="right" w:pos="9026" w:leader="dot"/>
            </w:tabs>
            <w:rPr/>
          </w:pPr>
          <w:hyperlink w:anchor="__RefHeading___Toc2958308_372815092">
            <w:r>
              <w:rPr>
                <w:webHidden/>
                <w:rStyle w:val="IndexLink"/>
                <w:rtl w:val="true"/>
              </w:rPr>
              <w:t>المسألة الحادية عشرة</w:t>
            </w:r>
            <w:r>
              <w:rPr>
                <w:rStyle w:val="IndexLink"/>
                <w:rtl w:val="true"/>
              </w:rPr>
              <w:t xml:space="preserve">: </w:t>
            </w:r>
            <w:r>
              <w:rPr>
                <w:rStyle w:val="IndexLink"/>
                <w:rtl w:val="true"/>
              </w:rPr>
              <w:t>جواز تقديم الصلة أو ما يتعلَّق بها على الموصول</w:t>
            </w:r>
            <w:r>
              <w:rPr>
                <w:rStyle w:val="IndexLink"/>
                <w:rtl w:val="true"/>
              </w:rPr>
              <w:tab/>
            </w:r>
            <w:r>
              <w:rPr>
                <w:rStyle w:val="IndexLink"/>
              </w:rPr>
              <w:t>128</w:t>
            </w:r>
          </w:hyperlink>
        </w:p>
        <w:p>
          <w:pPr>
            <w:pStyle w:val="Contents3"/>
            <w:tabs>
              <w:tab w:val="clear" w:pos="8459"/>
              <w:tab w:val="right" w:pos="9026" w:leader="dot"/>
            </w:tabs>
            <w:rPr/>
          </w:pPr>
          <w:hyperlink w:anchor="__RefHeading___Toc2958310_372815092">
            <w:r>
              <w:rPr>
                <w:webHidden/>
                <w:rStyle w:val="IndexLink"/>
                <w:rtl w:val="true"/>
              </w:rPr>
              <w:t>الفصل الثاني ما منعَهُ أغلبُ النحويين في الأفعال والحروف</w:t>
            </w:r>
            <w:r>
              <w:rPr>
                <w:rStyle w:val="IndexLink"/>
                <w:rtl w:val="true"/>
              </w:rPr>
              <w:tab/>
            </w:r>
            <w:r>
              <w:rPr>
                <w:rStyle w:val="IndexLink"/>
              </w:rPr>
              <w:t>136</w:t>
            </w:r>
          </w:hyperlink>
        </w:p>
        <w:p>
          <w:pPr>
            <w:pStyle w:val="Contents4"/>
            <w:tabs>
              <w:tab w:val="clear" w:pos="8176"/>
              <w:tab w:val="right" w:pos="9026" w:leader="dot"/>
            </w:tabs>
            <w:rPr/>
          </w:pPr>
          <w:hyperlink w:anchor="__RefHeading___Toc2958312_372815092">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2958314_372815092">
            <w:r>
              <w:rPr>
                <w:webHidden/>
                <w:rStyle w:val="IndexLink"/>
                <w:rtl w:val="true"/>
              </w:rPr>
              <w:t>المبحث الأول ما منعَهُ أغلبُ النحويين في الأفعال</w:t>
            </w:r>
            <w:r>
              <w:rPr>
                <w:rStyle w:val="IndexLink"/>
                <w:rtl w:val="true"/>
              </w:rPr>
              <w:tab/>
            </w:r>
            <w:r>
              <w:rPr>
                <w:rStyle w:val="IndexLink"/>
              </w:rPr>
              <w:t>138</w:t>
            </w:r>
          </w:hyperlink>
        </w:p>
        <w:p>
          <w:pPr>
            <w:pStyle w:val="Contents5"/>
            <w:tabs>
              <w:tab w:val="clear" w:pos="7892"/>
              <w:tab w:val="right" w:pos="9026" w:leader="dot"/>
            </w:tabs>
            <w:rPr/>
          </w:pPr>
          <w:hyperlink w:anchor="__RefHeading___Toc2958316_372815092">
            <w:r>
              <w:rPr>
                <w:webHidden/>
                <w:rStyle w:val="IndexLink"/>
                <w:rtl w:val="true"/>
              </w:rPr>
              <w:t>المسألة الأولى</w:t>
            </w:r>
            <w:r>
              <w:rPr>
                <w:rStyle w:val="IndexLink"/>
                <w:rtl w:val="true"/>
              </w:rPr>
              <w:t xml:space="preserve">: </w:t>
            </w:r>
            <w:r>
              <w:rPr>
                <w:rStyle w:val="IndexLink"/>
                <w:rtl w:val="true"/>
              </w:rPr>
              <w:t xml:space="preserve">جواز وقوع الفعل الماضي خبرًا ل </w:t>
            </w:r>
            <w:r>
              <w:rPr>
                <w:rStyle w:val="IndexLink"/>
                <w:rtl w:val="true"/>
              </w:rPr>
              <w:t>(</w:t>
            </w:r>
            <w:r>
              <w:rPr>
                <w:rStyle w:val="IndexLink"/>
                <w:rtl w:val="true"/>
              </w:rPr>
              <w:t>كان</w:t>
            </w:r>
            <w:r>
              <w:rPr>
                <w:rStyle w:val="IndexLink"/>
                <w:rtl w:val="true"/>
              </w:rPr>
              <w:t xml:space="preserve">) </w:t>
            </w:r>
            <w:r>
              <w:rPr>
                <w:rStyle w:val="IndexLink"/>
                <w:rtl w:val="true"/>
              </w:rPr>
              <w:t xml:space="preserve">بلا </w:t>
            </w:r>
            <w:r>
              <w:rPr>
                <w:rStyle w:val="IndexLink"/>
                <w:rtl w:val="true"/>
              </w:rPr>
              <w:t>(</w:t>
            </w:r>
            <w:r>
              <w:rPr>
                <w:rStyle w:val="IndexLink"/>
                <w:rtl w:val="true"/>
              </w:rPr>
              <w:t>قد</w:t>
            </w:r>
            <w:r>
              <w:rPr>
                <w:rStyle w:val="IndexLink"/>
                <w:rtl w:val="true"/>
              </w:rPr>
              <w:t>):</w:t>
              <w:tab/>
            </w:r>
            <w:r>
              <w:rPr>
                <w:rStyle w:val="IndexLink"/>
              </w:rPr>
              <w:t>138</w:t>
            </w:r>
          </w:hyperlink>
        </w:p>
        <w:p>
          <w:pPr>
            <w:pStyle w:val="Contents5"/>
            <w:tabs>
              <w:tab w:val="clear" w:pos="7892"/>
              <w:tab w:val="right" w:pos="9026" w:leader="dot"/>
            </w:tabs>
            <w:rPr/>
          </w:pPr>
          <w:hyperlink w:anchor="__RefHeading___Toc2958318_372815092">
            <w:r>
              <w:rPr>
                <w:webHidden/>
                <w:rStyle w:val="IndexLink"/>
                <w:rtl w:val="true"/>
              </w:rPr>
              <w:t>المسألة الثانية</w:t>
            </w:r>
            <w:r>
              <w:rPr>
                <w:rStyle w:val="IndexLink"/>
                <w:rtl w:val="true"/>
              </w:rPr>
              <w:t xml:space="preserve">: </w:t>
            </w:r>
            <w:r>
              <w:rPr>
                <w:rStyle w:val="IndexLink"/>
                <w:rtl w:val="true"/>
              </w:rPr>
              <w:t xml:space="preserve">جواز إجراء الفعل </w:t>
            </w:r>
            <w:r>
              <w:rPr>
                <w:rStyle w:val="IndexLink"/>
                <w:rtl w:val="true"/>
              </w:rPr>
              <w:t>(</w:t>
            </w:r>
            <w:r>
              <w:rPr>
                <w:rStyle w:val="IndexLink"/>
                <w:rtl w:val="true"/>
              </w:rPr>
              <w:t>عدَّ</w:t>
            </w:r>
            <w:r>
              <w:rPr>
                <w:rStyle w:val="IndexLink"/>
                <w:rtl w:val="true"/>
              </w:rPr>
              <w:t xml:space="preserve">) </w:t>
            </w:r>
            <w:r>
              <w:rPr>
                <w:rStyle w:val="IndexLink"/>
                <w:rtl w:val="true"/>
              </w:rPr>
              <w:t>مجرى الظَّن</w:t>
            </w:r>
            <w:r>
              <w:rPr>
                <w:rStyle w:val="IndexLink"/>
                <w:rtl w:val="true"/>
              </w:rPr>
              <w:t>:</w:t>
              <w:tab/>
            </w:r>
            <w:r>
              <w:rPr>
                <w:rStyle w:val="IndexLink"/>
              </w:rPr>
              <w:t>144</w:t>
            </w:r>
          </w:hyperlink>
        </w:p>
        <w:p>
          <w:pPr>
            <w:pStyle w:val="Contents5"/>
            <w:tabs>
              <w:tab w:val="clear" w:pos="7892"/>
              <w:tab w:val="right" w:pos="9026" w:leader="dot"/>
            </w:tabs>
            <w:rPr/>
          </w:pPr>
          <w:hyperlink w:anchor="__RefHeading___Toc2958320_372815092">
            <w:r>
              <w:rPr>
                <w:webHidden/>
                <w:rStyle w:val="IndexLink"/>
                <w:rtl w:val="true"/>
              </w:rPr>
              <w:t>المسألة الثالثة</w:t>
            </w:r>
            <w:r>
              <w:rPr>
                <w:rStyle w:val="IndexLink"/>
                <w:rtl w:val="true"/>
              </w:rPr>
              <w:t xml:space="preserve">: </w:t>
            </w:r>
            <w:r>
              <w:rPr>
                <w:rStyle w:val="IndexLink"/>
                <w:rtl w:val="true"/>
              </w:rPr>
              <w:t xml:space="preserve">جواز وقوع الفعل الماضي المثبَت المجرَّد من </w:t>
            </w:r>
            <w:r>
              <w:rPr>
                <w:rStyle w:val="IndexLink"/>
                <w:rtl w:val="true"/>
              </w:rPr>
              <w:t>(</w:t>
            </w:r>
            <w:r>
              <w:rPr>
                <w:rStyle w:val="IndexLink"/>
                <w:rtl w:val="true"/>
              </w:rPr>
              <w:t>قد</w:t>
            </w:r>
            <w:r>
              <w:rPr>
                <w:rStyle w:val="IndexLink"/>
                <w:rtl w:val="true"/>
              </w:rPr>
              <w:t xml:space="preserve">) </w:t>
            </w:r>
            <w:r>
              <w:rPr>
                <w:rStyle w:val="IndexLink"/>
                <w:rtl w:val="true"/>
              </w:rPr>
              <w:t>حالًا</w:t>
            </w:r>
            <w:r>
              <w:rPr>
                <w:rStyle w:val="IndexLink"/>
                <w:rtl w:val="true"/>
              </w:rPr>
              <w:t>:</w:t>
              <w:tab/>
            </w:r>
            <w:r>
              <w:rPr>
                <w:rStyle w:val="IndexLink"/>
              </w:rPr>
              <w:t>147</w:t>
            </w:r>
          </w:hyperlink>
        </w:p>
        <w:p>
          <w:pPr>
            <w:pStyle w:val="Contents4"/>
            <w:tabs>
              <w:tab w:val="clear" w:pos="8176"/>
              <w:tab w:val="right" w:pos="9026" w:leader="dot"/>
            </w:tabs>
            <w:rPr/>
          </w:pPr>
          <w:hyperlink w:anchor="__RefHeading___Toc2958322_372815092">
            <w:r>
              <w:rPr>
                <w:webHidden/>
                <w:rStyle w:val="IndexLink"/>
                <w:rtl w:val="true"/>
              </w:rPr>
              <w:t>المبحث الثاني ما منعَهُ أغلبُ النحويين في الحروف</w:t>
            </w:r>
            <w:r>
              <w:rPr>
                <w:rStyle w:val="IndexLink"/>
                <w:rtl w:val="true"/>
              </w:rPr>
              <w:tab/>
            </w:r>
            <w:r>
              <w:rPr>
                <w:rStyle w:val="IndexLink"/>
              </w:rPr>
              <w:t>156</w:t>
            </w:r>
          </w:hyperlink>
        </w:p>
        <w:p>
          <w:pPr>
            <w:pStyle w:val="Contents5"/>
            <w:tabs>
              <w:tab w:val="clear" w:pos="7892"/>
              <w:tab w:val="right" w:pos="9026" w:leader="dot"/>
            </w:tabs>
            <w:rPr/>
          </w:pPr>
          <w:hyperlink w:anchor="__RefHeading___Toc2958324_372815092">
            <w:r>
              <w:rPr>
                <w:webHidden/>
                <w:rStyle w:val="IndexLink"/>
                <w:rtl w:val="true"/>
              </w:rPr>
              <w:t>المسألة الأولى</w:t>
            </w:r>
            <w:r>
              <w:rPr>
                <w:rStyle w:val="IndexLink"/>
                <w:rtl w:val="true"/>
              </w:rPr>
              <w:t xml:space="preserve">: </w:t>
            </w:r>
            <w:r>
              <w:rPr>
                <w:rStyle w:val="IndexLink"/>
                <w:rtl w:val="true"/>
              </w:rPr>
              <w:t xml:space="preserve">جواز ورود </w:t>
            </w:r>
            <w:r>
              <w:rPr>
                <w:rStyle w:val="IndexLink"/>
                <w:rtl w:val="true"/>
              </w:rPr>
              <w:t>(</w:t>
            </w:r>
            <w:r>
              <w:rPr>
                <w:rStyle w:val="IndexLink"/>
                <w:rtl w:val="true"/>
              </w:rPr>
              <w:t>أنْ</w:t>
            </w:r>
            <w:r>
              <w:rPr>
                <w:rStyle w:val="IndexLink"/>
                <w:rtl w:val="true"/>
              </w:rPr>
              <w:t xml:space="preserve">) </w:t>
            </w:r>
            <w:r>
              <w:rPr>
                <w:rStyle w:val="IndexLink"/>
                <w:rtl w:val="true"/>
              </w:rPr>
              <w:t>ناصبةً مسبوقةً بأفعال التحقيق</w:t>
            </w:r>
            <w:r>
              <w:rPr>
                <w:rStyle w:val="IndexLink"/>
                <w:rtl w:val="true"/>
              </w:rPr>
              <w:t>:</w:t>
              <w:tab/>
            </w:r>
            <w:r>
              <w:rPr>
                <w:rStyle w:val="IndexLink"/>
              </w:rPr>
              <w:t>156</w:t>
            </w:r>
          </w:hyperlink>
        </w:p>
        <w:p>
          <w:pPr>
            <w:pStyle w:val="Contents5"/>
            <w:tabs>
              <w:tab w:val="clear" w:pos="7892"/>
              <w:tab w:val="right" w:pos="9026" w:leader="dot"/>
            </w:tabs>
            <w:rPr/>
          </w:pPr>
          <w:hyperlink w:anchor="__RefHeading___Toc2958326_372815092">
            <w:r>
              <w:rPr>
                <w:webHidden/>
                <w:rStyle w:val="IndexLink"/>
                <w:rtl w:val="true"/>
              </w:rPr>
              <w:t>المسألة الثانية</w:t>
            </w:r>
            <w:r>
              <w:rPr>
                <w:rStyle w:val="IndexLink"/>
                <w:rtl w:val="true"/>
              </w:rPr>
              <w:t xml:space="preserve">: </w:t>
            </w:r>
            <w:r>
              <w:rPr>
                <w:rStyle w:val="IndexLink"/>
                <w:rtl w:val="true"/>
              </w:rPr>
              <w:t xml:space="preserve">جواز استعمال </w:t>
            </w:r>
            <w:r>
              <w:rPr>
                <w:rStyle w:val="IndexLink"/>
                <w:rtl w:val="true"/>
              </w:rPr>
              <w:t>(</w:t>
            </w:r>
            <w:r>
              <w:rPr>
                <w:rStyle w:val="IndexLink"/>
                <w:rtl w:val="true"/>
              </w:rPr>
              <w:t>في</w:t>
            </w:r>
            <w:r>
              <w:rPr>
                <w:rStyle w:val="IndexLink"/>
                <w:rtl w:val="true"/>
              </w:rPr>
              <w:t xml:space="preserve">) </w:t>
            </w:r>
            <w:r>
              <w:rPr>
                <w:rStyle w:val="IndexLink"/>
                <w:rtl w:val="true"/>
              </w:rPr>
              <w:t>في الدلالة على التعليل</w:t>
            </w:r>
            <w:r>
              <w:rPr>
                <w:rStyle w:val="IndexLink"/>
                <w:rtl w:val="true"/>
              </w:rPr>
              <w:t>:</w:t>
              <w:tab/>
            </w:r>
            <w:r>
              <w:rPr>
                <w:rStyle w:val="IndexLink"/>
              </w:rPr>
              <w:t>160</w:t>
            </w:r>
          </w:hyperlink>
        </w:p>
        <w:p>
          <w:pPr>
            <w:pStyle w:val="Contents5"/>
            <w:tabs>
              <w:tab w:val="clear" w:pos="7892"/>
              <w:tab w:val="right" w:pos="9026" w:leader="dot"/>
            </w:tabs>
            <w:rPr/>
          </w:pPr>
          <w:hyperlink w:anchor="__RefHeading___Toc2958328_372815092">
            <w:r>
              <w:rPr>
                <w:webHidden/>
                <w:rStyle w:val="IndexLink"/>
                <w:rtl w:val="true"/>
              </w:rPr>
              <w:t>المسألة الثالثة</w:t>
            </w:r>
            <w:r>
              <w:rPr>
                <w:rStyle w:val="IndexLink"/>
                <w:rtl w:val="true"/>
              </w:rPr>
              <w:t xml:space="preserve">: </w:t>
            </w:r>
            <w:r>
              <w:rPr>
                <w:rStyle w:val="IndexLink"/>
                <w:rtl w:val="true"/>
              </w:rPr>
              <w:t xml:space="preserve">جواز استعمال </w:t>
            </w:r>
            <w:r>
              <w:rPr>
                <w:rStyle w:val="IndexLink"/>
                <w:rtl w:val="true"/>
              </w:rPr>
              <w:t>(</w:t>
            </w:r>
            <w:r>
              <w:rPr>
                <w:rStyle w:val="IndexLink"/>
                <w:rtl w:val="true"/>
              </w:rPr>
              <w:t>مِن</w:t>
            </w:r>
            <w:r>
              <w:rPr>
                <w:rStyle w:val="IndexLink"/>
                <w:rtl w:val="true"/>
              </w:rPr>
              <w:t xml:space="preserve">) </w:t>
            </w:r>
            <w:r>
              <w:rPr>
                <w:rStyle w:val="IndexLink"/>
                <w:rtl w:val="true"/>
              </w:rPr>
              <w:t>في الدلالة على الزمان</w:t>
            </w:r>
            <w:r>
              <w:rPr>
                <w:rStyle w:val="IndexLink"/>
                <w:rtl w:val="true"/>
              </w:rPr>
              <w:t>:</w:t>
              <w:tab/>
            </w:r>
            <w:r>
              <w:rPr>
                <w:rStyle w:val="IndexLink"/>
              </w:rPr>
              <w:t>164</w:t>
            </w:r>
          </w:hyperlink>
        </w:p>
        <w:p>
          <w:pPr>
            <w:pStyle w:val="Contents5"/>
            <w:tabs>
              <w:tab w:val="clear" w:pos="7892"/>
              <w:tab w:val="right" w:pos="9026" w:leader="dot"/>
            </w:tabs>
            <w:rPr/>
          </w:pPr>
          <w:hyperlink w:anchor="__RefHeading___Toc2958330_372815092">
            <w:r>
              <w:rPr>
                <w:webHidden/>
                <w:rStyle w:val="IndexLink"/>
                <w:rtl w:val="true"/>
              </w:rPr>
              <w:t>المسألة الرابعة</w:t>
            </w:r>
            <w:r>
              <w:rPr>
                <w:rStyle w:val="IndexLink"/>
                <w:rtl w:val="true"/>
              </w:rPr>
              <w:t xml:space="preserve">: </w:t>
            </w:r>
            <w:r>
              <w:rPr>
                <w:rStyle w:val="IndexLink"/>
                <w:rtl w:val="true"/>
              </w:rPr>
              <w:t xml:space="preserve">جواز زيادة </w:t>
            </w:r>
            <w:r>
              <w:rPr>
                <w:rStyle w:val="IndexLink"/>
                <w:rtl w:val="true"/>
              </w:rPr>
              <w:t>(</w:t>
            </w:r>
            <w:r>
              <w:rPr>
                <w:rStyle w:val="IndexLink"/>
                <w:rtl w:val="true"/>
              </w:rPr>
              <w:t>مِن</w:t>
            </w:r>
            <w:r>
              <w:rPr>
                <w:rStyle w:val="IndexLink"/>
                <w:rtl w:val="true"/>
              </w:rPr>
              <w:t xml:space="preserve">) </w:t>
            </w:r>
            <w:r>
              <w:rPr>
                <w:rStyle w:val="IndexLink"/>
                <w:rtl w:val="true"/>
              </w:rPr>
              <w:t>في الإيجاب</w:t>
            </w:r>
            <w:r>
              <w:rPr>
                <w:rStyle w:val="IndexLink"/>
                <w:rtl w:val="true"/>
              </w:rPr>
              <w:t>:</w:t>
              <w:tab/>
            </w:r>
            <w:r>
              <w:rPr>
                <w:rStyle w:val="IndexLink"/>
              </w:rPr>
              <w:t>168</w:t>
            </w:r>
          </w:hyperlink>
        </w:p>
        <w:p>
          <w:pPr>
            <w:pStyle w:val="Contents2"/>
            <w:tabs>
              <w:tab w:val="clear" w:pos="8743"/>
              <w:tab w:val="right" w:pos="9026" w:leader="dot"/>
            </w:tabs>
            <w:rPr/>
          </w:pPr>
          <w:hyperlink w:anchor="__RefHeading___Toc2958332_372815092">
            <w:r>
              <w:rPr>
                <w:webHidden/>
                <w:rStyle w:val="IndexLink"/>
                <w:rtl w:val="true"/>
              </w:rPr>
              <w:t>الباب الثاني ما حَمَلَهُ أغلبُ النَحْويينَ</w:t>
            </w:r>
            <w:r>
              <w:rPr>
                <w:rStyle w:val="IndexLink"/>
                <w:rtl w:val="true"/>
              </w:rPr>
              <w:tab/>
            </w:r>
            <w:r>
              <w:rPr>
                <w:rStyle w:val="IndexLink"/>
              </w:rPr>
              <w:t>174</w:t>
            </w:r>
          </w:hyperlink>
        </w:p>
        <w:p>
          <w:pPr>
            <w:pStyle w:val="Contents3"/>
            <w:tabs>
              <w:tab w:val="clear" w:pos="8459"/>
              <w:tab w:val="right" w:pos="9026" w:leader="dot"/>
            </w:tabs>
            <w:rPr/>
          </w:pPr>
          <w:hyperlink w:anchor="__RefHeading___Toc2958334_372815092">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2958336_372815092">
            <w:r>
              <w:rPr>
                <w:webHidden/>
                <w:rStyle w:val="IndexLink"/>
                <w:rtl w:val="true"/>
              </w:rPr>
              <w:t>توطئة</w:t>
            </w:r>
            <w:r>
              <w:rPr>
                <w:rStyle w:val="IndexLink"/>
                <w:rtl w:val="true"/>
              </w:rPr>
              <w:t>:</w:t>
              <w:tab/>
            </w:r>
            <w:r>
              <w:rPr>
                <w:rStyle w:val="IndexLink"/>
              </w:rPr>
              <w:t>176</w:t>
            </w:r>
          </w:hyperlink>
        </w:p>
        <w:p>
          <w:pPr>
            <w:pStyle w:val="Contents3"/>
            <w:tabs>
              <w:tab w:val="clear" w:pos="8459"/>
              <w:tab w:val="right" w:pos="9026" w:leader="dot"/>
            </w:tabs>
            <w:rPr/>
          </w:pPr>
          <w:hyperlink w:anchor="__RefHeading___Toc2958338_372815092">
            <w:r>
              <w:rPr>
                <w:webHidden/>
                <w:rStyle w:val="IndexLink"/>
                <w:rtl w:val="true"/>
              </w:rPr>
              <w:t>الفصل الأول ما حُمِل على الضرورة الشعرية فيما أُثبِتَ في الكلام</w:t>
            </w:r>
            <w:r>
              <w:rPr>
                <w:rStyle w:val="IndexLink"/>
                <w:rtl w:val="true"/>
              </w:rPr>
              <w:tab/>
            </w:r>
            <w:r>
              <w:rPr>
                <w:rStyle w:val="IndexLink"/>
              </w:rPr>
              <w:t>182</w:t>
            </w:r>
          </w:hyperlink>
        </w:p>
        <w:p>
          <w:pPr>
            <w:pStyle w:val="Contents4"/>
            <w:tabs>
              <w:tab w:val="clear" w:pos="8176"/>
              <w:tab w:val="right" w:pos="9026" w:leader="dot"/>
            </w:tabs>
            <w:rPr/>
          </w:pPr>
          <w:hyperlink w:anchor="__RefHeading___Toc2958340_372815092">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2958342_372815092">
            <w:r>
              <w:rPr>
                <w:webHidden/>
                <w:rStyle w:val="IndexLink"/>
                <w:rtl w:val="true"/>
              </w:rPr>
              <w:t>المسألة الأولى</w:t>
            </w:r>
            <w:r>
              <w:rPr>
                <w:rStyle w:val="IndexLink"/>
                <w:rtl w:val="true"/>
              </w:rPr>
              <w:t xml:space="preserve">: </w:t>
            </w:r>
            <w:r>
              <w:rPr>
                <w:rStyle w:val="IndexLink"/>
                <w:rtl w:val="true"/>
              </w:rPr>
              <w:t xml:space="preserve">جواز توكيد جواب الشرط ب </w:t>
            </w:r>
            <w:r>
              <w:rPr>
                <w:rStyle w:val="IndexLink"/>
                <w:rtl w:val="true"/>
              </w:rPr>
              <w:t>(</w:t>
            </w:r>
            <w:r>
              <w:rPr>
                <w:rStyle w:val="IndexLink"/>
                <w:rtl w:val="true"/>
              </w:rPr>
              <w:t>نون</w:t>
            </w:r>
            <w:r>
              <w:rPr>
                <w:rStyle w:val="IndexLink"/>
                <w:rtl w:val="true"/>
              </w:rPr>
              <w:t xml:space="preserve">) </w:t>
            </w:r>
            <w:r>
              <w:rPr>
                <w:rStyle w:val="IndexLink"/>
                <w:rtl w:val="true"/>
              </w:rPr>
              <w:t>التوكيد</w:t>
            </w:r>
            <w:r>
              <w:rPr>
                <w:rStyle w:val="IndexLink"/>
                <w:rtl w:val="true"/>
              </w:rPr>
              <w:t>:</w:t>
              <w:tab/>
            </w:r>
            <w:r>
              <w:rPr>
                <w:rStyle w:val="IndexLink"/>
              </w:rPr>
              <w:t>184</w:t>
            </w:r>
          </w:hyperlink>
        </w:p>
        <w:p>
          <w:pPr>
            <w:pStyle w:val="Contents4"/>
            <w:tabs>
              <w:tab w:val="clear" w:pos="8176"/>
              <w:tab w:val="right" w:pos="9026" w:leader="dot"/>
            </w:tabs>
            <w:rPr/>
          </w:pPr>
          <w:hyperlink w:anchor="__RefHeading___Toc2958344_372815092">
            <w:r>
              <w:rPr>
                <w:webHidden/>
                <w:rStyle w:val="IndexLink"/>
                <w:rtl w:val="true"/>
              </w:rPr>
              <w:t>المسألة الثانية</w:t>
            </w:r>
            <w:r>
              <w:rPr>
                <w:rStyle w:val="IndexLink"/>
                <w:rtl w:val="true"/>
              </w:rPr>
              <w:t>:</w:t>
            </w:r>
            <w:r>
              <w:rPr>
                <w:rStyle w:val="IndexLink"/>
                <w:rtl w:val="true"/>
              </w:rPr>
              <w:t xml:space="preserve">جواز إبقاء ألف </w:t>
            </w:r>
            <w:r>
              <w:rPr>
                <w:rStyle w:val="IndexLink"/>
                <w:rtl w:val="true"/>
              </w:rPr>
              <w:t>(</w:t>
            </w:r>
            <w:r>
              <w:rPr>
                <w:rStyle w:val="IndexLink"/>
                <w:rtl w:val="true"/>
              </w:rPr>
              <w:t>ما</w:t>
            </w:r>
            <w:r>
              <w:rPr>
                <w:rStyle w:val="IndexLink"/>
                <w:rtl w:val="true"/>
              </w:rPr>
              <w:t xml:space="preserve">) </w:t>
            </w:r>
            <w:r>
              <w:rPr>
                <w:rStyle w:val="IndexLink"/>
                <w:rtl w:val="true"/>
              </w:rPr>
              <w:t>الاستفهامية عند جرها بحرف الجر</w:t>
            </w:r>
            <w:r>
              <w:rPr>
                <w:rStyle w:val="IndexLink"/>
                <w:rtl w:val="true"/>
              </w:rPr>
              <w:t>:</w:t>
              <w:tab/>
            </w:r>
            <w:r>
              <w:rPr>
                <w:rStyle w:val="IndexLink"/>
              </w:rPr>
              <w:t>192</w:t>
            </w:r>
          </w:hyperlink>
        </w:p>
        <w:p>
          <w:pPr>
            <w:pStyle w:val="Contents4"/>
            <w:tabs>
              <w:tab w:val="clear" w:pos="8176"/>
              <w:tab w:val="right" w:pos="9026" w:leader="dot"/>
            </w:tabs>
            <w:rPr/>
          </w:pPr>
          <w:hyperlink w:anchor="__RefHeading___Toc2958346_372815092">
            <w:r>
              <w:rPr>
                <w:webHidden/>
                <w:rStyle w:val="IndexLink"/>
                <w:rtl w:val="true"/>
              </w:rPr>
              <w:t>المسألة الثالثة</w:t>
            </w:r>
            <w:r>
              <w:rPr>
                <w:rStyle w:val="IndexLink"/>
                <w:rtl w:val="true"/>
              </w:rPr>
              <w:t xml:space="preserve">: </w:t>
            </w:r>
            <w:r>
              <w:rPr>
                <w:rStyle w:val="IndexLink"/>
                <w:rtl w:val="true"/>
              </w:rPr>
              <w:t xml:space="preserve">جواز اقتران خبر </w:t>
            </w:r>
            <w:r>
              <w:rPr>
                <w:rStyle w:val="IndexLink"/>
                <w:rtl w:val="true"/>
              </w:rPr>
              <w:t>(</w:t>
            </w:r>
            <w:r>
              <w:rPr>
                <w:rStyle w:val="IndexLink"/>
                <w:rtl w:val="true"/>
              </w:rPr>
              <w:t>كاد</w:t>
            </w:r>
            <w:r>
              <w:rPr>
                <w:rStyle w:val="IndexLink"/>
                <w:rtl w:val="true"/>
              </w:rPr>
              <w:t xml:space="preserve">) </w:t>
            </w:r>
            <w:r>
              <w:rPr>
                <w:rStyle w:val="IndexLink"/>
                <w:rtl w:val="true"/>
              </w:rPr>
              <w:t xml:space="preserve">ب </w:t>
            </w:r>
            <w:r>
              <w:rPr>
                <w:rStyle w:val="IndexLink"/>
                <w:rtl w:val="true"/>
              </w:rPr>
              <w:t>(</w:t>
            </w:r>
            <w:r>
              <w:rPr>
                <w:rStyle w:val="IndexLink"/>
                <w:rtl w:val="true"/>
              </w:rPr>
              <w:t>أنْ</w:t>
            </w:r>
            <w:r>
              <w:rPr>
                <w:rStyle w:val="IndexLink"/>
                <w:rtl w:val="true"/>
              </w:rPr>
              <w:t>):</w:t>
              <w:tab/>
            </w:r>
            <w:r>
              <w:rPr>
                <w:rStyle w:val="IndexLink"/>
              </w:rPr>
              <w:t>198</w:t>
            </w:r>
          </w:hyperlink>
        </w:p>
        <w:p>
          <w:pPr>
            <w:pStyle w:val="Contents3"/>
            <w:tabs>
              <w:tab w:val="clear" w:pos="8459"/>
              <w:tab w:val="right" w:pos="9026" w:leader="dot"/>
            </w:tabs>
            <w:rPr/>
          </w:pPr>
          <w:hyperlink w:anchor="__RefHeading___Toc2958348_372815092">
            <w:r>
              <w:rPr>
                <w:webHidden/>
                <w:rStyle w:val="IndexLink"/>
                <w:rtl w:val="true"/>
              </w:rPr>
              <w:t>الفصل الثاني ما حُمِل على الضرورة الشعرية فيما اعتوره الحذف ومسائل أُخر</w:t>
            </w:r>
            <w:r>
              <w:rPr>
                <w:rStyle w:val="IndexLink"/>
                <w:rtl w:val="true"/>
              </w:rPr>
              <w:tab/>
            </w:r>
            <w:r>
              <w:rPr>
                <w:rStyle w:val="IndexLink"/>
              </w:rPr>
              <w:t>206</w:t>
            </w:r>
          </w:hyperlink>
        </w:p>
        <w:p>
          <w:pPr>
            <w:pStyle w:val="Contents4"/>
            <w:tabs>
              <w:tab w:val="clear" w:pos="8176"/>
              <w:tab w:val="right" w:pos="9026" w:leader="dot"/>
            </w:tabs>
            <w:rPr/>
          </w:pPr>
          <w:hyperlink w:anchor="__RefHeading___Toc2958350_372815092">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2958352_372815092">
            <w:r>
              <w:rPr>
                <w:webHidden/>
                <w:rStyle w:val="IndexLink"/>
                <w:rtl w:val="true"/>
              </w:rPr>
              <w:t>المسألة الرابعة</w:t>
            </w:r>
            <w:r>
              <w:rPr>
                <w:rStyle w:val="IndexLink"/>
                <w:rtl w:val="true"/>
              </w:rPr>
              <w:t xml:space="preserve">: </w:t>
            </w:r>
            <w:r>
              <w:rPr>
                <w:rStyle w:val="IndexLink"/>
                <w:rtl w:val="true"/>
              </w:rPr>
              <w:t xml:space="preserve">جواز اقتران خبر </w:t>
            </w:r>
            <w:r>
              <w:rPr>
                <w:rStyle w:val="IndexLink"/>
                <w:rtl w:val="true"/>
              </w:rPr>
              <w:t>(</w:t>
            </w:r>
            <w:r>
              <w:rPr>
                <w:rStyle w:val="IndexLink"/>
                <w:rtl w:val="true"/>
              </w:rPr>
              <w:t>لعلَّ</w:t>
            </w:r>
            <w:r>
              <w:rPr>
                <w:rStyle w:val="IndexLink"/>
                <w:rtl w:val="true"/>
              </w:rPr>
              <w:t xml:space="preserve">) </w:t>
            </w:r>
            <w:r>
              <w:rPr>
                <w:rStyle w:val="IndexLink"/>
                <w:rtl w:val="true"/>
              </w:rPr>
              <w:t xml:space="preserve">ب </w:t>
            </w:r>
            <w:r>
              <w:rPr>
                <w:rStyle w:val="IndexLink"/>
                <w:rtl w:val="true"/>
              </w:rPr>
              <w:t>(</w:t>
            </w:r>
            <w:r>
              <w:rPr>
                <w:rStyle w:val="IndexLink"/>
                <w:rtl w:val="true"/>
              </w:rPr>
              <w:t>أنْ</w:t>
            </w:r>
            <w:r>
              <w:rPr>
                <w:rStyle w:val="IndexLink"/>
                <w:rtl w:val="true"/>
              </w:rPr>
              <w:t xml:space="preserve">) </w:t>
            </w:r>
            <w:r>
              <w:rPr>
                <w:rStyle w:val="IndexLink"/>
                <w:rtl w:val="true"/>
              </w:rPr>
              <w:t>أو وقوعه فعلا ماضيًا</w:t>
            </w:r>
            <w:r>
              <w:rPr>
                <w:rStyle w:val="IndexLink"/>
                <w:rtl w:val="true"/>
              </w:rPr>
              <w:tab/>
            </w:r>
            <w:r>
              <w:rPr>
                <w:rStyle w:val="IndexLink"/>
              </w:rPr>
              <w:t>208</w:t>
            </w:r>
          </w:hyperlink>
        </w:p>
        <w:p>
          <w:pPr>
            <w:pStyle w:val="Contents4"/>
            <w:tabs>
              <w:tab w:val="clear" w:pos="8176"/>
              <w:tab w:val="right" w:pos="9026" w:leader="dot"/>
            </w:tabs>
            <w:rPr/>
          </w:pPr>
          <w:hyperlink w:anchor="__RefHeading___Toc2958354_372815092">
            <w:r>
              <w:rPr>
                <w:webHidden/>
                <w:rStyle w:val="IndexLink"/>
                <w:rtl w:val="true"/>
              </w:rPr>
              <w:t>المبحث الأول ما حُمِلَ على الضرورة الشعرية فيما اعتوَرَهُ الحذف</w:t>
            </w:r>
            <w:r>
              <w:rPr>
                <w:rStyle w:val="IndexLink"/>
                <w:rtl w:val="true"/>
              </w:rPr>
              <w:t>:</w:t>
              <w:tab/>
            </w:r>
            <w:r>
              <w:rPr>
                <w:rStyle w:val="IndexLink"/>
              </w:rPr>
              <w:t>216</w:t>
            </w:r>
          </w:hyperlink>
        </w:p>
        <w:p>
          <w:pPr>
            <w:pStyle w:val="Contents5"/>
            <w:tabs>
              <w:tab w:val="clear" w:pos="7892"/>
              <w:tab w:val="right" w:pos="9026" w:leader="dot"/>
            </w:tabs>
            <w:rPr/>
          </w:pPr>
          <w:hyperlink w:anchor="__RefHeading___Toc2958356_372815092">
            <w:r>
              <w:rPr>
                <w:webHidden/>
                <w:rStyle w:val="IndexLink"/>
                <w:rtl w:val="true"/>
              </w:rPr>
              <w:t>المسألة الأولى</w:t>
            </w:r>
            <w:r>
              <w:rPr>
                <w:rStyle w:val="IndexLink"/>
                <w:rtl w:val="true"/>
              </w:rPr>
              <w:t xml:space="preserve">: </w:t>
            </w:r>
            <w:r>
              <w:rPr>
                <w:rStyle w:val="IndexLink"/>
                <w:rtl w:val="true"/>
              </w:rPr>
              <w:t>جواز حذف همزة الاستفهام</w:t>
            </w:r>
            <w:r>
              <w:rPr>
                <w:rStyle w:val="IndexLink"/>
                <w:rtl w:val="true"/>
              </w:rPr>
              <w:t>:</w:t>
              <w:tab/>
            </w:r>
            <w:r>
              <w:rPr>
                <w:rStyle w:val="IndexLink"/>
              </w:rPr>
              <w:t>216</w:t>
            </w:r>
          </w:hyperlink>
        </w:p>
        <w:p>
          <w:pPr>
            <w:pStyle w:val="Contents5"/>
            <w:tabs>
              <w:tab w:val="clear" w:pos="7892"/>
              <w:tab w:val="right" w:pos="9026" w:leader="dot"/>
            </w:tabs>
            <w:rPr/>
          </w:pPr>
          <w:hyperlink w:anchor="__RefHeading___Toc2958358_372815092">
            <w:r>
              <w:rPr>
                <w:webHidden/>
                <w:rStyle w:val="IndexLink"/>
                <w:rtl w:val="true"/>
              </w:rPr>
              <w:t>المسألة الثانية</w:t>
            </w:r>
            <w:r>
              <w:rPr>
                <w:rStyle w:val="IndexLink"/>
                <w:rtl w:val="true"/>
              </w:rPr>
              <w:t xml:space="preserve">: </w:t>
            </w:r>
            <w:r>
              <w:rPr>
                <w:rStyle w:val="IndexLink"/>
                <w:rtl w:val="true"/>
              </w:rPr>
              <w:t xml:space="preserve">جواز حذف حرف العطف </w:t>
            </w:r>
            <w:r>
              <w:rPr>
                <w:rStyle w:val="IndexLink"/>
                <w:rtl w:val="true"/>
              </w:rPr>
              <w:t>(</w:t>
            </w:r>
            <w:r>
              <w:rPr>
                <w:rStyle w:val="IndexLink"/>
                <w:rtl w:val="true"/>
              </w:rPr>
              <w:t>الواو</w:t>
            </w:r>
            <w:r>
              <w:rPr>
                <w:rStyle w:val="IndexLink"/>
                <w:rtl w:val="true"/>
              </w:rPr>
              <w:t>):</w:t>
              <w:tab/>
            </w:r>
            <w:r>
              <w:rPr>
                <w:rStyle w:val="IndexLink"/>
              </w:rPr>
              <w:t>223</w:t>
            </w:r>
          </w:hyperlink>
        </w:p>
        <w:p>
          <w:pPr>
            <w:pStyle w:val="Contents5"/>
            <w:tabs>
              <w:tab w:val="clear" w:pos="7892"/>
              <w:tab w:val="right" w:pos="9026" w:leader="dot"/>
            </w:tabs>
            <w:rPr/>
          </w:pPr>
          <w:hyperlink w:anchor="__RefHeading___Toc2958360_372815092">
            <w:r>
              <w:rPr>
                <w:webHidden/>
                <w:rStyle w:val="IndexLink"/>
                <w:rtl w:val="true"/>
              </w:rPr>
              <w:t>المسألة الثالثة</w:t>
            </w:r>
            <w:r>
              <w:rPr>
                <w:rStyle w:val="IndexLink"/>
                <w:rtl w:val="true"/>
              </w:rPr>
              <w:t xml:space="preserve">: </w:t>
            </w:r>
            <w:r>
              <w:rPr>
                <w:rStyle w:val="IndexLink"/>
                <w:rtl w:val="true"/>
              </w:rPr>
              <w:t xml:space="preserve">جواز بقاء الشرط مسبوقًا ب </w:t>
            </w:r>
            <w:r>
              <w:rPr>
                <w:rStyle w:val="IndexLink"/>
                <w:rtl w:val="true"/>
              </w:rPr>
              <w:t>(</w:t>
            </w:r>
            <w:r>
              <w:rPr>
                <w:rStyle w:val="IndexLink"/>
                <w:rtl w:val="true"/>
              </w:rPr>
              <w:t>إنَّ</w:t>
            </w:r>
            <w:r>
              <w:rPr>
                <w:rStyle w:val="IndexLink"/>
                <w:rtl w:val="true"/>
              </w:rPr>
              <w:t xml:space="preserve">) </w:t>
            </w:r>
            <w:r>
              <w:rPr>
                <w:rStyle w:val="IndexLink"/>
                <w:rtl w:val="true"/>
              </w:rPr>
              <w:t>بلا تقدير ضمير شأن بعدها</w:t>
            </w:r>
            <w:r>
              <w:rPr>
                <w:rStyle w:val="IndexLink"/>
                <w:rtl w:val="true"/>
              </w:rPr>
              <w:t>:</w:t>
              <w:tab/>
            </w:r>
            <w:r>
              <w:rPr>
                <w:rStyle w:val="IndexLink"/>
              </w:rPr>
              <w:t>230</w:t>
            </w:r>
          </w:hyperlink>
        </w:p>
        <w:p>
          <w:pPr>
            <w:pStyle w:val="Contents4"/>
            <w:tabs>
              <w:tab w:val="clear" w:pos="8176"/>
              <w:tab w:val="right" w:pos="9026" w:leader="dot"/>
            </w:tabs>
            <w:rPr/>
          </w:pPr>
          <w:hyperlink w:anchor="__RefHeading___Toc2958362_372815092">
            <w:r>
              <w:rPr>
                <w:webHidden/>
                <w:rStyle w:val="IndexLink"/>
                <w:rtl w:val="true"/>
              </w:rPr>
              <w:t>المبحث الثاني ما حُمِلَ على الضرورة الشعرية في مسائلَ أُخر</w:t>
            </w:r>
            <w:r>
              <w:rPr>
                <w:rStyle w:val="IndexLink"/>
                <w:rtl w:val="true"/>
              </w:rPr>
              <w:t>:</w:t>
              <w:tab/>
            </w:r>
            <w:r>
              <w:rPr>
                <w:rStyle w:val="IndexLink"/>
              </w:rPr>
              <w:t>242</w:t>
            </w:r>
          </w:hyperlink>
        </w:p>
        <w:p>
          <w:pPr>
            <w:pStyle w:val="Contents5"/>
            <w:tabs>
              <w:tab w:val="clear" w:pos="7892"/>
              <w:tab w:val="right" w:pos="9026" w:leader="dot"/>
            </w:tabs>
            <w:rPr/>
          </w:pPr>
          <w:hyperlink w:anchor="__RefHeading___Toc2958364_372815092">
            <w:r>
              <w:rPr>
                <w:webHidden/>
                <w:rStyle w:val="IndexLink"/>
                <w:rtl w:val="true"/>
              </w:rPr>
              <w:t>المسألة الأولى</w:t>
            </w:r>
            <w:r>
              <w:rPr>
                <w:rStyle w:val="IndexLink"/>
                <w:rtl w:val="true"/>
              </w:rPr>
              <w:t xml:space="preserve">: </w:t>
            </w:r>
            <w:r>
              <w:rPr>
                <w:rStyle w:val="IndexLink"/>
                <w:rtl w:val="true"/>
              </w:rPr>
              <w:t>جواز دخول أداة الشرط على الأسماء</w:t>
            </w:r>
            <w:r>
              <w:rPr>
                <w:rStyle w:val="IndexLink"/>
                <w:rtl w:val="true"/>
              </w:rPr>
              <w:t>:</w:t>
              <w:tab/>
            </w:r>
            <w:r>
              <w:rPr>
                <w:rStyle w:val="IndexLink"/>
              </w:rPr>
              <w:t>242</w:t>
            </w:r>
          </w:hyperlink>
        </w:p>
        <w:p>
          <w:pPr>
            <w:pStyle w:val="Contents5"/>
            <w:tabs>
              <w:tab w:val="clear" w:pos="7892"/>
              <w:tab w:val="right" w:pos="9026" w:leader="dot"/>
            </w:tabs>
            <w:rPr/>
          </w:pPr>
          <w:hyperlink w:anchor="__RefHeading___Toc2958366_372815092">
            <w:r>
              <w:rPr>
                <w:webHidden/>
                <w:rStyle w:val="IndexLink"/>
                <w:rtl w:val="true"/>
              </w:rPr>
              <w:t>المسألة الثانية</w:t>
            </w:r>
            <w:r>
              <w:rPr>
                <w:rStyle w:val="IndexLink"/>
                <w:rtl w:val="true"/>
              </w:rPr>
              <w:t xml:space="preserve">: </w:t>
            </w:r>
            <w:r>
              <w:rPr>
                <w:rStyle w:val="IndexLink"/>
                <w:rtl w:val="true"/>
              </w:rPr>
              <w:t>جواز ورود فعل الشرط مضارعًا مجزومًا والجواب ماضيًا</w:t>
            </w:r>
            <w:r>
              <w:rPr>
                <w:rStyle w:val="IndexLink"/>
                <w:rtl w:val="true"/>
              </w:rPr>
              <w:t>:</w:t>
              <w:tab/>
            </w:r>
            <w:r>
              <w:rPr>
                <w:rStyle w:val="IndexLink"/>
              </w:rPr>
              <w:t>247</w:t>
            </w:r>
          </w:hyperlink>
        </w:p>
        <w:p>
          <w:pPr>
            <w:pStyle w:val="Contents5"/>
            <w:tabs>
              <w:tab w:val="clear" w:pos="7892"/>
              <w:tab w:val="right" w:pos="9026" w:leader="dot"/>
            </w:tabs>
            <w:rPr/>
          </w:pPr>
          <w:hyperlink w:anchor="__RefHeading___Toc2958368_372815092">
            <w:r>
              <w:rPr>
                <w:webHidden/>
                <w:rStyle w:val="IndexLink"/>
                <w:rtl w:val="true"/>
              </w:rPr>
              <w:t>المسألة الثالثة</w:t>
            </w:r>
            <w:r>
              <w:rPr>
                <w:rStyle w:val="IndexLink"/>
                <w:rtl w:val="true"/>
              </w:rPr>
              <w:t xml:space="preserve">: </w:t>
            </w:r>
            <w:r>
              <w:rPr>
                <w:rStyle w:val="IndexLink"/>
                <w:rtl w:val="true"/>
              </w:rPr>
              <w:t>جواز وقوع الجواب للشرط وإنْ تقدَّم القسم عليه</w:t>
            </w:r>
            <w:r>
              <w:rPr>
                <w:rStyle w:val="IndexLink"/>
                <w:rtl w:val="true"/>
              </w:rPr>
              <w:t>:</w:t>
              <w:tab/>
            </w:r>
            <w:r>
              <w:rPr>
                <w:rStyle w:val="IndexLink"/>
              </w:rPr>
              <w:t>254</w:t>
            </w:r>
          </w:hyperlink>
        </w:p>
        <w:p>
          <w:pPr>
            <w:pStyle w:val="Contents5"/>
            <w:tabs>
              <w:tab w:val="clear" w:pos="7892"/>
              <w:tab w:val="right" w:pos="9026" w:leader="dot"/>
            </w:tabs>
            <w:rPr/>
          </w:pPr>
          <w:hyperlink w:anchor="__RefHeading___Toc2958370_372815092">
            <w:r>
              <w:rPr>
                <w:webHidden/>
                <w:rStyle w:val="IndexLink"/>
                <w:rtl w:val="true"/>
              </w:rPr>
              <w:t>المسألة الرابعة</w:t>
            </w:r>
            <w:r>
              <w:rPr>
                <w:rStyle w:val="IndexLink"/>
                <w:rtl w:val="true"/>
              </w:rPr>
              <w:t xml:space="preserve">: </w:t>
            </w:r>
            <w:r>
              <w:rPr>
                <w:rStyle w:val="IndexLink"/>
                <w:rtl w:val="true"/>
              </w:rPr>
              <w:t xml:space="preserve">جواز ثبوت </w:t>
            </w:r>
            <w:r>
              <w:rPr>
                <w:rStyle w:val="IndexLink"/>
                <w:rtl w:val="true"/>
              </w:rPr>
              <w:t>(</w:t>
            </w:r>
            <w:r>
              <w:rPr>
                <w:rStyle w:val="IndexLink"/>
                <w:rtl w:val="true"/>
              </w:rPr>
              <w:t>ميم</w:t>
            </w:r>
            <w:r>
              <w:rPr>
                <w:rStyle w:val="IndexLink"/>
                <w:rtl w:val="true"/>
              </w:rPr>
              <w:t>) (</w:t>
            </w:r>
            <w:r>
              <w:rPr>
                <w:rStyle w:val="IndexLink"/>
                <w:rtl w:val="true"/>
              </w:rPr>
              <w:t>فم</w:t>
            </w:r>
            <w:r>
              <w:rPr>
                <w:rStyle w:val="IndexLink"/>
                <w:rtl w:val="true"/>
              </w:rPr>
              <w:t xml:space="preserve">) </w:t>
            </w:r>
            <w:r>
              <w:rPr>
                <w:rStyle w:val="IndexLink"/>
                <w:rtl w:val="true"/>
              </w:rPr>
              <w:t>عند الإضافة</w:t>
            </w:r>
            <w:r>
              <w:rPr>
                <w:rStyle w:val="IndexLink"/>
                <w:rtl w:val="true"/>
              </w:rPr>
              <w:t>:</w:t>
              <w:tab/>
            </w:r>
            <w:r>
              <w:rPr>
                <w:rStyle w:val="IndexLink"/>
              </w:rPr>
              <w:t>263</w:t>
            </w:r>
          </w:hyperlink>
        </w:p>
        <w:p>
          <w:pPr>
            <w:pStyle w:val="Contents5"/>
            <w:tabs>
              <w:tab w:val="clear" w:pos="7892"/>
              <w:tab w:val="right" w:pos="9026" w:leader="dot"/>
            </w:tabs>
            <w:rPr/>
          </w:pPr>
          <w:hyperlink w:anchor="__RefHeading___Toc2958372_372815092">
            <w:r>
              <w:rPr>
                <w:webHidden/>
                <w:rStyle w:val="IndexLink"/>
                <w:rtl w:val="true"/>
              </w:rPr>
              <w:t>المسألة الخامسة</w:t>
            </w:r>
            <w:r>
              <w:rPr>
                <w:rStyle w:val="IndexLink"/>
                <w:rtl w:val="true"/>
              </w:rPr>
              <w:t xml:space="preserve">: </w:t>
            </w:r>
            <w:r>
              <w:rPr>
                <w:rStyle w:val="IndexLink"/>
                <w:rtl w:val="true"/>
              </w:rPr>
              <w:t>جواز إضافة الصفة المشبهة المجردة إلى معمولها المشتمِل</w:t>
            </w:r>
            <w:r>
              <w:rPr>
                <w:rStyle w:val="IndexLink"/>
                <w:rtl w:val="true"/>
              </w:rPr>
              <w:tab/>
            </w:r>
            <w:r>
              <w:rPr>
                <w:rStyle w:val="IndexLink"/>
              </w:rPr>
              <w:t>270</w:t>
            </w:r>
          </w:hyperlink>
        </w:p>
        <w:p>
          <w:pPr>
            <w:pStyle w:val="Contents2"/>
            <w:tabs>
              <w:tab w:val="clear" w:pos="8743"/>
              <w:tab w:val="right" w:pos="9026" w:leader="dot"/>
            </w:tabs>
            <w:rPr/>
          </w:pPr>
          <w:hyperlink w:anchor="__RefHeading___Toc2958374_372815092">
            <w:r>
              <w:rPr>
                <w:webHidden/>
                <w:rStyle w:val="IndexLink"/>
                <w:rtl w:val="true"/>
              </w:rPr>
              <w:t xml:space="preserve">الباب الثالث ما لم يذكره أغلب النحويين وورد في كلام الإمام </w:t>
            </w:r>
            <w:r>
              <w:rPr>
                <w:rStyle w:val="IndexLink"/>
                <w:rtl w:val="true"/>
              </w:rPr>
              <w:t>(</w:t>
            </w:r>
            <w:r>
              <w:rPr>
                <w:rStyle w:val="IndexLink"/>
                <w:rtl w:val="true"/>
              </w:rPr>
              <w:t>عليه السلام</w:t>
            </w:r>
            <w:r>
              <w:rPr>
                <w:rStyle w:val="IndexLink"/>
                <w:rtl w:val="true"/>
              </w:rPr>
              <w:t>)</w:t>
              <w:tab/>
            </w:r>
            <w:r>
              <w:rPr>
                <w:rStyle w:val="IndexLink"/>
              </w:rPr>
              <w:t>278</w:t>
            </w:r>
          </w:hyperlink>
        </w:p>
        <w:p>
          <w:pPr>
            <w:pStyle w:val="Contents3"/>
            <w:tabs>
              <w:tab w:val="clear" w:pos="8459"/>
              <w:tab w:val="right" w:pos="9026" w:leader="dot"/>
            </w:tabs>
            <w:rPr/>
          </w:pPr>
          <w:hyperlink w:anchor="__RefHeading___Toc2958376_372815092">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2958378_372815092">
            <w:r>
              <w:rPr>
                <w:webHidden/>
                <w:rStyle w:val="IndexLink"/>
                <w:rtl w:val="true"/>
              </w:rPr>
              <w:t>توطئة</w:t>
            </w:r>
            <w:r>
              <w:rPr>
                <w:rStyle w:val="IndexLink"/>
                <w:rtl w:val="true"/>
              </w:rPr>
              <w:t>:</w:t>
              <w:tab/>
            </w:r>
            <w:r>
              <w:rPr>
                <w:rStyle w:val="IndexLink"/>
              </w:rPr>
              <w:t>280</w:t>
            </w:r>
          </w:hyperlink>
        </w:p>
        <w:p>
          <w:pPr>
            <w:pStyle w:val="Contents3"/>
            <w:tabs>
              <w:tab w:val="clear" w:pos="8459"/>
              <w:tab w:val="right" w:pos="9026" w:leader="dot"/>
            </w:tabs>
            <w:rPr/>
          </w:pPr>
          <w:hyperlink w:anchor="__RefHeading___Toc2958380_372815092">
            <w:r>
              <w:rPr>
                <w:webHidden/>
                <w:rStyle w:val="IndexLink"/>
                <w:rtl w:val="true"/>
              </w:rPr>
              <w:t>الفصل الأول ما لم يَذكرْه أغلبُ النحويين في أُسلوبَي القسم والشرط</w:t>
            </w:r>
            <w:r>
              <w:rPr>
                <w:rStyle w:val="IndexLink"/>
                <w:rtl w:val="true"/>
              </w:rPr>
              <w:tab/>
            </w:r>
            <w:r>
              <w:rPr>
                <w:rStyle w:val="IndexLink"/>
              </w:rPr>
              <w:t>284</w:t>
            </w:r>
          </w:hyperlink>
        </w:p>
        <w:p>
          <w:pPr>
            <w:pStyle w:val="Contents4"/>
            <w:tabs>
              <w:tab w:val="clear" w:pos="8176"/>
              <w:tab w:val="right" w:pos="9026" w:leader="dot"/>
            </w:tabs>
            <w:rPr/>
          </w:pPr>
          <w:hyperlink w:anchor="__RefHeading___Toc2958382_372815092">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2958384_372815092">
            <w:r>
              <w:rPr>
                <w:webHidden/>
                <w:rStyle w:val="IndexLink"/>
                <w:rtl w:val="true"/>
              </w:rPr>
              <w:t>المبحث الأول ما لم يذكرْه أغلبُ النحويين في أُسلوب القسَم</w:t>
            </w:r>
            <w:r>
              <w:rPr>
                <w:rStyle w:val="IndexLink"/>
                <w:rtl w:val="true"/>
              </w:rPr>
              <w:tab/>
            </w:r>
            <w:r>
              <w:rPr>
                <w:rStyle w:val="IndexLink"/>
              </w:rPr>
              <w:t>286</w:t>
            </w:r>
          </w:hyperlink>
        </w:p>
        <w:p>
          <w:pPr>
            <w:pStyle w:val="Contents5"/>
            <w:tabs>
              <w:tab w:val="clear" w:pos="7892"/>
              <w:tab w:val="right" w:pos="9026" w:leader="dot"/>
            </w:tabs>
            <w:rPr/>
          </w:pPr>
          <w:hyperlink w:anchor="__RefHeading___Toc2958386_372815092">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2958388_372815092">
            <w:r>
              <w:rPr>
                <w:webHidden/>
                <w:rStyle w:val="IndexLink"/>
                <w:rtl w:val="true"/>
              </w:rPr>
              <w:t>المسألة الأولى</w:t>
            </w:r>
            <w:r>
              <w:rPr>
                <w:rStyle w:val="IndexLink"/>
                <w:rtl w:val="true"/>
              </w:rPr>
              <w:t xml:space="preserve">: </w:t>
            </w:r>
            <w:r>
              <w:rPr>
                <w:rStyle w:val="IndexLink"/>
                <w:rtl w:val="true"/>
              </w:rPr>
              <w:t xml:space="preserve">جواز ورود </w:t>
            </w:r>
            <w:r>
              <w:rPr>
                <w:rStyle w:val="IndexLink"/>
                <w:rtl w:val="true"/>
              </w:rPr>
              <w:t>(</w:t>
            </w:r>
            <w:r>
              <w:rPr>
                <w:rStyle w:val="IndexLink"/>
                <w:rtl w:val="true"/>
              </w:rPr>
              <w:t>كأنَّ</w:t>
            </w:r>
            <w:r>
              <w:rPr>
                <w:rStyle w:val="IndexLink"/>
                <w:rtl w:val="true"/>
              </w:rPr>
              <w:t xml:space="preserve">) </w:t>
            </w:r>
            <w:r>
              <w:rPr>
                <w:rStyle w:val="IndexLink"/>
                <w:rtl w:val="true"/>
              </w:rPr>
              <w:t>في جواب القسَم الخبري</w:t>
            </w:r>
            <w:r>
              <w:rPr>
                <w:rStyle w:val="IndexLink"/>
                <w:rtl w:val="true"/>
              </w:rPr>
              <w:t>:</w:t>
              <w:tab/>
            </w:r>
            <w:r>
              <w:rPr>
                <w:rStyle w:val="IndexLink"/>
              </w:rPr>
              <w:t>287</w:t>
            </w:r>
          </w:hyperlink>
        </w:p>
        <w:p>
          <w:pPr>
            <w:pStyle w:val="Contents5"/>
            <w:tabs>
              <w:tab w:val="clear" w:pos="7892"/>
              <w:tab w:val="right" w:pos="9026" w:leader="dot"/>
            </w:tabs>
            <w:rPr/>
          </w:pPr>
          <w:hyperlink w:anchor="__RefHeading___Toc2958390_372815092">
            <w:r>
              <w:rPr>
                <w:webHidden/>
                <w:rStyle w:val="IndexLink"/>
                <w:rtl w:val="true"/>
              </w:rPr>
              <w:t>المسألة الثانية</w:t>
            </w:r>
            <w:r>
              <w:rPr>
                <w:rStyle w:val="IndexLink"/>
                <w:rtl w:val="true"/>
              </w:rPr>
              <w:t xml:space="preserve">: </w:t>
            </w:r>
            <w:r>
              <w:rPr>
                <w:rStyle w:val="IndexLink"/>
                <w:rtl w:val="true"/>
              </w:rPr>
              <w:t>جواز وقوع جواب القَسم الطَّلَبي مَصدرًا مُؤوَّلًا</w:t>
            </w:r>
            <w:r>
              <w:rPr>
                <w:rStyle w:val="IndexLink"/>
                <w:rtl w:val="true"/>
              </w:rPr>
              <w:t>:</w:t>
              <w:tab/>
            </w:r>
            <w:r>
              <w:rPr>
                <w:rStyle w:val="IndexLink"/>
              </w:rPr>
              <w:t>292</w:t>
            </w:r>
          </w:hyperlink>
        </w:p>
        <w:p>
          <w:pPr>
            <w:pStyle w:val="Contents4"/>
            <w:tabs>
              <w:tab w:val="clear" w:pos="8176"/>
              <w:tab w:val="right" w:pos="9026" w:leader="dot"/>
            </w:tabs>
            <w:rPr/>
          </w:pPr>
          <w:hyperlink w:anchor="__RefHeading___Toc2958392_372815092">
            <w:r>
              <w:rPr>
                <w:webHidden/>
                <w:rStyle w:val="IndexLink"/>
                <w:rtl w:val="true"/>
              </w:rPr>
              <w:t>المبحث الثاني ما لم يذكرْه أغلبُ النحويين في أُسلوب الشرط</w:t>
            </w:r>
            <w:r>
              <w:rPr>
                <w:rStyle w:val="IndexLink"/>
                <w:rtl w:val="true"/>
              </w:rPr>
              <w:t>:</w:t>
              <w:tab/>
            </w:r>
            <w:r>
              <w:rPr>
                <w:rStyle w:val="IndexLink"/>
              </w:rPr>
              <w:t>296</w:t>
            </w:r>
          </w:hyperlink>
        </w:p>
        <w:p>
          <w:pPr>
            <w:pStyle w:val="Contents5"/>
            <w:tabs>
              <w:tab w:val="clear" w:pos="7892"/>
              <w:tab w:val="right" w:pos="9026" w:leader="dot"/>
            </w:tabs>
            <w:rPr/>
          </w:pPr>
          <w:hyperlink w:anchor="__RefHeading___Toc2958394_372815092">
            <w:r>
              <w:rPr>
                <w:webHidden/>
                <w:rStyle w:val="IndexLink"/>
                <w:rtl w:val="true"/>
              </w:rPr>
              <w:t>المسألة الأولى</w:t>
            </w:r>
            <w:r>
              <w:rPr>
                <w:rStyle w:val="IndexLink"/>
                <w:rtl w:val="true"/>
              </w:rPr>
              <w:t xml:space="preserve">: </w:t>
            </w:r>
            <w:r>
              <w:rPr>
                <w:rStyle w:val="IndexLink"/>
                <w:rtl w:val="true"/>
              </w:rPr>
              <w:t xml:space="preserve">ورود جواب </w:t>
            </w:r>
            <w:r>
              <w:rPr>
                <w:rStyle w:val="IndexLink"/>
                <w:rtl w:val="true"/>
              </w:rPr>
              <w:t>(</w:t>
            </w:r>
            <w:r>
              <w:rPr>
                <w:rStyle w:val="IndexLink"/>
                <w:rtl w:val="true"/>
              </w:rPr>
              <w:t>لو</w:t>
            </w:r>
            <w:r>
              <w:rPr>
                <w:rStyle w:val="IndexLink"/>
                <w:rtl w:val="true"/>
              </w:rPr>
              <w:t xml:space="preserve">) </w:t>
            </w:r>
            <w:r>
              <w:rPr>
                <w:rStyle w:val="IndexLink"/>
                <w:rtl w:val="true"/>
              </w:rPr>
              <w:t>جملة استفهامية</w:t>
            </w:r>
            <w:r>
              <w:rPr>
                <w:rStyle w:val="IndexLink"/>
                <w:rtl w:val="true"/>
              </w:rPr>
              <w:t>:</w:t>
              <w:tab/>
            </w:r>
            <w:r>
              <w:rPr>
                <w:rStyle w:val="IndexLink"/>
              </w:rPr>
              <w:t>296</w:t>
            </w:r>
          </w:hyperlink>
        </w:p>
        <w:p>
          <w:pPr>
            <w:pStyle w:val="Contents5"/>
            <w:tabs>
              <w:tab w:val="clear" w:pos="7892"/>
              <w:tab w:val="right" w:pos="9026" w:leader="dot"/>
            </w:tabs>
            <w:rPr/>
          </w:pPr>
          <w:hyperlink w:anchor="__RefHeading___Toc2958396_372815092">
            <w:r>
              <w:rPr>
                <w:webHidden/>
                <w:rStyle w:val="IndexLink"/>
                <w:rtl w:val="true"/>
              </w:rPr>
              <w:t>المسألة الثانية</w:t>
            </w:r>
            <w:r>
              <w:rPr>
                <w:rStyle w:val="IndexLink"/>
                <w:rtl w:val="true"/>
              </w:rPr>
              <w:t xml:space="preserve">: </w:t>
            </w:r>
            <w:r>
              <w:rPr>
                <w:rStyle w:val="IndexLink"/>
                <w:rtl w:val="true"/>
              </w:rPr>
              <w:t xml:space="preserve">ورود جواب </w:t>
            </w:r>
            <w:r>
              <w:rPr>
                <w:rStyle w:val="IndexLink"/>
                <w:rtl w:val="true"/>
              </w:rPr>
              <w:t>(</w:t>
            </w:r>
            <w:r>
              <w:rPr>
                <w:rStyle w:val="IndexLink"/>
                <w:rtl w:val="true"/>
              </w:rPr>
              <w:t>لمّا</w:t>
            </w:r>
            <w:r>
              <w:rPr>
                <w:rStyle w:val="IndexLink"/>
                <w:rtl w:val="true"/>
              </w:rPr>
              <w:t xml:space="preserve">) </w:t>
            </w:r>
            <w:r>
              <w:rPr>
                <w:rStyle w:val="IndexLink"/>
                <w:rtl w:val="true"/>
              </w:rPr>
              <w:t xml:space="preserve">فعلًا مضارعًا منفيًا ب </w:t>
            </w:r>
            <w:r>
              <w:rPr>
                <w:rStyle w:val="IndexLink"/>
                <w:rtl w:val="true"/>
              </w:rPr>
              <w:t>(</w:t>
            </w:r>
            <w:r>
              <w:rPr>
                <w:rStyle w:val="IndexLink"/>
                <w:rtl w:val="true"/>
              </w:rPr>
              <w:t>لم</w:t>
            </w:r>
            <w:r>
              <w:rPr>
                <w:rStyle w:val="IndexLink"/>
                <w:rtl w:val="true"/>
              </w:rPr>
              <w:t>):</w:t>
              <w:tab/>
            </w:r>
            <w:r>
              <w:rPr>
                <w:rStyle w:val="IndexLink"/>
              </w:rPr>
              <w:t>301</w:t>
            </w:r>
          </w:hyperlink>
        </w:p>
        <w:p>
          <w:pPr>
            <w:pStyle w:val="Contents3"/>
            <w:tabs>
              <w:tab w:val="clear" w:pos="8459"/>
              <w:tab w:val="right" w:pos="9026" w:leader="dot"/>
            </w:tabs>
            <w:rPr/>
          </w:pPr>
          <w:hyperlink w:anchor="__RefHeading___Toc2958398_372815092">
            <w:r>
              <w:rPr>
                <w:webHidden/>
                <w:rStyle w:val="IndexLink"/>
                <w:rtl w:val="true"/>
              </w:rPr>
              <w:t>الفصل الثاني ما لم يَذكرْهُ أغلبُ النَحْويينَ في مسائلَ أُخر</w:t>
            </w:r>
            <w:r>
              <w:rPr>
                <w:rStyle w:val="IndexLink"/>
                <w:rtl w:val="true"/>
              </w:rPr>
              <w:tab/>
            </w:r>
            <w:r>
              <w:rPr>
                <w:rStyle w:val="IndexLink"/>
              </w:rPr>
              <w:t>308</w:t>
            </w:r>
          </w:hyperlink>
        </w:p>
        <w:p>
          <w:pPr>
            <w:pStyle w:val="Contents4"/>
            <w:tabs>
              <w:tab w:val="clear" w:pos="8176"/>
              <w:tab w:val="right" w:pos="9026" w:leader="dot"/>
            </w:tabs>
            <w:rPr/>
          </w:pPr>
          <w:hyperlink w:anchor="__RefHeading___Toc2958400_372815092">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2958402_372815092">
            <w:r>
              <w:rPr>
                <w:webHidden/>
                <w:rStyle w:val="IndexLink"/>
                <w:rtl w:val="true"/>
              </w:rPr>
              <w:t>المسألة الأولى</w:t>
            </w:r>
            <w:r>
              <w:rPr>
                <w:rStyle w:val="IndexLink"/>
                <w:rtl w:val="true"/>
              </w:rPr>
              <w:t xml:space="preserve">: </w:t>
            </w:r>
            <w:r>
              <w:rPr>
                <w:rStyle w:val="IndexLink"/>
                <w:rtl w:val="true"/>
              </w:rPr>
              <w:t xml:space="preserve">استعمال </w:t>
            </w:r>
            <w:r>
              <w:rPr>
                <w:rStyle w:val="IndexLink"/>
                <w:rtl w:val="true"/>
              </w:rPr>
              <w:t>(</w:t>
            </w:r>
            <w:r>
              <w:rPr>
                <w:rStyle w:val="IndexLink"/>
                <w:rtl w:val="true"/>
              </w:rPr>
              <w:t>أفعل</w:t>
            </w:r>
            <w:r>
              <w:rPr>
                <w:rStyle w:val="IndexLink"/>
                <w:rtl w:val="true"/>
              </w:rPr>
              <w:t xml:space="preserve">) </w:t>
            </w:r>
            <w:r>
              <w:rPr>
                <w:rStyle w:val="IndexLink"/>
                <w:rtl w:val="true"/>
              </w:rPr>
              <w:t>التفضيل ممّا لا تفاضلَ فيه</w:t>
            </w:r>
            <w:r>
              <w:rPr>
                <w:rStyle w:val="IndexLink"/>
                <w:rtl w:val="true"/>
              </w:rPr>
              <w:t>:</w:t>
              <w:tab/>
            </w:r>
            <w:r>
              <w:rPr>
                <w:rStyle w:val="IndexLink"/>
              </w:rPr>
              <w:t>310</w:t>
            </w:r>
          </w:hyperlink>
        </w:p>
        <w:p>
          <w:pPr>
            <w:pStyle w:val="Contents4"/>
            <w:tabs>
              <w:tab w:val="clear" w:pos="8176"/>
              <w:tab w:val="right" w:pos="9026" w:leader="dot"/>
            </w:tabs>
            <w:rPr/>
          </w:pPr>
          <w:hyperlink w:anchor="__RefHeading___Toc2958404_372815092">
            <w:r>
              <w:rPr>
                <w:webHidden/>
                <w:rStyle w:val="IndexLink"/>
                <w:rtl w:val="true"/>
              </w:rPr>
              <w:t>المسألة الثانية</w:t>
            </w:r>
            <w:r>
              <w:rPr>
                <w:rStyle w:val="IndexLink"/>
                <w:rtl w:val="true"/>
              </w:rPr>
              <w:t xml:space="preserve">: </w:t>
            </w:r>
            <w:r>
              <w:rPr>
                <w:rStyle w:val="IndexLink"/>
                <w:rtl w:val="true"/>
              </w:rPr>
              <w:t xml:space="preserve">ورود الفعل </w:t>
            </w:r>
            <w:r>
              <w:rPr>
                <w:rStyle w:val="IndexLink"/>
                <w:rtl w:val="true"/>
              </w:rPr>
              <w:t>(</w:t>
            </w:r>
            <w:r>
              <w:rPr>
                <w:rStyle w:val="IndexLink"/>
                <w:rtl w:val="true"/>
              </w:rPr>
              <w:t>صار</w:t>
            </w:r>
            <w:r>
              <w:rPr>
                <w:rStyle w:val="IndexLink"/>
                <w:rtl w:val="true"/>
              </w:rPr>
              <w:t xml:space="preserve">) </w:t>
            </w:r>
            <w:r>
              <w:rPr>
                <w:rStyle w:val="IndexLink"/>
                <w:rtl w:val="true"/>
              </w:rPr>
              <w:t>بمعنى الردِّ والتقسيم</w:t>
            </w:r>
            <w:r>
              <w:rPr>
                <w:rStyle w:val="IndexLink"/>
                <w:rtl w:val="true"/>
              </w:rPr>
              <w:t>:</w:t>
              <w:tab/>
            </w:r>
            <w:r>
              <w:rPr>
                <w:rStyle w:val="IndexLink"/>
              </w:rPr>
              <w:t>315</w:t>
            </w:r>
          </w:hyperlink>
        </w:p>
        <w:p>
          <w:pPr>
            <w:pStyle w:val="Contents4"/>
            <w:tabs>
              <w:tab w:val="clear" w:pos="8176"/>
              <w:tab w:val="right" w:pos="9026" w:leader="dot"/>
            </w:tabs>
            <w:rPr/>
          </w:pPr>
          <w:hyperlink w:anchor="__RefHeading___Toc2958406_372815092">
            <w:r>
              <w:rPr>
                <w:webHidden/>
                <w:rStyle w:val="IndexLink"/>
                <w:rtl w:val="true"/>
              </w:rPr>
              <w:t>المسألة الثالثة</w:t>
            </w:r>
            <w:r>
              <w:rPr>
                <w:rStyle w:val="IndexLink"/>
                <w:rtl w:val="true"/>
              </w:rPr>
              <w:t xml:space="preserve">: </w:t>
            </w:r>
            <w:r>
              <w:rPr>
                <w:rStyle w:val="IndexLink"/>
                <w:rtl w:val="true"/>
              </w:rPr>
              <w:t xml:space="preserve">جواز جر </w:t>
            </w:r>
            <w:r>
              <w:rPr>
                <w:rStyle w:val="IndexLink"/>
                <w:rtl w:val="true"/>
              </w:rPr>
              <w:t>(</w:t>
            </w:r>
            <w:r>
              <w:rPr>
                <w:rStyle w:val="IndexLink"/>
                <w:rtl w:val="true"/>
              </w:rPr>
              <w:t>حيثُ</w:t>
            </w:r>
            <w:r>
              <w:rPr>
                <w:rStyle w:val="IndexLink"/>
                <w:rtl w:val="true"/>
              </w:rPr>
              <w:t xml:space="preserve">) </w:t>
            </w:r>
            <w:r>
              <w:rPr>
                <w:rStyle w:val="IndexLink"/>
                <w:rtl w:val="true"/>
              </w:rPr>
              <w:t xml:space="preserve">ب </w:t>
            </w:r>
            <w:r>
              <w:rPr>
                <w:rStyle w:val="IndexLink"/>
                <w:rtl w:val="true"/>
              </w:rPr>
              <w:t>(</w:t>
            </w:r>
            <w:r>
              <w:rPr>
                <w:rStyle w:val="IndexLink"/>
                <w:rtl w:val="true"/>
              </w:rPr>
              <w:t>على</w:t>
            </w:r>
            <w:r>
              <w:rPr>
                <w:rStyle w:val="IndexLink"/>
                <w:rtl w:val="true"/>
              </w:rPr>
              <w:t>):</w:t>
              <w:tab/>
            </w:r>
            <w:r>
              <w:rPr>
                <w:rStyle w:val="IndexLink"/>
              </w:rPr>
              <w:t>318</w:t>
            </w:r>
          </w:hyperlink>
        </w:p>
        <w:p>
          <w:pPr>
            <w:pStyle w:val="Contents4"/>
            <w:tabs>
              <w:tab w:val="clear" w:pos="8176"/>
              <w:tab w:val="right" w:pos="9026" w:leader="dot"/>
            </w:tabs>
            <w:rPr/>
          </w:pPr>
          <w:hyperlink w:anchor="__RefHeading___Toc2958408_372815092">
            <w:r>
              <w:rPr>
                <w:webHidden/>
                <w:rStyle w:val="IndexLink"/>
                <w:rtl w:val="true"/>
              </w:rPr>
              <w:t>المسألة الرابعة</w:t>
            </w:r>
            <w:r>
              <w:rPr>
                <w:rStyle w:val="IndexLink"/>
                <w:rtl w:val="true"/>
              </w:rPr>
              <w:t>:</w:t>
            </w:r>
            <w:r>
              <w:rPr>
                <w:rStyle w:val="IndexLink"/>
                <w:rtl w:val="true"/>
              </w:rPr>
              <w:t xml:space="preserve">زيادة </w:t>
            </w:r>
            <w:r>
              <w:rPr>
                <w:rStyle w:val="IndexLink"/>
                <w:rtl w:val="true"/>
              </w:rPr>
              <w:t>(</w:t>
            </w:r>
            <w:r>
              <w:rPr>
                <w:rStyle w:val="IndexLink"/>
                <w:rtl w:val="true"/>
              </w:rPr>
              <w:t>الواو</w:t>
            </w:r>
            <w:r>
              <w:rPr>
                <w:rStyle w:val="IndexLink"/>
                <w:rtl w:val="true"/>
              </w:rPr>
              <w:t xml:space="preserve">) </w:t>
            </w:r>
            <w:r>
              <w:rPr>
                <w:rStyle w:val="IndexLink"/>
                <w:rtl w:val="true"/>
              </w:rPr>
              <w:t xml:space="preserve">بعد </w:t>
            </w:r>
            <w:r>
              <w:rPr>
                <w:rStyle w:val="IndexLink"/>
                <w:rtl w:val="true"/>
              </w:rPr>
              <w:t>(</w:t>
            </w:r>
            <w:r>
              <w:rPr>
                <w:rStyle w:val="IndexLink"/>
                <w:rtl w:val="true"/>
              </w:rPr>
              <w:t>ألا</w:t>
            </w:r>
            <w:r>
              <w:rPr>
                <w:rStyle w:val="IndexLink"/>
                <w:rtl w:val="true"/>
              </w:rPr>
              <w:t xml:space="preserve">) </w:t>
            </w:r>
            <w:r>
              <w:rPr>
                <w:rStyle w:val="IndexLink"/>
                <w:rtl w:val="true"/>
              </w:rPr>
              <w:t>الاستفتاحية</w:t>
            </w:r>
            <w:r>
              <w:rPr>
                <w:rStyle w:val="IndexLink"/>
                <w:rtl w:val="true"/>
              </w:rPr>
              <w:t>:</w:t>
              <w:tab/>
            </w:r>
            <w:r>
              <w:rPr>
                <w:rStyle w:val="IndexLink"/>
              </w:rPr>
              <w:t>323</w:t>
            </w:r>
          </w:hyperlink>
        </w:p>
        <w:p>
          <w:pPr>
            <w:pStyle w:val="Contents4"/>
            <w:tabs>
              <w:tab w:val="clear" w:pos="8176"/>
              <w:tab w:val="right" w:pos="9026" w:leader="dot"/>
            </w:tabs>
            <w:rPr/>
          </w:pPr>
          <w:hyperlink w:anchor="__RefHeading___Toc2958410_372815092">
            <w:r>
              <w:rPr>
                <w:webHidden/>
                <w:rStyle w:val="IndexLink"/>
                <w:rtl w:val="true"/>
              </w:rPr>
              <w:t>المسألة الخامسة</w:t>
            </w:r>
            <w:r>
              <w:rPr>
                <w:rStyle w:val="IndexLink"/>
                <w:rtl w:val="true"/>
              </w:rPr>
              <w:t xml:space="preserve">: </w:t>
            </w:r>
            <w:r>
              <w:rPr>
                <w:rStyle w:val="IndexLink"/>
                <w:rtl w:val="true"/>
              </w:rPr>
              <w:t>جواز إبدال الجملة من المفرد</w:t>
            </w:r>
            <w:r>
              <w:rPr>
                <w:rStyle w:val="IndexLink"/>
                <w:rtl w:val="true"/>
              </w:rPr>
              <w:t>:</w:t>
              <w:tab/>
            </w:r>
            <w:r>
              <w:rPr>
                <w:rStyle w:val="IndexLink"/>
              </w:rPr>
              <w:t>328</w:t>
            </w:r>
          </w:hyperlink>
        </w:p>
        <w:p>
          <w:pPr>
            <w:pStyle w:val="Contents4"/>
            <w:tabs>
              <w:tab w:val="clear" w:pos="8176"/>
              <w:tab w:val="right" w:pos="9026" w:leader="dot"/>
            </w:tabs>
            <w:rPr/>
          </w:pPr>
          <w:hyperlink w:anchor="__RefHeading___Toc2958412_372815092">
            <w:r>
              <w:rPr>
                <w:webHidden/>
                <w:rStyle w:val="IndexLink"/>
                <w:rtl w:val="true"/>
              </w:rPr>
              <w:t>المسألة السادسة</w:t>
            </w:r>
            <w:r>
              <w:rPr>
                <w:rStyle w:val="IndexLink"/>
                <w:rtl w:val="true"/>
              </w:rPr>
              <w:t xml:space="preserve">: </w:t>
            </w:r>
            <w:r>
              <w:rPr>
                <w:rStyle w:val="IndexLink"/>
                <w:rtl w:val="true"/>
              </w:rPr>
              <w:t xml:space="preserve">ورود </w:t>
            </w:r>
            <w:r>
              <w:rPr>
                <w:rStyle w:val="IndexLink"/>
                <w:rtl w:val="true"/>
              </w:rPr>
              <w:t>(</w:t>
            </w:r>
            <w:r>
              <w:rPr>
                <w:rStyle w:val="IndexLink"/>
                <w:rtl w:val="true"/>
              </w:rPr>
              <w:t>إذا</w:t>
            </w:r>
            <w:r>
              <w:rPr>
                <w:rStyle w:val="IndexLink"/>
                <w:rtl w:val="true"/>
              </w:rPr>
              <w:t xml:space="preserve">) </w:t>
            </w:r>
            <w:r>
              <w:rPr>
                <w:rStyle w:val="IndexLink"/>
                <w:rtl w:val="true"/>
              </w:rPr>
              <w:t xml:space="preserve">الفجائية متلوَّةً بجملة منسوخة ب </w:t>
            </w:r>
            <w:r>
              <w:rPr>
                <w:rStyle w:val="IndexLink"/>
                <w:rtl w:val="true"/>
              </w:rPr>
              <w:t>(</w:t>
            </w:r>
            <w:r>
              <w:rPr>
                <w:rStyle w:val="IndexLink"/>
                <w:rtl w:val="true"/>
              </w:rPr>
              <w:t>ليس</w:t>
            </w:r>
            <w:r>
              <w:rPr>
                <w:rStyle w:val="IndexLink"/>
                <w:rtl w:val="true"/>
              </w:rPr>
              <w:t>):</w:t>
              <w:tab/>
            </w:r>
            <w:r>
              <w:rPr>
                <w:rStyle w:val="IndexLink"/>
              </w:rPr>
              <w:t>334</w:t>
            </w:r>
          </w:hyperlink>
        </w:p>
        <w:p>
          <w:pPr>
            <w:pStyle w:val="Contents3"/>
            <w:tabs>
              <w:tab w:val="clear" w:pos="8459"/>
              <w:tab w:val="right" w:pos="9026" w:leader="dot"/>
            </w:tabs>
            <w:rPr/>
          </w:pPr>
          <w:hyperlink w:anchor="__RefHeading___Toc2958414_372815092">
            <w:r>
              <w:rPr>
                <w:webHidden/>
                <w:rStyle w:val="IndexLink"/>
                <w:rtl w:val="true"/>
              </w:rPr>
              <w:t>خاتمة بنتائج البحث</w:t>
            </w:r>
            <w:r>
              <w:rPr>
                <w:rStyle w:val="IndexLink"/>
                <w:rtl w:val="true"/>
              </w:rPr>
              <w:tab/>
            </w:r>
            <w:r>
              <w:rPr>
                <w:rStyle w:val="IndexLink"/>
              </w:rPr>
              <w:t>338</w:t>
            </w:r>
          </w:hyperlink>
        </w:p>
        <w:p>
          <w:pPr>
            <w:pStyle w:val="Contents2"/>
            <w:tabs>
              <w:tab w:val="clear" w:pos="8743"/>
              <w:tab w:val="right" w:pos="9026" w:leader="dot"/>
            </w:tabs>
            <w:rPr/>
          </w:pPr>
          <w:hyperlink w:anchor="__RefHeading___Toc2958416_372815092">
            <w:r>
              <w:rPr>
                <w:webHidden/>
                <w:rStyle w:val="IndexLink"/>
                <w:rtl w:val="true"/>
              </w:rPr>
              <w:t>روافد البحث</w:t>
            </w:r>
            <w:r>
              <w:rPr>
                <w:rStyle w:val="IndexLink"/>
                <w:rtl w:val="true"/>
              </w:rPr>
              <w:tab/>
            </w:r>
            <w:r>
              <w:rPr>
                <w:rStyle w:val="IndexLink"/>
              </w:rPr>
              <w:t>348</w:t>
            </w:r>
          </w:hyperlink>
        </w:p>
        <w:p>
          <w:pPr>
            <w:pStyle w:val="Contents3"/>
            <w:tabs>
              <w:tab w:val="clear" w:pos="8459"/>
              <w:tab w:val="right" w:pos="9026" w:leader="dot"/>
            </w:tabs>
            <w:rPr/>
          </w:pPr>
          <w:hyperlink w:anchor="__RefHeading___Toc2958418_372815092">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2958420_372815092">
            <w:r>
              <w:rPr>
                <w:webHidden/>
                <w:rStyle w:val="IndexLink"/>
                <w:rtl w:val="true"/>
              </w:rPr>
              <w:t>أولاً</w:t>
            </w:r>
            <w:r>
              <w:rPr>
                <w:rStyle w:val="IndexLink"/>
                <w:rtl w:val="true"/>
              </w:rPr>
              <w:t xml:space="preserve">: </w:t>
            </w:r>
            <w:r>
              <w:rPr>
                <w:rStyle w:val="IndexLink"/>
                <w:rtl w:val="true"/>
              </w:rPr>
              <w:t>الكتب المطبوعة</w:t>
            </w:r>
            <w:r>
              <w:rPr>
                <w:rStyle w:val="IndexLink"/>
                <w:rtl w:val="true"/>
              </w:rPr>
              <w:t>:</w:t>
              <w:tab/>
            </w:r>
            <w:r>
              <w:rPr>
                <w:rStyle w:val="IndexLink"/>
              </w:rPr>
              <w:t>348</w:t>
            </w:r>
          </w:hyperlink>
        </w:p>
        <w:p>
          <w:pPr>
            <w:pStyle w:val="Contents3"/>
            <w:tabs>
              <w:tab w:val="clear" w:pos="8459"/>
              <w:tab w:val="right" w:pos="9026" w:leader="dot"/>
            </w:tabs>
            <w:rPr/>
          </w:pPr>
          <w:hyperlink w:anchor="__RefHeading___Toc2958422_372815092">
            <w:r>
              <w:rPr>
                <w:webHidden/>
                <w:rStyle w:val="IndexLink"/>
                <w:rtl w:val="true"/>
              </w:rPr>
              <w:t>ثانيًا</w:t>
            </w:r>
            <w:r>
              <w:rPr>
                <w:rStyle w:val="IndexLink"/>
                <w:rtl w:val="true"/>
              </w:rPr>
              <w:t xml:space="preserve">: </w:t>
            </w:r>
            <w:r>
              <w:rPr>
                <w:rStyle w:val="IndexLink"/>
                <w:rtl w:val="true"/>
              </w:rPr>
              <w:t>الرسائل الجامعية المخطوطة</w:t>
            </w:r>
            <w:r>
              <w:rPr>
                <w:rStyle w:val="IndexLink"/>
                <w:rtl w:val="true"/>
              </w:rPr>
              <w:t>:</w:t>
              <w:tab/>
            </w:r>
            <w:r>
              <w:rPr>
                <w:rStyle w:val="IndexLink"/>
              </w:rPr>
              <w:t>382</w:t>
            </w:r>
          </w:hyperlink>
        </w:p>
        <w:p>
          <w:pPr>
            <w:pStyle w:val="Contents3"/>
            <w:tabs>
              <w:tab w:val="clear" w:pos="8459"/>
              <w:tab w:val="right" w:pos="9026" w:leader="dot"/>
            </w:tabs>
            <w:rPr/>
          </w:pPr>
          <w:hyperlink w:anchor="__RefHeading___Toc2958424_372815092">
            <w:r>
              <w:rPr>
                <w:webHidden/>
                <w:rStyle w:val="IndexLink"/>
                <w:rtl w:val="true"/>
              </w:rPr>
              <w:t>ثالثًا</w:t>
            </w:r>
            <w:r>
              <w:rPr>
                <w:rStyle w:val="IndexLink"/>
                <w:rtl w:val="true"/>
              </w:rPr>
              <w:t xml:space="preserve">: </w:t>
            </w:r>
            <w:r>
              <w:rPr>
                <w:rStyle w:val="IndexLink"/>
                <w:rtl w:val="true"/>
              </w:rPr>
              <w:t>البحوث المنشورة</w:t>
            </w:r>
            <w:r>
              <w:rPr>
                <w:rStyle w:val="IndexLink"/>
                <w:rtl w:val="true"/>
              </w:rPr>
              <w:t>:</w:t>
              <w:tab/>
            </w:r>
            <w:r>
              <w:rPr>
                <w:rStyle w:val="IndexLink"/>
              </w:rPr>
              <w:t>383</w:t>
            </w:r>
          </w:hyperlink>
        </w:p>
        <w:p>
          <w:pPr>
            <w:pStyle w:val="Contents2"/>
            <w:tabs>
              <w:tab w:val="clear" w:pos="8743"/>
              <w:tab w:val="right" w:pos="9026" w:leader="dot"/>
            </w:tabs>
            <w:rPr/>
          </w:pPr>
          <w:hyperlink w:anchor="__RefHeading___Toc2958426_372815092">
            <w:r>
              <w:rPr>
                <w:webHidden/>
                <w:rStyle w:val="IndexLink"/>
                <w:rtl w:val="true"/>
              </w:rPr>
              <w:t>المحتويات</w:t>
            </w:r>
            <w:r>
              <w:rPr>
                <w:rStyle w:val="IndexLink"/>
                <w:rtl w:val="true"/>
              </w:rPr>
              <w:tab/>
            </w:r>
            <w:r>
              <w:rPr>
                <w:rStyle w:val="IndexLink"/>
              </w:rPr>
              <w:t>384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31_80656"/>
      <w:bookmarkStart w:id="1" w:name="pg7031_80656"/>
      <w:bookmarkEnd w:id="1"/>
    </w:p>
    <w:p>
      <w:pPr>
        <w:pStyle w:val="Heading2"/>
        <w:numPr>
          <w:ilvl w:val="1"/>
          <w:numId w:val="1"/>
        </w:numPr>
        <w:rPr/>
      </w:pPr>
      <w:bookmarkStart w:id="2" w:name="pg7031_80656"/>
      <w:bookmarkStart w:id="3" w:name="__RefHeading___Toc2958230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رقم تصنيف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LC</w:t>
      </w:r>
    </w:p>
    <w:p>
      <w:pPr>
        <w:pStyle w:val="BookText"/>
        <w:rPr/>
      </w:pPr>
      <w:r>
        <w:rPr>
          <w:rFonts w:eastAsia="Times New Roman" w:cs="Times New Roman" w:ascii="Times New Roman" w:hAnsi="Times New Roman"/>
          <w:color w:val="111111"/>
          <w:sz w:val="28"/>
          <w:szCs w:val="28"/>
          <w:lang w:val="en-US" w:bidi="en-US"/>
        </w:rPr>
        <w:t>BP38.09-N3 S43 2018</w:t>
      </w:r>
    </w:p>
    <w:p>
      <w:pPr>
        <w:pStyle w:val="BookText"/>
        <w:rPr/>
      </w:pPr>
      <w:r>
        <w:rPr>
          <w:rFonts w:ascii="IRNazanin" w:hAnsi="IRNazanin" w:eastAsia="IRNazanin"/>
          <w:color w:val="111111"/>
          <w:sz w:val="28"/>
          <w:sz w:val="28"/>
          <w:szCs w:val="28"/>
          <w:rtl w:val="true"/>
          <w:lang w:bidi="fa-IR"/>
        </w:rPr>
        <w:t>المؤلف الشخصي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الشیبانی، حیدر هادی خلخال،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قواعد النحویین فی ضوء کلام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بيان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حیدر هادی خلخال الشیبانی؛ السید نبیل الحسنی الکربلائی، مقدم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 مؤسسة علوم نهج البلاغة،</w:t>
      </w:r>
    </w:p>
    <w:p>
      <w:pPr>
        <w:pStyle w:val="BookText"/>
        <w:rPr/>
      </w:pP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سلسلة الرسائل والاطاریح الجامعیة؛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محمد بن الحسین،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مساهمة فی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النحاة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هینة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علوم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مصدرة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58232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قواعد النحويين في ضوء كلام امير المؤمنين عليه السلام </w:t>
      </w:r>
    </w:p>
    <w:p>
      <w:pPr>
        <w:pStyle w:val="BookText"/>
        <w:rPr/>
      </w:pPr>
      <w:r>
        <w:rPr>
          <w:rFonts w:ascii="Amiri" w:hAnsi="Amiri" w:eastAsia="Amiri" w:cs="Amiri"/>
          <w:color w:val="111111"/>
          <w:sz w:val="28"/>
          <w:sz w:val="28"/>
          <w:szCs w:val="28"/>
          <w:rtl w:val="true"/>
          <w:lang w:bidi="ar-SA"/>
        </w:rPr>
        <w:t>سلسلة الرسائل والأطاريح الجامعية</w:t>
      </w:r>
    </w:p>
    <w:p>
      <w:pPr>
        <w:pStyle w:val="BookText"/>
        <w:rPr/>
      </w:pPr>
      <w:r>
        <w:rPr>
          <w:rFonts w:ascii="Amiri" w:hAnsi="Amiri" w:eastAsia="Amiri" w:cs="Amiri"/>
          <w:color w:val="111111"/>
          <w:sz w:val="28"/>
          <w:sz w:val="28"/>
          <w:szCs w:val="28"/>
          <w:rtl w:val="true"/>
          <w:lang w:bidi="ar-SA"/>
        </w:rPr>
        <w:t>وحدة الدراسات اللغوية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قواعد النحويين في ضوء كلام امير المؤمنين عليه السلام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هادی خلخال الشیبانی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نهج البلاغة فی العتبة الحسینیة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مقام علي الأكبر عليه السلام</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Info@Inahj.org</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الأفكار والآراء المذكورة في هذا الكتاب تعبر عن وجهة نظر كاتبها، ولا تعبر</w:t>
      </w:r>
    </w:p>
    <w:p>
      <w:pPr>
        <w:pStyle w:val="BookText"/>
        <w:rPr/>
      </w:pPr>
      <w:r>
        <w:rPr>
          <w:rFonts w:ascii="Amiri" w:hAnsi="Amiri" w:eastAsia="Amiri" w:cs="Amiri"/>
          <w:color w:val="111111"/>
          <w:sz w:val="28"/>
          <w:sz w:val="28"/>
          <w:szCs w:val="28"/>
          <w:rtl w:val="true"/>
          <w:lang w:bidi="ar-SA"/>
        </w:rPr>
        <w:t>بالضرورة عن وجهة نظر العتبة الحسينية المقدسة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تخلي العتبة الحسينية المقدسة مسؤوليتها عن أي انتهاك لحقوق الملكية الفكرية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مَبْلَغُهُمْ مِنَ الْعِلْمِ إِنَّ رَبَّكَ هُوَ أَعْلَمُ</w:t>
      </w:r>
    </w:p>
    <w:p>
      <w:pPr>
        <w:pStyle w:val="BookText"/>
        <w:rPr/>
      </w:pPr>
      <w:r>
        <w:rPr>
          <w:rFonts w:ascii="Amiri" w:hAnsi="Amiri" w:eastAsia="Amiri" w:cs="Amiri"/>
          <w:color w:val="111111"/>
          <w:sz w:val="28"/>
          <w:sz w:val="28"/>
          <w:szCs w:val="28"/>
          <w:rtl w:val="true"/>
          <w:lang w:bidi="ar-SA"/>
        </w:rPr>
        <w:t>بِمَنْ ضَلَّ عَنْ سَبِيلِهِ وَهُوَ أَعْلَمُ بِمَنِ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أبو عَمرو بن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انتهى إليكم مما قالتْ العربُ إلّا أقلُّه ولو جاءَكُم وافرًا لجاءكُم عِلمٌ وشعرٌ كثير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فحول الشعراء، ابن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الإهداء</w:t>
      </w:r>
    </w:p>
    <w:p>
      <w:pPr>
        <w:pStyle w:val="BookText"/>
        <w:rPr/>
      </w:pPr>
      <w:r>
        <w:rPr>
          <w:rFonts w:ascii="Amiri" w:hAnsi="Amiri" w:eastAsia="Amiri" w:cs="Amiri"/>
          <w:color w:val="111111"/>
          <w:sz w:val="28"/>
          <w:sz w:val="28"/>
          <w:szCs w:val="28"/>
          <w:rtl w:val="true"/>
          <w:lang w:bidi="ar-SA"/>
        </w:rPr>
        <w:t>إلى أُمَراءِ اَلْكَلاَمِ وَمن فيهم تَنَشَّبَتْ عُرُوقُهُ وعليهم تَهَدَّلَتْ غُصُونُهُ،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شَمَلَنا الله تعالى بشفاعَتِهم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مَنْ قَضَی ربّ بالإحسان إليهما وَالدَيَّ العَزيزينِ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تَعالى</w:t>
      </w:r>
    </w:p>
    <w:p>
      <w:pPr>
        <w:pStyle w:val="BookText"/>
        <w:rPr/>
      </w:pPr>
      <w:r>
        <w:rPr>
          <w:rFonts w:ascii="Amiri" w:hAnsi="Amiri" w:eastAsia="Amiri" w:cs="Amiri"/>
          <w:color w:val="111111"/>
          <w:sz w:val="28"/>
          <w:sz w:val="28"/>
          <w:szCs w:val="28"/>
          <w:rtl w:val="true"/>
          <w:lang w:bidi="ar-SA"/>
        </w:rPr>
        <w:t>بقاءهما، ومَتَّعهُما بِمَوفور الصِّحة والعَافِية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كلِّ مَنْ عَلَّمني حَرفًا وأنارَ لي في سَبيلِ العِلمِ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أَساتذتي الأجلّاء</w:t>
      </w:r>
    </w:p>
    <w:p>
      <w:pPr>
        <w:pStyle w:val="BookText"/>
        <w:rPr/>
      </w:pPr>
      <w:r>
        <w:rPr>
          <w:rFonts w:ascii="Amiri" w:hAnsi="Amiri" w:eastAsia="Amiri" w:cs="Amiri"/>
          <w:color w:val="111111"/>
          <w:sz w:val="28"/>
          <w:sz w:val="28"/>
          <w:szCs w:val="28"/>
          <w:rtl w:val="true"/>
          <w:lang w:bidi="ar-SA"/>
        </w:rPr>
        <w:t>حَفِظَهُم اللهُ جَيعًا وَرَحِمَ الماضينَ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إخوتي الأعِزّاء؛ فقد شغلهم أنْ أسعى لأبلغ، وفَقَهم البَاري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مَن خالطَ الثَّرى جَسَده الغَالي، صَديقي الحَبيبِ السَّيدِ نَاصر العنكوشي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 وأسْكنهُ فَسيحَ جنّاتهِ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مَن قاسَمَتْني مَتاعِبَ البَحثِ وهُومِهِ زَوجتي الغَالية، رَعاها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فَلذاتِ كَبِدي، واستمرار وجودي، أولادِي الأحِبَّة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كرّار، وأمِّ</w:t>
      </w:r>
    </w:p>
    <w:p>
      <w:pPr>
        <w:pStyle w:val="BookText"/>
        <w:rPr/>
      </w:pPr>
      <w:r>
        <w:rPr>
          <w:rFonts w:ascii="Amiri" w:hAnsi="Amiri" w:eastAsia="Amiri" w:cs="Amiri"/>
          <w:color w:val="111111"/>
          <w:sz w:val="28"/>
          <w:sz w:val="28"/>
          <w:szCs w:val="28"/>
          <w:rtl w:val="true"/>
          <w:lang w:bidi="ar-SA"/>
        </w:rPr>
        <w:t>البنين، وزهراء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اللهُ تَعالى ذريةً طيبةً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كلِّ مَن قَدَّم لي عَونًا، أو بَذلَ ليَ مَعْروفًا</w:t>
      </w:r>
    </w:p>
    <w:p>
      <w:pPr>
        <w:pStyle w:val="BookText"/>
        <w:rPr/>
      </w:pPr>
      <w:r>
        <w:rPr>
          <w:rFonts w:ascii="Amiri" w:hAnsi="Amiri" w:eastAsia="Amiri" w:cs="Amiri"/>
          <w:color w:val="111111"/>
          <w:sz w:val="28"/>
          <w:sz w:val="28"/>
          <w:szCs w:val="28"/>
          <w:rtl w:val="true"/>
          <w:lang w:bidi="ar-SA"/>
        </w:rPr>
        <w:t>إليهم جَميعًا أهدي هذا الجهد</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حيدر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031_80670"/>
      <w:bookmarkStart w:id="8" w:name="pg7031_80670"/>
      <w:bookmarkEnd w:id="8"/>
    </w:p>
    <w:p>
      <w:pPr>
        <w:pStyle w:val="BookText"/>
        <w:rPr/>
      </w:pPr>
      <w:bookmarkStart w:id="9" w:name="pg7031_80670"/>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2958234_372815092"/>
      <w:bookmarkStart w:id="11" w:name="_Toc3"/>
      <w:bookmarkEnd w:id="10"/>
      <w:r>
        <w:rPr>
          <w:rtl w:val="true"/>
        </w:rPr>
        <w:t>مقدمة المؤسسة</w:t>
      </w:r>
      <w:bookmarkEnd w:id="11"/>
    </w:p>
    <w:p>
      <w:pPr>
        <w:pStyle w:val="BookText"/>
        <w:rPr/>
      </w:pPr>
      <w:r>
        <w:rPr>
          <w:rFonts w:ascii="IRNazanin" w:hAnsi="IRNazanin" w:eastAsia="IRNazanin"/>
          <w:color w:val="111111"/>
          <w:sz w:val="28"/>
          <w:sz w:val="28"/>
          <w:szCs w:val="28"/>
          <w:rtl w:val="true"/>
          <w:lang w:bidi="fa-IR"/>
        </w:rPr>
        <w:t>الحمد لله عى ما أنعم وله الشكر بما ألهم والثناء با قدم، من عموم نعم ابتدأها وسبوغ آلاء أسداها، وتمام منن والاها، والصلاة والسلام على خیر الخلق أجمعین محمد وآله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يزل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منهلاً للعلوم من حيث التأسيس والتبيین ولم يقتصر الأمر على علوم اللغة العربية أو العلوم الإنسانية، بل وغیرها من العلوم التي تسیر بها منظومة الحياة وإن تعددت المعطيات الفكرية، إلا أن التأصيل مثلما يجري في القرآن الكريم الذي ما فرط الله فيه من شيء كما جاء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الْكِتَابِ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كذا نجد يجري مجراه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شَیْءٍ أحْصَيْنَاهُ إِمَامٍ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غاية ما في الأمر أن أهل الاختصاصات في العلوم كافة حينما يوفقون للنظر في نصوص الثقلین يجدون ما تخصصوا فيه حاضراً وشاهداً فيهما، أي في القرآن الكريم وحديث العترة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فيسارعون وقد أخذهم الشوق لإرشاد العقول إلى تلك السنن والقوانین والقواعد والمفاهيم والدلالات في القرآن الكريم والعترة النبوية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ارتأت مؤسسة علوم نهج البلاغة أن تتناول تلك الدراسات الجامعية </w:t>
      </w:r>
    </w:p>
    <w:p>
      <w:pPr>
        <w:pStyle w:val="BookText"/>
        <w:rPr/>
      </w:pPr>
      <w:r>
        <w:rPr>
          <w:rFonts w:ascii="IRNazanin" w:hAnsi="IRNazanin" w:eastAsia="IRNazanin"/>
          <w:color w:val="111111"/>
          <w:sz w:val="28"/>
          <w:sz w:val="28"/>
          <w:szCs w:val="28"/>
          <w:rtl w:val="true"/>
          <w:lang w:bidi="fa-IR"/>
        </w:rPr>
        <w:t xml:space="preserve">المختصة بعلوم نهج البلاغة وبسیرة أمیر المؤمنین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وفكره ضمن سلسلة علمية وفكرية 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الرسائل والأطاريح الجامعية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يتم عبرها طباعة هذه الرسائل وإصدارها ونشرها في داخل العراق وخارجه، بغية إيصال هذه العلوم الأكاديمية إلى الباحثين والدارسین وإعانتهم على تبین هذا العطاء الفكري والانتهال من علوم أمیر 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والسیر على هديه وتقديم رؤى علمية جديدة تسهم في إثراء المعرفة وحقولها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هذه الدراسة الجامعية التي بین أيدينا لنيل شهادة الدكتوراه في اللغة العربية التي تناول فيها الباحث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ليجعله مصدراً من مصادر الاستشهاد النحوي، إذ عمد النحويون قديماً وحديثًا إلى عدم الاستشهاد به مع أنه أفصح الفصيح وأبلغ البليغ، إذ تهدف الدراسة إلى الاحتجاج بكلام أمیر المؤمین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تعديل جملة من القواعد النحوية التي منعها النحويون أو قصروها على الضرورة الشعرية، فضلاً عن بناء قواعد نحوية لم يُشر إليها أغلب النحويین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فجزى الله الباحث خير الجزاء فقد بذل جهده وعلى الله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الحسني الكربلائي رئيس مؤسسة علوم نهج البلاغة </w:t>
      </w:r>
      <w:bookmarkStart w:id="12" w:name="pg7031_80674"/>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2958236_372815092"/>
      <w:bookmarkStart w:id="14" w:name="_Toc4"/>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 xml:space="preserve">الحمدُ للهِ ربِّ العالمینَ، والصَّلاةُ والسَّلامُ على النبيّ العربيّ الأمینِ،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المرسَلین، وعى آله الطيبینَ الطاهرينَ، وصَحبِهِ الغُرِّ الميامین، ومَن دعا بدعوتِه بصدقٍ وإحسانٍ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فلا يَخفى على أُولي الدِّراية والنُّهى، وعلى أرباب الفكر والمعرفة، أنَّ كلام أمیرا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والمجموع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بحرٌ لا يُدرك قرارُه، ولا تُسبر أغوارُه، فهو ذروةُ الكلامِ العربي الفصيح بعد كلام الباري عزَّ وجلَّ، وكلام نبيِّه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ضمَّ نَفَحاتٍ من كلامِ العزيز الجبّار، وقَبَساتٍ من بَدائع النبيِّ المختار، وحوى من الأَساليب النحوية أرقاها، وتضمَّن من جواهر المعاني أعلاها، ولا شك في ذلك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دون كلام الخالق وفوق كلام المخلوقن</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الرغم من أهمية نهج البلاغة في ميدان الدرس اللغوي والنحوي إلا أنه لم يكن مرجعًا أفاد منه النحويون القدماء في تأصيل القواعد النحوية أو تعديلها أو نقدها، ومن أجل هذا جاءت هذه الدراسة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قواعد النحويین في ضوء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لتبینّ أهمية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معالجة نقص الاستقراء الذي وُسِم به النحو العربي في مسائل مختلفة، فهو نصٌّ عربيٌّ فصيحٌ فريدٌ في لغته وتراكيبه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ناسب اتخاذ لغته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مَعينًا لانتهاج سبيلها والاستشهاد بها بحسب ماحدّده النحويون من حدَّين زمنيین للاستشهاد بداية ونهاية، فالأحكام النحوية رهينة الاستشهاد عليها، بل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الشاهد في النحو هو النحو نفسه، إلا أنَّه على الرغم من ذلك لم ينَلْ كلامُه استحقاقه في الدرس النحوي لأَسباب ذكرتُ أهمّها في متن 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فالفكرة الرئيسة التي يهدف البحث إلى إظهارها تتجى في الاحتجاج بنصوص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تعديل جملة من القواعد النحوية التي منعها النحويون أو قصروها على الضرورة الشعرية، فضلاً عن بناء قواعد نحوية لم يُشرِ إليها أغلبُ النحويین في حدود ما اطلعتُ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وتأتي أهمية هذا الموضوع من أنَّه يُعَدُّ البحث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يسلّط الضوء على أهمية كلام الإمام في معالجة نقص الاستقراء الذي مُنِيَ به النحو العربي في مباحثَ كثیرةٍ ومختلفةٍ، فقواعد النحو العربي نتيجة من نتائج الاستقراء، وثمرة من ثماره الأساسية، لكنَّ الغالب على منهج النحويین ولاسيما المتأخرين منهم في سد الثغرات التي اعتورت استقراءَهم للغة ومظاهرها واستعمالاتها كان بالاعتماد على القياس لا بمعاودة التتبع والاستقصاء لمِا لم يستطعِ القدماء الوقوف عليه من كتب التراث العربي الفصيح ولاسيما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كثُر التأويل والتقدير في جملة من المسائل النحوية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اعتمدتُ في تخريج نصوص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وتوثيقها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الشيخ فارس الحسون، لقِدَم النسخة التي اعتمد عليها </w:t>
      </w:r>
    </w:p>
    <w:p>
      <w:pPr>
        <w:pStyle w:val="BookText"/>
        <w:rPr/>
      </w:pPr>
      <w:r>
        <w:rPr>
          <w:rFonts w:ascii="Amiri" w:hAnsi="Amiri" w:eastAsia="Amiri" w:cs="Amiri"/>
          <w:color w:val="111111"/>
          <w:sz w:val="28"/>
          <w:sz w:val="28"/>
          <w:szCs w:val="28"/>
          <w:rtl w:val="true"/>
          <w:lang w:bidi="ar-SA"/>
        </w:rPr>
        <w:t>المحقق، ولمِا اتسم به هذا الكتاب من ضبط دقيق للنصوص، هذا فضلاً عن الاستدراكات التي زادها المحقق عى شروح النهج الأخرى، على أنّ اعتمدتُ على الرواية الأكثر شهرة التي عليها أغلب شرّاح النهج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والجدير بالذكر أنَّ الدراسة قد خرجت عن النهج في بعض النصوص التي حملتْ شاهدًا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كتاب من كتب التراث العربي أفدتُ منه في تعديل قاعدة نحوية معينة، أو بناء قاعدة لم يُشِرْ إليها أغلب النحويین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اقتضى منهج البحث تقسيمَه على ثلاثة أبواب وتمهيد تتقدمها مقدِّمة وتقفوهما خاتمة بخلاصة للمسائل التي عالجها البحث، فقائمة بروافده، فملخَّص للكتاب باللغة الإنجليزية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التمهيد فقد انعقد الحديث فيه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الاستقراء بین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والنحويین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اشتمل على ستة مطالب رئيسة، الأول في مفهوم الاستقراء في اللغة والاصطلاح، والثاني في أنواعه، والثالث في علاقة الاستقراء الناقص بالاستقراء التام، والرابع في علاقة الاستقراء الناقص بالقياس، والخامس في أسباب نقص الاستقراء مع التمثيل، وعقدتُ المطلب السادس لأهمية كلام الإمام في معالجة نقص استقراء النحويین مع ذكر أمثلة موجَزة لذلك غیر التي ذكرتُها في أبواب الرسالة وفصولها، ثم خلصتُ إلى ذِكر أهم الدوافع التي أسهمت في عزوف أغلب علماء العربية عن الاستشهاد بكلامه في التقعيد النحوي</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الباب الأول فقد درستُ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منعَهُ أغلبُ النحويین وورد في كلام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وابتدأتُه بتوطئة في بيان حكم المنع لدى النحويین، ثم قسمتُه على فصلین، تناولتُ في الفصل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منعَهُ أغلبُ النحويین في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اشتمل على إحدى عشرة قاعدة، وجعلتُ الفصل الثاني مخصّصًا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منعَهُ أغلبُ النحويین </w:t>
      </w:r>
    </w:p>
    <w:p>
      <w:pPr>
        <w:pStyle w:val="BookText"/>
        <w:rPr/>
      </w:pPr>
      <w:r>
        <w:rPr>
          <w:rFonts w:ascii="IRNazanin" w:hAnsi="IRNazanin" w:eastAsia="IRNazanin"/>
          <w:color w:val="111111"/>
          <w:sz w:val="28"/>
          <w:sz w:val="28"/>
          <w:szCs w:val="28"/>
          <w:rtl w:val="true"/>
          <w:lang w:bidi="fa-IR"/>
        </w:rPr>
        <w:t>في الأفعالِ والحروفِ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مبحثین، الأول للأفعال وجاء في ثلاث قواعد، والثاني للحروف وضم أربع 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الباب الثاني فقد تكفَّل بعرض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حملَهُ أغلبُ النحويین على الضرورة الشعرية وورد في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افتتحتُه بتوطئة ذكرتُ فيها مفهوم الضرورة في اللغة والاصطلاح، وبيَّنتُ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علماء العربية في الضرورة الشعرية، وتألَّفَ من فصلین، نهض الفصل الأول بالحديث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 على الضرورة الشعرية فيما أُثبِتَ في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تشكَّل من خمس قواعد، وحملَ الفصل الثاني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 على الضرورة الشعرية فيما اعتوَرَهُ الحذف ومسائل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توزعت مسائلُه على مبحثین، درستُ في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 على الضرورة الشعرية فيما اعتوَرَه 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ثلاث قواعد، وتناولتُ في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 على الضرورة الشعرية في مسائل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 خمس 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الباب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وسمتُه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يذكرْهُ أغلبُ النحويین وورد في كلام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مهدتُ له بتوطئة وضحتُ فيها إهمالَ النحويین لجملة من الأساليب النحوية نتيجة لقصورهم أو تقصيرهم في تتبّع اللغة وأنماطها النحوية، وقد قام على فصلین، درستُ في الفصل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يذكرْه أغلبُ النحويین في أُسلوبَ القَسم والشرط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مبحثین، ضمَّ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يذكرْهُ أغلبُ النحويین في أُسلوب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قاعدتان، وحوى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يذكرْهُ أغلبُ النحويین في أُسلوب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قاعدتان أيضًا، وتناولتُ في الفصل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يذكرْهُ أغلبُ النحويین في مسائلَ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وانعقدَ بست قواعد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الخاتمة فقد أودعتُها بإيجاز خلاصة للمسائل التي عرضها البحث</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روافدُ البحث فقد ضمَّت كتب اللغة والنحو قديمها وحديثها، ومعجمات </w:t>
      </w:r>
    </w:p>
    <w:p>
      <w:pPr>
        <w:pStyle w:val="BookText"/>
        <w:rPr/>
      </w:pPr>
      <w:r>
        <w:rPr>
          <w:rFonts w:ascii="IRNazanin" w:hAnsi="IRNazanin" w:eastAsia="IRNazanin"/>
          <w:color w:val="111111"/>
          <w:sz w:val="28"/>
          <w:sz w:val="28"/>
          <w:szCs w:val="28"/>
          <w:rtl w:val="true"/>
          <w:lang w:bidi="fa-IR"/>
        </w:rPr>
        <w:t xml:space="preserve">اللغة، وكتب التفسیر والحديث النبويّ الشريف ودواوين الشعراء، وشروح نهج البلاغة والدراسات والرسائل والأطاريح اللغوية والنحوية التي كُتِبتْ فيه، والبحوث المتعلقة به، فضلاً عن عدد من الدراسات التي عُنِيتْ بالاستدراك على النحويین القدماء، وحاولتْ تقويمَ بعض القواعد النحوية احتكامًا إلى القرآن الكريم أو إلى الحديث النبوي الشريف، أذكرُ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التوضيح والتصحيح لمشكلات 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مالك،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لأُسلوب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عبد الخالق عضيمة،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النحويون والقرآن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للأُستاذ الدكتور خليل بنيان الحسون،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القرآن والقراءات في النحو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للدكتور محمد سمير اللبدي،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الاستقراء الناقص وأثره في النحو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للدكتور محمد بن عبد العزيز العميريني،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النبوي في النحو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للدكتور محمود فجال، كما أفاد البحث من دراسة الباحث مازن عبد الرسول الزيدي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المنع في النحو العربي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وسوى ذلك من المصادر والمراجع التي أثبتُّها في قائمة روافد الكتاب</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اختطّتْ الدراسة منهجًا يقوم على التأصيل للمسألة المراد دراستها من كتب النحو واللغة مراعيًا في ذلك الترتيب الزمني لمؤلفيها، ثم الاستشهاد لها بنصٍّ من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مبيِّنًا دلالته والظروف والقرائن المحيطة به بما يخدم الوصول إلى استنباط القاعدة النحوية، معضّدًا إياه بما يناظره من آيات القرآن الكريم وأحاديث السُّنة النبوية الشريفة، فضلاً عن كلام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والصحابة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وكلام العرب المحتج به، هدفي من هذا التعضيد بيان شيوع تلك الاستعمالات في اللسان العربي من جهة، وإغفال النحويین لها في التقعيد النحوي من جهة أُخرى، وقد عمدتُ أيضًا إلى تقوية النص العلوي أيضًا </w:t>
      </w:r>
    </w:p>
    <w:p>
      <w:pPr>
        <w:pStyle w:val="BookText"/>
        <w:rPr/>
      </w:pPr>
      <w:r>
        <w:rPr>
          <w:rFonts w:ascii="IRNazanin" w:hAnsi="IRNazanin" w:eastAsia="IRNazanin"/>
          <w:color w:val="111111"/>
          <w:sz w:val="28"/>
          <w:sz w:val="28"/>
          <w:szCs w:val="28"/>
          <w:rtl w:val="true"/>
          <w:lang w:bidi="fa-IR"/>
        </w:rPr>
        <w:t>بنصوص من الشعر العربي في غیر الباب المعقود لدراسة الرورة الشعرية، منتهيًا في ضوء ذلك كلِّه إلى إعادة صوغ القاعدة النحوية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حَرصتُ عى انتهاج جملةٍ من المسائل نفعًا للقارئ الكريم ورغبةً في إيضاح المنهج وتمامه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افتتحتُ كلَّ مسألةٍ درستُها بعنوان القاعدة التي توصلتُ إليها بعد تعديلها في ضوء البحث ومناقشة آراء النحويین وتحليلها، وقد خَتمتُ المسألة بذكر تلك القاعدة النحوية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آثرتُ اختصار أسماء المصادر المطوَّلة، من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المحتسَب لابن جني، والكشّاف للزمخشري، وروح المعاني للآلوسي، فضلاً عن عدد من شروح نهج البلاغة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للرواندي ومثل عنوانه للخوئي أيضًا، مُدلًّا على العنوان بذكر اسم مؤلِّفه بالهامش حتى وإنْ ورد بالمتن رغبةً في الإيضاح ودفعًا للتشابه بین العنوانات المتشابهة في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للفرّاء ومثله للأخفش أيضًا،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شذور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هشام، ومثله للجوجري أيضًا، وسوى ذلك من مصادر متشابهة في العنوان، على أني ذكرتُ اسم الكتاب ومؤلفه ومحققه فيما إذا كان محقَّقًا في أول انتفاع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الحادثةَ والظروف المحيطة بالنص العلَويّ المستشهَد به؛ لِما لذلك من أَثر مهمٍ في توجيه الشاهد وشرحِه، واستنباط القاعدة وتقريرها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بإيضاح ما يحتاج إلى بيانٍ من نصوص النهج معتمِدًا في ذلك على المعجات اللغوية، وأهمها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للخليل الفراهيدي،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للجوهري،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فارس،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منظور،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للزَّبيدي، وعلى شروح نهج البلاغة، وأهمها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لابن أَبي الحديد،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لميثم البحراني، وسواهما من شروح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عزوتُ الآيات إلى سُورِها من القرآن الكريم وذلك بالاعتماد على مصحف المدينة النبوية الرقمي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اعتمدتُ في تخريج الأحاديث النبوية التي وردتْ في الدراسة من مصادرها المعتمَدة من كتب السُّنة النبوية، أذكر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البخاري،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لمسلم بن الحجاج النيسابوري،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للمجلسي، وقد نسبتُ الشواهد الشعرية إلى شعرائها بالرجوع إلى دواوينهم أو إلى مصادر اللغة والنحو إلا مالم يُعرَفْ قائله، ذاكرًا البحر الذي جاء عليه البيت الشعري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يحتاج إلى تعريف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بالأعلام الواردة أساؤهم في الرسالة بإيجاز، وأحلتُ على مرجعٍ أو مرجعین للاستزادة، وقد أتْبعتُ اسم العلم بذكر سنة وفاته في أول موضع يرد لذكره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أَرجو أنْ أكونَ قد وُفِقتُ في عملي هذا، وأنْ أكونَ قد أسهمتُ برفد المكتبة النحوية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مكتبة نهج البلاغة وعلومِه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بدراسةٍ قد ينتفعُ منها الباحثون والدارسون، فإنْ أكنْ أصبتُ فذلك من كرمِ الله تعالى و حُسنِ توفيقه، وإنْ كانت الأُخرى فمن قصور يدي وخطئها وجلَّ من لا يُخطئ، والكمال لله وحده، ويُعجبني في هذا المقام المزني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عُورِضَ </w:t>
      </w:r>
    </w:p>
    <w:p>
      <w:pPr>
        <w:pStyle w:val="BookText"/>
        <w:rPr/>
      </w:pPr>
      <w:r>
        <w:rPr>
          <w:rFonts w:ascii="Amiri" w:hAnsi="Amiri" w:eastAsia="Amiri" w:cs="Amiri"/>
          <w:color w:val="111111"/>
          <w:sz w:val="28"/>
          <w:sz w:val="28"/>
          <w:szCs w:val="28"/>
          <w:rtl w:val="true"/>
          <w:lang w:bidi="ar-SA"/>
        </w:rPr>
        <w:t>كتابٌ سبعينَ مرةً لوُجِدَ فيه خطأٌ أبى اللهُ أنْ يكونَ كتابٌ صحيحًا غرَ كتابِه</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 فقد يغيبُ عن هذا البحث ما غاب عن علماء العربية الأعلام؛ لأنّ الدراسة قد اتخذت من كلام أمیر المؤمنین ميدانًا تطبيقيًا لها وهو من السَّعة ما لم تستطعْ دراسة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دراسات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الإحاطة بأسراره، واستيعاب جميع ما ورد فيه من ظواهر لغوية أو نحوية، على أنَّ ما لا يُدرَك كلُّه لا يُرَك جلُّه كما يُقال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وآخرُ دعوانا أَنِ الحَمْدُ للهِ ربِّ العالمین وصلواتُه وسلامُهُ على نبيِّنا مُحمّدٍ الأمین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الطيبین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وصحبه المنتجبين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حيدر هادي خلخال النجف الأشرف، ذو الحجة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التمهيد الاستقراء بين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والنحويين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031_80693"/>
      <w:bookmarkStart w:id="16" w:name="pg7031_80693"/>
      <w:bookmarkEnd w:id="16"/>
    </w:p>
    <w:p>
      <w:pPr>
        <w:pStyle w:val="Heading2"/>
        <w:numPr>
          <w:ilvl w:val="1"/>
          <w:numId w:val="1"/>
        </w:numPr>
        <w:rPr/>
      </w:pPr>
      <w:bookmarkStart w:id="17" w:name="pg7031_80693"/>
      <w:bookmarkStart w:id="18" w:name="__RefHeading___Toc2958238_372815092"/>
      <w:bookmarkStart w:id="19" w:name="_Toc5"/>
      <w:bookmarkEnd w:id="17"/>
      <w:bookmarkEnd w:id="18"/>
      <w:r>
        <w:rPr>
          <w:rtl w:val="true"/>
        </w:rPr>
        <w:t>التمهيد</w:t>
      </w:r>
      <w:r>
        <w:rPr>
          <w:rtl w:val="true"/>
        </w:rPr>
        <w:t xml:space="preserve">: </w:t>
      </w:r>
      <w:r>
        <w:rPr>
          <w:rtl w:val="true"/>
        </w:rPr>
        <w:t xml:space="preserve">الاستقراء بين كلام أمير المؤمنين </w:t>
      </w:r>
      <w:r>
        <w:rPr>
          <w:rtl w:val="true"/>
        </w:rPr>
        <w:t>(</w:t>
      </w:r>
      <w:r>
        <w:rPr>
          <w:rtl w:val="true"/>
        </w:rPr>
        <w:t>علیه السلام</w:t>
      </w:r>
      <w:r>
        <w:rPr>
          <w:rtl w:val="true"/>
        </w:rPr>
        <w:t xml:space="preserve">) </w:t>
      </w:r>
      <w:r>
        <w:rPr>
          <w:rtl w:val="true"/>
        </w:rPr>
        <w:t>والنحويين</w:t>
      </w:r>
      <w:r>
        <w:rPr>
          <w:rtl w:val="true"/>
        </w:rPr>
        <w:t>:</w:t>
      </w:r>
      <w:bookmarkEnd w:id="19"/>
    </w:p>
    <w:p>
      <w:pPr>
        <w:pStyle w:val="Heading3"/>
        <w:numPr>
          <w:ilvl w:val="2"/>
          <w:numId w:val="1"/>
        </w:numPr>
        <w:rPr/>
      </w:pPr>
      <w:bookmarkStart w:id="20" w:name="__RefHeading___Toc2958240_372815092"/>
      <w:bookmarkStart w:id="21" w:name="_Toc6"/>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 xml:space="preserve">يسعى هذا البحث عبر أبوابه القادمة إلى نقد قواعد النحويین في ضوء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وتصحيح بعض ما توصَّلوا إليه من تلك القواعد، والاستدراك عليهم والإشارة إلى ما فاتهم من أنماط أو أساليب نحوية صحيحة بالاستناد إلى نهج البلاغة، فهو رافدٌ ثرٌّ للغة العربية وعلومها، ومعینٌ للفصاحة والبيان، والبلاغة والإتْقان، يجري على وفق معايیر العلماء فيما يصح الاستشهاد به، لكنَّه لم ينلْ استحقاقه في الميدان النحوي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يجدر ذكره أنَّ الهدف من هذا لم يكنْ بقصد التقليل من عظيم جهد أَعلام العربية في استقراء اللغة وتسجيل قوانينها؛ فقواعدُ النحو مرهونةٌ بالاستشهاد عليها إلا ما جاء على أصله من القواعد المتعارَفة المعلومة،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تمسَّك بالأصل خرج عن عُهْدة المطالبة بالدليل</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وقد تكون الشواهد التي تقف عليها هذه الدراسة فاتتهم لسببٍ أو لآخر كما سيأتي بيان ذلك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كانت جهود علماء العربية في وصف المسائل النحوية وتقعيدها، وتصنيفها وتفسیرها، وبيان الخلاف بین صورها واستعمالاتها؛ ثمرةَ عملٍ دؤوبٍ وعظيم قام على استقراء كلام العرب شعرًا ونثرًا من مصادره الأصلية؛ كان لا بد من الوقوف على مفهوم الاستقراء، وبيان أقسامه، وأهميته في وضع القواعد، فضلاً عن أهمية </w:t>
      </w:r>
      <w:bookmarkStart w:id="22" w:name="pg7031_80694"/>
    </w:p>
    <w:p>
      <w:pPr>
        <w:pStyle w:val="BookText"/>
        <w:rPr/>
      </w:pPr>
      <w:bookmarkEnd w:id="22"/>
      <w:r>
        <w:rPr>
          <w:rFonts w:ascii="IRNazanin" w:hAnsi="IRNazanin" w:eastAsia="IRNazanin"/>
          <w:color w:val="111111"/>
          <w:sz w:val="28"/>
          <w:sz w:val="28"/>
          <w:szCs w:val="28"/>
          <w:rtl w:val="true"/>
          <w:lang w:bidi="fa-IR"/>
        </w:rPr>
        <w:t xml:space="preserve">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كرافدٍ مهم من روافد الاستقراء في العربية إلى غیر ذلك ممّا ستتكفَّل ببيانه المطالب الآتية</w:t>
      </w:r>
      <w:r>
        <w:rPr>
          <w:rFonts w:eastAsia="IRNazanin" w:cs="IRNazanin"/>
          <w:color w:val="111111"/>
          <w:sz w:val="28"/>
          <w:szCs w:val="28"/>
          <w:rtl w:val="true"/>
          <w:lang w:bidi="fa-IR"/>
        </w:rPr>
        <w:t>:</w:t>
      </w:r>
    </w:p>
    <w:p>
      <w:pPr>
        <w:pStyle w:val="Heading3"/>
        <w:numPr>
          <w:ilvl w:val="2"/>
          <w:numId w:val="1"/>
        </w:numPr>
        <w:rPr/>
      </w:pPr>
      <w:bookmarkStart w:id="23" w:name="__RefHeading___Toc2958242_372815092"/>
      <w:bookmarkStart w:id="24" w:name="_Toc7"/>
      <w:bookmarkEnd w:id="23"/>
      <w:r>
        <w:rPr>
          <w:rtl w:val="true"/>
        </w:rPr>
        <w:t>المطلب الأول</w:t>
      </w:r>
      <w:r>
        <w:rPr>
          <w:rtl w:val="true"/>
        </w:rPr>
        <w:t xml:space="preserve">: </w:t>
      </w:r>
      <w:r>
        <w:rPr>
          <w:rtl w:val="true"/>
        </w:rPr>
        <w:t>الاستقراء في اللغة والاصطلاح</w:t>
      </w:r>
      <w:r>
        <w:rPr>
          <w:rtl w:val="true"/>
        </w:rPr>
        <w:t>:</w:t>
      </w:r>
      <w:bookmarkEnd w:id="24"/>
    </w:p>
    <w:p>
      <w:pPr>
        <w:pStyle w:val="BookText"/>
        <w:rPr/>
      </w:pPr>
      <w:r>
        <w:rPr>
          <w:rFonts w:ascii="Amiri" w:hAnsi="Amiri" w:eastAsia="Amiri" w:cs="Amiri"/>
          <w:color w:val="111111"/>
          <w:sz w:val="28"/>
          <w:sz w:val="28"/>
          <w:szCs w:val="28"/>
          <w:rtl w:val="true"/>
          <w:lang w:bidi="ar-SA"/>
        </w:rPr>
        <w:t xml:space="preserve">الاستقراء مصدر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الجذر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وقرا الأَمرَ واقْتراهُ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وقَروْتُ البلادَ قَرْوًا وقَرَيْتُها قريًا واقْتَريتُها واسْتَقْرَيتها إذا تتبعتها تخرج من أرضٍ إلى أرضٍ</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وبهذا المعنى شاع لدى النحويین؛ فقد تَتبَّعوا كلام العرب نظماً ونثرًا من مصادره الأصلية عبر عصور من الزمن بهدف وضع الأُسس واستخلاص الضوابط التي تخضع لها العربية في تراكيبها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غريبًا أنْ يكون كلام الإمام رافدًا مهماً للمعجم العربي، إذ إنَّ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ذكره أرباب اللغة والمعجات للاستقراء إنا جاء في الصحيفة التي كتبها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وألقاها الى أبي الأسود الدُّؤلي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الكلام كلُّه اسم وفعل وحرف، فالاسم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أنبأ عن المسمَّى، والفعل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أنبأ عن حركة المسمَّى، والحرف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أنبأ عن معنًى ليس باسمٍ ولا فعلٍ،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تتبعْه وزدْ فيه ما وقع لك</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الاصطلاح فقد عرَّفه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الحكم على كليٍّ بوجوده في أكثر جزئياته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ويبدو أنَّ هذا التعريف مستقى من تعريفات علماء المنطق والأُصول؛ إذ عرَّفه الغزالي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تتصفَّح جزئيات كثيرة داخلة تحت معنى كلِّی، حتى إذا وجدت حكماً في تلك الجزئيات حكمت على ذلك الكلّی به</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 xml:space="preserve">، وبنحو هذا عرَّفه 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 والآمدي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 والشيخ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 والسيد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فبوساطة الاستقراء يسعى العالِم إلى الوصول إلى قاعدة كلّية مستنبَطة من أجزاء هذا الكل ومنتمية إليه، فهو منهج عِلمي يهدف إلى تتبع أجزاء الظاهرة المستقراة من أجل الوصول إلى وضع قواعدها وقوانينها، ولهذا جعله النحويون دليلاً قاطعًا على إثبات تلك القواعد والضوابط</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النحويین اكتفوا بتعريف النحو الذي تضمن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يضعوا حدًّا له</w:t>
      </w:r>
      <w:r>
        <w:rPr>
          <w:rStyle w:val="FootnoteAnchor"/>
          <w:rtl w:val="true"/>
        </w:rPr>
        <w:footnoteReference w:id="15"/>
      </w:r>
      <w:r>
        <w:rPr>
          <w:rFonts w:ascii="Amiri" w:hAnsi="Amiri" w:eastAsia="Amiri" w:cs="Amiri"/>
          <w:color w:val="111111"/>
          <w:sz w:val="28"/>
          <w:sz w:val="28"/>
          <w:szCs w:val="28"/>
          <w:rtl w:val="true"/>
          <w:lang w:bidi="ar-SA"/>
        </w:rPr>
        <w:t xml:space="preserve">لأنّ النحو كما ذكره القدماء هو علم مستخرَج من استقراء كلام العرب، قال ابن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علم استخرجه المتقدِّمون فيه </w:t>
      </w:r>
      <w:bookmarkStart w:id="25" w:name="pg7031_80698"/>
    </w:p>
    <w:p>
      <w:pPr>
        <w:pStyle w:val="BookText"/>
        <w:rPr/>
      </w:pPr>
      <w:bookmarkEnd w:id="25"/>
      <w:r>
        <w:rPr>
          <w:rFonts w:ascii="Amiri" w:hAnsi="Amiri" w:eastAsia="Amiri" w:cs="Amiri"/>
          <w:color w:val="111111"/>
          <w:sz w:val="28"/>
          <w:sz w:val="28"/>
          <w:szCs w:val="28"/>
          <w:rtl w:val="true"/>
          <w:lang w:bidi="ar-SA"/>
        </w:rPr>
        <w:t>من استقراء كلام العرب</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 وقال أبو علي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النحو علم بالمقاييس المستنبَطة من استقراء كلام العرب</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 وبهذا المعنى عرَّفه المتأخرون أيضًا، قال ابن عصفور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النحو علم مستخرَج بالمقاييس المستنبَطة من استقراء كلام العرب؛ الموصِلة إلى معرفة أحكام أجزائه التي تأتلف منها</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وهذا يشیر فضلاً عن ذلك إلى أهمية الاستقراء كمبدإ اتَّبعه علماء العربية في الوصول إلى النتائج المرجوّة التي يمكن صوغها فيما بعد في قواعد عامة</w:t>
      </w:r>
      <w:r>
        <w:rPr>
          <w:rStyle w:val="FootnoteAnchor"/>
          <w:rtl w:val="true"/>
        </w:rPr>
        <w:footnoteReference w:id="19"/>
      </w:r>
      <w:r>
        <w:rPr>
          <w:rFonts w:ascii="IRNazanin" w:hAnsi="IRNazanin" w:eastAsia="IRNazanin"/>
          <w:color w:val="111111"/>
          <w:sz w:val="28"/>
          <w:sz w:val="28"/>
          <w:szCs w:val="28"/>
          <w:rtl w:val="true"/>
          <w:lang w:bidi="fa-IR"/>
        </w:rPr>
        <w:t>، مع التأكيد على أنَّ النحويین في أوائل نشأة النحو لم يكونوا على معرفة تامّة بوسائل هذا الاستقراء وطرائقه، وإنما كانوا يسیرون على وفق ما هدتهم إليه الفطرة بغية الحصول على نتائج علمية سريعة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2958244_372815092"/>
      <w:bookmarkStart w:id="27" w:name="_Toc8"/>
      <w:bookmarkEnd w:id="26"/>
      <w:r>
        <w:rPr>
          <w:rtl w:val="true"/>
        </w:rPr>
        <w:t>المطلب الثاني</w:t>
      </w:r>
      <w:r>
        <w:rPr>
          <w:rtl w:val="true"/>
        </w:rPr>
        <w:t xml:space="preserve">: </w:t>
      </w:r>
      <w:r>
        <w:rPr>
          <w:rtl w:val="true"/>
        </w:rPr>
        <w:t>أنواع الاستقراء</w:t>
      </w:r>
      <w:r>
        <w:rPr>
          <w:rtl w:val="true"/>
        </w:rPr>
        <w:t>:</w:t>
      </w:r>
      <w:bookmarkEnd w:id="27"/>
    </w:p>
    <w:p>
      <w:pPr>
        <w:pStyle w:val="BookText"/>
        <w:rPr/>
      </w:pPr>
      <w:r>
        <w:rPr>
          <w:rFonts w:ascii="IRNazanin" w:hAnsi="IRNazanin" w:eastAsia="IRNazanin"/>
          <w:color w:val="111111"/>
          <w:sz w:val="28"/>
          <w:sz w:val="28"/>
          <w:szCs w:val="28"/>
          <w:rtl w:val="true"/>
          <w:lang w:bidi="fa-IR"/>
        </w:rPr>
        <w:t>إنّ صلة مفهوم الاستقراء وارتباطه بعلمَي المنطق والأُصول جعلتْ مهمة تقسيمه والحديث عن فروعه من تخصّص أرباب هذين العِلمین، إذ قسموه على نوعین رئيسین هما</w:t>
      </w:r>
      <w:r>
        <w:rPr>
          <w:rStyle w:val="FootnoteAnchor"/>
          <w:rtl w:val="true"/>
        </w:rPr>
        <w:footnoteReference w:id="21"/>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والرواية والاستشهاد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الاستقراء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ويقصد به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الحكم في كلِّی لثبوته في بعض جزئياته</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 xml:space="preserve">، وهو الذي يسعى إلى جمع جزئيات المادة المُراد استقصاؤها وتقسيمها من أجل الوصول إلى حقيقةٍ ما، ولهذا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الاستقراء المقسَّم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عدنان درويش، ومحمد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والمنطق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وهو الذي يُستعمل في إثبات البراهین؛ لأنَّه يفيد اليقین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وهو يقوم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 والإحصاء كما يحدث عند تعداد سكان البلاد أو عند إحصاء الكلمات الدخيلة في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عند أرباب علم الأُصول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 الفرد بالأعم والأغلب</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 وعُرِّفَ بأنَّه الاستقراء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تتبع فِيه أَكثر الجزئيات لإِثبات الحكم الْكلِّی المشترك بین جمِيع الجزئيات، بِشرط أَن لَا يتَبَیَّن الْعلَّة المؤثرة فِی الحكم</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وهو يفيد الظن؛ لأنَّ المستقري لا يتَتَبَّع إلا بعض الجزئيات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أُولى الإشارات التي تدلِّل على وجود الاستقراء الناقص في جهد النحويین الأوائل تطالعُنا في صحيفة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الأسود الدؤلي، فتذكر </w:t>
      </w:r>
      <w:bookmarkStart w:id="28" w:name="pg7031_80702"/>
    </w:p>
    <w:p>
      <w:pPr>
        <w:pStyle w:val="BookText"/>
        <w:rPr/>
      </w:pPr>
      <w:bookmarkEnd w:id="28"/>
      <w:r>
        <w:rPr>
          <w:rFonts w:ascii="Amiri" w:hAnsi="Amiri" w:eastAsia="Amiri" w:cs="Amiri"/>
          <w:color w:val="111111"/>
          <w:sz w:val="28"/>
          <w:sz w:val="28"/>
          <w:szCs w:val="28"/>
          <w:rtl w:val="true"/>
          <w:lang w:bidi="ar-SA"/>
        </w:rPr>
        <w:t xml:space="preserve">الروايات أنَّ أبا الأسود استقرى خمسة أحرف للنصب،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أحسبْها منها،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منها، فزدْها فيها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استظهر النحويون التباين المنهجي بین الاستقراء التامِّ والناقص عَمليًا، فذهبوا إلى أنَّ ظواهر العربية لا يمكن أن تحُصى؛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العرب لا يُحيط به إلا نبيّ</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 xml:space="preserve">، وفي هذا إشارة إلى سعة العربية، وعدم القدرة على استقراء كلِّ أساليبها؛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إثبات ما لا يدخل تحت الحصر بطريق النقل مُحال</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لهذا احتكموا إلى الاستقراء الناقص الذي يعني إجراء الملاحظة على أُنموذج منتقى من جملة الظواهر المدروسة التي لا حصر لها، والاقتصار منها على القليل دون الكثیر</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2958246_372815092"/>
      <w:bookmarkStart w:id="30" w:name="_Toc9"/>
      <w:bookmarkEnd w:id="29"/>
      <w:r>
        <w:rPr>
          <w:rtl w:val="true"/>
        </w:rPr>
        <w:t>المطلب الثالث</w:t>
      </w:r>
      <w:r>
        <w:rPr>
          <w:rtl w:val="true"/>
        </w:rPr>
        <w:t xml:space="preserve">: </w:t>
      </w:r>
      <w:r>
        <w:rPr>
          <w:rtl w:val="true"/>
        </w:rPr>
        <w:t>عَلاقة الاستقراء الناقص بالاستقراء التام</w:t>
      </w:r>
      <w:r>
        <w:rPr>
          <w:rtl w:val="true"/>
        </w:rPr>
        <w:t>:</w:t>
      </w:r>
      <w:bookmarkEnd w:id="3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ضوء تقسيمه الاستقراءَ على تام وناقص لم يبیِّن بصورة أساسية العلاقة القائمة بین الفرعین، بل اكتفى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الاستقراء إذا قام على إحصاء كلِّ جزئيات الظاهرة فهو تام، وأما إذا اقتصر على أجزاء من </w:t>
      </w:r>
    </w:p>
    <w:p>
      <w:pPr>
        <w:pStyle w:val="BookText"/>
        <w:rPr/>
      </w:pPr>
      <w:r>
        <w:rPr>
          <w:rFonts w:ascii="Amiri" w:hAnsi="Amiri" w:eastAsia="Amiri" w:cs="Amiri"/>
          <w:color w:val="111111"/>
          <w:sz w:val="28"/>
          <w:sz w:val="28"/>
          <w:szCs w:val="28"/>
          <w:rtl w:val="true"/>
          <w:lang w:bidi="ar-SA"/>
        </w:rPr>
        <w:t>الظاهرة في الحكم فيعدُّ ناقصًا</w:t>
      </w:r>
      <w:r>
        <w:rPr>
          <w:rStyle w:val="FootnoteAnchor"/>
          <w:rtl w:val="true"/>
        </w:rPr>
        <w:footnoteReference w:id="31"/>
      </w:r>
      <w:r>
        <w:rPr>
          <w:rFonts w:ascii="IRNazanin" w:hAnsi="IRNazanin" w:eastAsia="IRNazanin"/>
          <w:color w:val="111111"/>
          <w:sz w:val="28"/>
          <w:sz w:val="28"/>
          <w:szCs w:val="28"/>
          <w:rtl w:val="true"/>
          <w:lang w:bidi="fa-IR"/>
        </w:rPr>
        <w:t>، وهذا مالم يتفق ورؤية السيد محمد باقر الصدر؛ إذ إنَّ النتائج إذا جاءت موافقة لمقدِّماتها ومتسقةً معها كما في التام فلا يُعدُّ هذا من قبيل الاستقراء، بل يُعدُّ استنباطًا، أما الاستقراء فهو الذي يسیر من الخاص إلى العام، وهذا ما يحدث في الاستقراء الناقص، لذا فهو ما ينطبق عليه مفهوم الاستقراء فقط</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النحويون فإنّ التفريق بین الفرعین كان حاضرًا لديهم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اتّبعوه من منهج عَمَلي في تَتبّع اللغة من منابعها؛ فلعلمهم بتعذّر استيعاب كلِّ ظواهر اللغة وأساليبها عمدوا إلى تحديد ما يُستشهَد به كجزء من الظاهرة المراد التقعيد لها، فحدَّدوا المكان والزمان، كما خصَّصوا القبائل التي يُحتج بكلامها، وهم بهذا فهموا ماهيّة الاستقراء التام وعدم القدرة على انتهاجه واستعماله، والقطع بعدم إمكان تحقيقه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ودليل هذا ما ذهب إليه اللغويون بأنَّ ما وصل إلينا من اللغة قليل من كثیر، قال أبو عمرو بن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انتهى إليكم مما قالتْ العربُ إلّا أقلُّه ولو جاءَكُم وافرًا لجاءكُم عِلمٌ وشعرٌ كثیر</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 xml:space="preserve">، كما نجد هذا المعنى فيما ذكره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شيء جاء قد 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بهذه المنزلة، فإن كان عربيًا نعرفه ولا نعرف الذي اشتق منه فإنما ذاك لأنّا جهلنا ما علم غيرنا، أو يكون الآخر لم يصل إليه علم وصل إلى الأول المسمى</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نخلص مما تقدم إلى أنَّ الاستقراء التام وإن كان دليلاً من أدلّة الجدل النحوي </w:t>
      </w:r>
      <w:bookmarkStart w:id="31" w:name="pg7031_80706"/>
    </w:p>
    <w:p>
      <w:pPr>
        <w:pStyle w:val="BookText"/>
        <w:rPr/>
      </w:pPr>
      <w:bookmarkEnd w:id="31"/>
      <w:r>
        <w:rPr>
          <w:rFonts w:ascii="IRNazanin" w:hAnsi="IRNazanin" w:eastAsia="IRNazanin"/>
          <w:color w:val="111111"/>
          <w:sz w:val="28"/>
          <w:sz w:val="28"/>
          <w:szCs w:val="28"/>
          <w:rtl w:val="true"/>
          <w:lang w:bidi="fa-IR"/>
        </w:rPr>
        <w:t>ووسيلة من وسائل التقعيد إلا أنّ صلاحيته للاحتجاج تتوقف على التسليم بمضمونه، إذ يمكن لغیر المستدِل إنكار مضمونه، وحينئذ لا يصلح دليلاً</w:t>
      </w:r>
      <w:r>
        <w:rPr>
          <w:rStyle w:val="FootnoteAnchor"/>
          <w:rtl w:val="true"/>
        </w:rPr>
        <w:footnoteReference w:id="35"/>
      </w:r>
      <w:r>
        <w:rPr>
          <w:rFonts w:ascii="Amiri" w:hAnsi="Amiri" w:eastAsia="Amiri" w:cs="Amiri"/>
          <w:color w:val="111111"/>
          <w:sz w:val="28"/>
          <w:sz w:val="28"/>
          <w:szCs w:val="28"/>
          <w:rtl w:val="true"/>
          <w:lang w:bidi="ar-SA"/>
        </w:rPr>
        <w:t>، هذا فضلاً عن أنَّه يتطلَّبُ معرفةً بكلِّ جزئيات المادة المراد استقراؤها وهذا عمل شاقٌّ يصعب تحقيقه</w:t>
      </w:r>
      <w:r>
        <w:rPr>
          <w:rStyle w:val="FootnoteAnchor"/>
          <w:rtl w:val="true"/>
        </w:rPr>
        <w:footnoteReference w:id="36"/>
      </w:r>
      <w:r>
        <w:rPr>
          <w:rFonts w:ascii="IRNazanin" w:hAnsi="IRNazanin" w:eastAsia="IRNazanin"/>
          <w:color w:val="111111"/>
          <w:sz w:val="28"/>
          <w:sz w:val="28"/>
          <w:szCs w:val="28"/>
          <w:rtl w:val="true"/>
          <w:lang w:bidi="fa-IR"/>
        </w:rPr>
        <w:t>، ولمّا كان الامر كذلك لجأ علماء العربية إلى استقراء جزء من الظواهر وهو ما يُعرَفُ بالاستقراء الناقص، 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نهج النحويین في تتبع مسائل النحو ناقصًا فكيف يتواءم هذا وسعيَهم نحو اطّراد القواعد وإعمامها؟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سيُفصح عنه المطلب الآتي</w:t>
      </w:r>
      <w:r>
        <w:rPr>
          <w:rFonts w:eastAsia="IRNazanin" w:cs="IRNazanin"/>
          <w:color w:val="111111"/>
          <w:sz w:val="28"/>
          <w:szCs w:val="28"/>
          <w:rtl w:val="true"/>
          <w:lang w:bidi="fa-IR"/>
        </w:rPr>
        <w:t>:</w:t>
      </w:r>
    </w:p>
    <w:p>
      <w:pPr>
        <w:pStyle w:val="Heading3"/>
        <w:numPr>
          <w:ilvl w:val="2"/>
          <w:numId w:val="1"/>
        </w:numPr>
        <w:rPr/>
      </w:pPr>
      <w:bookmarkStart w:id="32" w:name="__RefHeading___Toc2958248_372815092"/>
      <w:bookmarkStart w:id="33" w:name="_Toc10"/>
      <w:bookmarkEnd w:id="32"/>
      <w:r>
        <w:rPr>
          <w:rtl w:val="true"/>
        </w:rPr>
        <w:t>المطلب الرابع</w:t>
      </w:r>
      <w:r>
        <w:rPr>
          <w:rtl w:val="true"/>
        </w:rPr>
        <w:t xml:space="preserve">: </w:t>
      </w:r>
      <w:r>
        <w:rPr>
          <w:rtl w:val="true"/>
        </w:rPr>
        <w:t>علاقة الاستقراء الناقص بالقياس</w:t>
      </w:r>
      <w:r>
        <w:rPr>
          <w:rtl w:val="true"/>
        </w:rPr>
        <w:t>:</w:t>
      </w:r>
      <w:bookmarkEnd w:id="33"/>
    </w:p>
    <w:p>
      <w:pPr>
        <w:pStyle w:val="BookText"/>
        <w:rPr/>
      </w:pPr>
      <w:r>
        <w:rPr>
          <w:rFonts w:ascii="Amiri" w:hAnsi="Amiri" w:eastAsia="Amiri" w:cs="Amiri"/>
          <w:color w:val="111111"/>
          <w:sz w:val="28"/>
          <w:sz w:val="28"/>
          <w:szCs w:val="28"/>
          <w:rtl w:val="true"/>
          <w:lang w:bidi="ar-SA"/>
        </w:rPr>
        <w:t>ليس ثمة مَن يُنكر أنَّ ظواهر العربية ومسائلها لا يمكن استيعابها وإحصاء كلِّ جزئياتها والوصول إلى إعمام يشمل كل جزئياتها بالاستقراء، وقد تقدَّم مثل هذا الكلام، ولهذا كان الاستقراء ناقصًا في جزءٍ منه، لكنّنا إذا قررنا هذه الحقيقة فكيف يمكننا تسويغ أن يكون الاستقراء الناقص سمةً من سمات العلوم المنضبِطة ومنها النحو العربي كما ذكر الدكتور تمام حسان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نقص الاستقراء الذي يُوصَفُ به عمل عددٍ من النحويین بسبب سعة العربية وعدم المقدرة على استيعاب كلِّ ظواهرها وأساليبها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صفةً للعِلم المنضبِط على ما يرى الدكتور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يعني إعفاءهم وعدم مطالبتهم بجبر صفة النقص هذه؛ إذ عليهم اللجوء إلى قياس مالم يستطيعوا الوصول إليه وإحصاءه على ما استقرَوه من مسائل مناظرة حتى تتصف القواعد بالعموم، وهذا ما عبّر عنه </w:t>
      </w:r>
    </w:p>
    <w:p>
      <w:pPr>
        <w:pStyle w:val="BookText"/>
        <w:rPr/>
      </w:pPr>
      <w:r>
        <w:rPr>
          <w:rFonts w:ascii="Amiri" w:hAnsi="Amiri" w:eastAsia="Amiri" w:cs="Amiri"/>
          <w:color w:val="111111"/>
          <w:sz w:val="28"/>
          <w:sz w:val="28"/>
          <w:szCs w:val="28"/>
          <w:rtl w:val="true"/>
          <w:lang w:bidi="ar-SA"/>
        </w:rPr>
        <w:t xml:space="preserve">الدكتور تمام حسان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الحتمية</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 وهو ما حدث بالفعل في مبدإِ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الذي أجراه النحويون في موارد كثیرة ومتشعبة، ولهذا عرَّفه أبو البركات الأنباري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غیر المنقول على المنقول إذا كان في معناه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 ومن هنا تظهر بوضوح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فقِسْ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كثیرًا في المظان النحوية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هذا رغبة في اطّراد القواعد وإعمامها، وإن كانت بعض أقيسة النحويین أسهمت في تعقيد بعض أبواب النحو ومباحثه ولا سيما في المسائل التي احتُكمَ فيها الى القياس وحده من دون النظر الى المسموع، وهذا أدَّى إلى خلل وإرباك في عدد من القواعد النحوية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وفائدة ما تقدَّم أنَّ المستقري للغة وإن اعتَورَ عمله النقص والقصور أو التقصیر، لكن بإمكانه التوصل إلى الإعمام والتقعيد إذا أخذ بنظر الاعتبار العناية بالقياس</w:t>
      </w:r>
      <w:r>
        <w:rPr>
          <w:rStyle w:val="FootnoteAnchor"/>
          <w:rtl w:val="true"/>
        </w:rPr>
        <w:footnoteReference w:id="41"/>
      </w:r>
      <w:r>
        <w:rPr>
          <w:rFonts w:ascii="Amiri" w:hAnsi="Amiri" w:eastAsia="Amiri" w:cs="Amiri"/>
          <w:color w:val="111111"/>
          <w:sz w:val="28"/>
          <w:sz w:val="28"/>
          <w:szCs w:val="28"/>
          <w:rtl w:val="true"/>
          <w:lang w:bidi="ar-SA"/>
        </w:rPr>
        <w:t>، لكن الذي يؤاخَذ عليه النحويون في هذا الإطار أنَّهم حكَّموا في استقرائهم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افتقار الاستقراء إلى الخطة المنظَّمة واعتماده على الجهد الشخصي ما أفضى إلى اضطراب الدراسة ونتائجها، وقد نعتذر لهم؛ إذ ليس بالإمكان محاكمتهم با وصلت إليه العلوم اليوم،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النتائج التي توصَّلوا إليها بطريقة الاستقراء سلطة التحكم في اللغة في عصرها وبعد عصرها ما نتج عن هذا تأويلُ كلِّ ما خالف هذا الاستقراء</w:t>
      </w:r>
      <w:r>
        <w:rPr>
          <w:rStyle w:val="FootnoteAnchor"/>
          <w:rtl w:val="true"/>
        </w:rPr>
        <w:footnoteReference w:id="42"/>
      </w:r>
      <w:r>
        <w:rPr>
          <w:rFonts w:ascii="Amiri" w:hAnsi="Amiri" w:eastAsia="Amiri" w:cs="Amiri"/>
          <w:color w:val="111111"/>
          <w:sz w:val="28"/>
          <w:sz w:val="28"/>
          <w:szCs w:val="28"/>
          <w:rtl w:val="true"/>
          <w:lang w:bidi="ar-SA"/>
        </w:rPr>
        <w:t>، والحال أنَّ القواعد نتيجة من نتائج الاستقراء، وثمرة من ثمار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دامت الحال هذه فمِن الواجب </w:t>
      </w:r>
      <w:bookmarkStart w:id="34" w:name="pg7031_80710"/>
    </w:p>
    <w:p>
      <w:pPr>
        <w:pStyle w:val="BookText"/>
        <w:rPr/>
      </w:pPr>
      <w:bookmarkEnd w:id="34"/>
      <w:r>
        <w:rPr>
          <w:rFonts w:ascii="Amiri" w:hAnsi="Amiri" w:eastAsia="Amiri" w:cs="Amiri"/>
          <w:color w:val="111111"/>
          <w:sz w:val="28"/>
          <w:sz w:val="28"/>
          <w:szCs w:val="28"/>
          <w:rtl w:val="true"/>
          <w:lang w:bidi="ar-SA"/>
        </w:rPr>
        <w:t>إبراز الشواهد والأمثلة التي تستند إليها القاعدة وعدم الاقتصار على شواهد دون أُخرى بغية العموم، فالأصل أن تُراعى النصوص لا القواعد بلا فرض لوجهة نظر الباحث في وضع هذه القواعد</w:t>
      </w:r>
      <w:r>
        <w:rPr>
          <w:rStyle w:val="FootnoteAnchor"/>
          <w:rtl w:val="true"/>
        </w:rPr>
        <w:footnoteReference w:id="43"/>
      </w:r>
      <w:r>
        <w:rPr>
          <w:rFonts w:ascii="IRNazanin" w:hAnsi="IRNazanin" w:eastAsia="IRNazanin"/>
          <w:color w:val="111111"/>
          <w:sz w:val="28"/>
          <w:sz w:val="28"/>
          <w:szCs w:val="28"/>
          <w:rtl w:val="true"/>
          <w:lang w:bidi="fa-IR"/>
        </w:rPr>
        <w:t>، ولو فعلوا هذا لخلصوا الكثیر من مسائل العربية من الخلط والتعقيد، والتأويل والتقدير، لكن ما سبب ذلك؟ هذا ما سيبينُه المطلب الآتي</w:t>
      </w:r>
      <w:r>
        <w:rPr>
          <w:rFonts w:eastAsia="IRNazanin" w:cs="IRNazanin"/>
          <w:color w:val="111111"/>
          <w:sz w:val="28"/>
          <w:szCs w:val="28"/>
          <w:rtl w:val="true"/>
          <w:lang w:bidi="fa-IR"/>
        </w:rPr>
        <w:t>:</w:t>
      </w:r>
    </w:p>
    <w:p>
      <w:pPr>
        <w:pStyle w:val="Heading3"/>
        <w:numPr>
          <w:ilvl w:val="2"/>
          <w:numId w:val="1"/>
        </w:numPr>
        <w:rPr/>
      </w:pPr>
      <w:bookmarkStart w:id="35" w:name="__RefHeading___Toc2958250_372815092"/>
      <w:bookmarkStart w:id="36" w:name="_Toc11"/>
      <w:bookmarkEnd w:id="35"/>
      <w:r>
        <w:rPr>
          <w:rtl w:val="true"/>
        </w:rPr>
        <w:t>المطلب الخامس</w:t>
      </w:r>
      <w:r>
        <w:rPr>
          <w:rtl w:val="true"/>
        </w:rPr>
        <w:t xml:space="preserve">: </w:t>
      </w:r>
      <w:r>
        <w:rPr>
          <w:rtl w:val="true"/>
        </w:rPr>
        <w:t>أسباب نقص الاستقراء</w:t>
      </w:r>
      <w:r>
        <w:rPr>
          <w:rtl w:val="true"/>
        </w:rPr>
        <w:t>:</w:t>
      </w:r>
      <w:bookmarkEnd w:id="36"/>
    </w:p>
    <w:p>
      <w:pPr>
        <w:pStyle w:val="Heading4"/>
        <w:numPr>
          <w:ilvl w:val="3"/>
          <w:numId w:val="1"/>
        </w:numPr>
        <w:rPr/>
      </w:pPr>
      <w:bookmarkStart w:id="37" w:name="__RefHeading___Toc2958252_372815092"/>
      <w:bookmarkStart w:id="38" w:name="_Toc12"/>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مما لا شك فيه أنّ نقص الاستقراء الذي وُصِفَ به النحو العربي في مسائل متعددة قد نتج عن جملة ظروف أو أسباب حاول أحد الباحثین إجمالها بالنقاط الآتية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2958254_372815092"/>
      <w:bookmarkStart w:id="40" w:name="_Toc13"/>
      <w:bookmarkEnd w:id="39"/>
      <w:r>
        <w:rPr>
          <w:rtl w:val="true"/>
        </w:rPr>
        <w:t>أولًا</w:t>
      </w:r>
      <w:r>
        <w:rPr>
          <w:rtl w:val="true"/>
        </w:rPr>
        <w:t xml:space="preserve">: </w:t>
      </w:r>
      <w:r>
        <w:rPr>
          <w:rtl w:val="true"/>
        </w:rPr>
        <w:t>النقص في الرواية</w:t>
      </w:r>
      <w:r>
        <w:rPr>
          <w:rtl w:val="true"/>
        </w:rPr>
        <w:t>:</w:t>
      </w:r>
      <w:bookmarkEnd w:id="40"/>
    </w:p>
    <w:p>
      <w:pPr>
        <w:pStyle w:val="Heading5"/>
        <w:numPr>
          <w:ilvl w:val="4"/>
          <w:numId w:val="1"/>
        </w:numPr>
        <w:rPr/>
      </w:pPr>
      <w:bookmarkStart w:id="41" w:name="__RefHeading___Toc2958256_372815092"/>
      <w:bookmarkStart w:id="42" w:name="_Toc14"/>
      <w:bookmarkEnd w:id="41"/>
      <w:r>
        <w:rPr>
          <w:rtl w:val="true"/>
        </w:rPr>
        <w:t>اشارة</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حرص النحويون الأوائل في جمعهم الموادَّ اللغوية على انتهاج جملة من 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بدت في أوائلها شخصية تفتقر الى التخطيط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بناء علم النحو وترسيخ قواعده، من ذلك عنايتهم الفائقة فيمن يأخذون اللغة عنه، لذا شافَهَ العلماءُ الرواةُ أبناءَ القبائل الفصيحة في بواديهم، أو من وفد منهم إلى الحاضرة بقصد التزوّد منها، أو سكناها، وهم بهذا العمل إنما يريدون تحرّي الدقة والضبط والأمانة في الرواية، قال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وتؤخذ سماعًا من الرُّواة الثقات ذوي الصدق والأمانة، ويُتَّقى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فَليَتَحرَّ آخذ اللغة وغيرها من </w:t>
      </w:r>
    </w:p>
    <w:p>
      <w:pPr>
        <w:pStyle w:val="BookText"/>
        <w:rPr/>
      </w:pPr>
      <w:r>
        <w:rPr>
          <w:rFonts w:ascii="Amiri" w:hAnsi="Amiri" w:eastAsia="Amiri" w:cs="Amiri"/>
          <w:color w:val="111111"/>
          <w:sz w:val="28"/>
          <w:sz w:val="28"/>
          <w:szCs w:val="28"/>
          <w:rtl w:val="true"/>
          <w:lang w:bidi="ar-SA"/>
        </w:rPr>
        <w:t>العلوم أهل الأمانة والثقة والصدق والعدالة</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ولا شك في أنَّ تلك الضوابط هي من نَهجِ علماء الحديث في الضبط والتوثيق استعارها علماء العربية في ميدان اللغة والنحو</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ذكر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من أسماء الأعراب الفُصَحاء الذين رحلوا إلى الحاضرة وأخذ عنهم علماؤنا</w:t>
      </w:r>
      <w:r>
        <w:rPr>
          <w:rStyle w:val="FootnoteAnchor"/>
          <w:rtl w:val="true"/>
        </w:rPr>
        <w:footnoteReference w:id="47"/>
      </w:r>
      <w:r>
        <w:rPr>
          <w:rFonts w:ascii="Amiri" w:hAnsi="Amiri" w:eastAsia="Amiri" w:cs="Amiri"/>
          <w:color w:val="111111"/>
          <w:sz w:val="28"/>
          <w:sz w:val="28"/>
          <w:szCs w:val="28"/>
          <w:rtl w:val="true"/>
          <w:lang w:bidi="ar-SA"/>
        </w:rPr>
        <w:t xml:space="preserve">، هذا فضلاً عن العلماء الرواة الذين رحلوا إلى البادية لمشافهة أعرابِها، منهم عيسى بن عمر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عمرو بن العلاء، والخليل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ويونس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كان همُّ النحويین في جهدهم هذا استقراءَ كلِّ مظاهر اللغة وتفاصيلها، وهذا ما يتعذَّر تحصيله كما تبیَّن في الاستقراء التام؛ حصل النقص فيما استقرَوه</w:t>
      </w:r>
      <w:r>
        <w:rPr>
          <w:rStyle w:val="FootnoteAnchor"/>
          <w:rtl w:val="true"/>
        </w:rPr>
        <w:footnoteReference w:id="49"/>
      </w:r>
      <w:r>
        <w:rPr>
          <w:rFonts w:ascii="IRNazanin" w:hAnsi="IRNazanin" w:eastAsia="IRNazanin"/>
          <w:color w:val="111111"/>
          <w:sz w:val="28"/>
          <w:sz w:val="28"/>
          <w:szCs w:val="28"/>
          <w:rtl w:val="true"/>
          <w:lang w:bidi="fa-IR"/>
        </w:rPr>
        <w:t>، ولاسيما أنَّ تدوين التراث اللغوي الشعري والنثري لم يكن إلا في بداية القرن الثاني الهجري وما بعده، وكان العلماء قبل تلك المدة يتناقلون الرواية شفاهًا، ما أسهم ذلك في ضياع الكثیر من ظواهر التراث اللغوي</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انعكس أثر هذا النقص على بعض الأحكام التي توصل إليها علماء </w:t>
      </w:r>
      <w:bookmarkStart w:id="43" w:name="pg7031_80714"/>
    </w:p>
    <w:p>
      <w:pPr>
        <w:pStyle w:val="BookText"/>
        <w:rPr/>
      </w:pPr>
      <w:bookmarkEnd w:id="43"/>
      <w:r>
        <w:rPr>
          <w:rFonts w:ascii="Amiri" w:hAnsi="Amiri" w:eastAsia="Amiri" w:cs="Amiri"/>
          <w:color w:val="111111"/>
          <w:sz w:val="28"/>
          <w:sz w:val="28"/>
          <w:szCs w:val="28"/>
          <w:rtl w:val="true"/>
          <w:lang w:bidi="ar-SA"/>
        </w:rPr>
        <w:t>العربية، سواء أكانت تلك الأحكام تخص المفردات أو التراكيب، وعلى النحو الآتي</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2958258_372815092"/>
      <w:bookmarkStart w:id="45" w:name="_Toc15"/>
      <w:bookmarkEnd w:id="44"/>
      <w:r>
        <w:rPr>
          <w:rtl w:val="true"/>
        </w:rPr>
        <w:t>أ</w:t>
      </w:r>
      <w:r>
        <w:rPr>
          <w:rtl w:val="true"/>
        </w:rPr>
        <w:t xml:space="preserve">. </w:t>
      </w:r>
      <w:r>
        <w:rPr>
          <w:rtl w:val="true"/>
        </w:rPr>
        <w:t>أثر نقص الاستقراء في المفردات</w:t>
      </w:r>
      <w:r>
        <w:rPr>
          <w:rtl w:val="true"/>
        </w:rPr>
        <w:t>:</w:t>
      </w:r>
      <w:bookmarkEnd w:id="45"/>
    </w:p>
    <w:p>
      <w:pPr>
        <w:pStyle w:val="BookText"/>
        <w:rPr/>
      </w:pPr>
      <w:r>
        <w:rPr>
          <w:rFonts w:ascii="Amiri" w:hAnsi="Amiri" w:eastAsia="Amiri" w:cs="Amiri"/>
          <w:color w:val="111111"/>
          <w:sz w:val="28"/>
          <w:sz w:val="28"/>
          <w:szCs w:val="28"/>
          <w:rtl w:val="true"/>
          <w:lang w:bidi="ar-SA"/>
        </w:rPr>
        <w:t xml:space="preserve">مما يُستدرك على علماء العربية في الأبنية ما جاء في باب التصغیر، فقد أجمعوا على أنَّ أبنية التصغیر ثلاثة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 وفُعَيْعِل، وفُعَيْعِيل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تتجاوز ذلك،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التصغیر إنما هو في الكلام على ثلاثة 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 وفُعَيْعِل، وفُعَيْعيل</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من ثمار تحقيق الأُستاذ عبد السلام هارون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عثوره على صيغة رابعة للتصغیر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استنادًا إلى نص ابن دريد الذي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الذي له شامةٌ في أيِّ موضع من جسده، والأنثى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شِيم</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2958260_372815092"/>
      <w:bookmarkStart w:id="47" w:name="_Toc16"/>
      <w:bookmarkEnd w:id="46"/>
      <w:r>
        <w:rPr>
          <w:rtl w:val="true"/>
        </w:rPr>
        <w:t>ب</w:t>
      </w:r>
      <w:r>
        <w:rPr>
          <w:rtl w:val="true"/>
        </w:rPr>
        <w:t xml:space="preserve">- </w:t>
      </w:r>
      <w:r>
        <w:rPr>
          <w:rtl w:val="true"/>
        </w:rPr>
        <w:t>أثر نقص الاستقراء في التراكيب</w:t>
      </w:r>
      <w:r>
        <w:rPr>
          <w:rtl w:val="true"/>
        </w:rPr>
        <w:t>:</w:t>
      </w:r>
      <w:bookmarkEnd w:id="4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نقص الاستقراء مقصورًا على الأبنية والمفردات فحسب، بل شمل الأساليب النحوية أيضًا، من ذلك ما ذكره سيبويه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باسم، ولكنَّه حرف يجر ما بعده كما تجر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بعدها، وفيه معنى الاستثناء</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 وقد اعترض قسم من النحويین على رأي سيبويه هذا، منهم ابن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حرفًا جارًا هو المشهور، </w:t>
      </w:r>
    </w:p>
    <w:p>
      <w:pPr>
        <w:pStyle w:val="BookText"/>
        <w:rPr/>
      </w:pPr>
      <w:r>
        <w:rPr>
          <w:rFonts w:ascii="Amiri" w:hAnsi="Amiri" w:eastAsia="Amiri" w:cs="Amiri"/>
          <w:color w:val="111111"/>
          <w:sz w:val="28"/>
          <w:sz w:val="28"/>
          <w:szCs w:val="28"/>
          <w:rtl w:val="true"/>
          <w:lang w:bidi="ar-SA"/>
        </w:rPr>
        <w:t>ولذلك لم يتعرَّض سيبويه لفعليتها والنصب بها، إلا أن ذلك ثابت بالنقل الصحيح عمن يُوثَق بعربيته</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وهذا ما أكَّده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معتذِرًا لسيبويه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والعذر لسيبويه أنَّه لم يحفظ النصب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المسائل أيضًا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حرف التعريف، فقد عدَّ ابنُ عصفور هذا الحذف من الضرورات الشعرية</w:t>
      </w:r>
      <w:r>
        <w:rPr>
          <w:rStyle w:val="FootnoteAnchor"/>
          <w:rtl w:val="true"/>
        </w:rPr>
        <w:footnoteReference w:id="56"/>
      </w:r>
      <w:r>
        <w:rPr>
          <w:rFonts w:ascii="IRNazanin" w:hAnsi="IRNazanin" w:eastAsia="IRNazanin"/>
          <w:color w:val="111111"/>
          <w:sz w:val="28"/>
          <w:sz w:val="28"/>
          <w:szCs w:val="28"/>
          <w:rtl w:val="true"/>
          <w:lang w:bidi="fa-IR"/>
        </w:rPr>
        <w:t>، على حین ذهب ابن مالك إلى عدم جوازه، لأنَّه قليلٌ بحسب مقتضى كلامه</w:t>
      </w:r>
      <w:r>
        <w:rPr>
          <w:rStyle w:val="FootnoteAnchor"/>
          <w:rtl w:val="true"/>
        </w:rPr>
        <w:footnoteReference w:id="57"/>
      </w:r>
      <w:r>
        <w:rPr>
          <w:rFonts w:ascii="Amiri" w:hAnsi="Amiri" w:eastAsia="Amiri" w:cs="Amiri"/>
          <w:color w:val="111111"/>
          <w:sz w:val="28"/>
          <w:sz w:val="28"/>
          <w:szCs w:val="28"/>
          <w:rtl w:val="true"/>
          <w:lang w:bidi="ar-SA"/>
        </w:rPr>
        <w:t xml:space="preserve">، وقد رفض أبو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رأيَهما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عندي في سعة الكلام، وليس بقليل، ولا مخصوصًا بالضرورة، خلافًا لزاعميها</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وهذا ما صرَّح به السيوطيُّ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تتبَّعنا دواوينَ العربِ لاجتمعَ من ذلك شيءٌ كثیرٌ، فكيف يُعل قليلاً أو ضرورةً، بل هو كثیرٌ، ويجوز في سَعة الكلام</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وما هذا إلاَّ دليلٌ على أنَّ الاستقراءَ الناقص أحدُ أسباب اضطراب هذا المبدإ عندهم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الشواهد وسواها تدل بلا شك أو ريب أنَّ استقراء النحويین لم يكن تامًا، بل صاحبَهُ النقص في جزء منه؛ لذا احتاجوا إلى التأويل والتقدير </w:t>
      </w:r>
      <w:bookmarkStart w:id="48" w:name="pg7031_80718"/>
    </w:p>
    <w:p>
      <w:pPr>
        <w:pStyle w:val="BookText"/>
        <w:rPr/>
      </w:pPr>
      <w:bookmarkEnd w:id="48"/>
      <w:r>
        <w:rPr>
          <w:rFonts w:ascii="Amiri" w:hAnsi="Amiri" w:eastAsia="Amiri" w:cs="Amiri"/>
          <w:color w:val="111111"/>
          <w:sz w:val="28"/>
          <w:sz w:val="28"/>
          <w:szCs w:val="28"/>
          <w:rtl w:val="true"/>
          <w:lang w:bidi="ar-SA"/>
        </w:rPr>
        <w:t>كي يُصححوا ما وضعوه من ضوابط وقواعد، وقد يُعزى ذلك إلى أنَّ سعيَهم وراء المنابع الأصيلة لكلام العرب جعلهم يتحرّون الدقة والوثاقة والضبط فيمن يأخذون عنه، وهو مبدأ حسن يُحسب لهم، لكنّه أدّى إلى الابتعاد عن بعض كلام العرب بحجج شتى، فمها لا يقبل الجدال أنَّ العربية ليست محصورة بما نصَّ عليه النحويون من قبائل أو أماكن، ولهذا لا يمكن الاعتماد على أعراب بيئات معينة دون أُخر</w:t>
      </w:r>
      <w:r>
        <w:rPr>
          <w:rStyle w:val="FootnoteAnchor"/>
          <w:rtl w:val="true"/>
        </w:rPr>
        <w:footnoteReference w:id="60"/>
      </w:r>
      <w:r>
        <w:rPr>
          <w:rFonts w:ascii="IRNazanin" w:hAnsi="IRNazanin" w:eastAsia="IRNazanin"/>
          <w:color w:val="111111"/>
          <w:sz w:val="28"/>
          <w:sz w:val="28"/>
          <w:szCs w:val="28"/>
          <w:rtl w:val="true"/>
          <w:lang w:bidi="fa-IR"/>
        </w:rPr>
        <w:t>، فالعبرة بصحة ثبوت الشاهد في المسموع الفصيح، زيادة على ذلك رغبتهم في الوصول إلى كلِّ مظاهر اللغة وصورها واستعمالاتها، وهو متعذّر وصعب أدى إلى عدم إفادة اللغة من الكثیر من النصوص الفصيحة لسَعة العربية وامتداها، أو بسبب يعود للراوي أو لظروف أُخر</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2958262_372815092"/>
      <w:bookmarkStart w:id="50" w:name="_Toc17"/>
      <w:bookmarkEnd w:id="49"/>
      <w:r>
        <w:rPr>
          <w:rtl w:val="true"/>
        </w:rPr>
        <w:t>ثانيًا</w:t>
      </w:r>
      <w:r>
        <w:rPr>
          <w:rtl w:val="true"/>
        </w:rPr>
        <w:t xml:space="preserve">: </w:t>
      </w:r>
      <w:r>
        <w:rPr>
          <w:rtl w:val="true"/>
        </w:rPr>
        <w:t>الاعتماد على الشِّعر أكثر من النثر في الاستشهاد</w:t>
      </w:r>
      <w:r>
        <w:rPr>
          <w:rtl w:val="true"/>
        </w:rPr>
        <w:t>:</w:t>
      </w:r>
      <w:bookmarkEnd w:id="50"/>
    </w:p>
    <w:p>
      <w:pPr>
        <w:pStyle w:val="BookText"/>
        <w:rPr/>
      </w:pPr>
      <w:r>
        <w:rPr>
          <w:rFonts w:ascii="IRNazanin" w:hAnsi="IRNazanin" w:eastAsia="IRNazanin"/>
          <w:color w:val="111111"/>
          <w:sz w:val="28"/>
          <w:sz w:val="28"/>
          <w:szCs w:val="28"/>
          <w:rtl w:val="true"/>
          <w:lang w:bidi="fa-IR"/>
        </w:rPr>
        <w:t xml:space="preserve">حدَّ السيوطي ما يصح الاستشهاد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ثبت في كلام من يُوثَق بفصاحته فشمل كلام الله تعالى وهو القرآن، وكلام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وكلام العرب قبل بعثته وفي زمنه وبعده إلى أنْ فسدت الألسنة بكثرة المولَّدين نظماً ونثرًا عن مسلم أو كافر، فهذه ثلاثة أنواع لا بد في كلٍّ منها من الثبوت</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سبقت الإشارة إلى أنَّ الشواهد هي حجة النحوي في إثبات القواعد والتدليل عليها، ولأهميتها في الدرس النحوي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 في علم النحو هو النحو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نشأة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بيْدَ أنَّ النحويین كانوا أكثر احتفالًا بالشعر واعتمادًا عليه، </w:t>
      </w:r>
    </w:p>
    <w:p>
      <w:pPr>
        <w:pStyle w:val="BookText"/>
        <w:rPr/>
      </w:pPr>
      <w:r>
        <w:rPr>
          <w:rFonts w:ascii="Amiri" w:hAnsi="Amiri" w:eastAsia="Amiri" w:cs="Amiri"/>
          <w:color w:val="111111"/>
          <w:sz w:val="28"/>
          <w:sz w:val="28"/>
          <w:szCs w:val="28"/>
          <w:rtl w:val="true"/>
          <w:lang w:bidi="ar-SA"/>
        </w:rPr>
        <w:t>فمثَّلت شواهده معظم حديثهم إذا ما قِيستْ بمصادر الاستشهاد النثرية الأُخرى</w:t>
      </w:r>
      <w:r>
        <w:rPr>
          <w:rStyle w:val="FootnoteAnchor"/>
          <w:rtl w:val="true"/>
        </w:rPr>
        <w:footnoteReference w:id="63"/>
      </w:r>
      <w:r>
        <w:rPr>
          <w:rFonts w:ascii="IRNazanin" w:hAnsi="IRNazanin" w:eastAsia="IRNazanin"/>
          <w:color w:val="111111"/>
          <w:sz w:val="28"/>
          <w:sz w:val="28"/>
          <w:szCs w:val="28"/>
          <w:rtl w:val="true"/>
          <w:lang w:bidi="fa-IR"/>
        </w:rPr>
        <w:t>، فكتاب سيبويه قد ضمَّ ألفًا وخمسین شاهدًا شعريًّا، ونقل عن أربعمئة آية قرآنية</w:t>
      </w:r>
      <w:r>
        <w:rPr>
          <w:rStyle w:val="FootnoteAnchor"/>
          <w:rtl w:val="true"/>
        </w:rPr>
        <w:footnoteReference w:id="64"/>
      </w:r>
      <w:r>
        <w:rPr>
          <w:rFonts w:ascii="IRNazanin" w:hAnsi="IRNazanin" w:eastAsia="IRNazanin"/>
          <w:color w:val="111111"/>
          <w:sz w:val="28"/>
          <w:sz w:val="28"/>
          <w:szCs w:val="28"/>
          <w:rtl w:val="true"/>
          <w:lang w:bidi="fa-IR"/>
        </w:rPr>
        <w:t xml:space="preserve">، وهو عدد قليل موازنة بالشعر، وبلغت الشواهد الشعرية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خمسمئة وواحدًا وستين شاهدًا شعريًّا، على حین كانت شواهده القرآنيّة أقلَّ من ذلك</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وعلى الرغم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موضع اضطرار، وموقف اعتذار، وكثیرًا ما يُحرَّف فيه الكلم عن أبنيته وتُحال فيه المُثل عن أوضاع صِيَغِها لأجله</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 xml:space="preserve">، نجد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تنصرف عند ذكرها إلا إلى الشاهد الشعري</w:t>
      </w:r>
      <w:r>
        <w:rPr>
          <w:rStyle w:val="FootnoteAnchor"/>
          <w:rtl w:val="true"/>
        </w:rPr>
        <w:footnoteReference w:id="67"/>
      </w:r>
      <w:r>
        <w:rPr>
          <w:rFonts w:ascii="Amiri" w:hAnsi="Amiri" w:eastAsia="Amiri" w:cs="Amiri"/>
          <w:color w:val="111111"/>
          <w:sz w:val="28"/>
          <w:sz w:val="28"/>
          <w:szCs w:val="28"/>
          <w:rtl w:val="true"/>
          <w:lang w:bidi="ar-SA"/>
        </w:rPr>
        <w:t>، وهذا يعكس عناية علماء العربية بالشعر، وقد أورد الباحثون أسباب ذلك، أذكر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العظيمة للشعر عند العرب في عصر ما قبل الاسلام والعصر الإسلامي، فقد كانوا ينشدونه في محافلهم ومناسباتهم قبل مجيء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هذا أنَّ القبائل كانت تتبادل التهاني إذا نبغ فيهم شاعر، ولما جاء الإسلام ظلوا يتناشدونه حتى في المساجد، وبدؤوا يفسرِّون به الغامض من ألفاظ القرآن الكريم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النثر الذي وصل إلى النحويین من عصر ما قبل الإسلام بالقياس إلى الشعر؛ إذ لم يُؤثَرْ عن الجاهليین نصوص نثرية كثیرة كما هو الحال في الشعر</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النحويون نظرةً تقربُ من التقديس إلى الشعراء الذين يُعتدُّ برواية شعرهم وكان كلُّ ما يقولونه يعدُّ عندهم حجة</w:t>
      </w:r>
      <w:r>
        <w:rPr>
          <w:rStyle w:val="FootnoteAnchor"/>
          <w:rtl w:val="true"/>
        </w:rPr>
        <w:footnoteReference w:id="70"/>
      </w:r>
      <w:r>
        <w:rPr>
          <w:rFonts w:ascii="Amiri" w:hAnsi="Amiri" w:eastAsia="Amiri" w:cs="Amiri"/>
          <w:color w:val="111111"/>
          <w:sz w:val="28"/>
          <w:sz w:val="28"/>
          <w:szCs w:val="28"/>
          <w:rtl w:val="true"/>
          <w:lang w:bidi="ar-SA"/>
        </w:rPr>
        <w:t>، إذ كان حفظُ الشعر ميدانًا للتباري والتسابق فيما بينهم في شرح الشواهد الشعرية، ولهذا كلِّه إنِ انحرف هذا الشعر عن القواعد النحوية كثرت التخريجات والتأويلات له من دون أن يُرمى قائله باللحن أو الخطأ</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عوّل النحويون على الشعر كثیرًا ظنًا منهم أنَّ روايته أدق من رواية النثر، وأن احتمال التغیير والتبديل فيه أقل من النثر</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ولستُ ههنا في مَقام مناقشة تلك الأسباب وتقرير القول فيها رفضًا أو قبولًا، لكن الذي ينبغي أنْ يُذكرَ في هذا المجال أنَّ الشعر يعتمد في الأَساس على المعنى والوزن الخاص به، والمعنى هو الذي يقتضي القرينة ويختار التركيب المناسب لها، وليس العكس، ومن هنا أصبح الخروج عن قواعد النحويین سمةً بارزة فيه</w:t>
      </w:r>
      <w:r>
        <w:rPr>
          <w:rStyle w:val="FootnoteAnchor"/>
          <w:rtl w:val="true"/>
        </w:rPr>
        <w:footnoteReference w:id="73"/>
      </w:r>
      <w:r>
        <w:rPr>
          <w:rFonts w:ascii="Amiri" w:hAnsi="Amiri" w:eastAsia="Amiri" w:cs="Amiri"/>
          <w:color w:val="111111"/>
          <w:sz w:val="28"/>
          <w:sz w:val="28"/>
          <w:szCs w:val="28"/>
          <w:rtl w:val="true"/>
          <w:lang w:bidi="ar-SA"/>
        </w:rPr>
        <w:t>، هذا زيادة على أنَّ الشاعر إنما يدفعه الى نظم الشعر الانفعال غالبًا، ولهذا ليس من الممكن وضع قواعد محددة يُراد لها الاطّراد والشيوع للغة انفعالية</w:t>
      </w:r>
      <w:r>
        <w:rPr>
          <w:rStyle w:val="FootnoteAnchor"/>
          <w:rtl w:val="true"/>
        </w:rPr>
        <w:footnoteReference w:id="74"/>
      </w:r>
      <w:r>
        <w:rPr>
          <w:rFonts w:ascii="Amiri" w:hAnsi="Amiri" w:eastAsia="Amiri" w:cs="Amiri"/>
          <w:color w:val="111111"/>
          <w:sz w:val="28"/>
          <w:sz w:val="28"/>
          <w:szCs w:val="28"/>
          <w:rtl w:val="true"/>
          <w:lang w:bidi="ar-SA"/>
        </w:rPr>
        <w:t xml:space="preserve">، وليس من الصواب أنْ يكون الشعرُ المصدرَ الرئيسَ الذي تُستنبَط منه قواعد </w:t>
      </w:r>
      <w:bookmarkStart w:id="51" w:name="pg7031_80724"/>
    </w:p>
    <w:p>
      <w:pPr>
        <w:pStyle w:val="BookText"/>
        <w:rPr/>
      </w:pPr>
      <w:bookmarkEnd w:id="51"/>
      <w:r>
        <w:rPr>
          <w:rFonts w:ascii="Amiri" w:hAnsi="Amiri" w:eastAsia="Amiri" w:cs="Amiri"/>
          <w:color w:val="111111"/>
          <w:sz w:val="28"/>
          <w:sz w:val="28"/>
          <w:szCs w:val="28"/>
          <w:rtl w:val="true"/>
          <w:lang w:bidi="ar-SA"/>
        </w:rPr>
        <w:t>لغة من اللغات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ما تقدَّم أنَّ الشعر قد احتل مكانة واسعة في التراث العربي، ومن هنا ركز النحويون في الاستشهاد به أكثر من مصادر النثر الأخرى وإن خرج في تراكيبه عن قواعد النحو العربي المستلة من أدلة الاستشهاد النثرية تلك، وهذا أمر أدّى إلى كثرة الضرورات الشعرية على الرغم من ورود شواهد نثرية تُثبت أنَّ الحكم بالضرورة إنما استند إلى استقراء ناقص</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2958264_372815092"/>
      <w:bookmarkStart w:id="53" w:name="_Toc18"/>
      <w:bookmarkEnd w:id="52"/>
      <w:r>
        <w:rPr>
          <w:rtl w:val="true"/>
        </w:rPr>
        <w:t>ثالثًا</w:t>
      </w:r>
      <w:r>
        <w:rPr>
          <w:rtl w:val="true"/>
        </w:rPr>
        <w:t xml:space="preserve">: </w:t>
      </w:r>
      <w:r>
        <w:rPr>
          <w:rtl w:val="true"/>
        </w:rPr>
        <w:t xml:space="preserve">الاختلاف المنهجي في </w:t>
      </w:r>
      <w:r>
        <w:rPr>
          <w:rtl w:val="true"/>
        </w:rPr>
        <w:t>(</w:t>
      </w:r>
      <w:r>
        <w:rPr>
          <w:rtl w:val="true"/>
        </w:rPr>
        <w:t>السماع</w:t>
      </w:r>
      <w:r>
        <w:rPr>
          <w:rtl w:val="true"/>
        </w:rPr>
        <w:t xml:space="preserve">) </w:t>
      </w:r>
      <w:r>
        <w:rPr>
          <w:rtl w:val="true"/>
        </w:rPr>
        <w:t>بين مدرسَتَی البصرة والكوفة</w:t>
      </w:r>
      <w:r>
        <w:rPr>
          <w:rtl w:val="true"/>
        </w:rPr>
        <w:t>:</w:t>
      </w:r>
      <w:bookmarkEnd w:id="53"/>
    </w:p>
    <w:p>
      <w:pPr>
        <w:pStyle w:val="BookText"/>
        <w:rPr/>
      </w:pPr>
      <w:r>
        <w:rPr>
          <w:rFonts w:ascii="IRNazanin" w:hAnsi="IRNazanin" w:eastAsia="IRNazanin"/>
          <w:color w:val="111111"/>
          <w:sz w:val="28"/>
          <w:sz w:val="28"/>
          <w:szCs w:val="28"/>
          <w:rtl w:val="true"/>
          <w:lang w:bidi="fa-IR"/>
        </w:rPr>
        <w:t>من المقرَّر الثابت لدى أغلب الدارسین وجود اختلاف منهجي بین مذهبَي البصرة والكوفة في الركن الأهم من أركان استنباط القواعد النحوية وتفسیرها وهو السماع، وأوجه هذا الخلاف كثیرة ومتشعبة يهمني منها ما يتعلَّق بمصادر هذا السماع أو أدلته التي حددها النحويون بالقرآن الكريم وقراءاته والحديث النبوي الشريف وكلام العرب شعرًا ونثرًا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القرآن الكريم فرؤية النحويین تجاهه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اختلاف مذاهبهم النحوية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الاحتجاج به وبألفاظه في بناء القواعد النحوية والصرفية مستعينين بذلك بما وثَّقوه من المسموع من كلام العرب، على أنَّ البصريین اعتزّوا بأقيستهم التي بنوها على الشعر والنثر، فا يستشهدون بآية إلا إذا تأيَّدت بالمسموع نظماً أو نثرًا وإلا عمدوا الى التأويل والتقدير، على حین أنّ احتجاج الكوفيین بالقرآن الكريم </w:t>
      </w:r>
    </w:p>
    <w:p>
      <w:pPr>
        <w:pStyle w:val="BookText"/>
        <w:rPr/>
      </w:pPr>
      <w:r>
        <w:rPr>
          <w:rFonts w:ascii="Amiri" w:hAnsi="Amiri" w:eastAsia="Amiri" w:cs="Amiri"/>
          <w:color w:val="111111"/>
          <w:sz w:val="28"/>
          <w:sz w:val="28"/>
          <w:szCs w:val="28"/>
          <w:rtl w:val="true"/>
          <w:lang w:bidi="ar-SA"/>
        </w:rPr>
        <w:t>أكثر وأوسع</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خديجة الحديثي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القراءات القرآنية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المصدر المهم من مصادر الشواهد النحوية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 الخلاف بین المذهبین في جواز الاحتجاج بها في بناء قواعد العربية، فعامة أهل البصرة يستدلون بها إذا جاءت موافقةً لدليلٍ مسموع، أو متسقةً مع قياس موضوع</w:t>
      </w:r>
      <w:r>
        <w:rPr>
          <w:rStyle w:val="FootnoteAnchor"/>
          <w:rtl w:val="true"/>
        </w:rPr>
        <w:footnoteReference w:id="78"/>
      </w:r>
      <w:r>
        <w:rPr>
          <w:rFonts w:ascii="IRNazanin" w:hAnsi="IRNazanin" w:eastAsia="IRNazanin"/>
          <w:color w:val="111111"/>
          <w:sz w:val="28"/>
          <w:sz w:val="28"/>
          <w:szCs w:val="28"/>
          <w:rtl w:val="true"/>
          <w:lang w:bidi="fa-IR"/>
        </w:rPr>
        <w:t>، بخلاف الكوفيین الذين اعتدُّوا بها وجعلوها ركنًا أساسيًا في بناء القواعد وتعديلها</w:t>
      </w:r>
      <w:r>
        <w:rPr>
          <w:rStyle w:val="FootnoteAnchor"/>
          <w:rtl w:val="true"/>
        </w:rPr>
        <w:footnoteReference w:id="79"/>
      </w:r>
      <w:r>
        <w:rPr>
          <w:rFonts w:ascii="IRNazanin" w:hAnsi="IRNazanin" w:eastAsia="IRNazanin"/>
          <w:color w:val="111111"/>
          <w:sz w:val="28"/>
          <w:sz w:val="28"/>
          <w:szCs w:val="28"/>
          <w:rtl w:val="true"/>
          <w:lang w:bidi="fa-IR"/>
        </w:rPr>
        <w:t xml:space="preserve">، وقد أسفر عدم الاعتماد عليها عن حرمان النحو من رافد كبیر للشواهد النحوية، الاستدلال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يُغني اللغة إذ يمدُّها بفيض غزير من الاستعمالات وبمختلف الأساليب؛ لعلاقتها الوثيقة باللهجات العربية</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 وعدم الاعتداد بذلك يؤدي إلى نقص الاستقراء في مسائل متعددة من ذلك مثلاً مسألة حذف العائد على الاسم الموصول، فقد ذهب البصريون إلى جواز حذف العائِد على الموصول 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وإلّا أجازوا حذفَه بشرط طول الصلة على القبح أو الشذوذ، أمَّا الكوفيون فقد ذهبوا الى جواز حذف هذا العائد مطلقًا سواء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غیره طاَلت الصلة أم لم تطل</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واستدل ابن مالك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تَمَامًا عَلَى الَّذِي أَحْسَنَ</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 في قراءة الرفع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أحمد محمد شاكر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والمحتسب في تبيین وجوه شواذ القراءات والإيضاح عنها، ابن جني،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النجدي ناصف وآخرينِ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ومعجم القراءات،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اللطيف الخطيب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p>
    <w:p>
      <w:pPr>
        <w:pStyle w:val="BookText"/>
        <w:rPr/>
      </w:pPr>
      <w:r>
        <w:rPr>
          <w:rFonts w:ascii="Amiri" w:hAnsi="Amiri" w:eastAsia="Amiri" w:cs="Amiri"/>
          <w:color w:val="111111"/>
          <w:sz w:val="28"/>
          <w:sz w:val="28"/>
          <w:szCs w:val="28"/>
          <w:rtl w:val="true"/>
          <w:lang w:bidi="ar-SA"/>
        </w:rPr>
        <w:t>فأجاز حذف العائد من دون اشتراط طول الصلة، محتجًا لرأيه بشواهد أُخر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عن الكثیر من الموارد التي رفدت بها القراءات القرآنية النحو العربي بكثیر من القواعد، كما أسهمت في معالجة نقص استقراء النحويین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الحديث الشريف فمذاهب النحويین في جواز الاحتجاج به معلومة، فمنهم من أجاز، ومنهم من منع، ومنهم من التزم المذهب الوسط</w:t>
      </w:r>
      <w:r>
        <w:rPr>
          <w:rStyle w:val="FootnoteAnchor"/>
          <w:rtl w:val="true"/>
        </w:rPr>
        <w:footnoteReference w:id="84"/>
      </w:r>
      <w:r>
        <w:rPr>
          <w:rFonts w:ascii="IRNazanin" w:hAnsi="IRNazanin" w:eastAsia="IRNazanin"/>
          <w:color w:val="111111"/>
          <w:sz w:val="28"/>
          <w:sz w:val="28"/>
          <w:szCs w:val="28"/>
          <w:rtl w:val="true"/>
          <w:lang w:bidi="fa-IR"/>
        </w:rPr>
        <w:t>، ولستُ أدري ما تعليل مَن منع الاحتجاج به بحجة روايته بالمعنى مع أن كثیرًا من الأحاديث دُوِّنت قبل أنْ يُدوَّن الشعر العربي المتفق على الاحتجاج بهِ، والحديث هو نثر ليس فيه من ضرورات الشعر فكان يجب أنْ يقدَّم في الاحتجاج على غیرهِ</w:t>
      </w:r>
      <w:r>
        <w:rPr>
          <w:rStyle w:val="FootnoteAnchor"/>
          <w:rtl w:val="true"/>
        </w:rPr>
        <w:footnoteReference w:id="85"/>
      </w:r>
      <w:r>
        <w:rPr>
          <w:rFonts w:ascii="Amiri" w:hAnsi="Amiri" w:eastAsia="Amiri" w:cs="Amiri"/>
          <w:color w:val="111111"/>
          <w:sz w:val="28"/>
          <w:sz w:val="28"/>
          <w:szCs w:val="28"/>
          <w:rtl w:val="true"/>
          <w:lang w:bidi="ar-SA"/>
        </w:rPr>
        <w:t>، و لهذا فإنَّ المذهب الصحيح أن يُحتَج به وهذا ما عليه العلماء الأوائل وإن كان على قلة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شك في أنّ مَن تبنّى مذهب المنع قد أغفلَ الكثیر من الشواهد التي لها أثرٌ </w:t>
      </w:r>
    </w:p>
    <w:p>
      <w:pPr>
        <w:pStyle w:val="BookText"/>
        <w:rPr/>
      </w:pPr>
      <w:r>
        <w:rPr>
          <w:rFonts w:ascii="Amiri" w:hAnsi="Amiri" w:eastAsia="Amiri" w:cs="Amiri"/>
          <w:color w:val="111111"/>
          <w:sz w:val="28"/>
          <w:sz w:val="28"/>
          <w:szCs w:val="28"/>
          <w:rtl w:val="true"/>
          <w:lang w:bidi="ar-SA"/>
        </w:rPr>
        <w:t>بالغ الأهمية في التقعيد النحوي استطاع ابن مالك الاحتجاج بها في الردِّ على ما لم يذكره النحويون، فهو بحق كما قال السيوطي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أمة في الاطِّلاع على الحديث</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والشواهد التي احتج بها كثیرة منها جواز ورود فعل الشرط مضارعًا مجزومًا والجواب ماضيًا</w:t>
      </w:r>
      <w:r>
        <w:rPr>
          <w:rStyle w:val="FootnoteAnchor"/>
          <w:rtl w:val="true"/>
        </w:rPr>
        <w:footnoteReference w:id="88"/>
      </w:r>
      <w:r>
        <w:rPr>
          <w:rFonts w:ascii="Amiri" w:hAnsi="Amiri" w:eastAsia="Amiri" w:cs="Amiri"/>
          <w:color w:val="111111"/>
          <w:sz w:val="28"/>
          <w:sz w:val="28"/>
          <w:szCs w:val="28"/>
          <w:rtl w:val="true"/>
          <w:lang w:bidi="ar-SA"/>
        </w:rPr>
        <w:t xml:space="preserve">استنادًا إلى قول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يقُمْ ليلةَ القدرِ، إيمانًا واحتسابًا، غُفِرَ له ما تقدَّم مِن ذَنبِه</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على حین رأى جملة من متأخري النحويين أن هذا التركيب محمول على الضرورة الشعرية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المقاصد والمسالك بشرح ألفية ابن مالك، المرادي، شرح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علي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 وشرح التصريح على التوضيح أو التصريح بمضمون التوضيح في النحو، الأزهري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وهمع الهوامع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كما احتج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يقرب من ثلاثین موضعًا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ما تقدَّم أنَّ موقف النحويین من بعض أدّلة الاستشهاد أدّى إلى عدم الإفادة منها في التقعيد النحوي، يُزاد على ذلك عدم إمكانية الإحاطة بكلام العرب أسهم كثیرًا في نقص الاستقراء</w:t>
      </w:r>
      <w:r>
        <w:rPr>
          <w:rFonts w:eastAsia="IRNazanin" w:cs="IRNazanin"/>
          <w:color w:val="111111"/>
          <w:sz w:val="28"/>
          <w:szCs w:val="28"/>
          <w:rtl w:val="true"/>
          <w:lang w:bidi="fa-IR"/>
        </w:rPr>
        <w:t xml:space="preserve">. </w:t>
      </w:r>
      <w:bookmarkStart w:id="54" w:name="pg7031_80732"/>
    </w:p>
    <w:p>
      <w:pPr>
        <w:pStyle w:val="Heading3"/>
        <w:numPr>
          <w:ilvl w:val="2"/>
          <w:numId w:val="1"/>
        </w:numPr>
        <w:rPr/>
      </w:pPr>
      <w:bookmarkStart w:id="55" w:name="__RefHeading___Toc2958266_372815092"/>
      <w:bookmarkStart w:id="56" w:name="_Toc19"/>
      <w:bookmarkEnd w:id="54"/>
      <w:bookmarkEnd w:id="55"/>
      <w:r>
        <w:rPr>
          <w:rtl w:val="true"/>
        </w:rPr>
        <w:t>المطلب السادس</w:t>
      </w:r>
      <w:r>
        <w:rPr>
          <w:rtl w:val="true"/>
        </w:rPr>
        <w:t xml:space="preserve">: </w:t>
      </w:r>
      <w:r>
        <w:rPr>
          <w:rtl w:val="true"/>
        </w:rPr>
        <w:t xml:space="preserve">أهمیة کلام الإمام علی </w:t>
      </w:r>
      <w:r>
        <w:rPr>
          <w:rtl w:val="true"/>
        </w:rPr>
        <w:t>(</w:t>
      </w:r>
      <w:r>
        <w:rPr>
          <w:rtl w:val="true"/>
        </w:rPr>
        <w:t>علیه السلام</w:t>
      </w:r>
      <w:r>
        <w:rPr>
          <w:rtl w:val="true"/>
        </w:rPr>
        <w:t xml:space="preserve">) </w:t>
      </w:r>
      <w:r>
        <w:rPr>
          <w:rtl w:val="true"/>
        </w:rPr>
        <w:t>فی معالجة نقص الستقراء</w:t>
      </w:r>
      <w:r>
        <w:rPr>
          <w:rtl w:val="true"/>
        </w:rPr>
        <w:t>:</w:t>
      </w:r>
      <w:bookmarkEnd w:id="56"/>
    </w:p>
    <w:p>
      <w:pPr>
        <w:pStyle w:val="Heading4"/>
        <w:numPr>
          <w:ilvl w:val="3"/>
          <w:numId w:val="1"/>
        </w:numPr>
        <w:rPr/>
      </w:pPr>
      <w:bookmarkStart w:id="57" w:name="__RefHeading___Toc2958268_372815092"/>
      <w:bookmarkStart w:id="58" w:name="_Toc20"/>
      <w:bookmarkEnd w:id="57"/>
      <w:r>
        <w:rPr>
          <w:rtl w:val="true"/>
        </w:rPr>
        <w:t>اشارة</w:t>
      </w:r>
      <w:bookmarkEnd w:id="58"/>
    </w:p>
    <w:p>
      <w:pPr>
        <w:pStyle w:val="BookText"/>
        <w:rPr/>
      </w:pPr>
      <w:r>
        <w:rPr>
          <w:rFonts w:ascii="IRNazanin" w:hAnsi="IRNazanin" w:eastAsia="IRNazanin"/>
          <w:color w:val="111111"/>
          <w:sz w:val="28"/>
          <w:sz w:val="28"/>
          <w:szCs w:val="28"/>
          <w:rtl w:val="true"/>
          <w:lang w:bidi="fa-IR"/>
        </w:rPr>
        <w:t>لا أبدو مغاليًا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تحيط بأسراره الكلمات، أو تفي بسبر مكنوناته الصفحات، فأمیر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مَشرع الفصاحة و موردها و منشأ البلاغة و مولدها،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مكنونها وعنه أخذت قوانينها</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 على أنَّ تمام التمهيد يُملي عليَّ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بإيجاز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انعقدت الدراسة في كلامه المبارك، وعن أثر نصوصه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تصويب ما وقع به النحو العربي من خلل بسبب نقص الاستقراء، ومن أجل الوقوف على ذلك لابد لي من عرض مقتضَب لأهم الأحكام النحوية التي تأثرت بهذا النقص ذاكرًا في كلِّ حكم شاهدًا علَويًا لبيان أهمية كلامه في بناء القواعد النحوية، وكما يأتي</w:t>
      </w:r>
      <w:r>
        <w:rPr>
          <w:rFonts w:eastAsia="IRNazanin" w:cs="IRNazanin"/>
          <w:color w:val="111111"/>
          <w:sz w:val="28"/>
          <w:szCs w:val="28"/>
          <w:rtl w:val="true"/>
          <w:lang w:bidi="fa-IR"/>
        </w:rPr>
        <w:t>:</w:t>
      </w:r>
    </w:p>
    <w:p>
      <w:pPr>
        <w:pStyle w:val="Heading4"/>
        <w:numPr>
          <w:ilvl w:val="3"/>
          <w:numId w:val="1"/>
        </w:numPr>
        <w:rPr/>
      </w:pPr>
      <w:bookmarkStart w:id="59" w:name="__RefHeading___Toc2958270_372815092"/>
      <w:bookmarkStart w:id="60" w:name="_Toc21"/>
      <w:bookmarkEnd w:id="59"/>
      <w:r>
        <w:rPr/>
        <w:t>1</w:t>
      </w:r>
      <w:r>
        <w:rPr>
          <w:rtl w:val="true"/>
        </w:rPr>
        <w:t xml:space="preserve">. </w:t>
      </w:r>
      <w:r>
        <w:rPr>
          <w:rtl w:val="true"/>
        </w:rPr>
        <w:t>الحكم بالمنع</w:t>
      </w:r>
      <w:r>
        <w:rPr>
          <w:rtl w:val="true"/>
        </w:rPr>
        <w:t>:</w:t>
      </w:r>
      <w:bookmarkEnd w:id="6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منعَ سيبويه اجتماع فاعل فعل المدح والتمييز في تركيب واحد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مرة عاملة في مضمَر يفسرّه ما بعده، فتكون هي وهو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 ومثله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يعملان في الذي فسَّر المضمر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مثله عبدًا، وتكون مرة أُخرى تعمل في مظهر لا تجاوزه</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 xml:space="preserve">، فسيبويه يرى بحسب هذا النص أنّ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يكون مستترًا يفسرّه التمييز بعده، نحو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رجلا زيدٌ، حاملاً ذلك على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وَيْحهُ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مما يلزمه التفسیر بالتمييز، أو يرفع فاعلاً ظاهرًا وفي هذه الحال يجب ألا يُؤتى بالتمييز، استغناءً بالفاعل الظاهر</w:t>
      </w:r>
      <w:r>
        <w:rPr>
          <w:rStyle w:val="FootnoteAnchor"/>
          <w:rtl w:val="true"/>
        </w:rPr>
        <w:footnoteReference w:id="93"/>
      </w:r>
      <w:r>
        <w:rPr>
          <w:rFonts w:ascii="IRNazanin" w:hAnsi="IRNazanin" w:eastAsia="IRNazanin"/>
          <w:color w:val="111111"/>
          <w:sz w:val="28"/>
          <w:sz w:val="28"/>
          <w:szCs w:val="28"/>
          <w:rtl w:val="true"/>
          <w:lang w:bidi="fa-IR"/>
        </w:rPr>
        <w:t xml:space="preserve">، </w:t>
      </w:r>
      <w:bookmarkStart w:id="61" w:name="pg7031_80733"/>
    </w:p>
    <w:p>
      <w:pPr>
        <w:pStyle w:val="BookText"/>
        <w:rPr/>
      </w:pPr>
      <w:bookmarkEnd w:id="61"/>
      <w:r>
        <w:rPr>
          <w:rFonts w:ascii="Amiri" w:hAnsi="Amiri" w:eastAsia="Amiri" w:cs="Amiri"/>
          <w:color w:val="111111"/>
          <w:sz w:val="28"/>
          <w:sz w:val="28"/>
          <w:szCs w:val="28"/>
          <w:rtl w:val="true"/>
          <w:lang w:bidi="ar-SA"/>
        </w:rPr>
        <w:t>فالمرفوع والمنصوب جميعًا يدلان على الجنس، وأحدهما يُغني عن الآخر، فالجمع بينهما بمنزلة الجمع بن العِوض والمعوَّض عنه وهو لا يجوز</w:t>
      </w:r>
      <w:r>
        <w:rPr>
          <w:rStyle w:val="FootnoteAnchor"/>
          <w:rtl w:val="true"/>
        </w:rPr>
        <w:footnoteReference w:id="94"/>
      </w:r>
      <w:r>
        <w:rPr>
          <w:rFonts w:ascii="IRNazanin" w:hAnsi="IRNazanin" w:eastAsia="IRNazanin"/>
          <w:color w:val="111111"/>
          <w:sz w:val="28"/>
          <w:sz w:val="28"/>
          <w:szCs w:val="28"/>
          <w:rtl w:val="true"/>
          <w:lang w:bidi="fa-IR"/>
        </w:rPr>
        <w:t xml:space="preserve">، وأجازه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الاستدلال بكلام أمیر المؤمنین ينقض ما ذهب إليه سيبويه ويُثبِت صحة اجتماع فاعل فعل المدح والتمييز في تركيب واحد،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لَنِعْمَ دَارُ مَنْ لَمْ يَرْضَ بِهَا دَارًا</w:t>
      </w:r>
      <w:r>
        <w:rPr>
          <w:rFonts w:eastAsia="Amiri" w:cs="Amiri" w:ascii="Amiri" w:hAnsi="Amiri"/>
          <w:color w:val="111111"/>
          <w:sz w:val="28"/>
          <w:szCs w:val="28"/>
          <w:rtl w:val="true"/>
          <w:lang w:bidi="ar-SA"/>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على شاهد آخر ورد عن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97"/>
      </w:r>
      <w:r>
        <w:rPr>
          <w:rFonts w:ascii="Amiri" w:hAnsi="Amiri" w:eastAsia="Amiri" w:cs="Amiri"/>
          <w:color w:val="111111"/>
          <w:sz w:val="28"/>
          <w:sz w:val="28"/>
          <w:szCs w:val="28"/>
          <w:rtl w:val="true"/>
          <w:lang w:bidi="ar-SA"/>
        </w:rPr>
        <w:t>، وهذا دليل قاطع على جواز هذا التركيب في النحو العربي</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2958272_372815092"/>
      <w:bookmarkStart w:id="63" w:name="_Toc22"/>
      <w:bookmarkEnd w:id="62"/>
      <w:r>
        <w:rPr/>
        <w:t>2</w:t>
      </w:r>
      <w:r>
        <w:rPr>
          <w:rtl w:val="true"/>
        </w:rPr>
        <w:t xml:space="preserve">. </w:t>
      </w:r>
      <w:r>
        <w:rPr>
          <w:rtl w:val="true"/>
        </w:rPr>
        <w:t>الحكم بالضرورة الشعرية</w:t>
      </w:r>
      <w:r>
        <w:rPr>
          <w:rtl w:val="true"/>
        </w:rPr>
        <w:t>:</w:t>
      </w:r>
      <w:bookmarkEnd w:id="6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نحاة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الفعل الماضي والاستغناء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القسم بالضرورة الشعرية، وهذا صريح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تدخل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الماضي إلا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يحسن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إلا في الشعر</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 وحكمه هذا منتقض بنصِّ نهج البلاغة؛ إذ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الشجرة وهي إحدى معجزات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اَلَّذِي بَعَثَهُ بِالْحَقِّ لاَنْقَلَعَتْ بِعُرُوقِهَا وَ جَاءَتْ وَلَهَا دَوِيٌّ شَدِيدٌ</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 فجاء جواب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لانقلعت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ماض مقترن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دلالة </w:t>
      </w:r>
      <w:bookmarkStart w:id="64" w:name="pg7031_80736"/>
    </w:p>
    <w:p>
      <w:pPr>
        <w:pStyle w:val="BookText"/>
        <w:rPr/>
      </w:pPr>
      <w:bookmarkEnd w:id="64"/>
      <w:r>
        <w:rPr>
          <w:rFonts w:ascii="Amiri" w:hAnsi="Amiri" w:eastAsia="Amiri" w:cs="Amiri"/>
          <w:color w:val="111111"/>
          <w:sz w:val="28"/>
          <w:sz w:val="28"/>
          <w:szCs w:val="28"/>
          <w:rtl w:val="true"/>
          <w:lang w:bidi="ar-SA"/>
        </w:rPr>
        <w:t>على جواز وورد هذا النمط النحوي في النثر أيضًا وليس وقفًا على لغة الشعر</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الشواهد أيضًا ما ذكره الرضي الاسترابادي عن السیرافي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يرى نصب اسم الفاعل مفعولًا ثانيًا ضرورة، جاء ذلك في تعقيبه على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اللَّيْلَ سَكَنًا</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 على قراءة من 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يقول الرضي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السیرافي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الأجود ههنا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نصب اسم الفاعل المفعولَ الثاني ضرورة حيث لم يمكن الإضافة إليه؛ لأنه أُضيف إلى المفعول الأول</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 وإذا كان السیرافي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في القراءة القرآنية ضرورة على مذهب الأخفش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يُجيز وقوعها في النثر، وفي القرآن الكريم أيضًا</w:t>
      </w:r>
      <w:r>
        <w:rPr>
          <w:rStyle w:val="FootnoteAnchor"/>
          <w:rtl w:val="true"/>
        </w:rPr>
        <w:footnoteReference w:id="104"/>
      </w:r>
      <w:r>
        <w:rPr>
          <w:rFonts w:ascii="Amiri" w:hAnsi="Amiri" w:eastAsia="Amiri" w:cs="Amiri"/>
          <w:color w:val="111111"/>
          <w:sz w:val="28"/>
          <w:sz w:val="28"/>
          <w:szCs w:val="28"/>
          <w:rtl w:val="true"/>
          <w:lang w:bidi="ar-SA"/>
        </w:rPr>
        <w:t xml:space="preserve">فإن في نهج البلاغة ما يؤكد تلك القراءة ويعضُدها، إذ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الخفّاش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وَجَاعِلَةُ اَللَّيْلِ سِرَاجًا تَسْتَدِلُّ بِهِ فِی اِلْتِمَاسِ أَرْزَاقِهَا</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2958274_372815092"/>
      <w:bookmarkStart w:id="66" w:name="_Toc23"/>
      <w:bookmarkEnd w:id="65"/>
      <w:r>
        <w:rPr/>
        <w:t>3</w:t>
      </w:r>
      <w:r>
        <w:rPr>
          <w:rtl w:val="true"/>
        </w:rPr>
        <w:t xml:space="preserve">. </w:t>
      </w:r>
      <w:r>
        <w:rPr>
          <w:rtl w:val="true"/>
        </w:rPr>
        <w:t>الحكم بعدم ورود السماع</w:t>
      </w:r>
      <w:r>
        <w:rPr>
          <w:rtl w:val="true"/>
        </w:rPr>
        <w:t>:</w:t>
      </w:r>
      <w:bookmarkEnd w:id="6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جزم بعض النحويین واللغويین بعدم ورود بعض التراكيب أو الألفاظ في كلام العرب، فكرّروا عبارات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تتكلم به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ذلك </w:t>
      </w:r>
    </w:p>
    <w:p>
      <w:pPr>
        <w:pStyle w:val="BookText"/>
        <w:rPr/>
      </w:pPr>
      <w:r>
        <w:rPr>
          <w:rFonts w:ascii="Amiri" w:hAnsi="Amiri" w:eastAsia="Amiri" w:cs="Amiri"/>
          <w:color w:val="111111"/>
          <w:sz w:val="28"/>
          <w:sz w:val="28"/>
          <w:szCs w:val="28"/>
          <w:rtl w:val="true"/>
          <w:lang w:bidi="ar-SA"/>
        </w:rPr>
        <w:t xml:space="preserve">مما يحتاج إلى استقراء تام وهو ما يتعذّر كما تقدَّم، وربما يجعلون الأمر غُفْلاً من دون ذكر للفظ أو التركيب وهو أحسن من القطع أو الجزم بعدم الورود، من ذلك ما ذكره سيبويه في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زدت من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الحرف يكون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الاسم، وذلك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نعلمه جاء وصفًا</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 غیر أنَّ الاستقراء أثبت وجود هذا البناء وصفًا في عدد من المواضع،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هَجهَج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جَدْبةٌ لا نَبْتَ فيها</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وموضعٌ فَدْفَد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غلظ وارتفاع</w:t>
      </w:r>
      <w:r>
        <w:rPr>
          <w:rStyle w:val="FootnoteAnchor"/>
          <w:rtl w:val="true"/>
        </w:rPr>
        <w:footnoteReference w:id="108"/>
      </w:r>
      <w:r>
        <w:rPr>
          <w:rFonts w:ascii="IRNazanin" w:hAnsi="IRNazanin" w:eastAsia="IRNazanin"/>
          <w:color w:val="111111"/>
          <w:sz w:val="28"/>
          <w:sz w:val="28"/>
          <w:szCs w:val="28"/>
          <w:rtl w:val="true"/>
          <w:lang w:bidi="fa-IR"/>
        </w:rPr>
        <w:t xml:space="preserve">، ومنه قول الإمام أمر المؤمنن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الخطيب الشَّحْشَح</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الألفاظ التي لم تصل إليها أسماع اللغويين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قياسي، فلم تنص على ذكرها معجماتنا اللغوية، لكن اللغة أوسع مما أثبتته تلك المعجمات؛ فقد </w:t>
      </w:r>
    </w:p>
    <w:p>
      <w:pPr>
        <w:pStyle w:val="BookText"/>
        <w:rPr/>
      </w:pPr>
      <w:r>
        <w:rPr>
          <w:rFonts w:ascii="Amiri" w:hAnsi="Amiri" w:eastAsia="Amiri" w:cs="Amiri"/>
          <w:color w:val="111111"/>
          <w:sz w:val="28"/>
          <w:sz w:val="28"/>
          <w:szCs w:val="28"/>
          <w:rtl w:val="true"/>
          <w:lang w:bidi="ar-SA"/>
        </w:rPr>
        <w:t xml:space="preserve">وردت هذه اللفظة في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اَلْقَرِيبَةِ وَ اَلْمَنْزِلَةِ اَلْخَصِيصَةِ وَضَعَنِي فِی حَجْرِهِ وَ أَنَا وَلِيدٌ</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الصحيفة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البحث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الأبنية التي فاتت اللغويین أيضًا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وروده في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شعر امرئ القيس أيضًا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يكن أثر نقص الاستقراء في العربية وقفًا على الألفاظ بل شمل أيضًا التراكيب النحوية، فقد غاب عن النحويین جملة من التراكيب الفصيحة بحجة عدم ورود السماع دليلاً عليها، من ذلك ما نسبه عدد من اللغويین والنحويین إلى الأصمعي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يمنع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يجوز عنده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شتّان ما بین زيد وعمرو</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الاستدلال بكلام الإمام علي في یبیِّن نقص استقراء الاصمعي، وإثبات عدم صحة ما ذهب إليه،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شَتَّانَ مَا بَیْنَ عَمَلَیْنِ عَمَلٍ تَذْهَبُ لَذَّتُهُ وَ تَبْقَى تَبِعَتُهُ وَ عَمَلٍ تَذْهَبُ مَؤونَتُهُ وَ يَبْقَى أَجْرُهُ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67" w:name="pg7031_80741"/>
    </w:p>
    <w:p>
      <w:pPr>
        <w:pStyle w:val="Heading4"/>
        <w:numPr>
          <w:ilvl w:val="3"/>
          <w:numId w:val="1"/>
        </w:numPr>
        <w:rPr/>
      </w:pPr>
      <w:bookmarkStart w:id="68" w:name="__RefHeading___Toc2958276_372815092"/>
      <w:bookmarkStart w:id="69" w:name="_Toc24"/>
      <w:bookmarkEnd w:id="67"/>
      <w:bookmarkEnd w:id="68"/>
      <w:r>
        <w:rPr/>
        <w:t>4</w:t>
      </w:r>
      <w:r>
        <w:rPr>
          <w:rtl w:val="true"/>
        </w:rPr>
        <w:t xml:space="preserve">. </w:t>
      </w:r>
      <w:r>
        <w:rPr>
          <w:rtl w:val="true"/>
        </w:rPr>
        <w:t>الحكم بالنّدرة</w:t>
      </w:r>
      <w:r>
        <w:rPr>
          <w:rtl w:val="true"/>
        </w:rPr>
        <w:t>:</w:t>
      </w:r>
      <w:bookmarkEnd w:id="69"/>
    </w:p>
    <w:p>
      <w:pPr>
        <w:pStyle w:val="BookText"/>
        <w:rPr/>
      </w:pPr>
      <w:r>
        <w:rPr>
          <w:rFonts w:ascii="IRNazanin" w:hAnsi="IRNazanin" w:eastAsia="IRNazanin"/>
          <w:color w:val="111111"/>
          <w:sz w:val="28"/>
          <w:sz w:val="28"/>
          <w:szCs w:val="28"/>
          <w:rtl w:val="true"/>
          <w:lang w:bidi="fa-IR"/>
        </w:rPr>
        <w:t xml:space="preserve">قرر النحويون أن من الأنماط التي تأتي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اسماً مُعْرَبًا، فتقع وصفًا لموصوف يُشرط فيه التنكیر في الغالب، وأن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مضافةً لفظًا ومعنى إلى نكرة مذكورة بعدها من لفظ الموصوف ومعناه،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استمعت إلى عالمٍ أيِّ عالمٍ، للدلالة على المبالغة والتفخيم</w:t>
      </w:r>
      <w:r>
        <w:rPr>
          <w:rStyle w:val="FootnoteAnchor"/>
          <w:rtl w:val="true"/>
        </w:rPr>
        <w:footnoteReference w:id="114"/>
      </w:r>
      <w:r>
        <w:rPr>
          <w:rFonts w:ascii="Amiri" w:hAnsi="Amiri" w:eastAsia="Amiri" w:cs="Amiri"/>
          <w:color w:val="111111"/>
          <w:sz w:val="28"/>
          <w:sz w:val="28"/>
          <w:szCs w:val="28"/>
          <w:rtl w:val="true"/>
          <w:lang w:bidi="ar-SA"/>
        </w:rPr>
        <w:t>، والغالب في الموصوف أن يكون مذكورًا في الكلام، فإنْ جاء محذوفًا حُملَ التركيب على الندرة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الموصوف محذوفًا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نُسب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اِصحَبِ الناسَ بأيِّ خُلُقٍ شئتَ يَصحبوك بمثلِه</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 الناس بخلق أيِّ خلق</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ورود هذا النمط في كلام الإمام يفسح المجال أمام إجازته والقياس عليه، إذ إن القواعد رهينة الاستعمال، قال ابن جني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أنك إذا أدّاك القياس إلى شيء ما ثم سمعت العرب قد نطقت فيه بشيء آخر على قياس غیره فدعْ ما كنت عليه إلى ما هم عليه</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 xml:space="preserve">لأن النادر اللغوي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قلَّ وجودهُ وإنْ لْمَ </w:t>
      </w:r>
    </w:p>
    <w:p>
      <w:pPr>
        <w:pStyle w:val="BookText"/>
        <w:rPr/>
      </w:pPr>
      <w:r>
        <w:rPr>
          <w:rFonts w:ascii="Amiri" w:hAnsi="Amiri" w:eastAsia="Amiri" w:cs="Amiri"/>
          <w:color w:val="111111"/>
          <w:sz w:val="28"/>
          <w:sz w:val="28"/>
          <w:szCs w:val="28"/>
          <w:rtl w:val="true"/>
          <w:lang w:bidi="ar-SA"/>
        </w:rPr>
        <w:t>يُخالِف القياس</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وهذا ما دعا الأستاذ عباس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الاستدلال بالشاهد العلوي في الرد عى النحوين قائاً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ورودها في نثر الإمام علي أفصح البلغاء فوق ورودها في البيت السابق قد يبيح استعمالها وإن كان هذا الاستعمال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أنه مسموع في النثر وفي الشعر من أفصح العرب</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إذا حارب الحجاج أيَّ منافق علاه بسيف كلما هز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ديوان الفرزدق، ضبط معانيه وشرحه وأكملها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إيليا الحاوي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زيادة على طائفة كثیرة من الشواهد العلوية التي عرضتها الدراسة، وإذا كان شأن كلام الإمام هكذا فلِمَ عزف أغلب النحويین عن الاحتجاج به في الدرس النحوي؟ قد يطول الحديث في ذكر أسباب ذلك تفصيلاً، إلا أنَّ أغلب الظن أنّ الذي أثَّرَ في ذلك هو مذهب قسم من النحويین الذين منعوا الاحتجاج بالحديث النبوي الشريف بزعم روايته في المعنى، ولا شك في أن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للحديث؛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في اصطلاح المحدِّثین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وفعله وتقريره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أصحابه وفعلهم وتقريرهم والتابعین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لكنه إذا كانت رواية حديث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مسوِّغَ مَن منعَ الاحتجاج به بحجة عدم تدوينه لمدة طويلة؛ فإن ذلك لا ينطبق على أحاديث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الخاصة بهم أو تلك التي يروونها عن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المنقول عنهم أنهم شجَّعوا على تدوينها ورغّبوا في كتابتها، ورفعوا الحظر المفروض على رواية الحديث، 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كتبتم الحديثَ فاكتبوه بإسناده، فإن يكُ حقًا كنتم شركاء في الأجر، وإنْ يكُ </w:t>
      </w:r>
    </w:p>
    <w:p>
      <w:pPr>
        <w:pStyle w:val="BookText"/>
        <w:rPr/>
      </w:pPr>
      <w:r>
        <w:rPr>
          <w:rFonts w:ascii="Amiri" w:hAnsi="Amiri" w:eastAsia="Amiri" w:cs="Amiri"/>
          <w:color w:val="111111"/>
          <w:sz w:val="28"/>
          <w:sz w:val="28"/>
          <w:szCs w:val="28"/>
          <w:rtl w:val="true"/>
          <w:lang w:bidi="ar-SA"/>
        </w:rPr>
        <w:t>باطلاً كان وزره عليه</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 وذكرَ هذا المعنى ابن ابي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وحسبُك أنّه لم يدوَّن لأحدٍ من فصحاء الصحابة العشر ولا نصف العشر مما دُوِّن له</w:t>
      </w:r>
      <w:r>
        <w:rPr>
          <w:rFonts w:eastAsia="Amiri" w:cs="Amiri" w:ascii="Amiri" w:hAnsi="Amiri"/>
          <w:color w:val="111111"/>
          <w:sz w:val="28"/>
          <w:szCs w:val="28"/>
          <w:rtl w:val="true"/>
          <w:lang w:bidi="ar-SA"/>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وأكد هذا المعنى أيضًا الدكتور شوقي ضيف من المحدَثین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حجة الرواية بالمعنى كانت نتيجة من نتائج إقدام السلطة بعد رحيل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وتوجيهها بعدم تدوينه لمدة طويلة</w:t>
      </w:r>
      <w:r>
        <w:rPr>
          <w:rStyle w:val="FootnoteAnchor"/>
          <w:rtl w:val="true"/>
        </w:rPr>
        <w:footnoteReference w:id="123"/>
      </w:r>
      <w:r>
        <w:rPr>
          <w:rFonts w:ascii="IRNazanin" w:hAnsi="IRNazanin" w:eastAsia="IRNazanin"/>
          <w:color w:val="111111"/>
          <w:sz w:val="28"/>
          <w:sz w:val="28"/>
          <w:szCs w:val="28"/>
          <w:rtl w:val="true"/>
          <w:lang w:bidi="fa-IR"/>
        </w:rPr>
        <w:t xml:space="preserve">، فقد ذكر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الخليفة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الناس بعد وفاة نبيِّهم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تحدِّثون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تختلفون فيها والناس بعدكم أشد اختلافًا فلا تحدِّثوا عن رسول الله شيئًا، فمَن سألكم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بيننا وبينكم كتاب الله فاستحلوا حلاله وحرموا حرامه</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وعلى هذه المنهج سار الخليفة عمر بن الخطاب أيضًا، فقد رُوي عن أبي هريرة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كُنَّا نستطيع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قُبض عمر قال أبو سلمة فسألته بمَ؟ قال كنا نخاف السياط وأومأ بيده إلى ظهره</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ودليل هذا ما قاله عمر لأبي هريرة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لتتركَنَّ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لألحقنَّك بأرض دَوْس</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جرى هذا النهج على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بل إنَّ كتب الحديث تذكر توجيه من بيده السلطة آنذاك بحرق مدوناتهم وإتلافها</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ساعد على تغييب الحديث النبوي من دائرة الاحتجاج النحوي، وإنِ اعتُمد عليه في قضايا اللغة والمعجم؛ إذ حاجة النحو إلى الضبط والدقة في الرواية أكثر من حاجة المعجم إليهما؛ لأنَّ الاحتجاج بالشاهد متوقفةٌ على صحة ألفاظه، فالشاهد هو النحو كما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ولابد من الإشارة هنا إلى أنّ ادّعاء الرواية بالمعنى ربما لم تُقنِع القدماء من النحويین فاستشهدوا به على نطاق ضيِّق، فاحتج به سيبويه بقلة</w:t>
      </w:r>
      <w:r>
        <w:rPr>
          <w:rStyle w:val="FootnoteAnchor"/>
          <w:rtl w:val="true"/>
        </w:rPr>
        <w:footnoteReference w:id="128"/>
      </w:r>
      <w:r>
        <w:rPr>
          <w:rFonts w:ascii="IRNazanin" w:hAnsi="IRNazanin" w:eastAsia="IRNazanin"/>
          <w:color w:val="111111"/>
          <w:sz w:val="28"/>
          <w:sz w:val="28"/>
          <w:szCs w:val="28"/>
          <w:rtl w:val="true"/>
          <w:lang w:bidi="fa-IR"/>
        </w:rPr>
        <w:t>، ثم إنَّ الشعر كثیرًا ما رُويَ بالمعنى أيضًا، إذ قد يرد البيت الواحد بروايات متعددة لكلِّ رواية وجه يختلف عن الآخر، فلِمَ تَصدَّر أدلة الاستشهاد النحوي بخلاف الحديث النبوي الشريف؟</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أفهم مما ذُكِرَ أنَّ الموقف السياسي يقف في صدارة العوامل التي منعت الاحتجاج بالحديث، وأمارات هذا الموقف تظهر بوضوح في أكثر من وجه، منها تعامل بعض اللغوين والرواة القدماء مذهبيًا ممن له صلة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ذكر أبو الفرج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أخبارًا عن الشاعر يزيد بن مفرِّغ الحِمْرَي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وله طراز من الشعر ومذهب قلّما يلحق فيه أو يقاربه، ولا يعرف له من الشعر كثیر، وليس يخلو من مدح بني هاشم أو ذمّ غيرهم ممّن هو عنده ضدّ لهم، ولولا أنّ أخباره كلّها تجري هذا المجرى ولا </w:t>
      </w:r>
    </w:p>
    <w:p>
      <w:pPr>
        <w:pStyle w:val="BookText"/>
        <w:rPr/>
      </w:pPr>
      <w:r>
        <w:rPr>
          <w:rFonts w:ascii="Amiri" w:hAnsi="Amiri" w:eastAsia="Amiri" w:cs="Amiri"/>
          <w:color w:val="111111"/>
          <w:sz w:val="28"/>
          <w:sz w:val="28"/>
          <w:szCs w:val="28"/>
          <w:rtl w:val="true"/>
          <w:lang w:bidi="ar-SA"/>
        </w:rPr>
        <w:t>تخرج عنه لوجب ألّا نذكر منها شيئًا</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 وإذا كان الحال كذلك، فمن هنا نفسر التشكيك بنسبة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جمعه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إلى الرضي نفسِه، لِكون بعض خطبه تعرَّضت إلى ذكر بعض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تجلىّ هذا العامل السياسي والمذهبي في صورة أُخرى وهي عدم التصريح باسم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الاستدلال بأقوالهم خوفًا من الحاكم أو مجاملةً له، فلمْ يصرِّح سيبويه باسم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كان يُورد أحاديثه ضمن أمثلة الكتاب، فيقول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قولهم</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 xml:space="preserve">، ولعلّ موقف سيبويه هذا متأتٍ من أنَّه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أوائل دولة بني العباس ومات في خلافة الرشيد</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ومعلوم ما في هذا العصر من ظروف اجتماعية وسياسية وفكرية كثیرة ألقت بتأثيراتها السلبية على التأليف النحوي، وقد يكون نهجُ سيبويه هذا هو من جرَّأ النحويین بعده على عدم الاحتجاج بالحديث النبوي الشريف</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سعدون أحمد علي الربعي، بحث منشور في مجلة العميد، العدد الخامس، آذار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فهذا ابن جني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إلى قول بعضهم في الترغيب في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رأيتم المعروف رجلاً لرأيتموه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والقول موثَّق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يُزاد على ما تقدم أسباب أُخر، غیر أنْ ما ذكرتُه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سببًا رئيسًا في عزوف أغلب النحويین عن الاحتجاج بكلام الامام في مجال النحو إلا الرضي الذي يعدُّ ظاهرة في هذه المسألة لكنه متأخر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موقف الرضي هذا هو الذي ينبغي أنْ يُعتمَدَ من لدن الباحثین المحدَثین الذين عابوا على القدماء عدم العودة إلى الحديث الشريف في تقعيد مسائل النحو العربي، فهو نص عربي فصيح مقول في عصر الاحتجاج جرى على وفق أدلة الاحتجاج النحوي فيما يصح الاستشهاد به، لذا كان من الواجب العناية به في تقرير ضوابط العربية أو تعديل ما غاب فيه الاستقراء التام لشواهدها، ومن هنا جاء هذا البحث موسومًا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والصناعة النحوية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من هذا أن كلامه إنا يجري على وفق أدلة العلماء في الاحتجاج، لكنَّهم لم يأخذوا به في الصناعة النحوية التي عرَّفها السيوطي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صناعة علميّة يُعرف بها أحوال كلام العرب من جهة ما يصح ويفسد في التأليف، ليُعرَف الصحيح من الفاسد، وبهذا يُعلم أن المُراد بالعلم المصدَّر به حدود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الصناعةُ</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 xml:space="preserve">، ثم إنَّ عدم الأخذ بكلام الإمام خلاف المنهج الصحيح في الاستشهاد،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لا نكرانَ في صحة الاستشهاد بأقواله</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لأن إحدى حدود ضبط هذه الصناعة النظر الى اللغة نفسِها وما فيها من شواهد حيَّة تُثري النحو بشتّى الأساليب والاستعمالات النحوية الفصيحة كي تحظى قواعده بالاطّراد والإعمام، لا أنْ تُفرَض بأقيسة أسهمت كثیرًا بالاضطراب والتأويل</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وصفوة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احتكم النحويون إلى الاحتجاج بكلامه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القرآن الكريم والحديث النبوي الشريف لخرجنا بقواعد عامة وموضوعية بعيدة عن التأويل والتقدير والضرورات، ولأُجبرَ نقص الاستقراء الذي مُنِي به النحو العربي في أبواب كثیرة؛ لأن أية قاعدة نحوية لا يمكن أن يُستندَ إليها ما لم تتصف بالعموم، أي ان تنطبق على جمهرة مفرداتها أو تراكيبها</w:t>
      </w:r>
      <w:r>
        <w:rPr>
          <w:rStyle w:val="FootnoteAnchor"/>
          <w:rtl w:val="true"/>
        </w:rPr>
        <w:footnoteReference w:id="137"/>
      </w:r>
      <w:r>
        <w:rPr>
          <w:rFonts w:ascii="IRNazanin" w:hAnsi="IRNazanin" w:eastAsia="IRNazanin"/>
          <w:color w:val="111111"/>
          <w:sz w:val="28"/>
          <w:sz w:val="28"/>
          <w:szCs w:val="28"/>
          <w:rtl w:val="true"/>
          <w:lang w:bidi="fa-IR"/>
        </w:rPr>
        <w:t xml:space="preserve">، ثم إنَّ كثیرًا من تعبیرات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والتراكيب التي استعملها ما هو شائع ومسموع في عصره، هذا زيادة على ما انفرد به، غیر أنَّ النحويین أغفلوها ولم يصرِّحوا بذكرها، ولهذا حرصتُ في أغلب المواضع التي درستها على تعضيد نصوصه بشواهد أُخر من القرآن الكريم أو الحديث النبوي الشريف، أو بشواهد شعرية قيلت في زمن قريب من 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إنَّ لغة أيِّ فرد هي صورة لمظاهر المجتمع الذي ينشأ فيه، وهي مزيج من الاستعمالات الشائعة في ذلك العصر</w:t>
      </w:r>
      <w:r>
        <w:rPr>
          <w:rStyle w:val="FootnoteAnchor"/>
          <w:rtl w:val="true"/>
        </w:rPr>
        <w:footnoteReference w:id="138"/>
      </w:r>
      <w:r>
        <w:rPr>
          <w:rFonts w:ascii="Amiri" w:hAnsi="Amiri" w:eastAsia="Amiri" w:cs="Amiri"/>
          <w:color w:val="111111"/>
          <w:sz w:val="28"/>
          <w:sz w:val="28"/>
          <w:szCs w:val="28"/>
          <w:rtl w:val="true"/>
          <w:lang w:bidi="ar-SA"/>
        </w:rPr>
        <w:t>، ولا غروَ في أن كلام الإمام أولى بالاحتجاج من كلام يُنسب لأعرابي لم يُعرف اسمه، أو شاعر ارتكب الوعرَ حتى يستقيم بيته من العلل</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ختام التمهيد أجد نفسي ملزَمًا بأنْ أعرض لحجيّة الاحتكام إلى كلام الفرد في تعديل القواعد النحوية وإن لم يُسمع هذا الكلام إلا منه، وهذا أمر قد يخطر في ذهن القارئ الكريم، وإنْ كان الإمام مما لا نقاش في فصاحته وموافقة كلامه لمبادئ علماء العربية في شرائط الاحتجاج كما مرّ، ولعل ما ذكره ابن جني يُغني القول بذلك، فقد أشار إلى أنَّ ما يرد عن العربي الموثوق بفصاحته شيء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يُسمع من غیره أُخِذَ به مالم يخالف قياسًا موجودًا</w:t>
      </w:r>
      <w:r>
        <w:rPr>
          <w:rStyle w:val="FootnoteAnchor"/>
          <w:rtl w:val="true"/>
        </w:rPr>
        <w:footnoteReference w:id="140"/>
      </w:r>
      <w:r>
        <w:rPr>
          <w:rFonts w:ascii="Amiri" w:hAnsi="Amiri" w:eastAsia="Amiri" w:cs="Amiri"/>
          <w:color w:val="111111"/>
          <w:sz w:val="28"/>
          <w:sz w:val="28"/>
          <w:szCs w:val="28"/>
          <w:rtl w:val="true"/>
          <w:lang w:bidi="ar-SA"/>
        </w:rPr>
        <w:t>، وإن خالف هذا الكلامُ الجمهورَ فالعبرة بفصاحة لسان العربي وقوة بيانه</w:t>
      </w:r>
      <w:r>
        <w:rPr>
          <w:rStyle w:val="FootnoteAnchor"/>
          <w:rtl w:val="true"/>
        </w:rPr>
        <w:footnoteReference w:id="141"/>
      </w:r>
      <w:r>
        <w:rPr>
          <w:rFonts w:ascii="Amiri" w:hAnsi="Amiri" w:eastAsia="Amiri" w:cs="Amiri"/>
          <w:color w:val="111111"/>
          <w:sz w:val="28"/>
          <w:sz w:val="28"/>
          <w:szCs w:val="28"/>
          <w:rtl w:val="true"/>
          <w:lang w:bidi="ar-SA"/>
        </w:rPr>
        <w:t>، بل يُقبَل ما جاء به هذا العربي الفصيح وإن تعارض مع قياس آخر</w:t>
      </w:r>
      <w:r>
        <w:rPr>
          <w:rStyle w:val="FootnoteAnchor"/>
          <w:rtl w:val="true"/>
        </w:rPr>
        <w:footnoteReference w:id="142"/>
      </w:r>
      <w:r>
        <w:rPr>
          <w:rFonts w:ascii="Amiri" w:hAnsi="Amiri" w:eastAsia="Amiri" w:cs="Amiri"/>
          <w:color w:val="111111"/>
          <w:sz w:val="28"/>
          <w:sz w:val="28"/>
          <w:szCs w:val="28"/>
          <w:rtl w:val="true"/>
          <w:lang w:bidi="ar-SA"/>
        </w:rPr>
        <w:t xml:space="preserve">، ومما يتعلَّق بذلك أيضًا صحة الاحتجاج بالشاهد الواحد في نقد القواعد النحوية كما جرى ذلك في بعض مسائل هذا البحث، وهذا ما نصَّ عليه ابن جني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جواز القياس على ما يقل ورفضه فيما هو أكثر منه</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 واستنادًا إلى ذلك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النحويون الأحكام على بيت واحد أو بيتین</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 xml:space="preserve">من ذلك قياسهم على المثال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شنوءة</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قياسِهم تصغیر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مع أنَّ ما جاء منه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أُمَيْلِحُ، وأُحَيسِن</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7031_80759"/>
      <w:bookmarkStart w:id="71" w:name="pg7031_80759"/>
      <w:bookmarkEnd w:id="71"/>
    </w:p>
    <w:p>
      <w:pPr>
        <w:pStyle w:val="Heading2"/>
        <w:numPr>
          <w:ilvl w:val="1"/>
          <w:numId w:val="1"/>
        </w:numPr>
        <w:rPr/>
      </w:pPr>
      <w:bookmarkStart w:id="72" w:name="pg7031_80759"/>
      <w:bookmarkStart w:id="73" w:name="__RefHeading___Toc2958278_372815092"/>
      <w:bookmarkStart w:id="74" w:name="_Toc25"/>
      <w:bookmarkEnd w:id="72"/>
      <w:bookmarkEnd w:id="73"/>
      <w:r>
        <w:rPr>
          <w:rtl w:val="true"/>
        </w:rPr>
        <w:t xml:space="preserve">الباب الأول ما مَنَعَهُ أغلبُ النَحْويينَ وَوردَ في كَلامِ الإمام علي </w:t>
      </w:r>
      <w:r>
        <w:rPr>
          <w:rtl w:val="true"/>
        </w:rPr>
        <w:t>(</w:t>
      </w:r>
      <w:r>
        <w:rPr>
          <w:rtl w:val="true"/>
        </w:rPr>
        <w:t>علیه السلام</w:t>
      </w:r>
      <w:r>
        <w:rPr>
          <w:rtl w:val="true"/>
        </w:rPr>
        <w:t>)</w:t>
      </w:r>
      <w:bookmarkEnd w:id="74"/>
    </w:p>
    <w:p>
      <w:pPr>
        <w:pStyle w:val="Heading3"/>
        <w:numPr>
          <w:ilvl w:val="2"/>
          <w:numId w:val="1"/>
        </w:numPr>
        <w:rPr/>
      </w:pPr>
      <w:bookmarkStart w:id="75" w:name="__RefHeading___Toc2958280_372815092"/>
      <w:bookmarkStart w:id="76" w:name="_Toc26"/>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أغلبُ النَحْويينَ في الأسماء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أغلبُ النَحْويينَ في الأفعالِ والحُروف</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7031_80763"/>
      <w:bookmarkStart w:id="78" w:name="pg7031_80763"/>
      <w:bookmarkEnd w:id="78"/>
    </w:p>
    <w:p>
      <w:pPr>
        <w:pStyle w:val="Heading3"/>
        <w:numPr>
          <w:ilvl w:val="2"/>
          <w:numId w:val="1"/>
        </w:numPr>
        <w:rPr/>
      </w:pPr>
      <w:bookmarkStart w:id="79" w:name="pg7031_80763"/>
      <w:bookmarkStart w:id="80" w:name="__RefHeading___Toc2958282_372815092"/>
      <w:bookmarkStart w:id="81" w:name="_Toc27"/>
      <w:bookmarkEnd w:id="79"/>
      <w:bookmarkEnd w:id="80"/>
      <w:r>
        <w:rPr>
          <w:rtl w:val="true"/>
        </w:rPr>
        <w:t>توطئة</w:t>
      </w:r>
      <w:r>
        <w:rPr>
          <w:rtl w:val="true"/>
        </w:rPr>
        <w:t>:</w:t>
      </w:r>
      <w:bookmarkEnd w:id="81"/>
    </w:p>
    <w:p>
      <w:pPr>
        <w:pStyle w:val="BookText"/>
        <w:rPr/>
      </w:pPr>
      <w:r>
        <w:rPr>
          <w:rFonts w:ascii="IRNazanin" w:hAnsi="IRNazanin" w:eastAsia="IRNazanin"/>
          <w:color w:val="111111"/>
          <w:sz w:val="28"/>
          <w:sz w:val="28"/>
          <w:szCs w:val="28"/>
          <w:rtl w:val="true"/>
          <w:lang w:bidi="fa-IR"/>
        </w:rPr>
        <w:t>من المقرَّر لدى علماء العربية ودارسيها أنَّ الباعث الدِّيني هو السبب الرئيس وراء نشأة علوم اللغة العربية، فالعناية بالقرآن الكريم، وفهم آياته ومعانيه، والكشف عن أنماط بناء جُمَلِه وتراكيبه، وتبيین أسراره البلاغية والإعجازية، فضلاً عن حفظ نصوصه من اللحن والتحريف، كلُّ ذلك حفزهم إلى الاهتمام بلغته و قراءاته وتفاسیره وتاریخه، وحملهم على ضبط اللغة وإحكام قواعدها عبر التوسل بعدد من الأُسس أو الأحكام التي تحفظ اللسان وتُبعده من الوقوع في اللحن أو الخطإِ</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أن دُوِّن النحو العربي عبر مراحل من تقصّی المسموع وإحصاء مظاهره وجد النحويون أنفسهم أمام جملة من التراكيب والاستعمالات اللغوية المختلفة التي تحتاج إلى وضع معايیر للتقويم والبناء، منها ما يتعلَّق بالجودة والرداءة، ومنها ما يتعلق بالصواب والخطإِ، وهذا يعني أنَّ الفصاحة في عُرف النحویين لم تعُد السبيلَ الوحيد لقبول بعض التراكيب أو رفضها كما كانت قبل اكتمال أبواب النحو، بل زادوا عليها معيارًا آخر للصواب والخطإ استخرجوه من الكلام الفصيح ذلك هو القواعد النحوية التي ربما رفضت بعض الفصيح فلم تستند إليه أو تحتج به</w:t>
      </w:r>
      <w:r>
        <w:rPr>
          <w:rStyle w:val="FootnoteAnchor"/>
          <w:rtl w:val="true"/>
        </w:rPr>
        <w:footnoteReference w:id="148"/>
      </w:r>
      <w:r>
        <w:rPr>
          <w:rFonts w:ascii="Amiri" w:hAnsi="Amiri" w:eastAsia="Amiri" w:cs="Amiri"/>
          <w:color w:val="111111"/>
          <w:sz w:val="28"/>
          <w:sz w:val="28"/>
          <w:szCs w:val="28"/>
          <w:rtl w:val="true"/>
          <w:lang w:bidi="ar-SA"/>
        </w:rPr>
        <w:t xml:space="preserve">، وفي ضوء هذا المبدإِ دأب النحويون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وضع قواعدَ نحويةٍ شكلية يتوكَّأ عليها من ضعُفتْ ملكتُه أو شاب لسانَه خليطٌ من كلام الأعاجم</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xml:space="preserve">، ومن بین </w:t>
      </w:r>
    </w:p>
    <w:p>
      <w:pPr>
        <w:pStyle w:val="BookText"/>
        <w:rPr/>
      </w:pPr>
      <w:r>
        <w:rPr>
          <w:rFonts w:ascii="Amiri" w:hAnsi="Amiri" w:eastAsia="Amiri" w:cs="Amiri"/>
          <w:color w:val="111111"/>
          <w:sz w:val="28"/>
          <w:sz w:val="28"/>
          <w:szCs w:val="28"/>
          <w:rtl w:val="true"/>
          <w:lang w:bidi="ar-SA"/>
        </w:rPr>
        <w:t>تلك الأحكام التقويمية التي شاعت في كتب التراث النحوي حكمُ المنع الذي يدور إجمالًا حول مخالفة الوجه النحوي ضوابطَ الصناعة النحوية والمعنى الذي يؤدّيه التركيب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والمنع كما ذكرته المعجمات هو مصدر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مَنَعْتُه أَمْنَعُه مَنْعًا فامْتَنَعَ،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 بينه وبین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يُخْلَصُ إليه</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وهو ضد الإعطاء</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يبدو أنَّ قُدامى النحویين لم يضعوا حدًا أو مصطلحًا لمفهوم المنع بوصفه أَحدَ الأحكام النحوية التقويمية التي زخرت بها كتب النحو قديماً وحديثًا، وقد يكون سبب ذلك أنَّهم يسعَون في الأساس إلى جمع القواعد النحوية وتبويبها وتفسیرها، أمّا توجيه تلك القواعد بالجواز أو المنع أو الضعف ونحو ذلك من الأحكام فإنَّها لاترد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لمامًا؛ لأنَّ النحاة لم يُعنوا بجمعها وتصنيفها، وإنمّا كانوا يُشیرون إليها كلّما سنحتِ الفرصة لمِثل هذه الإشارة، إمَّا في معرض الشرح أو في معرض النقاش والمحاجّة</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 ومن أجل هذا فقد عمد قِسم من الباحثین المحدَثین إلى تعريف المنع في ضوء الدراسة التي عقدها في باب من أبواب النحو، فقد بيَّنته الدكتورة خديجة الحديثي بأنَّه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جواز وجه من أَوجه الإعراب أو وجه من أوجه التعبیر</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 xml:space="preserve">، كما عرَّفه تلميذُها الباحث مازن </w:t>
      </w:r>
    </w:p>
    <w:p>
      <w:pPr>
        <w:pStyle w:val="BookText"/>
        <w:rPr/>
      </w:pPr>
      <w:r>
        <w:rPr>
          <w:rFonts w:ascii="Amiri" w:hAnsi="Amiri" w:eastAsia="Amiri" w:cs="Amiri"/>
          <w:color w:val="111111"/>
          <w:sz w:val="28"/>
          <w:sz w:val="28"/>
          <w:szCs w:val="28"/>
          <w:rtl w:val="true"/>
          <w:lang w:bidi="ar-SA"/>
        </w:rPr>
        <w:t xml:space="preserve">عبد الرسول الزيدي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نحويّ يُراد به رفضُ كلِّ ما يُخلّ بمقتضيات الصحة وقواعدها لعلّة مانعة من ذلك حالتْ بينه وبین الصواب</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ذلك لا يمنع من وجود شواهد مهمة تدلُّ على عناية علماء العربية بمصطلحات النقد النحوي ولاسيما المنع منها؛ إذ إنَّ لها حضورًا واسعًا فيما كتبوه من مصنفاتٍ نحوية ولغوية، وأوضح مصداق على ذلك ما عقده سيبويه في بابٍ ابتدأ به كتابه كشف فيه عن مستويات الكلام العربي وحكمَ على كلِّ مستوى وأحواله،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باب الاستقامة من الكلام والإحالة، فمنه مستقيم حسَن، ومُحال، ومستقيم كذب، ومستقيم قبيح، وما هو مُحالٌ كذب</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فسيبويه على وفق هذا النص قد حصر مستويات الكلام بالمستقيم والمُحال، ولاشك في أنَّهما المستويان اللذان لا يخرج التركيب النحوي في العربية عنهما، والمُحال لفظ يدلُّ على المنع، وهذا دليلٌ على منهجِه المُحكَم وسَعة تصوره في استخلاص ضوابط العربية الفصحى</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يكون سبب غياب التحديد الدقيق لمفهوم المنع في الدرس النحوي هو ما أدى إلى تعدد المصطلحات التي عبَّر بها النحويون في الدلالة على ما يمتنع من التراكيب النحوية، فالمصطلحات المستعملة في المنع كثیرة، منها تعبیرات تدلُّ على المنع بلا احتمال لحكم آخر،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 ولا يجوز، ولا يستقيم، ومردود، وباطل، وخطأ، وفاسد، وغیر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ومنها تعبیرات مرادفة للمنع،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وتعذّر، وحظر</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 xml:space="preserve">، هذا زيادةً على ألفاظ اختلطت دلالتها بدلالة المنع، مثل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 والضعيف، والقبيح، والرديء</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تقسم المنع في النحو العربي على أقسام من أهمها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النوع الذي يستند فيه النحويون إلى كلام العرب في الحكم على منع التراكيب النحوية أو الاستعمالات اللغوية، ولهذا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النحو هو علم منتزَع من استقراء لغة العرب نظماً ونثرًا، على أنَّ ما يمتنع لدى العرب قد يجوز في القياس، وهذا ما أشار إليه ابنُ جني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العرب من الكلام بما يجوز في القياس</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النحويین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المنع الذي يُحتكم فيه إلى أقيسة النحويین واجتهاداتهم في إصدار الحكم، فالنحويون أصدروا كثیرًا من القواعد النحوية لم تُسمع عن العرب بناءً على ما وضعوه من أقيسة وأُصول، قال ابنُ السراج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لم يصح سماع اليء عن العرب لِجُئ فيه إلى القياس</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 xml:space="preserve">ولهذا نجدهم يُكثرون من قولهم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 وإنْ لم يُسمع</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والأمثلة على ذلك كثیرة منها ما صرَّح به سيبويه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بدأ بالمخاطَب قبل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أعطاكني، أو بدأ بالغائب قبل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أعطاهوني، فهو قبيح لا تَكلَّم به العرب، ولكنّ النحويین قاسوه</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 ومثل هذا جاء على لسان </w:t>
      </w:r>
    </w:p>
    <w:p>
      <w:pPr>
        <w:pStyle w:val="BookText"/>
        <w:rPr/>
      </w:pPr>
      <w:r>
        <w:rPr>
          <w:rFonts w:ascii="Amiri" w:hAnsi="Amiri" w:eastAsia="Amiri" w:cs="Amiri"/>
          <w:color w:val="111111"/>
          <w:sz w:val="28"/>
          <w:sz w:val="28"/>
          <w:szCs w:val="28"/>
          <w:rtl w:val="true"/>
          <w:lang w:bidi="ar-SA"/>
        </w:rPr>
        <w:t>المبرّد،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النحويون فأدخلوا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وأكثروا في ذلك</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وهو الباب الذي بشأنه قال أبو حيان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التراكيب كلّها مِن وضْع النحویين، ولا يوجد نظائرها في لسان العرب</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العرب والنحويین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النوع الذي تكون فيه المسألة ممتنعةً لدى النحويین بسبب امتناعها في كلام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ويسعى هذا الباب إلى رصد نماذج من مسائل نحوية قد منعها النحويون إمّا نتيجةً لاحتكامهم فيها إلى القياس وحده، أو بسبب عدم الاستقراء الدقيق لشواهد العربية، اتضح في الحالتین جوازها لورودها في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قَسَّمتُه على النحو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أغلبُ النَحْويينَ في الأسماء</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أغلبُ النَحْويينَ في الأفعال والحروف</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7031_80774"/>
      <w:bookmarkStart w:id="83" w:name="pg7031_80774"/>
      <w:bookmarkEnd w:id="83"/>
    </w:p>
    <w:p>
      <w:pPr>
        <w:pStyle w:val="Heading3"/>
        <w:numPr>
          <w:ilvl w:val="2"/>
          <w:numId w:val="1"/>
        </w:numPr>
        <w:rPr/>
      </w:pPr>
      <w:bookmarkStart w:id="84" w:name="pg7031_80774"/>
      <w:bookmarkStart w:id="85" w:name="__RefHeading___Toc2958284_372815092"/>
      <w:bookmarkStart w:id="86" w:name="_Toc28"/>
      <w:bookmarkEnd w:id="84"/>
      <w:bookmarkEnd w:id="85"/>
      <w:r>
        <w:rPr>
          <w:rtl w:val="true"/>
        </w:rPr>
        <w:t>الفصل الأول ما مَنَعَهُ أغلبُ النَحْويينَ في الأسماء</w:t>
      </w:r>
      <w:bookmarkEnd w:id="8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 w:name="__RefHeading___Toc2958286_372815092"/>
      <w:bookmarkStart w:id="88" w:name="_Toc29"/>
      <w:bookmarkEnd w:id="87"/>
      <w:r>
        <w:rPr>
          <w:rtl w:val="true"/>
        </w:rPr>
        <w:t>اشارة</w:t>
      </w:r>
      <w:bookmarkEnd w:id="8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7031_80778"/>
      <w:bookmarkStart w:id="90" w:name="pg7031_80778"/>
      <w:bookmarkEnd w:id="90"/>
    </w:p>
    <w:p>
      <w:pPr>
        <w:pStyle w:val="Heading4"/>
        <w:numPr>
          <w:ilvl w:val="3"/>
          <w:numId w:val="1"/>
        </w:numPr>
        <w:rPr/>
      </w:pPr>
      <w:bookmarkStart w:id="91" w:name="pg7031_80778"/>
      <w:bookmarkStart w:id="92" w:name="__RefHeading___Toc2958288_372815092"/>
      <w:bookmarkStart w:id="93" w:name="_Toc30"/>
      <w:bookmarkEnd w:id="91"/>
      <w:bookmarkEnd w:id="92"/>
      <w:r>
        <w:rPr>
          <w:rtl w:val="true"/>
        </w:rPr>
        <w:t>المسألة الأولى</w:t>
      </w:r>
      <w:r>
        <w:rPr>
          <w:rtl w:val="true"/>
        </w:rPr>
        <w:t xml:space="preserve">: </w:t>
      </w:r>
      <w:r>
        <w:rPr>
          <w:rtl w:val="true"/>
        </w:rPr>
        <w:t xml:space="preserve">جواز زيادة </w:t>
      </w:r>
      <w:r>
        <w:rPr>
          <w:rtl w:val="true"/>
        </w:rPr>
        <w:t>(</w:t>
      </w:r>
      <w:r>
        <w:rPr>
          <w:rtl w:val="true"/>
        </w:rPr>
        <w:t>الباء</w:t>
      </w:r>
      <w:r>
        <w:rPr>
          <w:rtl w:val="true"/>
        </w:rPr>
        <w:t xml:space="preserve">) </w:t>
      </w:r>
      <w:r>
        <w:rPr>
          <w:rtl w:val="true"/>
        </w:rPr>
        <w:t>في الخبر المثبَت</w:t>
      </w:r>
      <w:r>
        <w:rPr>
          <w:rtl w:val="true"/>
        </w:rPr>
        <w:t>:</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يأتي لمعانٍ متعددة أَشهرها الإلصاق وهو أصل معانيها، ولم يذكر سيبويه غیره،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إنما هي للإلزاق والاختلاط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اتّسع من هذا في الكلام فهذا أصله</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وحروف الجر دلالاتها وعلاقاتها، أبو أوس إبراهيم الشمسان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وهي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وغیر زائدة، أمّا الزائدة فإنَّها تُزاد توكيدًا في مواضعَ ستة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والمفعول والمبتدأ والخبر والحال المنفي عاملها والتوكيد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غیر الزائدة فإنَّ لها ثلاثةَ عشر معنى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زيادتها في الخبر فهي قسمان،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قياسية وتأتي في الخبر المنفي، والقسم الآخر يتمثل بالزيادة السماعية التي لا يمكن القياس عليها وهي التي ترد في الخبر المثبَت</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وأغلب النحويین يمنعون زيادتها في الخبر المثبَت أصلاً، فإنْ ورد السماع </w:t>
      </w:r>
    </w:p>
    <w:p>
      <w:pPr>
        <w:pStyle w:val="BookText"/>
        <w:rPr/>
      </w:pPr>
      <w:r>
        <w:rPr>
          <w:rFonts w:ascii="Amiri" w:hAnsi="Amiri" w:eastAsia="Amiri" w:cs="Amiri"/>
          <w:color w:val="111111"/>
          <w:sz w:val="28"/>
          <w:sz w:val="28"/>
          <w:szCs w:val="28"/>
          <w:rtl w:val="true"/>
          <w:lang w:bidi="ar-SA"/>
        </w:rPr>
        <w:t>بذلك خرَّجوا الشواهد على التأويل والتقدير؛ لأنّهم لا يرتضون زيادتها في الخبر الموجب</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ابنُ جنّي عن الأخفش إجازته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المثبَت مستشهِدًا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كَسَبُوا السَّيِّئَاتِ جَزَاءُ سَيِّئَةٍ بِمِثْلِهَا</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 فالتقدير عند الأخفش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سيئة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 سَيِّئَةٌ مِثْلُهَا</w:t>
      </w:r>
      <w:r>
        <w:rPr>
          <w:rFonts w:eastAsia="Amiri" w:cs="Amiri" w:ascii="Amiri" w:hAnsi="Amiri"/>
          <w:color w:val="111111"/>
          <w:sz w:val="28"/>
          <w:szCs w:val="28"/>
          <w:rtl w:val="true"/>
          <w:lang w:bidi="ar-SA"/>
        </w:rPr>
        <w:t>»</w:t>
      </w:r>
      <w:r>
        <w:rPr>
          <w:rStyle w:val="FootnoteAnchor"/>
          <w:rtl w:val="true"/>
        </w:rPr>
        <w:footnoteReference w:id="170"/>
      </w:r>
      <w:r>
        <w:rPr>
          <w:rStyle w:val="FootnoteAnchor"/>
          <w:rtl w:val="true"/>
        </w:rPr>
        <w:footnoteReference w:id="171"/>
      </w:r>
      <w:r>
        <w:rPr>
          <w:rFonts w:ascii="IRNazanin" w:hAnsi="IRNazanin" w:eastAsia="IRNazanin"/>
          <w:color w:val="111111"/>
          <w:sz w:val="28"/>
          <w:sz w:val="28"/>
          <w:szCs w:val="28"/>
          <w:rtl w:val="true"/>
          <w:lang w:bidi="fa-IR"/>
        </w:rPr>
        <w:t xml:space="preserve">، وقد أورد رأيَ الأخفش هذا علماءٌ آخرون فذكروا في توجيه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آية سورة يونس وجهین،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للأخفش وإنْ لم يُصرِّح بعضهم باسمه،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محذوف تقديره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وجزاء سيئة بمثلها واقع</w:t>
      </w:r>
      <w:r>
        <w:rPr>
          <w:rStyle w:val="FootnoteAnchor"/>
          <w:rtl w:val="true"/>
        </w:rPr>
        <w:footnoteReference w:id="172"/>
      </w:r>
      <w:r>
        <w:rPr>
          <w:rFonts w:ascii="Amiri" w:hAnsi="Amiri" w:eastAsia="Amiri" w:cs="Amiri"/>
          <w:color w:val="111111"/>
          <w:sz w:val="28"/>
          <w:sz w:val="28"/>
          <w:szCs w:val="28"/>
          <w:rtl w:val="true"/>
          <w:lang w:bidi="ar-SA"/>
        </w:rPr>
        <w:t>، عى أنَّ الأخفش استدلَّ لتدعيم رأيه في الجواز بمثال، ولم أجد الآية في كتابه المطبوع، وربّما لم يصل المحقق إلى النسخة التي نظر فيها ابنُ جني، وهذا صريح كلام الأخفش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سيئة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زِيدَتْ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بحسبك قول السوء</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 فرجَّح زيادتها في الخبر حملاً على زيادتها في </w:t>
      </w:r>
    </w:p>
    <w:p>
      <w:pPr>
        <w:pStyle w:val="BookText"/>
        <w:rPr/>
      </w:pPr>
      <w:r>
        <w:rPr>
          <w:rFonts w:ascii="Amiri" w:hAnsi="Amiri" w:eastAsia="Amiri" w:cs="Amiri"/>
          <w:color w:val="111111"/>
          <w:sz w:val="28"/>
          <w:sz w:val="28"/>
          <w:szCs w:val="28"/>
          <w:rtl w:val="true"/>
          <w:lang w:bidi="ar-SA"/>
        </w:rPr>
        <w:t xml:space="preserve">المبتدإِ؛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ما يدخل على المبتدإِ قد يدخل على الخبر،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في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وجهه لحسن</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تابع الأخفشَ على رأيه هذا ابنُ كَيسان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 ونقل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نحويي البصرة من دون تصريحٍ بأسمائهم قولهم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محل الخلاف</w:t>
      </w:r>
      <w:r>
        <w:rPr>
          <w:rStyle w:val="FootnoteAnchor"/>
          <w:rtl w:val="true"/>
        </w:rPr>
        <w:footnoteReference w:id="176"/>
      </w:r>
      <w:r>
        <w:rPr>
          <w:rFonts w:ascii="Amiri" w:hAnsi="Amiri" w:eastAsia="Amiri" w:cs="Amiri"/>
          <w:color w:val="111111"/>
          <w:sz w:val="28"/>
          <w:sz w:val="28"/>
          <w:szCs w:val="28"/>
          <w:rtl w:val="true"/>
          <w:lang w:bidi="ar-SA"/>
        </w:rPr>
        <w:t>، وصرَّح بذلك أبو البركات الأنباري أيضًا</w:t>
      </w:r>
      <w:r>
        <w:rPr>
          <w:rStyle w:val="FootnoteAnchor"/>
          <w:rtl w:val="true"/>
        </w:rPr>
        <w:footnoteReference w:id="177"/>
      </w:r>
      <w:r>
        <w:rPr>
          <w:rFonts w:ascii="IRNazanin" w:hAnsi="IRNazanin" w:eastAsia="IRNazanin"/>
          <w:color w:val="111111"/>
          <w:sz w:val="28"/>
          <w:sz w:val="28"/>
          <w:szCs w:val="28"/>
          <w:rtl w:val="true"/>
          <w:lang w:bidi="fa-IR"/>
        </w:rPr>
        <w:t xml:space="preserve">، وقد نسب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جمهور النحويین اعتراضهم على ذلك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 أبي الحسن وابن كيسان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الخبر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زِيدَتْ في الخبر كما زِيدَتْ في المبتدإِ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بحسبك درهم فمردود عند الجمهور وقد يؤنس قولهما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 سَيِّئَةٌ مِثْلُهَا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يظهر مما تقدَّم أنَّ الاستدلال بالقرآن نفسِه في ترجيح وجهٍ إعرابيٍ معین لهو السبيل الأَولى بالقبول كما ذهب ابن جني، وكما هو منهج الكثیرِ من النحويین والمفسِّرين</w:t>
      </w:r>
      <w:r>
        <w:rPr>
          <w:rStyle w:val="FootnoteAnchor"/>
          <w:rtl w:val="true"/>
        </w:rPr>
        <w:footnoteReference w:id="179"/>
      </w:r>
      <w:r>
        <w:rPr>
          <w:rFonts w:ascii="Amiri" w:hAnsi="Amiri" w:eastAsia="Amiri" w:cs="Amiri"/>
          <w:color w:val="111111"/>
          <w:sz w:val="28"/>
          <w:sz w:val="28"/>
          <w:szCs w:val="28"/>
          <w:rtl w:val="true"/>
          <w:lang w:bidi="ar-SA"/>
        </w:rPr>
        <w:t xml:space="preserve">، على أنَّ القول بزيادتها من دون بيان دلالتها لا يمكن قبوله ولاسيما في القرآن الكريم الذي يختار لكلِّ لفظةٍ موضعَها المناسبَ الدقيقَ، كما أنَّ اللجوء إلى التأويل والتقدير خلاف الظاهر غالبًا، لهذا فإنَّ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قد يُوحي </w:t>
      </w:r>
    </w:p>
    <w:p>
      <w:pPr>
        <w:pStyle w:val="BookText"/>
        <w:rPr/>
      </w:pPr>
      <w:r>
        <w:rPr>
          <w:rFonts w:ascii="Amiri" w:hAnsi="Amiri" w:eastAsia="Amiri" w:cs="Amiri"/>
          <w:color w:val="111111"/>
          <w:sz w:val="28"/>
          <w:sz w:val="28"/>
          <w:szCs w:val="28"/>
          <w:rtl w:val="true"/>
          <w:lang w:bidi="ar-SA"/>
        </w:rPr>
        <w:t>بدلالة التوكيد، وهي الدلالة التي يمكن استظهارها من السياق والقرائن المحيطة بالنص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شواهد هذه المسألة في نهج البلاغة ما ورد في كلام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أَرسلَ رجلاً مِن أَصحابِه يعلم له أَحوال قومٍ من الجند أرادوا اللِّحاق بالخوارج،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اَلْيَوْمَ قَدِ اِسْتَفَلَّهُمْ وَهُوَ غَدًا مُتَبَرِّئٌ مِنْهُمْ وَمُتَخَلٍّ عَنْهُمْ فَحَسْبُهُمْ بِخُرُوجِهِمْ مِنَ اَلْهُدَى وَاِرْتِكَاسِهِمْ فِی اَلضَّلاَلِ وَ اَلْعَمَى</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دعاهم الشيطان إلى الانشقاق و الانهزام عن الجماعة بتزيین ذلك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البحراني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أخبر هذا الرجلُ الإمامَ بأنَّ قومًا من الجند قد خافوا فالتحقوا بالخوارج، دعا عليهم الإمام بأنْ يُبعدهم الله تعالى عن رحمته، ثمّ نبَّه على أنّ ما صدر عنهم هو من عمل الشيطان، ولمّا كان الأمرُ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فَحَسْبُهُمْ بِخُرُوجِهِمْ 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يكفيهم ضَلالاً وانحرافًا خروجهم من الهدى الذي كانوا عليه حينما كانوا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ورجوعهم إلى الضلال القديم والجهل، لأنهم خرجوا عن طاعة الإمام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94" w:name="pg7031_80787"/>
    </w:p>
    <w:p>
      <w:pPr>
        <w:pStyle w:val="BookText"/>
        <w:rPr/>
      </w:pPr>
      <w:bookmarkEnd w:id="94"/>
      <w:r>
        <w:rPr>
          <w:rFonts w:ascii="Amiri" w:hAnsi="Amiri" w:eastAsia="Amiri" w:cs="Amiri"/>
          <w:color w:val="111111"/>
          <w:sz w:val="28"/>
          <w:sz w:val="28"/>
          <w:szCs w:val="28"/>
          <w:rtl w:val="true"/>
          <w:lang w:bidi="ar-SA"/>
        </w:rPr>
        <w:t xml:space="preserve">واحتكامًا الى المعنى الذي جاء عليه النص العلَوي فقد صرَّح عدد من شُّراح النهج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بخروجهم</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واستنادًا إلى ما تقدَّم يمكن إعادة صوغ القاعدة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على قلة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المثبَت لورود ذلك في نهج البلاغة فضلاً عن القرآن الكريم</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2958290_372815092"/>
      <w:bookmarkStart w:id="96" w:name="_Toc31"/>
      <w:bookmarkEnd w:id="95"/>
      <w:r>
        <w:rPr>
          <w:rtl w:val="true"/>
        </w:rPr>
        <w:t>المسألة الثانية</w:t>
      </w:r>
      <w:r>
        <w:rPr>
          <w:rtl w:val="true"/>
        </w:rPr>
        <w:t xml:space="preserve">: </w:t>
      </w:r>
      <w:r>
        <w:rPr>
          <w:rtl w:val="true"/>
        </w:rPr>
        <w:t xml:space="preserve">جواز اقتران الخبر ب </w:t>
      </w:r>
      <w:r>
        <w:rPr>
          <w:rtl w:val="true"/>
        </w:rPr>
        <w:t>(</w:t>
      </w:r>
      <w:r>
        <w:rPr>
          <w:rtl w:val="true"/>
        </w:rPr>
        <w:t>الفاء</w:t>
      </w:r>
      <w:r>
        <w:rPr>
          <w:rtl w:val="true"/>
        </w:rPr>
        <w:t xml:space="preserve">) </w:t>
      </w:r>
      <w:r>
        <w:rPr>
          <w:rtl w:val="true"/>
        </w:rPr>
        <w:t>من غير تضمّنه معنى الشرط</w:t>
      </w:r>
      <w:r>
        <w:rPr>
          <w:rtl w:val="true"/>
        </w:rPr>
        <w:t>:</w:t>
      </w:r>
      <w:bookmarkEnd w:id="96"/>
    </w:p>
    <w:p>
      <w:pPr>
        <w:pStyle w:val="BookText"/>
        <w:rPr/>
      </w:pPr>
      <w:r>
        <w:rPr>
          <w:rFonts w:ascii="Amiri" w:hAnsi="Amiri" w:eastAsia="Amiri" w:cs="Amiri"/>
          <w:color w:val="111111"/>
          <w:sz w:val="28"/>
          <w:sz w:val="28"/>
          <w:szCs w:val="28"/>
          <w:rtl w:val="true"/>
          <w:lang w:bidi="ar-SA"/>
        </w:rPr>
        <w:t xml:space="preserve">منع النحويون اقتران الخبر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تضمَّن المبتدأ معنى الشرط ودلَّ الخبر على معنى الجزاء،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فاضربْه، لم يستقمْ أنْ تحمله على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أنَّك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فمنطلق لم يستقم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أنك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يأتيني فلَهُ درهم، والذي يأتيني فمُكرَمٌ محمود،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فله درهم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جاز ذلك؛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يأتيني فله درهم، في معنى الجزاء، فدخلت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خبره كما تدخل في خبر الجزاء</w:t>
      </w:r>
      <w:r>
        <w:rPr>
          <w:rFonts w:eastAsia="Amiri" w:cs="Amiri" w:ascii="Amiri" w:hAnsi="Amiri"/>
          <w:color w:val="111111"/>
          <w:sz w:val="28"/>
          <w:szCs w:val="28"/>
          <w:rtl w:val="true"/>
          <w:lang w:bidi="ar-SA"/>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وتابعه المبرّد</w:t>
      </w:r>
      <w:r>
        <w:rPr>
          <w:rStyle w:val="FootnoteAnchor"/>
          <w:rtl w:val="true"/>
        </w:rPr>
        <w:footnoteReference w:id="184"/>
      </w:r>
      <w:r>
        <w:rPr>
          <w:rFonts w:ascii="Amiri" w:hAnsi="Amiri" w:eastAsia="Amiri" w:cs="Amiri"/>
          <w:color w:val="111111"/>
          <w:sz w:val="28"/>
          <w:sz w:val="28"/>
          <w:szCs w:val="28"/>
          <w:rtl w:val="true"/>
          <w:lang w:bidi="ar-SA"/>
        </w:rPr>
        <w:t xml:space="preserve">، وأخذ بمذهبه ابنُ يعيش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مالك والرضي</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سيبويه هذا المعنى أيضًا في محاورةٍ جرتْ بينه وبین أُستاذه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فيها معنى الشرطية أو شبهها بالاسم الموصول، أو ما جرى عليه </w:t>
      </w:r>
    </w:p>
    <w:p>
      <w:pPr>
        <w:pStyle w:val="BookText"/>
        <w:rPr/>
      </w:pPr>
      <w:r>
        <w:rPr>
          <w:rFonts w:ascii="Amiri" w:hAnsi="Amiri" w:eastAsia="Amiri" w:cs="Amiri"/>
          <w:color w:val="111111"/>
          <w:sz w:val="28"/>
          <w:sz w:val="28"/>
          <w:szCs w:val="28"/>
          <w:rtl w:val="true"/>
          <w:lang w:bidi="ar-SA"/>
        </w:rPr>
        <w:t xml:space="preserve">حكمه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اقتران الخبر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يجب في المبتدإ ههنا الإبهام والعموم</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وتعليل النحويین لاشراط الشرطية أو شبهها في المبتدإِ لاقتران خبره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للدلالة على أنَّ الخبر صار مستحِقًا للمبتدإ ومسببًا عنه، وهو بمنزلة الجزاء له، فتدخل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للسبب بالمسبب؛ لأنّها كما تربط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بشرطِه كذلك تربط شبه الجواب بشبه الشرط وذلك في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يأتيني فله درهم، وبدخولها فهم ما أراده المتكلم من ترتب لزوم الدرهم على الإتيان ولو لم تدخل احتمل ذلك وغیره</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نسب الباقولي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الأخفش تجويزه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المبتدإِ مطلقًا</w:t>
      </w:r>
      <w:r>
        <w:rPr>
          <w:rStyle w:val="FootnoteAnchor"/>
          <w:rtl w:val="true"/>
        </w:rPr>
        <w:footnoteReference w:id="188"/>
      </w:r>
      <w:r>
        <w:rPr>
          <w:rFonts w:ascii="Amiri" w:hAnsi="Amiri" w:eastAsia="Amiri" w:cs="Amiri"/>
          <w:color w:val="111111"/>
          <w:sz w:val="28"/>
          <w:sz w:val="28"/>
          <w:szCs w:val="28"/>
          <w:rtl w:val="true"/>
          <w:lang w:bidi="ar-SA"/>
        </w:rPr>
        <w:t xml:space="preserve">، وأكّد تلك النسبةَ أيضًا عددٌ من علماء العربية منهم ابنُ يعيش، وابنُ مالك، والمرادي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هشام الأنصاري، والسيوطي</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الرأيَ الذي ذكَره الأخفش يُخالف ما نُسِبَ إليه؛ إذ هو يوافق سيبويه في عدم إجازة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خبر المبتدإٍ، جاء ذلك وهو يعقب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أَيْدِيَهُاَ</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وَالزَّانِی فَاجْلِدُوا كُلَّ وَاحِدٍ مِنْهُاَ مِئَةَ جَلْدَةٍ</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فقال الأخفش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فاقطعوا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مبتدإ؛ لأنَّ خبر المبتدإ هكذا لا يكون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فينطلق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يحسن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يقف في صدارة من أجازوا اقران الخبر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والمبتدأ غیر موصول ولا نكرة موصوفة فيما إذا كان الخبر أمرًا أو نهيًا كقولك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الشركُ فاحذرْهُ، والنفاقُ فلا تقربْهُ، مستدلًا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فَلْيَذُوقُوهُ حَمِيمٌ وَغَسَّاقٌ</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مقدّمًا ومؤخرًا،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حَمِيم وغسَّاق فليذوقوه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جعلته مستأنفًا، وجعلت الكلام قبله مكتفِيًا؛ كأنك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فليذوقوه،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حميم ومنه غسَّاق</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حسن هنداوي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وتابعَه المبرّد في رأيه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وذهب الأعلم الشنتمري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إجازة هذه الصورة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وتبنّى هذا المذهبَ الأُستاذُ عباس حسن من المحدَثین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ويُقوّي مذهب المجوِّزين السماع، فمن الشواهد الشعرية المؤيِّدة لمذهبهم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البيت الشعري المشهور في كتب اللغة والنحو</w:t>
      </w:r>
      <w:r>
        <w:rPr>
          <w:rStyle w:val="FootnoteAnchor"/>
          <w:rtl w:val="true"/>
        </w:rPr>
        <w:footnoteReference w:id="1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وقائلةٍ خَوْلانُ فانْكح فتاتَهم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وأكْرُومة الحيَّين خِلْوٌ كَمَا هِياَ وقول الشاعر عدي بن زيد العبادي</w:t>
      </w:r>
      <w:r>
        <w:rPr>
          <w:rStyle w:val="FootnoteAnchor"/>
          <w:rtl w:val="true"/>
        </w:rPr>
        <w:footnoteReference w:id="1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 مُوَدِعٌ أَمْ بُكُورٌ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فَانْظُرْ لأَيِّ ذَاكَ تَصِيرُ و يبدو أنَّ تلك الشواهد كافيةٌ للحكم بجواز اقتران الخبر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أمرًا أو نهيًا سواء أكان المبتدأ موصولًا أو موصوفًا بالشرط أو لا، هذا من جانب الاحتكام إلى السماع، وأما الاحتكام إلى القياس فإنّه يمكن أنْ تُحملَ هذه المسألة على جواز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وصلتها، فإنَّ الفراء وقسماً من النحويین قد أجازوا هذا الاقتران استنادًا إلى أنَّ الرفع يدلُّ على العموم والإبهام في المبتدإ، فاحتجّوا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البركات الأنباري في توجيه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لأنّه لم يُرِد سارقًا بعينه وإنما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سرق فاقطعوا، فينزل السارق منزلة الذي سرق وهو يتضمّن معنى الشرط والجزاء، والمبتدأ إذا تضمَّن معنى الشرط والجزاء دخلت في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وهو ما ارتضاه الرازي أيضًا</w:t>
      </w:r>
      <w:r>
        <w:rPr>
          <w:rStyle w:val="FootnoteAnchor"/>
          <w:rtl w:val="true"/>
        </w:rPr>
        <w:footnoteReference w:id="198"/>
      </w:r>
      <w:r>
        <w:rPr>
          <w:rFonts w:ascii="Amiri" w:hAnsi="Amiri" w:eastAsia="Amiri" w:cs="Amiri"/>
          <w:color w:val="111111"/>
          <w:sz w:val="28"/>
          <w:sz w:val="28"/>
          <w:szCs w:val="28"/>
          <w:rtl w:val="true"/>
          <w:lang w:bidi="ar-SA"/>
        </w:rPr>
        <w:t>، وعلى هذا المعنى يمكن أنْ يُحمَلَ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فَلْيَذُوقُوهُ حَمِيمٌ وَغَسَّاقٌ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والشواهد الشعرية </w:t>
      </w:r>
    </w:p>
    <w:p>
      <w:pPr>
        <w:pStyle w:val="BookText"/>
        <w:rPr/>
      </w:pPr>
      <w:r>
        <w:rPr>
          <w:rFonts w:ascii="IRNazanin" w:hAnsi="IRNazanin" w:eastAsia="IRNazanin"/>
          <w:color w:val="111111"/>
          <w:sz w:val="28"/>
          <w:sz w:val="28"/>
          <w:szCs w:val="28"/>
          <w:rtl w:val="true"/>
          <w:lang w:bidi="fa-IR"/>
        </w:rPr>
        <w:t xml:space="preserve">أيضًا بعد النظر في سياقاتها وظروف المقال فيها، ولاسيما قول عدي بن زيد، فالضمیر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وإنْ كان المخاطَبُ به ساعةَ إلقائِه مقصودًا إلّا أنَّ معناه عامٌ ينطبق على غیره من الناس أيضًا، هذا فضلاً عن أنَّ الشاهدَ القرآنيَ دليلٌ واضح على توجيه الجواز، زيادة على ما سأُورده من شاهد من نهج البلاغة أيضًا، وبهذا المعنى يصحُّ ما ذهب إليه الفرّاء الذي أجاز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الخبر إذا كان جملةً طلبيةً على أنَّ الغالب من وجهة نظري أنْ يبقى معنى الإبهام والعموم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معاني الشرط أو ما يُحمل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الغالب والأَولى لاشتراط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رآه سيبويه وإنْ كان مذهبُه فيه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كان مذهبُ سيبويه ومن وافقه عدمَ قبول الاحتجاج بهذه الشواهد وسواها كان التأويلُ حاضرًا لتسويغ ما ذهبوا إليه، لهذا ساق سيبويه بعض هذه الأبيات الشعرية، فخرّجها على حذف المبتدإ،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الأول خبرًا لذلك المبتدإ،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خولان أو هؤلاء خولان، قال سيبويه في هذا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بالفعل بعد أنْ عَمل فيه المضمَرُ</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 ويقصد بالفعل ههنا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أنَّ عاملَه محذوف</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بيت عدي بن زيد فقد خرَّجه النحويون على أحد ثلاثة أوجه، إما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 لفعلٍ محذوف يفسره المذكور،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فانظرْ، ثم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وحده فبرز ضمیره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فانظرْ، وإما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وخبره محذوف،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الراحل فانظرْ، وبهذا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للجملة، وإما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لمبتدإ محذوف،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الراحل أنت</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وهي تقديرات تُخرج الشواهد عن ظاهرها، ويبدو تكلّف التقدير جليًا فيها، والأصل عدم التقدير، ولهذا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المبتدأ في هذه الشواهد عام فاقترب من الإبهام والعموم الموجود في الشرط وفيما يشبهه؛ لذا كان اقتران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في محله، ولولا ذلك لكان المختارُ في المبتدإ النصبَ لا الرفعَ؛ إذ تلتْه جملةٌ طلبيةٌ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شواهد هذه المسألة في نهج البلاغة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 في استنفار الناس إلى أهل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اِمْرَأً يُمَكِّنُ عَدُوَّهُ مِنْ نَفْسِهِ يَعْرُقُ لَحْمَهُ وَيَهْشِمُ عَظْمَهُ وَ يَفْرِي جِلْدَهُ لَعَظِيمٌ عَجْزُهُ ضَعِيفٌ مَا ضُمَّتْ عَلَيْهِ جَوَانِحُ صَدْرِهِ أَنْتَ فَكُنْ ذَاكَ إِنْ شِئْتَ فَأَمَّا أَنَا فَوَ الله دُونَ أَنْ أُعْطِيَ ذَلِكَ ضَرْبٌ بِالْمَشْرَفِيَّةِ</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والمشرفية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السيوف منسوبة إلى المشارف وهي قرى من أرض اليمن،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أرض العرب تدنو من الريف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أنِ استهلَّ الإمام خطبته باستنهاض الناس لمواجهة جيش معاوية؛ انتقل إلى بيان مسوِّغ تلك الدعوة بأنَّ الركون إلى الظالم والانقياد له مع القدرة على تغيیره، أو المساهمة بتمكينه منهم لهو العجزُ بعينه، فخطابُه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متَّجِه إلى هذه الفئةِ من الناس، وهذا ما لا يرتضيه الإمام لهم ولنفسه بالذات؛ لذا جاء قوله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فكنْ ذاك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خطاب لهم ولمَن يصدُقُ عليه هذا الوصف أيضًا، فهو خطاب عام لكلِّ من يمكِّن عدوَّه من نفسه كائنًا مَن كان، وهذا ما أعربَ عنه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النهج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خاطبَ الذي يمكِّن من نفسه عدوَه كائنًا مَن كان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فكنْ ذاك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أنا فدون تمكین العدو من نفسي محاربة شديدة و ضرب بالسيوف، أي لا يكون ذلك منّي </w:t>
      </w:r>
    </w:p>
    <w:p>
      <w:pPr>
        <w:pStyle w:val="BookText"/>
        <w:rPr/>
      </w:pPr>
      <w:r>
        <w:rPr>
          <w:rFonts w:ascii="IRNazanin" w:hAnsi="IRNazanin" w:eastAsia="IRNazanin"/>
          <w:color w:val="111111"/>
          <w:sz w:val="28"/>
          <w:sz w:val="28"/>
          <w:szCs w:val="28"/>
          <w:rtl w:val="true"/>
          <w:lang w:bidi="fa-IR"/>
        </w:rPr>
        <w:t>إلا بعد العجز</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 وأكد عمومَ هذا الخطاب وعدم اختصاصه بشخص بعينِه ابنُ أبي الحديد أيضً</w:t>
      </w:r>
      <w:r>
        <w:rPr>
          <w:rStyle w:val="FootnoteAnchor"/>
          <w:rtl w:val="true"/>
        </w:rPr>
        <w:footnoteReference w:id="203"/>
      </w:r>
      <w:r>
        <w:rPr>
          <w:rFonts w:ascii="IRNazanin" w:hAnsi="IRNazanin" w:eastAsia="IRNazanin"/>
          <w:color w:val="111111"/>
          <w:sz w:val="28"/>
          <w:sz w:val="28"/>
          <w:szCs w:val="28"/>
          <w:rtl w:val="true"/>
          <w:lang w:bidi="fa-IR"/>
        </w:rPr>
        <w:t xml:space="preserve">، وذكره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خاطبهم بخطاب مجمَل من غیر تعیين للمخاطب تقريعًا وتنفیرًا لهم عماّ يلزمهم من الأحوال الرديّة بتمكينهم العدو من أنفسهم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فكن ذاك إنْ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أنت أيُّها المُمَكِّن من نفسه و المسلِّط له عليه كنْ ذاك المرء الموصوف بالعجز و الجبن و الضعف</w:t>
      </w:r>
      <w:r>
        <w:rPr>
          <w:rFonts w:eastAsia="IRNazanin" w:cs="IRNazanin"/>
          <w:color w:val="111111"/>
          <w:sz w:val="28"/>
          <w:szCs w:val="28"/>
          <w:rtl w:val="true"/>
          <w:lang w:bidi="fa-IR"/>
        </w:rPr>
        <w:t>))</w:t>
      </w:r>
      <w:r>
        <w:rPr>
          <w:rStyle w:val="FootnoteAnchor"/>
          <w:rtl w:val="true"/>
        </w:rPr>
        <w:footnoteReference w:id="204"/>
      </w:r>
      <w:r>
        <w:rPr>
          <w:rFonts w:ascii="Amiri" w:hAnsi="Amiri" w:eastAsia="Amiri" w:cs="Amiri"/>
          <w:color w:val="111111"/>
          <w:sz w:val="28"/>
          <w:sz w:val="28"/>
          <w:szCs w:val="28"/>
          <w:rtl w:val="true"/>
          <w:lang w:bidi="ar-SA"/>
        </w:rPr>
        <w:t xml:space="preserve">، لهذا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لمطلق شخص يضعُف عن عدوِّه و يستسلم له،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 تختار لنفسك أيُّها الجبان من الإذلال والهوان</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يكون اقتران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محلِّه ولم يخرج عماّ أجازه الفراء ومؤيِّدوه، لكنَّه مخالفٌ لِما اشترطه سيبويه ومتابعوه من صور المبتدإِ التي يقترن الخبر فيها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كان بالإمكان حمله عليه؛ فالضمیر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كما اتضح في النص عامٌّ مطلَق لم يدلّ على معیَّن وبهذا يقرُب من عموم الشرط وإبهامه، ولهذا 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الخبر لشبهه الجزاء، ولهذا كان على سيبويه ومن تبعه أن يُفردوا لهذا الاقتران فرعًا من الصور التي ذكروها، ويوسّعوا القاعدة النحوية التي قرّروها، وإذا كانوا معذورين في عدم الوقوف على شاهد نهج البلاغة فإنَّ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إغفالها وغض الطَّرف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العلَوي منادى لحرف نداء محذوف، والتقدير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ضمیر المخاطب شاذ نادر الوقوع في كلام العرب قصره </w:t>
      </w:r>
      <w:bookmarkStart w:id="97" w:name="pg7031_80801"/>
    </w:p>
    <w:p>
      <w:pPr>
        <w:pStyle w:val="BookText"/>
        <w:rPr/>
      </w:pPr>
      <w:bookmarkEnd w:id="97"/>
      <w:r>
        <w:rPr>
          <w:rFonts w:ascii="Amiri" w:hAnsi="Amiri" w:eastAsia="Amiri" w:cs="Amiri"/>
          <w:color w:val="111111"/>
          <w:sz w:val="28"/>
          <w:sz w:val="28"/>
          <w:szCs w:val="28"/>
          <w:rtl w:val="true"/>
          <w:lang w:bidi="ar-SA"/>
        </w:rPr>
        <w:t>ابن عصفور على لغة الشعر</w:t>
      </w:r>
      <w:r>
        <w:rPr>
          <w:rStyle w:val="FootnoteAnchor"/>
          <w:rtl w:val="true"/>
        </w:rPr>
        <w:footnoteReference w:id="206"/>
      </w:r>
      <w:r>
        <w:rPr>
          <w:rFonts w:ascii="IRNazanin" w:hAnsi="IRNazanin" w:eastAsia="IRNazanin"/>
          <w:color w:val="111111"/>
          <w:sz w:val="28"/>
          <w:sz w:val="28"/>
          <w:szCs w:val="28"/>
          <w:rtl w:val="true"/>
          <w:lang w:bidi="fa-IR"/>
        </w:rPr>
        <w:t>، بل هو ممنوع عند النحويین، فلا يجتمع ضمیر المخاطب والنداء؛ لأنَّ أحدهما يُغني عن الآخر</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نخلص من هذا إلى تعديل القاعدة النحوية بالآتي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اقتران الخبر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المبتدأ عامًا مطلقًا وكان الخبر جملةً طلبيةً استنادًا إلى ما ورد في نهج البلاغة فضلاً عن القرآن الكريم والشعر العربي، وبالقياس على إبهام الشرط وعمومه</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2958292_372815092"/>
      <w:bookmarkStart w:id="99" w:name="_Toc32"/>
      <w:bookmarkEnd w:id="98"/>
      <w:r>
        <w:rPr>
          <w:rtl w:val="true"/>
        </w:rPr>
        <w:t>المسألة الثالثة</w:t>
      </w:r>
      <w:r>
        <w:rPr>
          <w:rtl w:val="true"/>
        </w:rPr>
        <w:t xml:space="preserve">: </w:t>
      </w:r>
      <w:r>
        <w:rPr>
          <w:rtl w:val="true"/>
        </w:rPr>
        <w:t>جواز إظهار متعلِّق شبه الجملة الواقعة خبرًا</w:t>
      </w:r>
      <w:r>
        <w:rPr>
          <w:rtl w:val="true"/>
        </w:rPr>
        <w:t>:</w:t>
      </w:r>
      <w:bookmarkEnd w:id="99"/>
    </w:p>
    <w:p>
      <w:pPr>
        <w:pStyle w:val="BookText"/>
        <w:rPr/>
      </w:pPr>
      <w:r>
        <w:rPr>
          <w:rFonts w:ascii="Amiri" w:hAnsi="Amiri" w:eastAsia="Amiri" w:cs="Amiri"/>
          <w:color w:val="111111"/>
          <w:sz w:val="28"/>
          <w:sz w:val="28"/>
          <w:szCs w:val="28"/>
          <w:rtl w:val="true"/>
          <w:lang w:bidi="ar-SA"/>
        </w:rPr>
        <w:t>يرى النحويون أنَّ شبه الجملة من الجار والمجرور أو الظرف إذا وقعت خبرًا أو صفةً أو حالً يجب أنْ تتعلَّقَ بمحذوف عامل فيها إذا كان كونًا عامًا مطلقًا، فقولك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يُقدَّر فيه محذوف تتعلَّق به شبه الجملة ويعمل فيها، لذا يعمدون إلى تقدير كلمة مشتقة،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البصريین،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الكوفيین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هذا من أجل التمسك بنظرية العامل وما تفرضه من تقدير أو تأويل</w:t>
      </w:r>
      <w:r>
        <w:rPr>
          <w:rStyle w:val="FootnoteAnchor"/>
          <w:rtl w:val="true"/>
        </w:rPr>
        <w:footnoteReference w:id="208"/>
      </w:r>
      <w:r>
        <w:rPr>
          <w:rFonts w:ascii="IRNazanin" w:hAnsi="IRNazanin" w:eastAsia="IRNazanin"/>
          <w:color w:val="111111"/>
          <w:sz w:val="28"/>
          <w:sz w:val="28"/>
          <w:szCs w:val="28"/>
          <w:rtl w:val="true"/>
          <w:lang w:bidi="fa-IR"/>
        </w:rPr>
        <w:t>، ولا يجوز عند النحويین إظهار هذا العاملِ استغناءً بالظرف عنه، فهو واجب الحذف</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محمد باسل عيون السود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والنحو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وظاهرة الحذف في الدرس اللغوي، 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طاهر سليمان حمودة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والجملة العربية تأليفها وأقسامها،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السامرائي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لأنّهم يعدّونه أصلاً مرفوضًا</w:t>
      </w:r>
      <w:r>
        <w:rPr>
          <w:rStyle w:val="FootnoteAnchor"/>
          <w:rtl w:val="true"/>
        </w:rPr>
        <w:footnoteReference w:id="210"/>
      </w:r>
      <w:r>
        <w:rPr>
          <w:rFonts w:ascii="Amiri" w:hAnsi="Amiri" w:eastAsia="Amiri" w:cs="Amiri"/>
          <w:color w:val="111111"/>
          <w:sz w:val="28"/>
          <w:sz w:val="28"/>
          <w:szCs w:val="28"/>
          <w:rtl w:val="true"/>
          <w:lang w:bidi="ar-SA"/>
        </w:rPr>
        <w:t>ونُقِلَ عن ابن جني القول بإجازة إظهار هذا العامل، فيجوز لك على وفق رأيه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مستقر في الدار، وقد تناقلَ هذا الرأي عددٌ من علماء العربية، منهم ابن يعيش</w:t>
      </w:r>
      <w:r>
        <w:rPr>
          <w:rStyle w:val="FootnoteAnchor"/>
          <w:rtl w:val="true"/>
        </w:rPr>
        <w:footnoteReference w:id="211"/>
      </w:r>
      <w:r>
        <w:rPr>
          <w:rFonts w:ascii="IRNazanin" w:hAnsi="IRNazanin" w:eastAsia="IRNazanin"/>
          <w:color w:val="111111"/>
          <w:sz w:val="28"/>
          <w:sz w:val="28"/>
          <w:szCs w:val="28"/>
          <w:rtl w:val="true"/>
          <w:lang w:bidi="fa-IR"/>
        </w:rPr>
        <w:t>، وابن هشام</w:t>
      </w:r>
      <w:r>
        <w:rPr>
          <w:rStyle w:val="FootnoteAnchor"/>
          <w:rtl w:val="true"/>
        </w:rPr>
        <w:footnoteReference w:id="212"/>
      </w:r>
      <w:r>
        <w:rPr>
          <w:rFonts w:ascii="Amiri" w:hAnsi="Amiri" w:eastAsia="Amiri" w:cs="Amiri"/>
          <w:color w:val="111111"/>
          <w:sz w:val="28"/>
          <w:sz w:val="28"/>
          <w:szCs w:val="28"/>
          <w:rtl w:val="true"/>
          <w:lang w:bidi="ar-SA"/>
        </w:rPr>
        <w:t xml:space="preserve">، وناظر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 والعَيني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214"/>
      </w:r>
      <w:r>
        <w:rPr>
          <w:rFonts w:ascii="Amiri" w:hAnsi="Amiri" w:eastAsia="Amiri" w:cs="Amiri"/>
          <w:color w:val="111111"/>
          <w:sz w:val="28"/>
          <w:sz w:val="28"/>
          <w:szCs w:val="28"/>
          <w:rtl w:val="true"/>
          <w:lang w:bidi="ar-SA"/>
        </w:rPr>
        <w:t>، والسيوطي</w:t>
      </w:r>
      <w:r>
        <w:rPr>
          <w:rStyle w:val="FootnoteAnchor"/>
          <w:rtl w:val="true"/>
        </w:rPr>
        <w:footnoteReference w:id="215"/>
      </w:r>
      <w:r>
        <w:rPr>
          <w:rFonts w:ascii="Amiri" w:hAnsi="Amiri" w:eastAsia="Amiri" w:cs="Amiri"/>
          <w:color w:val="111111"/>
          <w:sz w:val="28"/>
          <w:sz w:val="28"/>
          <w:szCs w:val="28"/>
          <w:rtl w:val="true"/>
          <w:lang w:bidi="ar-SA"/>
        </w:rPr>
        <w:t xml:space="preserve">، والشنقيطي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وقد نَسب هؤلاء العلماء إلى ابن جني احتجاجه لتقوية هذا الجواز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رَآَهُ مُسْتَقِرًّا عِنْدَهُ قَالَ هَذَا مِنْ فَضْلِ رَبِّی</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 وبقول الشاعر</w:t>
      </w:r>
      <w:r>
        <w:rPr>
          <w:rStyle w:val="FootnoteAnchor"/>
          <w:rtl w:val="true"/>
        </w:rPr>
        <w:footnoteReference w:id="2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العِزُّ إنْ مولاك عزَّ وإن 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لدى بحبوحةِ الهونِ كائنُ وقد حُمِلَ هذا الشاهد الشعري على الشذوذ</w:t>
      </w:r>
      <w:r>
        <w:rPr>
          <w:rStyle w:val="FootnoteAnchor"/>
          <w:rtl w:val="true"/>
        </w:rPr>
        <w:footnoteReference w:id="219"/>
      </w:r>
      <w:r>
        <w:rPr>
          <w:rFonts w:ascii="Amiri" w:hAnsi="Amiri" w:eastAsia="Amiri" w:cs="Amiri"/>
          <w:color w:val="111111"/>
          <w:sz w:val="28"/>
          <w:sz w:val="28"/>
          <w:szCs w:val="28"/>
          <w:rtl w:val="true"/>
          <w:lang w:bidi="ar-SA"/>
        </w:rPr>
        <w:t xml:space="preserve">، وحُمِلَتْ الآية على التأويل </w:t>
      </w:r>
    </w:p>
    <w:p>
      <w:pPr>
        <w:pStyle w:val="BookText"/>
        <w:rPr/>
      </w:pPr>
      <w:r>
        <w:rPr>
          <w:rFonts w:ascii="Amiri" w:hAnsi="Amiri" w:eastAsia="Amiri" w:cs="Amiri"/>
          <w:color w:val="111111"/>
          <w:sz w:val="28"/>
          <w:sz w:val="28"/>
          <w:szCs w:val="28"/>
          <w:rtl w:val="true"/>
          <w:lang w:bidi="ar-SA"/>
        </w:rPr>
        <w:t>والتقدير،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الاستقرار الوارد فيها لا يعني الحصولَ المطلقَ بل المرادُ به الثابتُ الذي لا يَتَقَلْقَلُ، وهو رأي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 وقد استحسنه أبو حيان، والسمين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عادل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الشيخ عادل أحمد عبد الموجود، والشيخ علي محمد معوض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عاملاً في الظرف، بل هو ظرف للرؤية،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نسبة القول بجواز إظهار العامل إلى ابن جني تدعو إلى التحقق والتثبّت من صحتها؛ لأنَّ الذين نقلوا عنه لم يذكروا كلامه بنصِّه، ولم يوثِّقوه من كتبِه، بل نقل اللاحق منهم عن السابق، كما نقل ناظر الجيش عن ابن يعيش</w:t>
      </w:r>
      <w:r>
        <w:rPr>
          <w:rStyle w:val="FootnoteAnchor"/>
          <w:rtl w:val="true"/>
        </w:rPr>
        <w:footnoteReference w:id="222"/>
      </w:r>
      <w:r>
        <w:rPr>
          <w:rFonts w:ascii="Amiri" w:hAnsi="Amiri" w:eastAsia="Amiri" w:cs="Amiri"/>
          <w:color w:val="111111"/>
          <w:sz w:val="28"/>
          <w:sz w:val="28"/>
          <w:szCs w:val="28"/>
          <w:rtl w:val="true"/>
          <w:lang w:bidi="ar-SA"/>
        </w:rPr>
        <w:t>، وكما اعتمد الشنقيطي على العَيني في إيراد هذا الرأي</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يَعمَد المحققون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اطَّلعت عليه من 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تخريج هذا الرأي من كتب ابن جني إلا محققو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النحوية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وثَّقوه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أنَّ الوارد فيه خلاف المنقول عنه، قال ابن جني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خلفك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بالابتداء والظرف بعده خبر عنه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مستقر خلفك</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 xml:space="preserve">، فابن جني بحسب هذا النص يرى ضرورة التقدير، وهذا ما عليه العلماء الذين شرحوا </w:t>
      </w:r>
    </w:p>
    <w:p>
      <w:pPr>
        <w:pStyle w:val="BookText"/>
        <w:rPr/>
      </w:pPr>
      <w:r>
        <w:rPr>
          <w:rFonts w:ascii="Amiri" w:hAnsi="Amiri" w:eastAsia="Amiri" w:cs="Amiri"/>
          <w:color w:val="111111"/>
          <w:sz w:val="28"/>
          <w:sz w:val="28"/>
          <w:szCs w:val="28"/>
          <w:rtl w:val="true"/>
          <w:lang w:bidi="ar-SA"/>
        </w:rPr>
        <w:t>عبارته من أمثال الباقولي</w:t>
      </w:r>
      <w:r>
        <w:rPr>
          <w:rStyle w:val="FootnoteAnchor"/>
          <w:rtl w:val="true"/>
        </w:rPr>
        <w:footnoteReference w:id="225"/>
      </w:r>
      <w:r>
        <w:rPr>
          <w:rFonts w:ascii="IRNazanin" w:hAnsi="IRNazanin" w:eastAsia="IRNazanin"/>
          <w:color w:val="111111"/>
          <w:sz w:val="28"/>
          <w:sz w:val="28"/>
          <w:szCs w:val="28"/>
          <w:rtl w:val="true"/>
          <w:lang w:bidi="fa-IR"/>
        </w:rPr>
        <w:t xml:space="preserve">، وابن الخبّاز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يؤكِّد ما أقول؛ إذ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يشرح عبارة ابن جني في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إجازته وقوع الظرف خبرًا عن المبتدإ من غیر ما يتعلق بشيء</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رأي ابن جني في هذه المسألة ربما خَفي على ناقليه، فهو وارد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تقاود السماع وتقارع الانتزاع</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هامش المحقق</w:t>
      </w:r>
    </w:p>
    <w:p>
      <w:pPr>
        <w:pStyle w:val="BookText"/>
        <w:rPr/>
      </w:pPr>
      <w:r>
        <w:rPr>
          <w:rFonts w:ascii="IRNazanin" w:hAnsi="IRNazanin" w:eastAsia="IRNazanin"/>
          <w:color w:val="111111"/>
          <w:sz w:val="28"/>
          <w:sz w:val="28"/>
          <w:szCs w:val="28"/>
          <w:rtl w:val="true"/>
          <w:lang w:bidi="fa-IR"/>
        </w:rPr>
        <w:t xml:space="preserve">، فذكر فيه أنَّ ما يؤكد جواز إظهار ما يتعلق به الجار والمجرور أو الظرف وإثباته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يرى هو عطف الفعل عليه، ولو لم يكن مُرادًا ثابتًا لما جاز ذلك العطف، فجواز العطف عليه وهو محذوف أدلُّ دليلٍ على بقاء حكمه، جاء ذلك وهو يشرح قول الشاعر أبي حيّة النمیري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عليّ غُرَابٌ غُدافٌ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فطَيَّره الشيبُ عَنِّی فطَارَا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وجواز العطف عليه أدلُّ دليلٍ على اعتداده وبقاء حكمه وأنَّ العقد عليه والمعاملة في هذا ونحوه إنما هي معه، ألا ترى أنَّ العطف نظر التثنية، ومُال أنْ يثنّى اليء فيصیر مع صاحبه شيئين إلا وحالهما في الثبات والاعتداد واحدة، فهذا وجه جواز الاستدلال به على</w:t>
      </w:r>
    </w:p>
    <w:p>
      <w:pPr>
        <w:pStyle w:val="BookText"/>
        <w:rPr/>
      </w:pPr>
      <w:r>
        <w:rPr>
          <w:rFonts w:ascii="Amiri" w:hAnsi="Amiri" w:eastAsia="Amiri" w:cs="Amiri"/>
          <w:color w:val="111111"/>
          <w:sz w:val="28"/>
          <w:sz w:val="28"/>
          <w:szCs w:val="28"/>
          <w:rtl w:val="true"/>
          <w:lang w:bidi="ar-SA"/>
        </w:rPr>
        <w:t>بقاء حكم ما تعلق به الظرف وأنه ليس أصلاً متروكًا ولا شرعًا منسوخًا</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 وفي هذا بيان صريح لرأيه بأنَّ ما تعلَّق به الظرف ليس من الأُصول المتروكة التي يجب حذفها كما يرى النحويون، وقد تابع ابنَ جني في هذا الحكم ابنُ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تعقيبه عاى آية سورة النمل المار ذكرها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تحصّل لديَّ مما تقدَّم ذكره أنَّ ابن جني ومن تابعه يجيزون إظهار هذا العامل، وأن ظهوره في القرآن الكريم إنما أُريدَ به دلالة الرسوخ والثبات لا الحصول فقط وهو رأي العكبري ومن قال برأيه، وبهذا يكون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مختلفًا عن قولنا بعد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مستقر في الدار، فظهور هذا المتعلِّق إنما يُعطي دلالةً أُخرى غیر التي جاءت بعد التأويل والتقدير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التوفيق بین هذين الرأيین بأنَّ إظهار المتعلق جائز وحذفه ليس واجبًا، على أن ظهوره يُوحي بدلالة أخرى لا تظهر في حال حذفه وتقديره، وهذا هو الفرق بین تقدير الإعراب وتفسیر المعنى</w:t>
      </w:r>
      <w:r>
        <w:rPr>
          <w:rStyle w:val="FootnoteAnchor"/>
          <w:rtl w:val="true"/>
        </w:rPr>
        <w:footnoteReference w:id="230"/>
      </w:r>
      <w:r>
        <w:rPr>
          <w:rFonts w:ascii="IRNazanin" w:hAnsi="IRNazanin" w:eastAsia="IRNazanin"/>
          <w:color w:val="111111"/>
          <w:sz w:val="28"/>
          <w:sz w:val="28"/>
          <w:szCs w:val="28"/>
          <w:rtl w:val="true"/>
          <w:lang w:bidi="fa-IR"/>
        </w:rPr>
        <w:t>، وما دام الأمر كذلك فإنّ الاكتفاء بشبه الجملة أَولى من الركون إلى التقدير والتأويل، وقد نصَّ على ذلك قِسمٌ من النحويین المتقدّمین، منهم ابن السراج الذي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الظروف من المكان فنحو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خلفك، وعمرو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والمحذوف معنى الاستقرار والحلول وما أشبههما، كأنّك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مستقر خلفك، وعمرو مستقر في الدار، ولكن هذا المحذوف لا يظهر لدلالة الظرف عليه واستغنائهم به في الاستعمال</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 ونجد </w:t>
      </w:r>
    </w:p>
    <w:p>
      <w:pPr>
        <w:pStyle w:val="BookText"/>
        <w:rPr/>
      </w:pPr>
      <w:r>
        <w:rPr>
          <w:rFonts w:ascii="Amiri" w:hAnsi="Amiri" w:eastAsia="Amiri" w:cs="Amiri"/>
          <w:color w:val="111111"/>
          <w:sz w:val="28"/>
          <w:sz w:val="28"/>
          <w:szCs w:val="28"/>
          <w:rtl w:val="true"/>
          <w:lang w:bidi="ar-SA"/>
        </w:rPr>
        <w:t>هذا المعنى عند أبي علي الفارسي أيضًا</w:t>
      </w:r>
      <w:r>
        <w:rPr>
          <w:rStyle w:val="FootnoteAnchor"/>
          <w:rtl w:val="true"/>
        </w:rPr>
        <w:footnoteReference w:id="232"/>
      </w:r>
      <w:r>
        <w:rPr>
          <w:rFonts w:ascii="Amiri" w:hAnsi="Amiri" w:eastAsia="Amiri" w:cs="Amiri"/>
          <w:color w:val="111111"/>
          <w:sz w:val="28"/>
          <w:sz w:val="28"/>
          <w:szCs w:val="28"/>
          <w:rtl w:val="true"/>
          <w:lang w:bidi="ar-SA"/>
        </w:rPr>
        <w:t xml:space="preserve">، وهو الرأي الذي استحسنه ابن مضاء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كلُّه كلامٌ تامّ لا يفتقر السّامع له إلى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 وأخذ به عدد من المحدثین، منهم الُأستاذ عباس حسن</w:t>
      </w:r>
      <w:r>
        <w:rPr>
          <w:rStyle w:val="FootnoteAnchor"/>
          <w:rtl w:val="true"/>
        </w:rPr>
        <w:footnoteReference w:id="234"/>
      </w:r>
      <w:r>
        <w:rPr>
          <w:rFonts w:ascii="Amiri" w:hAnsi="Amiri" w:eastAsia="Amiri" w:cs="Amiri"/>
          <w:color w:val="111111"/>
          <w:sz w:val="28"/>
          <w:sz w:val="28"/>
          <w:szCs w:val="28"/>
          <w:rtl w:val="true"/>
          <w:lang w:bidi="ar-SA"/>
        </w:rPr>
        <w:t>، والدكتور مهدي المخزومي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يحتاجُ المعرِبُ إلى أنْ يُعلِّقَ هذا الخبرَ بشيءٍ مقدَّرٍ وهو الوجودُ العامُّ، أو الكينونة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معلوم للمتكلمِ والسامعِ، ولأنَّ ذلك ليس هو الخبرَ، لأنَّ الفائدةَ لا تتم به، فلو كانَ هو الخبرَ لجازَ للمتكلِّم أن يقتصرَ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ويسكُت، ولاكتفى المخاطَب به، ولكن واقع الأمر غیر ذلك</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شواهد هذه المسألة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ذِكْر معاني الإيمان وأقسامه ومصاديقه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اَلْإِياَنِ مَا يَكُونُ ثَابِتًا مُسْتَقِرًّا فِی اَلْقُلُوبِ وَمِنْهُ مَا يَكُونُ عَوَارِيَّ بَیْنَ اَلْقُلُوبِ وَ اَلصُّدُورِ إلى أَجَلٍ معلوم</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تعرَّض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المقطع من خطبته الشريفة إلى بيان الإيمان وأقسامه، فابتدأ بذكر أقسامه وصفات كلِّ قِسم، فمنه إيمان ثابت مستقر في القلوب؛ لأنَّ أصحابه اعتقدوا به عن أدلة عقلية مقنِعة وهو الإيمان الحقيقي</w:t>
      </w:r>
      <w:r>
        <w:rPr>
          <w:rStyle w:val="FootnoteAnchor"/>
          <w:rtl w:val="true"/>
        </w:rPr>
        <w:footnoteReference w:id="237"/>
      </w:r>
      <w:r>
        <w:rPr>
          <w:rFonts w:ascii="Amiri" w:hAnsi="Amiri" w:eastAsia="Amiri" w:cs="Amiri"/>
          <w:color w:val="111111"/>
          <w:sz w:val="28"/>
          <w:sz w:val="28"/>
          <w:szCs w:val="28"/>
          <w:rtl w:val="true"/>
          <w:lang w:bidi="ar-SA"/>
        </w:rPr>
        <w:t>لذا عبر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ثابتًا 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المتعلِّق هنا إنما جاء لإيضاح دلالة الثبات والاستقرار، </w:t>
      </w:r>
    </w:p>
    <w:p>
      <w:pPr>
        <w:pStyle w:val="BookText"/>
        <w:rPr/>
      </w:pPr>
      <w:r>
        <w:rPr>
          <w:rFonts w:ascii="IRNazanin" w:hAnsi="IRNazanin" w:eastAsia="IRNazanin"/>
          <w:color w:val="111111"/>
          <w:sz w:val="28"/>
          <w:sz w:val="28"/>
          <w:szCs w:val="28"/>
          <w:rtl w:val="true"/>
          <w:lang w:bidi="fa-IR"/>
        </w:rPr>
        <w:t>وبهذا يتضح أنّه لو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الإيمان ما يكون في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دلَّ على رسوخ الايمان وثباته، بل أعطى دلالة الظرفية والحلول في موضع القلب فقط، ومما يؤكِّد هذا المعنى أنَّ الإمام عقّب بذكر القِسْم الثاني من الإيمان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الثابت أو المستقر، وبهذا يظهر أنَّ عدم ذكر المتعلِّق ليس كذكره؛ إذ لو حذفْنا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التركيب وقيل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 ما يكون بین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لقدَّر النحويون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منافٍ للمعنى المراد، وإنْ كان السياق كاشفًا ودليلاً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يتحصَّل من هذا كلِّه أنَّ ذكرَ المتعلِّق جائزٌ، غیر أنَّ هذا الذكر يُفضي إلى معانٍ مهمة ودلالات متعددة لا يُكشف عنها بعدم ذكرِه، هذا من جهة، ومن جهة أُخرى فإنّه يترجَّح لديَّ ما ذهب إليه فريق من النحويین بأنَّ شبه الجملة لا تحتاج إلى متعلِّق ظاهر أو مقدَّر، 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مكتفيةٌ بركنَيها، قائمةٌ برأسها، وهي تختلف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مستقر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يعزز هذا ويُقَويه تعذّر هذا التقدير في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رَبِّكَ يَوْمَئِذٍ الْمُسْتَقَرُّ</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لأنّ تقدير الآية سيكون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مُستقِرٌّ أو استقَرَّ 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حین أنَّ دلالة الاستقرار مذكورة ولا حاجة لتقديرها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تعذّر تقدير المتعلِّق أيضًا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اَلْحِكْمَةَ أَنَّى كَانَتْ فَإِنَّ اَلْحِكْمَةَ تَكُونُ فِی صَدْرِ اَلْمُنَافِقِ فَتَلَجْلَجُ فِی صَدْرِهِ حَتَّى تَخْرُجَ فَتَسْكُنَ إلى صَوَاحِبِهَا فِی صَدْرِ اَلْمُؤْمِنِ</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فكيف يصح تقدير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اَلْحِكْمَةَ تَكُونُ فِی صَدْرِ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الإمام عن هذه الحكمة بأنّها مما تتلجلج في صدر المنافق، فهل يجتمع الاستقرار والتردد وعدم الثبات في آنٍ معًا؟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شواهد هذه المسألة أيضًا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صفات الباري عزَّ وجلَّ</w:t>
      </w:r>
      <w:r>
        <w:rPr>
          <w:rFonts w:eastAsia="IRNazanin" w:cs="IRNazanin"/>
          <w:color w:val="111111"/>
          <w:sz w:val="28"/>
          <w:szCs w:val="28"/>
          <w:rtl w:val="true"/>
          <w:lang w:bidi="fa-IR"/>
        </w:rPr>
        <w:t xml:space="preserve">: </w:t>
      </w:r>
      <w:bookmarkStart w:id="100" w:name="pg7031_80816"/>
    </w:p>
    <w:p>
      <w:pPr>
        <w:pStyle w:val="BookText"/>
        <w:rPr/>
      </w:pPr>
      <w:bookmarkEnd w:id="1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يَحْلُلْ فِی اَلْأَشْيَاءِ فَيُقَالَ هُوَ فِيهَا كَائِنٌ وَ لَمْ يَنْأَ عَنْهَا فَيُقَالَ هُوَ مِنْهَا بَائِنٌ</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واحتكامًا إلى ما تقدّم يجب تعديل القاعدة النحوية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إظهار متعلِّق شبه الجملة الواقعة خبرًا استنادًا إلى نهج البلاغة فضلاً عن ورود ذلك في شواهد فصيحة في الموروث اللغوي المحتج به، على أنَّ ذكر هذا المتعلِّق يُعطي دلالةً أُخرى لا تتحصل بعدم ذكره؛ إذ إنَّ شبه الجملة وحدها مما يصح وقوعها خبرًا ولا داعي لتكلف التقدير والتأويل وهو ما يتعذَّر في الدلالة أحيانًا</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2958294_372815092"/>
      <w:bookmarkStart w:id="102" w:name="_Toc33"/>
      <w:bookmarkEnd w:id="101"/>
      <w:r>
        <w:rPr>
          <w:rtl w:val="true"/>
        </w:rPr>
        <w:t>المسألة الرابعة</w:t>
      </w:r>
      <w:r>
        <w:rPr>
          <w:rtl w:val="true"/>
        </w:rPr>
        <w:t xml:space="preserve">: </w:t>
      </w:r>
      <w:r>
        <w:rPr>
          <w:rtl w:val="true"/>
        </w:rPr>
        <w:t xml:space="preserve">جواز دخول </w:t>
      </w:r>
      <w:r>
        <w:rPr>
          <w:rtl w:val="true"/>
        </w:rPr>
        <w:t>(</w:t>
      </w:r>
      <w:r>
        <w:rPr>
          <w:rtl w:val="true"/>
        </w:rPr>
        <w:t>لام</w:t>
      </w:r>
      <w:r>
        <w:rPr>
          <w:rtl w:val="true"/>
        </w:rPr>
        <w:t xml:space="preserve">) </w:t>
      </w:r>
      <w:r>
        <w:rPr>
          <w:rtl w:val="true"/>
        </w:rPr>
        <w:t xml:space="preserve">الابتداء على خبر </w:t>
      </w:r>
      <w:r>
        <w:rPr>
          <w:rtl w:val="true"/>
        </w:rPr>
        <w:t>(</w:t>
      </w:r>
      <w:r>
        <w:rPr>
          <w:rtl w:val="true"/>
        </w:rPr>
        <w:t>لكنّ</w:t>
      </w:r>
      <w:r>
        <w:rPr>
          <w:rtl w:val="true"/>
        </w:rPr>
        <w:t>):</w:t>
      </w:r>
      <w:bookmarkEnd w:id="102"/>
    </w:p>
    <w:p>
      <w:pPr>
        <w:pStyle w:val="BookText"/>
        <w:rPr/>
      </w:pPr>
      <w:r>
        <w:rPr>
          <w:rFonts w:ascii="Amiri" w:hAnsi="Amiri" w:eastAsia="Amiri" w:cs="Amiri"/>
          <w:color w:val="111111"/>
          <w:sz w:val="28"/>
          <w:sz w:val="28"/>
          <w:szCs w:val="28"/>
          <w:rtl w:val="true"/>
          <w:lang w:bidi="ar-SA"/>
        </w:rPr>
        <w:t xml:space="preserve">عرَّف الزجّاجي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تدخل على المبتدإ والخبر مؤكِّدةً، ومانعة ما قبلها من تخطّيها إلى ما بعدها</w:t>
      </w:r>
      <w:r>
        <w:rPr>
          <w:rStyle w:val="FootnoteAnchor"/>
          <w:rtl w:val="true"/>
        </w:rPr>
        <w:footnoteReference w:id="241"/>
      </w:r>
      <w:r>
        <w:rPr>
          <w:rFonts w:ascii="Amiri" w:hAnsi="Amiri" w:eastAsia="Amiri" w:cs="Amiri"/>
          <w:color w:val="111111"/>
          <w:sz w:val="28"/>
          <w:sz w:val="28"/>
          <w:szCs w:val="28"/>
          <w:rtl w:val="true"/>
          <w:lang w:bidi="ar-SA"/>
        </w:rPr>
        <w:t xml:space="preserve">، ولشدّة توكيدها وتحقيقها فإنَّ بعضهم يقدِّر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بسَط العلماء القول بذكر مواضع دخولها اتفاقًا واختلافًا</w:t>
      </w:r>
      <w:r>
        <w:rPr>
          <w:rStyle w:val="FootnoteAnchor"/>
          <w:rtl w:val="true"/>
        </w:rPr>
        <w:footnoteReference w:id="243"/>
      </w:r>
      <w:r>
        <w:rPr>
          <w:rFonts w:ascii="Amiri" w:hAnsi="Amiri" w:eastAsia="Amiri" w:cs="Amiri"/>
          <w:color w:val="111111"/>
          <w:sz w:val="28"/>
          <w:sz w:val="28"/>
          <w:szCs w:val="28"/>
          <w:rtl w:val="true"/>
          <w:lang w:bidi="ar-SA"/>
        </w:rPr>
        <w:t xml:space="preserve">، على أنّهم يكادون أنْ يُجمعوا على أنَّ دخولها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التوكيد، وقد نُقِل الخلاف في دخولها على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نسبَ أبو البركات إلى عامة الكوفيین القول بجواز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زَيْدٌ لكِنَّ عَمْرًا 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البصريون فقد ذهبوا إلى عدم جواز ذلك، ثم ذكر أبو البركات أدّلة الفريقین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رأي الكوفيین في هذه المسألة قد نسبه إليهم عددٌ من النحويین المتأخرين، منهم العكبري</w:t>
      </w:r>
      <w:r>
        <w:rPr>
          <w:rStyle w:val="FootnoteAnchor"/>
          <w:rtl w:val="true"/>
        </w:rPr>
        <w:footnoteReference w:id="246"/>
      </w:r>
      <w:r>
        <w:rPr>
          <w:rFonts w:ascii="Amiri" w:hAnsi="Amiri" w:eastAsia="Amiri" w:cs="Amiri"/>
          <w:color w:val="111111"/>
          <w:sz w:val="28"/>
          <w:sz w:val="28"/>
          <w:szCs w:val="28"/>
          <w:rtl w:val="true"/>
          <w:lang w:bidi="ar-SA"/>
        </w:rPr>
        <w:t>، وابن يعيش</w:t>
      </w:r>
      <w:r>
        <w:rPr>
          <w:rStyle w:val="FootnoteAnchor"/>
          <w:rtl w:val="true"/>
        </w:rPr>
        <w:footnoteReference w:id="247"/>
      </w:r>
      <w:r>
        <w:rPr>
          <w:rFonts w:ascii="Amiri" w:hAnsi="Amiri" w:eastAsia="Amiri" w:cs="Amiri"/>
          <w:color w:val="111111"/>
          <w:sz w:val="28"/>
          <w:sz w:val="28"/>
          <w:szCs w:val="28"/>
          <w:rtl w:val="true"/>
          <w:lang w:bidi="ar-SA"/>
        </w:rPr>
        <w:t>، وابن مالك</w:t>
      </w:r>
      <w:r>
        <w:rPr>
          <w:rStyle w:val="FootnoteAnchor"/>
          <w:rtl w:val="true"/>
        </w:rPr>
        <w:footnoteReference w:id="248"/>
      </w:r>
      <w:r>
        <w:rPr>
          <w:rFonts w:ascii="Amiri" w:hAnsi="Amiri" w:eastAsia="Amiri" w:cs="Amiri"/>
          <w:color w:val="111111"/>
          <w:sz w:val="28"/>
          <w:sz w:val="28"/>
          <w:szCs w:val="28"/>
          <w:rtl w:val="true"/>
          <w:lang w:bidi="ar-SA"/>
        </w:rPr>
        <w:t>، والمرادي</w:t>
      </w:r>
      <w:r>
        <w:rPr>
          <w:rStyle w:val="FootnoteAnchor"/>
          <w:rtl w:val="true"/>
        </w:rPr>
        <w:footnoteReference w:id="249"/>
      </w:r>
      <w:r>
        <w:rPr>
          <w:rFonts w:ascii="IRNazanin" w:hAnsi="IRNazanin" w:eastAsia="IRNazanin"/>
          <w:color w:val="111111"/>
          <w:sz w:val="28"/>
          <w:sz w:val="28"/>
          <w:szCs w:val="28"/>
          <w:rtl w:val="true"/>
          <w:lang w:bidi="fa-IR"/>
        </w:rPr>
        <w:t>، وابن هشام</w:t>
      </w:r>
      <w:r>
        <w:rPr>
          <w:rStyle w:val="FootnoteAnchor"/>
          <w:rtl w:val="true"/>
        </w:rPr>
        <w:footnoteReference w:id="250"/>
      </w:r>
      <w:r>
        <w:rPr>
          <w:rFonts w:ascii="Amiri" w:hAnsi="Amiri" w:eastAsia="Amiri" w:cs="Amiri"/>
          <w:color w:val="111111"/>
          <w:sz w:val="28"/>
          <w:sz w:val="28"/>
          <w:szCs w:val="28"/>
          <w:rtl w:val="true"/>
          <w:lang w:bidi="ar-SA"/>
        </w:rPr>
        <w:t xml:space="preserve">، وابن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والسيوطي</w:t>
      </w:r>
      <w:r>
        <w:rPr>
          <w:rStyle w:val="FootnoteAnchor"/>
          <w:rtl w:val="true"/>
        </w:rPr>
        <w:footnoteReference w:id="252"/>
      </w:r>
      <w:r>
        <w:rPr>
          <w:rFonts w:ascii="IRNazanin" w:hAnsi="IRNazanin" w:eastAsia="IRNazanin"/>
          <w:color w:val="111111"/>
          <w:sz w:val="28"/>
          <w:sz w:val="28"/>
          <w:szCs w:val="28"/>
          <w:rtl w:val="true"/>
          <w:lang w:bidi="fa-IR"/>
        </w:rPr>
        <w:t xml:space="preserve">، وقد دفعتني تلك النسبة المطلقة إلى عموم الكوفيین إلى تتبع ذلك في أُمّات مصادر النحو الكوفي، فقد قال الفرَّاء في حديثه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نصبت العربُ بها إذا شُدّدت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عبدالله قائم، فزِيدت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فصارتا جميعًا حرفًا واحدًا؛ ألا ترى أنَّ الشاعر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ولكننِي مِن حُبّها لكَميد، فلم 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لأنَّ 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 وبهذا يتضح أنَّ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الكوفيین كما كشف عن ذلك كلامُ الفراء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زِيدتْ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لهذا دخلت في خبرها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لأنَّها عندهم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هو رأي سيبويه من قبله؛ إذ قال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المثقلة في جميع الكلام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 xml:space="preserve">، وأغلب الظن أنَّ رأي الكوفيین </w:t>
      </w:r>
    </w:p>
    <w:p>
      <w:pPr>
        <w:pStyle w:val="BookText"/>
        <w:rPr/>
      </w:pPr>
      <w:r>
        <w:rPr>
          <w:rFonts w:ascii="IRNazanin" w:hAnsi="IRNazanin" w:eastAsia="IRNazanin"/>
          <w:color w:val="111111"/>
          <w:sz w:val="28"/>
          <w:sz w:val="28"/>
          <w:szCs w:val="28"/>
          <w:rtl w:val="true"/>
          <w:lang w:bidi="fa-IR"/>
        </w:rPr>
        <w:t>في هذه المسألة لم يذكرْه سوى الفراء في حدود ما اطلعتُ، وبهذا يتبیَّن الوهم في نسبته إلى عموم الكوفيین، وهذا ما أكَّده الدكتور محيي الدين توفيق في دراسته كتابَ الإنصاف</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يبدو أنَّ ما ذكره الفراء أَرجح ويعضُده القياس،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والحمل على النظیر باب واسع في النحو العربي، كما يُقوّي ذلك السماع أيضًا، وإذا كان البيت الشعري لا يرقى دليلاً على جواز هذا الاقتران بحجة الشذوذ أو جهل قائله</w:t>
      </w:r>
      <w:r>
        <w:rPr>
          <w:rStyle w:val="FootnoteAnchor"/>
          <w:rtl w:val="true"/>
        </w:rPr>
        <w:footnoteReference w:id="256"/>
      </w:r>
      <w:r>
        <w:rPr>
          <w:rFonts w:ascii="Amiri" w:hAnsi="Amiri" w:eastAsia="Amiri" w:cs="Amiri"/>
          <w:color w:val="111111"/>
          <w:sz w:val="28"/>
          <w:sz w:val="28"/>
          <w:szCs w:val="28"/>
          <w:rtl w:val="true"/>
          <w:lang w:bidi="ar-SA"/>
        </w:rPr>
        <w:t xml:space="preserve">فإنَّ ما يقوّيه وروده في نهج البلاغة أيضًا؛ إذ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القاصعة التي يذكر فيها منزلته من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سَمِعْتُ رَنَّةَ اَلشَّيْطَانِ حِینَ 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اَلشَّيْطَانُ قَدْ أَيِسَ مِنْ عِبَادَتِهِ إِنَّكَ تَسْمَعُ مَا أَسْمَعُ وَ تَرَى مَا أَرَى إِلاَّ أَنَّكَ لَسْتَ بِنَبِيٍّ وَلَكِنَّكَ لَوَزِيرٌ</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منزلته من النبي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محلُّ الشاهد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ولكنّك لوزير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مَكيٌّ بنص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يشیر إلى نفي النُّبوة عنه وإثبات الوزارة، وقد جاء في معرض رفع الوهم الذي قد يحصل من جرّاء ما ورد من منزلةٍ رفيعة للإمام وسماعه رنة الشيطان حین نزول الوحي، ولمّا كان التوكيد يراعي حال المخاطَب جاء النص مؤكَّدا بأكثر من مؤكِّد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الزائدة في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يكون سياق النص هو ما أفى إلى استعمال ذلك، فالنص في مقام بيان منزلة الإمام وإزالة الريْب من قلب المتلقي الجاهل بالمنزلة الرفيعة لمقام الإمامة عند سماعه تلك الصفات الرفيعة التي تقرب من منزلة النبوّة، ولو اقتُصرِ على توكيد نفي النبوة فقط لما رُفع هذا الوهم؛ إذ لم ينص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ولم يدّعِ الإمام مثل هذا، فكان لا بد من بيان تلك المنزلة بيانًا مؤكَّدًا حتى يُرفع اللبس والوهم، وإذا كان البصريون يقصرون ذلك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فإنَّ المبرَّد أجاز توكيد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مفتوحة الهمزة استنادًا إلى قراءة سعيد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258"/>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لَيَأْكُلُونَ الطَّعَامَ</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xml:space="preserve">، بفتح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حین رأى غیره من العلماء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لأنهم يعدّون دخولها ليس أصلاً مقيسًا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مما تقدَّم أنَّ رأي الفراء في مسألة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الأرجح والأَولى لاعتماده على السماع والقياس، أما السماع فلوروده في نهج البلاغة وهذا كافٍ في صحة هذا الاقتران وجوازه، وأما القياس فبالحمل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مفتوحة الهمزة استدلالًا بقراءة سعيد بن جُبیر ووفاقًا لمذهب المبرَّد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واستنادًا إلى ما تقدَّم ذكره لابد من إعادة صوغ القاعدة بما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اقتران </w:t>
      </w:r>
      <w:bookmarkStart w:id="103" w:name="pg7031_80823"/>
    </w:p>
    <w:p>
      <w:pPr>
        <w:pStyle w:val="BookText"/>
        <w:rPr/>
      </w:pPr>
      <w:bookmarkEnd w:id="103"/>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لوروده في نهج البلاغة وفي كلام العرب نظماً ونثرًا، زيادة على وروده في قراءة قرآنية صحيحة استدلّ بها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مفتوحة الهمزة</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2958296_372815092"/>
      <w:bookmarkStart w:id="105" w:name="_Toc34"/>
      <w:bookmarkEnd w:id="104"/>
      <w:r>
        <w:rPr>
          <w:rtl w:val="true"/>
        </w:rPr>
        <w:t>المسألة الخامسة</w:t>
      </w:r>
      <w:r>
        <w:rPr>
          <w:rtl w:val="true"/>
        </w:rPr>
        <w:t xml:space="preserve">: </w:t>
      </w:r>
      <w:r>
        <w:rPr>
          <w:rtl w:val="true"/>
        </w:rPr>
        <w:t xml:space="preserve">جواز إعمال </w:t>
      </w:r>
      <w:r>
        <w:rPr>
          <w:rtl w:val="true"/>
        </w:rPr>
        <w:t>(</w:t>
      </w:r>
      <w:r>
        <w:rPr>
          <w:rtl w:val="true"/>
        </w:rPr>
        <w:t>لا</w:t>
      </w:r>
      <w:r>
        <w:rPr>
          <w:rtl w:val="true"/>
        </w:rPr>
        <w:t xml:space="preserve">) </w:t>
      </w:r>
      <w:r>
        <w:rPr>
          <w:rtl w:val="true"/>
        </w:rPr>
        <w:t>النافية للجنس في المعارف</w:t>
      </w:r>
      <w:r>
        <w:rPr>
          <w:rtl w:val="true"/>
        </w:rPr>
        <w:t>:</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من العوامل الحرفية التي 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اشترط النحويون لعملها النصب في اسمها أنْ يكون نكرة،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المعارف لا تجرى مجرى النكرة في هذا الباب؛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في معرفة أبدًا</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وتابعه على هذا المبرَّد</w:t>
      </w:r>
      <w:r>
        <w:rPr>
          <w:rStyle w:val="FootnoteAnchor"/>
          <w:rtl w:val="true"/>
        </w:rPr>
        <w:footnoteReference w:id="262"/>
      </w:r>
      <w:r>
        <w:rPr>
          <w:rFonts w:ascii="IRNazanin" w:hAnsi="IRNazanin" w:eastAsia="IRNazanin"/>
          <w:color w:val="111111"/>
          <w:sz w:val="28"/>
          <w:sz w:val="28"/>
          <w:szCs w:val="28"/>
          <w:rtl w:val="true"/>
          <w:lang w:bidi="fa-IR"/>
        </w:rPr>
        <w:t>، وابن السّراج</w:t>
      </w:r>
      <w:r>
        <w:rPr>
          <w:rStyle w:val="FootnoteAnchor"/>
          <w:rtl w:val="true"/>
        </w:rPr>
        <w:footnoteReference w:id="263"/>
      </w:r>
      <w:r>
        <w:rPr>
          <w:rFonts w:ascii="IRNazanin" w:hAnsi="IRNazanin" w:eastAsia="IRNazanin"/>
          <w:color w:val="111111"/>
          <w:sz w:val="28"/>
          <w:sz w:val="28"/>
          <w:szCs w:val="28"/>
          <w:rtl w:val="true"/>
          <w:lang w:bidi="fa-IR"/>
        </w:rPr>
        <w:t>، والسیرافي</w:t>
      </w:r>
      <w:r>
        <w:rPr>
          <w:rStyle w:val="FootnoteAnchor"/>
          <w:rtl w:val="true"/>
        </w:rPr>
        <w:footnoteReference w:id="264"/>
      </w:r>
      <w:r>
        <w:rPr>
          <w:rFonts w:ascii="Amiri" w:hAnsi="Amiri" w:eastAsia="Amiri" w:cs="Amiri"/>
          <w:color w:val="111111"/>
          <w:sz w:val="28"/>
          <w:sz w:val="28"/>
          <w:szCs w:val="28"/>
          <w:rtl w:val="true"/>
          <w:lang w:bidi="ar-SA"/>
        </w:rPr>
        <w:t>، وأبو علي الفارسي</w:t>
      </w:r>
      <w:r>
        <w:rPr>
          <w:rStyle w:val="FootnoteAnchor"/>
          <w:rtl w:val="true"/>
        </w:rPr>
        <w:footnoteReference w:id="265"/>
      </w:r>
      <w:r>
        <w:rPr>
          <w:rFonts w:ascii="IRNazanin" w:hAnsi="IRNazanin" w:eastAsia="IRNazanin"/>
          <w:color w:val="111111"/>
          <w:sz w:val="28"/>
          <w:sz w:val="28"/>
          <w:szCs w:val="28"/>
          <w:rtl w:val="true"/>
          <w:lang w:bidi="fa-IR"/>
        </w:rPr>
        <w:t>، وآخرون</w:t>
      </w:r>
      <w:r>
        <w:rPr>
          <w:rStyle w:val="FootnoteAnchor"/>
          <w:rtl w:val="true"/>
        </w:rPr>
        <w:footnoteReference w:id="266"/>
      </w:r>
      <w:r>
        <w:rPr>
          <w:rFonts w:ascii="IRNazanin" w:hAnsi="IRNazanin" w:eastAsia="IRNazanin"/>
          <w:color w:val="111111"/>
          <w:sz w:val="28"/>
          <w:sz w:val="28"/>
          <w:szCs w:val="28"/>
          <w:rtl w:val="true"/>
          <w:lang w:bidi="fa-IR"/>
        </w:rPr>
        <w:t xml:space="preserve">، وتعليل اشتراط التنكیر في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تفيد استغراق النفي، فلا يجوز والحال هذه أنْ تتلوَها معرفةٌ دالةٌ على معیَّن، فهي في الاختصاص بالنكرة نظیرة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اللافت في عبارة سيبويه في هذه المسألة تحكيم القاعدة وتقديمها على ما تستند إليه من شواهد وأمثلة؛ لهذا كان التأويل حاضرًا في تخريج المعرفة الواقعة اسماً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شاهد، فرأى سيبويه أنَّ منفيها إذا كان معرفةً فهو على التأويل بالنكرة،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هيثمَ الليلة للمطي فإنه جعله </w:t>
      </w:r>
    </w:p>
    <w:p>
      <w:pPr>
        <w:pStyle w:val="BookText"/>
        <w:rPr/>
      </w:pPr>
      <w:r>
        <w:rPr>
          <w:rFonts w:ascii="IRNazanin" w:hAnsi="IRNazanin" w:eastAsia="IRNazanin"/>
          <w:color w:val="111111"/>
          <w:sz w:val="28"/>
          <w:sz w:val="28"/>
          <w:szCs w:val="28"/>
          <w:rtl w:val="true"/>
          <w:lang w:bidi="fa-IR"/>
        </w:rPr>
        <w:t>نكرة 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هيثم من الهيثمین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بصرة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الزبیر الأسدي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الْحَاجَاتِ عِنْدَ أَبِي خُبَيْبٍ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نَكِدْنَ وَلا أُمَيَّةَ بِالْبِلادِ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ولا أبا حسن، تجعله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هذا وإنا أراد عليًا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يجوز لك أنْ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وإنما تُعملها في النكرة فإذا جعلت أبا حسن نكرة حسن لك أن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وعلم المخاطب أنّه قد دخل في هؤلاء المنكورين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قد غيب عنها</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يحيى الجبوري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 فعلى الرغم من الإقرار بأنَّ منفي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الشواهد وسواها معرفةٌ رأى سيبويه ومن ارتضى قوله وجوبَ التنكیر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وكان الأجدر أنْ يُصار إلى تفريع قاعدة تُجيز ورود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استنادًا إلى ما سُمِعَ عن العرب المحتج بلغتهم؛ إذ السماع مقدَّم على القياس؛ فما ورد في الموروث اللغوي نظماً ونثرًا يؤكِّد جواز 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المعارف، من ذلك قولُ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هلك كسرى فلا كسرى بعده، وإذا هلك قيصر فلا قيصر بعده، والذي نفسي بيده لتنفقن كنوزهما في سبيل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كما جاء مثل هذا التركيب فيما قالته العرب في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هو، ولا هي، ولا هذين لك، ولا هاتین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مما استند إليه الفراء في إجازته 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ضمیر الغائب</w:t>
      </w:r>
    </w:p>
    <w:p>
      <w:pPr>
        <w:pStyle w:val="BookText"/>
        <w:rPr/>
      </w:pPr>
      <w:r>
        <w:rPr>
          <w:rFonts w:ascii="Amiri" w:hAnsi="Amiri" w:eastAsia="Amiri" w:cs="Amiri"/>
          <w:color w:val="111111"/>
          <w:sz w:val="28"/>
          <w:sz w:val="28"/>
          <w:szCs w:val="28"/>
          <w:rtl w:val="true"/>
          <w:lang w:bidi="ar-SA"/>
        </w:rPr>
        <w:t>واسم الإشارة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يقبل المانعون ظاهر هذه الشواهد، فتابعوا سيبويه في تأويله على أنّهم زادوا عليه تعليلات أُخر للخروج مما خالف قواعدهم، فذهبوا إلى أنَّ المعرفة هنا على تقدير إضافة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Style w:val="FootnoteAnchor"/>
          <w:rtl w:val="true"/>
        </w:rPr>
        <w:footnoteReference w:id="27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وخزانة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التي لا تتعرَّف بالإضافة؛ لأنها موغَلَة في الإبهام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في هذه الشواهد وسواها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مُسَمى بهذا الاسم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اعترض ابن مالك على هذا وردَّه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الأول فيدلُّ على فساده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العرب تجرّد المستعمل ذلك الاستعمال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كانت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منوية لم يحتج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العرب عن المستعمل ذلك الاستعمال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تبكي على زيدٍ ولا زيدَ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بريءٌ من الحمَى سليمُ الجَوانِح فلو كانت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منوية لكان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مثل زيد مثله وذلك فاسد</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هذا فضلاً عن أنَّ النفي متوجهٌ في هذا التقدير إلى الاسم لا إلى مثيله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زاد الرضي توجيهًا آخر لإعمال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المعرفة،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وإما أنْ يُجعَلَ </w:t>
      </w:r>
    </w:p>
    <w:p>
      <w:pPr>
        <w:pStyle w:val="BookText"/>
        <w:rPr/>
      </w:pPr>
      <w:r>
        <w:rPr>
          <w:rFonts w:ascii="Amiri" w:hAnsi="Amiri" w:eastAsia="Amiri" w:cs="Amiri"/>
          <w:color w:val="111111"/>
          <w:sz w:val="28"/>
          <w:sz w:val="28"/>
          <w:szCs w:val="28"/>
          <w:rtl w:val="true"/>
          <w:lang w:bidi="ar-SA"/>
        </w:rPr>
        <w:t xml:space="preserve">العلم لاشتهاره بتلك الخلة، كأنَّه اسم جنس موضوع لإفادة ذلك المعنى،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أبا حسن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فيصل لها، إذ هو، كرَّم الله وجهه، كان فَيصلاً في الحكومات، على 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كالجنس المفيد لمعنى الفصل والقطع، كلفظ الفيصل</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 وهو ما رجّحَهُ الخُضَري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 وأخذ به الدكتور فاضل السامرائي من المحدَثین أيضًا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اعتدّ الكوفيون بما سُمِعَ عن العرب، فقد نُسِبَ إلى الكسائي إجازته إعمالها في المعرفة سواء أكان علماً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زيدَ، أو مضافًا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محمدٍ؛ لأنَّ الكنية بمنزلة الاسم، أو كان مضافًا إلى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الرحمن أو العزيز،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عبد الله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عبد العزيز</w:t>
      </w:r>
      <w:r>
        <w:rPr>
          <w:rStyle w:val="FootnoteAnchor"/>
          <w:rtl w:val="true"/>
        </w:rPr>
        <w:footnoteReference w:id="276"/>
      </w:r>
      <w:r>
        <w:rPr>
          <w:rFonts w:ascii="IRNazanin" w:hAnsi="IRNazanin" w:eastAsia="IRNazanin"/>
          <w:color w:val="111111"/>
          <w:sz w:val="28"/>
          <w:sz w:val="28"/>
          <w:szCs w:val="28"/>
          <w:rtl w:val="true"/>
          <w:lang w:bidi="fa-IR"/>
        </w:rPr>
        <w:t>، وقال بهذا المذهب الفراءُ إلا أنّه خالف الكسائي فأجاز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عبد الله، ولم يُجِز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عبد العزيز ولا عبد الرحمن بحجة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لفظ الجلالة بخلاف غیره كالعزيز والرحمن، كما أوجبَ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فيما أُضيفَ إلى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مذهبَ الفراء القاضي بإلزامِ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أُضيفَ إلى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يُعدَّ نكرة كما في الشاهد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قضية ولا أبا حسنٍ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دقيق ومردود بما ورد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كنّى عن نفسِه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مخاطبًا معاوية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أَبُو حَسَن قَاتِلُ جَدِّكَ وأَخِيكَ وَخَالِكَ شَدْخًا يَوْمَ بَدْر، وذلكَ السَّيْفُ مَعِي</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المقصود 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صّرح به سيبويه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يكون هذا وإنما أراد عليًا رضي الله عنه</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 غیر أنّ ادّعاء تنكیره جاء تقديرًا وتأويلاً من أجل عدم تعارض ما قعّدوا له مع ما خالف تلك القواعد وهو مذهب غیر صائب، فالقواعد تابعة للشواهد وليس العكس، غیر أنَّ النحويین قد تناولوا الشواهد المخالِفة لأقيستهم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بالتأويل كي يُخضعوها لشرط التنكیر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تأويل لا داعي لتكلفه مع ورود تلك الأمثلة الصريحة، الدالة على أنَّ فريقًا من العرب لا يلتزم التنكیر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فعلينا أنْ نتقبل تلك النصوص بحالها الظاهر دون محاكاتها</w:t>
      </w:r>
      <w:r>
        <w:rPr>
          <w:rFonts w:eastAsia="IRNazanin" w:cs="IRNazanin"/>
          <w:color w:val="111111"/>
          <w:sz w:val="28"/>
          <w:szCs w:val="28"/>
          <w:rtl w:val="true"/>
          <w:lang w:bidi="fa-IR"/>
        </w:rPr>
        <w:t>))</w:t>
      </w:r>
      <w:r>
        <w:rPr>
          <w:rStyle w:val="FootnoteAnchor"/>
          <w:rtl w:val="true"/>
        </w:rPr>
        <w:footnoteReference w:id="280"/>
      </w:r>
      <w:r>
        <w:rPr>
          <w:rFonts w:ascii="Amiri" w:hAnsi="Amiri" w:eastAsia="Amiri" w:cs="Amiri"/>
          <w:color w:val="111111"/>
          <w:sz w:val="28"/>
          <w:sz w:val="28"/>
          <w:szCs w:val="28"/>
          <w:rtl w:val="true"/>
          <w:lang w:bidi="ar-SA"/>
        </w:rPr>
        <w:t>إذ إنّ الأصل عدم التقدير والتأويل ولاسيما مع كثرة النصوص النحوية المحتَج بها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العَلَوية على هذه المسألة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لم يُسلموا إلا بألسنتهم، وأرادوا اللجوء إلى غیره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وَإِنَّكُمْ إِنْ لَجَأْتُمْ إلى غَیْرِهِ حَارَبَكُمْ أَهْلُ اَلْكُفْرِ ثُمَّ لاَ جَبْرَائِيلَ وَ لاَ مِيكَائِيلَ وَ لاَ مُهَاجِرِينَ وَ لاَ أَنْصَارَ يَنْصُرُونَكُمْ إِلاَّ اَلْمُقَارَعَةَ بِالسَّيْفِ</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معرض التحذير لمن يفكر في ترك الإسلام والعودة إلى تقاليد الجاهلية بأنَّه سيُحارَب من أهل الكفر وحينئذٍ لا ينصره أحد؛ لا تنصره الملائكة ولا المهاجرون ولا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والضمیر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به الله تعالى،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على الإسلام وهو أليق بسياق الكلام</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انعدام النصرة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وعدم نصرة الملائكة والمهاجرين والأنصار حينئذ لهم إمّا لأنّ النصرة كانت مخصوصة بوجود الرسول والاجتماع علی طاعته وقد زالت بفقده، أو لأنّها مشروطة بالاجتماع على الدين والأُلفة فيه والذبّ عنه، وإذا التجؤوا إلى غیره وحاربهم الكفّار لم يكن ناصر من الملائكة لعدم اجتماعهم على الدين، ولا من المهاجرين والأنصار لفقدهم وهذا اللازم مخوف ينبغي أنْ يُخذَر منه فالملزوم وهو الالتجاء إلى غیر الإسلام يجب أنْ يكون كذلك</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يُروى بالرفع والنصب، ورواية النصب أشهر وقد اختارها ابن أبي الحديد</w:t>
      </w:r>
      <w:r>
        <w:rPr>
          <w:rStyle w:val="FootnoteAnchor"/>
          <w:rtl w:val="true"/>
        </w:rPr>
        <w:footnoteReference w:id="284"/>
      </w:r>
      <w:r>
        <w:rPr>
          <w:rFonts w:ascii="Amiri" w:hAnsi="Amiri" w:eastAsia="Amiri" w:cs="Amiri"/>
          <w:color w:val="111111"/>
          <w:sz w:val="28"/>
          <w:sz w:val="28"/>
          <w:szCs w:val="28"/>
          <w:rtl w:val="true"/>
          <w:lang w:bidi="ar-SA"/>
        </w:rPr>
        <w:t>، والبحراني</w:t>
      </w:r>
      <w:r>
        <w:rPr>
          <w:rStyle w:val="FootnoteAnchor"/>
          <w:rtl w:val="true"/>
        </w:rPr>
        <w:footnoteReference w:id="285"/>
      </w:r>
      <w:r>
        <w:rPr>
          <w:rFonts w:ascii="IRNazanin" w:hAnsi="IRNazanin" w:eastAsia="IRNazanin"/>
          <w:color w:val="111111"/>
          <w:sz w:val="28"/>
          <w:sz w:val="28"/>
          <w:szCs w:val="28"/>
          <w:rtl w:val="true"/>
          <w:lang w:bidi="fa-IR"/>
        </w:rPr>
        <w:t>، وتوجيهها عند مَن ذكرها على تأويل تلك الأسماء بالتنكیر</w:t>
      </w:r>
      <w:r>
        <w:rPr>
          <w:rStyle w:val="FootnoteAnchor"/>
          <w:rtl w:val="true"/>
        </w:rPr>
        <w:footnoteReference w:id="286"/>
      </w:r>
      <w:r>
        <w:rPr>
          <w:rFonts w:ascii="IRNazanin" w:hAnsi="IRNazanin" w:eastAsia="IRNazanin"/>
          <w:color w:val="111111"/>
          <w:sz w:val="28"/>
          <w:sz w:val="28"/>
          <w:szCs w:val="28"/>
          <w:rtl w:val="true"/>
          <w:lang w:bidi="fa-IR"/>
        </w:rPr>
        <w:t>، وربما الموقع الإعرابي لهذه الأسماء هو ما دعا النحويین ومن تابعهم من شُّراح النهج إلى جعلها منكَّرات، وإلا فتعريفُها واضحٌ لا يمكن تغافله، ولعلّ عبارة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نصرة الملائكة كانت مخصوصة بوجود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تؤكِّد عَلَمية هذه الأسماء؛ إذ الإمام نفى نصرتهم لمن ترك دينه والتحق </w:t>
      </w:r>
      <w:bookmarkStart w:id="106" w:name="pg7031_80834"/>
    </w:p>
    <w:p>
      <w:pPr>
        <w:pStyle w:val="BookText"/>
        <w:rPr/>
      </w:pPr>
      <w:bookmarkEnd w:id="106"/>
      <w:r>
        <w:rPr>
          <w:rFonts w:ascii="IRNazanin" w:hAnsi="IRNazanin" w:eastAsia="IRNazanin"/>
          <w:color w:val="111111"/>
          <w:sz w:val="28"/>
          <w:sz w:val="28"/>
          <w:szCs w:val="28"/>
          <w:rtl w:val="true"/>
          <w:lang w:bidi="fa-IR"/>
        </w:rPr>
        <w:t xml:space="preserve">بالكفار، وهذا ما ينطبق تمامًا على المهاجرين والأنصار، فهم مفقودون في زمن خطاب الإمام كما عبرّ البحراني أيضًا؛ لذا جاء تحذيره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يقع في قلبه وهمٌ من هذا، وبهذا يكون هذا النص تأكيدًا آخر على جواز مجيء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النافية للجنس معرفة، ولا داعي لتأويل كلِّ هذه المعارف بالنكرات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لم يبقَ سوى تعديل القاعدة النحوية بالآتي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في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النافية للجنس التنكیر على أنَّ ذلك لا يمنع من وروده معرفةً لمجيئه في نهج البلاغة وفي الموروث اللغوي المحتَج به من السنة النبوية الشريفة فضاً عن كلام العرب شعرًا ونثرًا</w:t>
      </w:r>
      <w:r>
        <w:rPr>
          <w:rFonts w:eastAsia="IRNazanin" w:cs="IRNazanin"/>
          <w:color w:val="111111"/>
          <w:sz w:val="28"/>
          <w:szCs w:val="28"/>
          <w:rtl w:val="true"/>
          <w:lang w:bidi="fa-IR"/>
        </w:rPr>
        <w:t>.</w:t>
      </w:r>
    </w:p>
    <w:p>
      <w:pPr>
        <w:pStyle w:val="Heading4"/>
        <w:numPr>
          <w:ilvl w:val="3"/>
          <w:numId w:val="1"/>
        </w:numPr>
        <w:rPr/>
      </w:pPr>
      <w:bookmarkStart w:id="107" w:name="__RefHeading___Toc2958298_372815092"/>
      <w:bookmarkStart w:id="108" w:name="_Toc35"/>
      <w:bookmarkEnd w:id="107"/>
      <w:r>
        <w:rPr>
          <w:rtl w:val="true"/>
        </w:rPr>
        <w:t>المسألة السادسة</w:t>
      </w:r>
      <w:r>
        <w:rPr>
          <w:rtl w:val="true"/>
        </w:rPr>
        <w:t xml:space="preserve">: </w:t>
      </w:r>
      <w:r>
        <w:rPr>
          <w:rtl w:val="true"/>
        </w:rPr>
        <w:t xml:space="preserve">جواز بناء </w:t>
      </w:r>
      <w:r>
        <w:rPr>
          <w:rtl w:val="true"/>
        </w:rPr>
        <w:t>(</w:t>
      </w:r>
      <w:r>
        <w:rPr>
          <w:rtl w:val="true"/>
        </w:rPr>
        <w:t>أمسِ</w:t>
      </w:r>
      <w:r>
        <w:rPr>
          <w:rtl w:val="true"/>
        </w:rPr>
        <w:t xml:space="preserve">) </w:t>
      </w:r>
      <w:r>
        <w:rPr>
          <w:rtl w:val="true"/>
        </w:rPr>
        <w:t>على الكسر عند تنكيره</w:t>
      </w:r>
      <w:r>
        <w:rPr>
          <w:rtl w:val="true"/>
        </w:rPr>
        <w:t>:</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مبني ذكر له النحويون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أنْ يأتي معرفة، فيدل على اليوم الذي قبل يومِك الذي أنت فيه، فيُبنَى حينئذٍ على الكسر، وقد يُبنى على الفتح</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ويرى النحويون أنَّ علة بنائه في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لغة الحجازيین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متأتية من تضّمنه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فلما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في دلالتِه على وقتٍ محدَّد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هو أحد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ذلك على تضمّنه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التعريف</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الحالة الأخرى فيكون فيها نكرة، فیُراد به يوم من الأيام الماضية، فلا يدلُّ </w:t>
      </w:r>
    </w:p>
    <w:p>
      <w:pPr>
        <w:pStyle w:val="BookText"/>
        <w:rPr/>
      </w:pPr>
      <w:r>
        <w:rPr>
          <w:rFonts w:ascii="Amiri" w:hAnsi="Amiri" w:eastAsia="Amiri" w:cs="Amiri"/>
          <w:color w:val="111111"/>
          <w:sz w:val="28"/>
          <w:sz w:val="28"/>
          <w:szCs w:val="28"/>
          <w:rtl w:val="true"/>
          <w:lang w:bidi="ar-SA"/>
        </w:rPr>
        <w:t>على أمس بعينه، فيُعربُ عندئذٍ، قال 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فمعارف ولو جعلتهن نكرات لرجعن إلى الإعراب كما رجعن إليه في الإضافة والألف واللام</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وأيَّد هذا المذهبَ ابنُ السراج</w:t>
      </w:r>
      <w:r>
        <w:rPr>
          <w:rStyle w:val="FootnoteAnchor"/>
          <w:rtl w:val="true"/>
        </w:rPr>
        <w:footnoteReference w:id="290"/>
      </w:r>
      <w:r>
        <w:rPr>
          <w:rFonts w:ascii="Amiri" w:hAnsi="Amiri" w:eastAsia="Amiri" w:cs="Amiri"/>
          <w:color w:val="111111"/>
          <w:sz w:val="28"/>
          <w:sz w:val="28"/>
          <w:szCs w:val="28"/>
          <w:rtl w:val="true"/>
          <w:lang w:bidi="ar-SA"/>
        </w:rPr>
        <w:t>، والزجّاجي</w:t>
      </w:r>
      <w:r>
        <w:rPr>
          <w:rStyle w:val="FootnoteAnchor"/>
          <w:rtl w:val="true"/>
        </w:rPr>
        <w:footnoteReference w:id="291"/>
      </w:r>
      <w:r>
        <w:rPr>
          <w:rFonts w:ascii="Amiri" w:hAnsi="Amiri" w:eastAsia="Amiri" w:cs="Amiri"/>
          <w:color w:val="111111"/>
          <w:sz w:val="28"/>
          <w:sz w:val="28"/>
          <w:szCs w:val="28"/>
          <w:rtl w:val="true"/>
          <w:lang w:bidi="ar-SA"/>
        </w:rPr>
        <w:t>، وأبو حيان</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عُدَّ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من المسائل المُجمَع عليها في النحو، قال ابن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خلاف في إعرابه إذا أُضيف، أو لُفظ معه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نُكِّر، أو صُغِّر، أو كُسِّر</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شرح الرضي على 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والتذييل والتكميل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وأكد ذلك الرضي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وأبو حيان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وابن هشام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والسيوطي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علّل النحويون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على حذف الجار وبقاء عمله، وحذف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تخفيفًا، فصار بمنزلة حرف واحد فبنوه، وهو التعليل الذي عزاه سيبويه إلى الخليل،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وزعم الخليل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 أبوك ولقيته أمس، إنما هو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ولقيته أمس، ولكنهم حذفوا الجار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تخفيفًا </w:t>
      </w:r>
    </w:p>
    <w:p>
      <w:pPr>
        <w:pStyle w:val="BookText"/>
        <w:rPr/>
      </w:pPr>
      <w:r>
        <w:rPr>
          <w:rFonts w:ascii="Amiri" w:hAnsi="Amiri" w:eastAsia="Amiri" w:cs="Amiri"/>
          <w:color w:val="111111"/>
          <w:sz w:val="28"/>
          <w:sz w:val="28"/>
          <w:szCs w:val="28"/>
          <w:rtl w:val="true"/>
          <w:lang w:bidi="ar-SA"/>
        </w:rPr>
        <w:t>على اللسان، وليس كلُّ جار يُضمَر؛ لأنَّ المجرور داخل في الجار، فصارا عندهم بمنزلة حرف واحد</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يرتضِ سيبويه هذا التعليل،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يقوى قول الخليل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أمس بما فيه</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وما نسبه سيبويه لشيخه لم يرد في أهم كتبه المطبوعة، فقد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مبنيّ على الكَسْر، ويُنسَب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إِمسِيٌّ</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 أمس وذهب أمس بما فيه وكان أمس يومًا مباركًا وإنّ أمس يومٌ مبارك فإذا أدخلت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أضفته إلى شيء أو جعلته نكرة أجريته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الأمس يومًا مباركًا وإن الأمس الماضي يوم مبارك وكان أمسكم يومًا طيبًا</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ارتضى تعليلَ الخليل المنسوب إليه عددٌ من العلماء منهم ناظر الجيش،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زال البناء لزوال التضمین ومشابهة ضمیر الغائب، فتكون الكسرة كسرة إعراب على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حُذِفت وبقي عملها كما حُذفت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عملها</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 كما ذكره السيوطي</w:t>
      </w:r>
      <w:r>
        <w:rPr>
          <w:rStyle w:val="FootnoteAnchor"/>
          <w:rtl w:val="true"/>
        </w:rPr>
        <w:footnoteReference w:id="299"/>
      </w:r>
      <w:r>
        <w:rPr>
          <w:rFonts w:ascii="Amiri" w:hAnsi="Amiri" w:eastAsia="Amiri" w:cs="Amiri"/>
          <w:color w:val="111111"/>
          <w:sz w:val="28"/>
          <w:sz w:val="28"/>
          <w:szCs w:val="28"/>
          <w:rtl w:val="true"/>
          <w:lang w:bidi="ar-SA"/>
        </w:rPr>
        <w:t xml:space="preserve">، والصبّان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أنَّ في هذا التعليل خروجًا واضحًا عن أقيسة النحويین، فالوارد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الجمهور أنَّه لا ينقاس حذف حرف الجر مع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w:t>
      </w:r>
    </w:p>
    <w:p>
      <w:pPr>
        <w:pStyle w:val="BookText"/>
        <w:rPr/>
      </w:pPr>
      <w:r>
        <w:rPr>
          <w:rFonts w:ascii="Amiri" w:hAnsi="Amiri" w:eastAsia="Amiri" w:cs="Amiri"/>
          <w:color w:val="111111"/>
          <w:sz w:val="28"/>
          <w:sz w:val="28"/>
          <w:szCs w:val="28"/>
          <w:rtl w:val="true"/>
          <w:lang w:bidi="ar-SA"/>
        </w:rPr>
        <w:t>يقتصر فيه على السماع</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وهذا ما نبّه عليه الخليل من قبل في النص المار ذكره،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كلُّ جار يُضمَر</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زاد الرضي علة أُخرى على علة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نكرة فذهب إلى أنَّ السبب عائد إلى زوال علة البناء وهي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 xml:space="preserve">تنكیر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واقترانه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يمنع من بنائه في عدد من الشواهد النحوية من ذلك قول الشاعر نصيب بن رَباح</w:t>
      </w:r>
      <w:r>
        <w:rPr>
          <w:rStyle w:val="FootnoteAnchor"/>
          <w:rtl w:val="true"/>
        </w:rPr>
        <w:footnoteReference w:id="3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وَقفتُ اليَوْمَ والأمْسِ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بِبابِك حتى كادَتِ الشمسُ تَغْرُبُ كان على النحويین أنْ يحتكموا إلى هذا الشاهد وسواه في تعديل ما بوّبوا له من قواعد وضوابط إلا أنهم جَرْيًا على عادتهم ذهبوا إلى تأويل ذلك بما يتسق وتلك القواعد التي وضعوها، فقد عدُّوا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لا للتعريف بل للتوكيد، وعلى هذا يكون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أُخرى غر هذه التي فيه</w:t>
      </w:r>
      <w:r>
        <w:rPr>
          <w:rStyle w:val="FootnoteAnchor"/>
          <w:rtl w:val="true"/>
        </w:rPr>
        <w:footnoteReference w:id="305"/>
      </w:r>
      <w:r>
        <w:rPr>
          <w:rFonts w:ascii="Amiri" w:hAnsi="Amiri" w:eastAsia="Amiri" w:cs="Amiri"/>
          <w:color w:val="111111"/>
          <w:sz w:val="28"/>
          <w:sz w:val="28"/>
          <w:szCs w:val="28"/>
          <w:rtl w:val="true"/>
          <w:lang w:bidi="ar-SA"/>
        </w:rPr>
        <w:t>، وأنا أوافق المحققَ محمد محيي الدين في استغرابه من هذا التوجيه؛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عجيب منهم، لانهم ألغوا الموجود، واعتروا المعدوم</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التكلف في تأويل هذا الشاهد واضحٌ لا يمكن دفعه أو تسويغه؛ </w:t>
      </w:r>
    </w:p>
    <w:p>
      <w:pPr>
        <w:pStyle w:val="BookText"/>
        <w:rPr/>
      </w:pPr>
      <w:r>
        <w:rPr>
          <w:rFonts w:ascii="Amiri" w:hAnsi="Amiri" w:eastAsia="Amiri" w:cs="Amiri"/>
          <w:color w:val="111111"/>
          <w:sz w:val="28"/>
          <w:sz w:val="28"/>
          <w:szCs w:val="28"/>
          <w:rtl w:val="true"/>
          <w:lang w:bidi="ar-SA"/>
        </w:rPr>
        <w:t xml:space="preserve">لذا فالقول ببناء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اقترانه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مقبول قد ذهب إليه ابن مالك في رأيه الآخر؛ إذ صرَّح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نُكِّر أو كُسر أو صُغِّر أو أُضيفَ أو 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باتفاق، وربما بُنيَ المقارِن لهما</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وتابعه على هذا الرضي أيضًا</w:t>
      </w:r>
      <w:r>
        <w:rPr>
          <w:rStyle w:val="FootnoteAnchor"/>
          <w:rtl w:val="true"/>
        </w:rPr>
        <w:footnoteReference w:id="308"/>
      </w:r>
      <w:r>
        <w:rPr>
          <w:rFonts w:ascii="Amiri" w:hAnsi="Amiri" w:eastAsia="Amiri" w:cs="Amiri"/>
          <w:color w:val="111111"/>
          <w:sz w:val="28"/>
          <w:sz w:val="28"/>
          <w:szCs w:val="28"/>
          <w:rtl w:val="true"/>
          <w:lang w:bidi="ar-SA"/>
        </w:rPr>
        <w:t>، وأشار إليه السيوطي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أُعرِبَ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العرب من يستصحب البناء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 غیر أنّهم عمدوا إلى تأويل ما جاء من ذلك كما اتّضح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أبدى الدرس النحوي الحديث رأيه في هذه المسألة فكان للأُستاذ عباس حسن توجيهٌ نحويٌّ وافق فيه ابن مالك ومتابعيه، فأجاز البناء على الكسر عند الاقتران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والاضافة، بل ذهب إلى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الأحسن بناؤه على الكسر أيضًا في جميع أحواله</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وهو رأي صائب وسليم يؤيده ما جاء في نهج البلاغة من 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الشواهد العَلَوية على هذه المسألة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له إلى معاوية جوابًا عن كتابٍ منه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طَلَبُكَ إلى اَلشَّامِ فَإِنِّ لَمْ أَكُنْ لَأُعْطِيَكَ اَلْيَوْمَ مَا مَنَعْتُكَ أَمْسِ</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معاوية قد طلب مِرارًا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يجعلَه واليًا على الشام حتى يبايعَه، وكان جوابُ الإمام واحدًا وهو المنع والرفض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واستمرارُ منع الإمام ناظرٌ إلى المحافظة على دين الله تعالى</w:t>
      </w:r>
      <w:r>
        <w:rPr>
          <w:rStyle w:val="FootnoteAnchor"/>
          <w:rtl w:val="true"/>
        </w:rPr>
        <w:footnoteReference w:id="312"/>
      </w:r>
      <w:r>
        <w:rPr>
          <w:rFonts w:ascii="IRNazanin" w:hAnsi="IRNazanin" w:eastAsia="IRNazanin"/>
          <w:color w:val="111111"/>
          <w:sz w:val="28"/>
          <w:sz w:val="28"/>
          <w:szCs w:val="28"/>
          <w:rtl w:val="true"/>
          <w:lang w:bidi="fa-IR"/>
        </w:rPr>
        <w:t xml:space="preserve">، وبهذا تكون دلالة الظرف على التنكیر هي </w:t>
      </w:r>
    </w:p>
    <w:p>
      <w:pPr>
        <w:pStyle w:val="BookText"/>
        <w:rPr/>
      </w:pPr>
      <w:r>
        <w:rPr>
          <w:rFonts w:ascii="IRNazanin" w:hAnsi="IRNazanin" w:eastAsia="IRNazanin"/>
          <w:color w:val="111111"/>
          <w:sz w:val="28"/>
          <w:sz w:val="28"/>
          <w:szCs w:val="28"/>
          <w:rtl w:val="true"/>
          <w:lang w:bidi="fa-IR"/>
        </w:rPr>
        <w:t xml:space="preserve">المرادة؛ إذ لم يكن غرض الإمام الإشارة إلى اليوم الذي سبقه؛ لأنَّ معاوية إنما كرَّر هذا الطلب مرات متعددة بلا جدوى، ومع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وتنكیره فقد جاء مبنيًا على الكسر وعامله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دليل على نقص استقراء النحويین في هذه المسألة وإصرارهم على هَدْر ما لا يوافق قواعدهم من التراث اللغوي، على أنَّ الزجّاجي قد حمل ذلك على المجاز،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كان ظرفًا فهو مبني على الكسر ويكون له معنيان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يُريد به اليوم الذي قبل يومك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تريد به ما تقدّم يومك، وذلك لا يكون إلا مجازًا</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الشواهد العلوية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اضطرب عليه أصحابه في أمر الحكومة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أَمْسِ أَمِیراً فَأَصْبَحْتُ اَلْيَوْمَ مَأْمُوراً</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الكسر، عامله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نكرة</w:t>
      </w:r>
      <w:r>
        <w:rPr>
          <w:rStyle w:val="FootnoteAnchor"/>
          <w:rtl w:val="true"/>
        </w:rPr>
        <w:footnoteReference w:id="315"/>
      </w:r>
      <w:r>
        <w:rPr>
          <w:rFonts w:ascii="IRNazanin" w:hAnsi="IRNazanin" w:eastAsia="IRNazanin"/>
          <w:color w:val="111111"/>
          <w:sz w:val="28"/>
          <w:sz w:val="28"/>
          <w:szCs w:val="28"/>
          <w:rtl w:val="true"/>
          <w:lang w:bidi="fa-IR"/>
        </w:rPr>
        <w:t xml:space="preserve">إذ لم يكن مقصده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أنه أمیرٌ في اليوم الذي سبق حديثه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الحضِّ على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فَاتَ أَمْسِ مِنَ اَلْعُمُرِ لَمْ يُرْجَ الْیَوْم رَجْعَتُهُ</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نكرة لا يدل على معینَّ أو محدد؛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العمر عبارة عن زمان الحياة و مدّته و الزّمان كمّ متّصل غیر قارّ الذات</w:t>
      </w:r>
      <w:r>
        <w:rPr>
          <w:rFonts w:eastAsia="IRNazanin" w:cs="IRNazanin"/>
          <w:color w:val="111111"/>
          <w:sz w:val="28"/>
          <w:szCs w:val="28"/>
          <w:rtl w:val="true"/>
          <w:lang w:bidi="fa-IR"/>
        </w:rPr>
        <w:t>))</w:t>
      </w:r>
      <w:r>
        <w:rPr>
          <w:rStyle w:val="FootnoteAnchor"/>
          <w:rtl w:val="true"/>
        </w:rPr>
        <w:footnoteReference w:id="317"/>
      </w:r>
      <w:r>
        <w:rPr>
          <w:rFonts w:ascii="Amiri" w:hAnsi="Amiri" w:eastAsia="Amiri" w:cs="Amiri"/>
          <w:color w:val="111111"/>
          <w:sz w:val="28"/>
          <w:sz w:val="28"/>
          <w:szCs w:val="28"/>
          <w:rtl w:val="true"/>
          <w:lang w:bidi="ar-SA"/>
        </w:rPr>
        <w:t xml:space="preserve">، وهو كما ترى قد جاء مبنيًا على الكسر عامله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نخلص مما تقدَّم إلى تعديل القاعدة النحوية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تنكیر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يمنع من بنائه على الكسر لورود ذلك في نهج البلاغة وفي كلام العرب نثرًا ونظماً</w:t>
      </w:r>
      <w:r>
        <w:rPr>
          <w:rFonts w:eastAsia="IRNazanin" w:cs="IRNazanin"/>
          <w:color w:val="111111"/>
          <w:sz w:val="28"/>
          <w:szCs w:val="28"/>
          <w:rtl w:val="true"/>
          <w:lang w:bidi="fa-IR"/>
        </w:rPr>
        <w:t xml:space="preserve">. </w:t>
      </w:r>
      <w:bookmarkStart w:id="109" w:name="pg7031_80846"/>
    </w:p>
    <w:p>
      <w:pPr>
        <w:pStyle w:val="Heading4"/>
        <w:numPr>
          <w:ilvl w:val="3"/>
          <w:numId w:val="1"/>
        </w:numPr>
        <w:rPr/>
      </w:pPr>
      <w:bookmarkStart w:id="110" w:name="__RefHeading___Toc2958300_372815092"/>
      <w:bookmarkStart w:id="111" w:name="_Toc36"/>
      <w:bookmarkEnd w:id="109"/>
      <w:bookmarkEnd w:id="110"/>
      <w:r>
        <w:rPr>
          <w:rtl w:val="true"/>
        </w:rPr>
        <w:t>المسألة السابعة</w:t>
      </w:r>
      <w:r>
        <w:rPr>
          <w:rtl w:val="true"/>
        </w:rPr>
        <w:t xml:space="preserve">: </w:t>
      </w:r>
      <w:r>
        <w:rPr>
          <w:rtl w:val="true"/>
        </w:rPr>
        <w:t xml:space="preserve">جواز استعمال </w:t>
      </w:r>
      <w:r>
        <w:rPr>
          <w:rtl w:val="true"/>
        </w:rPr>
        <w:t>(</w:t>
      </w:r>
      <w:r>
        <w:rPr>
          <w:rtl w:val="true"/>
        </w:rPr>
        <w:t>مهما</w:t>
      </w:r>
      <w:r>
        <w:rPr>
          <w:rtl w:val="true"/>
        </w:rPr>
        <w:t xml:space="preserve">) </w:t>
      </w:r>
      <w:r>
        <w:rPr>
          <w:rtl w:val="true"/>
        </w:rPr>
        <w:t>ظرفية</w:t>
      </w:r>
      <w:r>
        <w:rPr>
          <w:rtl w:val="true"/>
        </w:rPr>
        <w:t>:</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شرط جازمة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هي تدلُّ على الإبهام والعموم</w:t>
      </w:r>
      <w:r>
        <w:rPr>
          <w:rStyle w:val="FootnoteAnchor"/>
          <w:rtl w:val="true"/>
        </w:rPr>
        <w:footnoteReference w:id="318"/>
      </w:r>
      <w:r>
        <w:rPr>
          <w:rFonts w:ascii="IRNazanin" w:hAnsi="IRNazanin" w:eastAsia="IRNazanin"/>
          <w:color w:val="111111"/>
          <w:sz w:val="28"/>
          <w:sz w:val="28"/>
          <w:szCs w:val="28"/>
          <w:rtl w:val="true"/>
          <w:lang w:bidi="fa-IR"/>
        </w:rPr>
        <w:t>، وأما بناؤها فإنَّ النحويین قد اختلفوا فيه، فمنهم من قال ببساطتها ومنهم من قال بتركيبها</w:t>
      </w:r>
      <w:r>
        <w:rPr>
          <w:rStyle w:val="FootnoteAnchor"/>
          <w:rtl w:val="true"/>
        </w:rPr>
        <w:footnoteReference w:id="319"/>
      </w:r>
      <w:r>
        <w:rPr>
          <w:rFonts w:ascii="IRNazanin" w:hAnsi="IRNazanin" w:eastAsia="IRNazanin"/>
          <w:color w:val="111111"/>
          <w:sz w:val="28"/>
          <w:sz w:val="28"/>
          <w:szCs w:val="28"/>
          <w:rtl w:val="true"/>
          <w:lang w:bidi="fa-IR"/>
        </w:rPr>
        <w:t>، وحاصل هذا الخلاف خلاف آخر في تصنيفها، فمذهب الجمهور يرجِّح القول بإسميتها، دونما دلالةٍ فيها على الظرفية، قال المبرَّد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باب المجازاة وحروفها وهي تدخل للشرط ومعنى الشرط وقوع الشيء لوقوع غیره فمن عواملها من الظروف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مهنا</w:t>
      </w:r>
      <w:r>
        <w:rPr>
          <w:rFonts w:eastAsia="IRNazanin" w:cs="IRNazanin"/>
          <w:color w:val="111111"/>
          <w:sz w:val="28"/>
          <w:szCs w:val="28"/>
          <w:rtl w:val="true"/>
          <w:lang w:bidi="fa-IR"/>
        </w:rPr>
        <w:t>«))</w:t>
      </w:r>
      <w:r>
        <w:rPr>
          <w:rStyle w:val="FootnoteAnchor"/>
          <w:rtl w:val="true"/>
        </w:rPr>
        <w:footnoteReference w:id="320"/>
      </w:r>
      <w:r>
        <w:rPr>
          <w:rFonts w:ascii="Amiri" w:hAnsi="Amiri" w:eastAsia="Amiri" w:cs="Amiri"/>
          <w:color w:val="111111"/>
          <w:sz w:val="28"/>
          <w:sz w:val="28"/>
          <w:szCs w:val="28"/>
          <w:rtl w:val="true"/>
          <w:lang w:bidi="ar-SA"/>
        </w:rPr>
        <w:t>، على أنّ سيبويه من قبله لم يذكرها في عِداد أدوات الشرط</w:t>
      </w:r>
      <w:r>
        <w:rPr>
          <w:rStyle w:val="FootnoteAnchor"/>
          <w:rtl w:val="true"/>
        </w:rPr>
        <w:footnoteReference w:id="321"/>
      </w:r>
      <w:r>
        <w:rPr>
          <w:rFonts w:ascii="Amiri" w:hAnsi="Amiri" w:eastAsia="Amiri" w:cs="Amiri"/>
          <w:color w:val="111111"/>
          <w:sz w:val="28"/>
          <w:sz w:val="28"/>
          <w:szCs w:val="28"/>
          <w:rtl w:val="true"/>
          <w:lang w:bidi="ar-SA"/>
        </w:rPr>
        <w:t xml:space="preserve">لأنها عنده 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أعقبتها مثلها، أو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قِسم من النحويین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تخلو من الظرفية المتضمّنة معنى الشرط، ولعل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يتصدَّر من أشار إلى ذلك، وهذا نصُّ كلامه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وهذه الكلمة في عداد الكلمات التي يُحرّفها من لا يدَ له في عِلم العربية، فيضعها غیر موضعها، ويحسب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ويقول مها جئتني </w:t>
      </w:r>
    </w:p>
    <w:p>
      <w:pPr>
        <w:pStyle w:val="BookText"/>
        <w:rPr/>
      </w:pPr>
      <w:r>
        <w:rPr>
          <w:rFonts w:ascii="Amiri" w:hAnsi="Amiri" w:eastAsia="Amiri" w:cs="Amiri"/>
          <w:color w:val="111111"/>
          <w:sz w:val="28"/>
          <w:sz w:val="28"/>
          <w:szCs w:val="28"/>
          <w:rtl w:val="true"/>
          <w:lang w:bidi="ar-SA"/>
        </w:rPr>
        <w:t>أعطيتك، وهذا من وضعه وليس من كلام واضع العربية في شيء</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ابن مالك قد أثبتَ لها معنى الظرفية محتجًا بطائفة من الشواهد النحوية، فقد صرَّح برأيه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جميع النحويین يجعلون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لزوم التجرّد عن الظرفية مع أن استعمالهما ظرفین ثابت في أشعار الفصحاء من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وكقول حاتم الطائي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وإنَّكَ مَهْما تُعْطِ بَطْنَكَ سُؤْلَهُ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وفَرْجَكَ نالا مُنْتَهى الذَّمِّ أجْمَعا</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وإلى نحو هذا أشار الرضي أيضًا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قول ابن 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جميع النحويین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إطلاق يقيِّده أنَّ الزمخشري من قبله أشار إلى أنَّ بعض النحويین قد ذهب إلى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شرطية ظرفية، كما أكد هذا المعنى الرضي أيضًا، على أنَّه قد يُغتفر هذا لابن مالك بسبب عدم تصريح الزمخشري بمن عدَّها ظرفيةً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اعترض عددٌ من النحويین على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معنى الظرفية، فقد تَتَبّع ابنُ الناظم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أباه في ذلك وردَّ عليه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أرى في هذه الأبيات حجة، لأنه كما يصح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بظرف زمان، كذلك يصح تقديرهما </w:t>
      </w:r>
    </w:p>
    <w:p>
      <w:pPr>
        <w:pStyle w:val="BookText"/>
        <w:rPr/>
      </w:pPr>
      <w:r>
        <w:rPr>
          <w:rFonts w:ascii="IRNazanin" w:hAnsi="IRNazanin" w:eastAsia="IRNazanin"/>
          <w:color w:val="111111"/>
          <w:sz w:val="28"/>
          <w:sz w:val="28"/>
          <w:szCs w:val="28"/>
          <w:rtl w:val="true"/>
          <w:lang w:bidi="fa-IR"/>
        </w:rPr>
        <w:t>بالمصدر</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ثم بینَّ سبب ترجيحِه معنى المصدرية على الظرفية مع جواز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في كونهما ظرفن شذوذًا وقولًا بما لا يعرفه جميع النحويین بخلاف كونهما مصدرين؛ لأنه لا مانع أنْ يُكنَّى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مصدر فعل الشرط كما لا مانع من أنْ يُكنَّى بهما عن المفعول به ونحوه؛ إذ لا فرق</w:t>
      </w:r>
      <w:r>
        <w:rPr>
          <w:rFonts w:eastAsia="IRNazanin" w:cs="IRNazanin"/>
          <w:color w:val="111111"/>
          <w:sz w:val="28"/>
          <w:szCs w:val="28"/>
          <w:rtl w:val="true"/>
          <w:lang w:bidi="fa-IR"/>
        </w:rPr>
        <w:t>))</w:t>
      </w:r>
      <w:r>
        <w:rPr>
          <w:rStyle w:val="FootnoteAnchor"/>
          <w:rtl w:val="true"/>
        </w:rPr>
        <w:footnoteReference w:id="327"/>
      </w:r>
      <w:r>
        <w:rPr>
          <w:rFonts w:ascii="Amiri" w:hAnsi="Amiri" w:eastAsia="Amiri" w:cs="Amiri"/>
          <w:color w:val="111111"/>
          <w:sz w:val="28"/>
          <w:sz w:val="28"/>
          <w:szCs w:val="28"/>
          <w:rtl w:val="true"/>
          <w:lang w:bidi="ar-SA"/>
        </w:rPr>
        <w:t>، وأيَّد هذا الاعتراضَ أبو حيان</w:t>
      </w:r>
      <w:r>
        <w:rPr>
          <w:rStyle w:val="FootnoteAnchor"/>
          <w:rtl w:val="true"/>
        </w:rPr>
        <w:footnoteReference w:id="328"/>
      </w:r>
      <w:r>
        <w:rPr>
          <w:rFonts w:ascii="Amiri" w:hAnsi="Amiri" w:eastAsia="Amiri" w:cs="Amiri"/>
          <w:color w:val="111111"/>
          <w:sz w:val="28"/>
          <w:sz w:val="28"/>
          <w:szCs w:val="28"/>
          <w:rtl w:val="true"/>
          <w:lang w:bidi="ar-SA"/>
        </w:rPr>
        <w:t>، والسمين الحلبي</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ويبدو أنَّ اعتراض ابن الناظم ليس دقيقًا؛ إذ إنَّه استند في ردِّه إلى ما ظنَّه غیر معروف عند جميع النحويین، والحال خلاف ذلك فوجه الظرفية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كما هو وجه الشرطية أشار إليه غیر ابن مالك كالرضي، وهو وجه جائز وليس ممنوعًا، وبهذا لا يمتنع توجيه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معنى الظرفية، ولهذا أخذ ناظر الجيش برأي ابن مالك، مخالفًا بذلك رأيَ شيخه أبي حيان، ورادًّا على ابن الناظم، فقال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ما قاله المصنف أولى وأقرب، والطباع تقبله، بخلاف ما ذكره ولده، والمصنف يقول لولَده كما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مانع من أَنْ يُكَنَّى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مصدر فعل الشرط، كما لا مانع من أَنَّ يُكنّى بهما عن المفعول، أنا أقول لا مانع من أَنْ يُكنّى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زمان فعل الشرط، كما لا مانع من أَنْ يُكنّى بهما عن المفعول به</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إجازة ناظر الجيش أنَّه قد احتكم إلى وجه المشابهة، فلما كان جائزًا أَنَّ يُكنّى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مصدر فعل الشرط، والمفعول كان من باب أولى جواز أَنْ يُكنّى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زمان فعل الشرط أيضًا، وهذا ما </w:t>
      </w:r>
    </w:p>
    <w:p>
      <w:pPr>
        <w:pStyle w:val="BookText"/>
        <w:rPr/>
      </w:pPr>
      <w:r>
        <w:rPr>
          <w:rFonts w:ascii="Amiri" w:hAnsi="Amiri" w:eastAsia="Amiri" w:cs="Amiri"/>
          <w:color w:val="111111"/>
          <w:sz w:val="28"/>
          <w:sz w:val="28"/>
          <w:szCs w:val="28"/>
          <w:rtl w:val="true"/>
          <w:lang w:bidi="ar-SA"/>
        </w:rPr>
        <w:t>أكَّده السماع أيضًا؛ فقد احتج ابن مالك لإجازته تلك بعدد من الشواهد الشعرية منها قول الشاعر طفيل الغنوي</w:t>
      </w:r>
      <w:r>
        <w:rPr>
          <w:rStyle w:val="FootnoteAnchor"/>
          <w:rtl w:val="true"/>
        </w:rPr>
        <w:footnoteReference w:id="3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نُبِّئت أنَّ أبا شُتَيمٍ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يعشْ يُسمِعْ بما لم يُسْمعِ وقول ساعدة بن جؤبة</w:t>
      </w:r>
      <w:r>
        <w:rPr>
          <w:rStyle w:val="FootnoteAnchor"/>
          <w:rtl w:val="true"/>
        </w:rPr>
        <w:footnoteReference w:id="3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أُوبِيَتْ كلَّ ماءٍ فَهْي طاوِيَةٌ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تُصِبْ أُفُقًا من بارقٍ تَشِمِ والمعنى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وقت تصب بارقًا من أفق</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 ومما يؤيِّد ظرفيتها هنا أنّ البيت قد رُوي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يرتضِ المانعون هذا فأوّلوا هذا البيتَ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التبعيض، وعلى هذا يكون معنى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شيء تصب في أفق من البوارق تشم</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التكلّف في تأويل هذه الشواهد واضحٌ لا يمكن أنْ يُغضَّ الطرف عنه، على حین أنَّ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الزمان لا تكلف فيه، وهو أقلُّ تأويلاً وتقديرًا، فهو </w:t>
      </w:r>
    </w:p>
    <w:p>
      <w:pPr>
        <w:pStyle w:val="BookText"/>
        <w:rPr/>
      </w:pPr>
      <w:r>
        <w:rPr>
          <w:rFonts w:ascii="Amiri" w:hAnsi="Amiri" w:eastAsia="Amiri" w:cs="Amiri"/>
          <w:color w:val="111111"/>
          <w:sz w:val="28"/>
          <w:sz w:val="28"/>
          <w:szCs w:val="28"/>
          <w:rtl w:val="true"/>
          <w:lang w:bidi="ar-SA"/>
        </w:rPr>
        <w:t>يجري على سنن العربية وضوابطها في التقدير؛ إذ النحويون يرجِّحون في الشواهد التي تحتمل تقديرين ما كان أدلَّ على المعنى الذي لا يتعارض مع قواعد نحوية أساسية</w:t>
      </w:r>
      <w:r>
        <w:rPr>
          <w:rStyle w:val="FootnoteAnchor"/>
          <w:rtl w:val="true"/>
        </w:rPr>
        <w:footnoteReference w:id="336"/>
      </w:r>
      <w:r>
        <w:rPr>
          <w:rFonts w:ascii="IRNazanin" w:hAnsi="IRNazanin" w:eastAsia="IRNazanin"/>
          <w:color w:val="111111"/>
          <w:sz w:val="28"/>
          <w:sz w:val="28"/>
          <w:szCs w:val="28"/>
          <w:rtl w:val="true"/>
          <w:lang w:bidi="fa-IR"/>
        </w:rPr>
        <w:t xml:space="preserve">، ولا شك في أنَّ توجيه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الظرفية من هذا القبيل، فهو يستند إلى عدد من الشواهد الشعرية التي يتضح معنى الزمان فيها جليًا، ومما يؤكد هذا لجوء النحويین إلى التقدير والتأويل، ولو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الشواهد جارية على ما قعدوا له لما فعلوا هذا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نخلص مما تقدّم ذكرُه إلى أنَّ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الظرفية لا يمكن دفعه أو تأويله، وتوجيهها في بعض الشواهد على المصدرية لا يمنع من حملها على الظرفية؛ إذ قد ترد ظرفيةً وهذا ما يُفهم من عبارة ابن مالك</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شواهد هذه المسألة في نهج البلاغة ما جاء في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الأشتر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339"/>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ومهما كانَ في كُتَّابِكَ منْ عيبٍ فتغابيتَ عنه أُلزمته</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النص من جملة وصايا أو أوامر كتبها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للأشتر النخعي حينما </w:t>
      </w:r>
    </w:p>
    <w:p>
      <w:pPr>
        <w:pStyle w:val="BookText"/>
        <w:rPr/>
      </w:pPr>
      <w:r>
        <w:rPr>
          <w:rFonts w:ascii="Amiri" w:hAnsi="Amiri" w:eastAsia="Amiri" w:cs="Amiri"/>
          <w:color w:val="111111"/>
          <w:sz w:val="28"/>
          <w:sz w:val="28"/>
          <w:szCs w:val="28"/>
          <w:rtl w:val="true"/>
          <w:lang w:bidi="ar-SA"/>
        </w:rPr>
        <w:t xml:space="preserve">ولّاه مصر، ينهاه فيها عن التغافل عمّا يكون في كُتّابه من عيب مُدلًّا على ذلك بأُسلوب شرطي تصدَّرته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بذلك نهيه عن عدم حصول تلك الغفلة منه في أيِّ وقتٍ من الأوقات،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 في كتّابك من عيب فتغابيت عنه ألزمته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يعزز ظرفية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ودلالتها على الزمان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أنّ استمرار التغافل عن عيوب الكُتّاب يؤدي إلى لزوم ذلك منهم، ثم ينعكس هذا النقص والعيب على الوالي الذي يمثلُه الكاتب، ولعلّ ما يقوّي ظرفيتها أيضًا ورود فعل الشرط بعدها بصيغة الماضي، على أنَّ الشائع في القاعدة النحويَّة أنْ يليها المُضارع، وهذا النصُّ أوضح دليل على جواز هذا الأُسلوب وفصاحته</w:t>
      </w:r>
      <w:r>
        <w:rPr>
          <w:rStyle w:val="FootnoteAnchor"/>
          <w:rtl w:val="true"/>
        </w:rPr>
        <w:footnoteReference w:id="341"/>
      </w:r>
      <w:r>
        <w:rPr>
          <w:rFonts w:ascii="Amiri" w:hAnsi="Amiri" w:eastAsia="Amiri" w:cs="Amiri"/>
          <w:color w:val="111111"/>
          <w:sz w:val="28"/>
          <w:sz w:val="28"/>
          <w:szCs w:val="28"/>
          <w:rtl w:val="true"/>
          <w:lang w:bidi="ar-SA"/>
        </w:rPr>
        <w:t>، وبهذا يترجَّح لديَّ مذهبُ ابن مالك ومن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الشواهد العَلَوية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حِكَمه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لِلْخَیْرِ وَللشَّرِّ أَهْلاً، فَمَهْمَا تَرَكْتُمُوهُ مِنْهُمَا كَفَاكُمُوهُ أَهْلُهُ</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سياق الترغيب في الخیر والتنفیر من الشر بأنَّ لكلٍّ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 والشر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فمتى تركتم الخیر فإنَّ أهله سيكتفون به، وكذلك الشر فمتى تركتموه تُرِكَ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تحذير لكلِّ عاقل بأنْ يختار فعلَ الخیر ويبتعد عن فعل الشر</w:t>
      </w:r>
      <w:r>
        <w:rPr>
          <w:rStyle w:val="FootnoteAnchor"/>
          <w:rtl w:val="true"/>
        </w:rPr>
        <w:footnoteReference w:id="343"/>
      </w:r>
      <w:r>
        <w:rPr>
          <w:rFonts w:ascii="IRNazanin" w:hAnsi="IRNazanin" w:eastAsia="IRNazanin"/>
          <w:color w:val="111111"/>
          <w:sz w:val="28"/>
          <w:sz w:val="28"/>
          <w:szCs w:val="28"/>
          <w:rtl w:val="true"/>
          <w:lang w:bidi="fa-IR"/>
        </w:rPr>
        <w:t xml:space="preserve">، وبهذا تكون ظرفية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المرادة والمرجَّحة، وهذا ما أدلى به الراوندي شارحًا نصَّ الأمیر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فمتى تركتم واحدًا منهما</w:t>
      </w:r>
      <w:r>
        <w:rPr>
          <w:rFonts w:eastAsia="IRNazanin" w:cs="IRNazanin"/>
          <w:color w:val="111111"/>
          <w:sz w:val="28"/>
          <w:szCs w:val="28"/>
          <w:rtl w:val="true"/>
          <w:lang w:bidi="fa-IR"/>
        </w:rPr>
        <w:t>))</w:t>
      </w:r>
      <w:r>
        <w:rPr>
          <w:rStyle w:val="FootnoteAnchor"/>
          <w:rtl w:val="true"/>
        </w:rPr>
        <w:footnoteReference w:id="344"/>
      </w:r>
      <w:r>
        <w:rPr>
          <w:rFonts w:ascii="Amiri" w:hAnsi="Amiri" w:eastAsia="Amiri" w:cs="Amiri"/>
          <w:color w:val="111111"/>
          <w:sz w:val="28"/>
          <w:sz w:val="28"/>
          <w:szCs w:val="28"/>
          <w:rtl w:val="true"/>
          <w:lang w:bidi="ar-SA"/>
        </w:rPr>
        <w:t xml:space="preserve">إذ إنَّ المقصودَ من دلالة الترك هذه الاستمرارُ في كلِّ حال دونما حصرٍ بوقت </w:t>
      </w:r>
      <w:bookmarkStart w:id="112" w:name="pg7031_80858"/>
    </w:p>
    <w:p>
      <w:pPr>
        <w:pStyle w:val="BookText"/>
        <w:rPr/>
      </w:pPr>
      <w:bookmarkEnd w:id="112"/>
      <w:r>
        <w:rPr>
          <w:rFonts w:ascii="IRNazanin" w:hAnsi="IRNazanin" w:eastAsia="IRNazanin"/>
          <w:color w:val="111111"/>
          <w:sz w:val="28"/>
          <w:sz w:val="28"/>
          <w:szCs w:val="28"/>
          <w:rtl w:val="true"/>
          <w:lang w:bidi="fa-IR"/>
        </w:rPr>
        <w:t>معن ومحدد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واستنادًا إلى ما تقدَّم يجب تعديل القاعدة النحوية بالآتي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 لورود ذلك في نهج البلاغة وهو من أصح مصادر الاستشهاد بعد القرآن الكريم فضلاً عن وروده في الشعر العربي أيضًا</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2958302_372815092"/>
      <w:bookmarkStart w:id="114" w:name="_Toc37"/>
      <w:bookmarkEnd w:id="113"/>
      <w:r>
        <w:rPr>
          <w:rtl w:val="true"/>
        </w:rPr>
        <w:t>المسألة الثامنة</w:t>
      </w:r>
      <w:r>
        <w:rPr>
          <w:rtl w:val="true"/>
        </w:rPr>
        <w:t xml:space="preserve">: </w:t>
      </w:r>
      <w:r>
        <w:rPr>
          <w:rtl w:val="true"/>
        </w:rPr>
        <w:t>جواز عدم مشاركة الفاعل للمفعول له</w:t>
      </w:r>
      <w:r>
        <w:rPr>
          <w:rtl w:val="true"/>
        </w:rPr>
        <w:t>:</w:t>
      </w:r>
      <w:bookmarkEnd w:id="114"/>
    </w:p>
    <w:p>
      <w:pPr>
        <w:pStyle w:val="BookText"/>
        <w:rPr/>
      </w:pPr>
      <w:r>
        <w:rPr>
          <w:rFonts w:ascii="Amiri" w:hAnsi="Amiri" w:eastAsia="Amiri" w:cs="Amiri"/>
          <w:color w:val="111111"/>
          <w:sz w:val="28"/>
          <w:sz w:val="28"/>
          <w:szCs w:val="28"/>
          <w:rtl w:val="true"/>
          <w:lang w:bidi="ar-SA"/>
        </w:rPr>
        <w:t xml:space="preserve">حدَّ ابن هشام المفعول 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الفضلة المعلِّل لحَدَثٍ شاركَه في الزمان والفاعل</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اشترط النحويون فيه مجموعة شروط أفصح عن قسم منها المتقدمون، فقد ذكر سيبويه شرطَي العلة والمصدرية،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ينتصب من المصادر؛ لأنَّه عذر لوقوع الأمر فانتصب لأنه موقوع له، ولأنه تفسیر لما قبله لِمَ كان؟</w:t>
      </w:r>
      <w:r>
        <w:rPr>
          <w:rFonts w:eastAsia="IRNazanin" w:cs="IRNazanin"/>
          <w:color w:val="111111"/>
          <w:sz w:val="28"/>
          <w:szCs w:val="28"/>
          <w:rtl w:val="true"/>
          <w:lang w:bidi="fa-IR"/>
        </w:rPr>
        <w:t>))</w:t>
      </w:r>
      <w:r>
        <w:rPr>
          <w:rStyle w:val="FootnoteAnchor"/>
        </w:rPr>
        <w:footnoteReference w:id="346"/>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يُشیر إلى اشتراط مصدرية المفعول له،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يبیِّن اشتراط إفادة العلة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زاد المتأخرون على ذلك شروطًا أُخرى منها أنْ يكون مشارِكًا الحدثَ في الفاعل</w:t>
      </w:r>
      <w:r>
        <w:rPr>
          <w:rStyle w:val="FootnoteAnchor"/>
          <w:rtl w:val="true"/>
        </w:rPr>
        <w:footnoteReference w:id="347"/>
      </w:r>
      <w:r>
        <w:rPr>
          <w:rFonts w:ascii="IRNazanin" w:hAnsi="IRNazanin" w:eastAsia="IRNazanin"/>
          <w:color w:val="111111"/>
          <w:sz w:val="28"/>
          <w:sz w:val="28"/>
          <w:szCs w:val="28"/>
          <w:rtl w:val="true"/>
          <w:lang w:bidi="fa-IR"/>
        </w:rPr>
        <w:t>، أي أنْ يأتي فاعل الحدث المعلَّل وفاعل المصدر واحدًا،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ضربته تأديبًا، ففاعل الضرب والتأديب واحد هو المتكلم، قال أبو حيان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الذي ذكره الزمخشري من شرط اتحاد الفاعل فيهما ليس مُجمَعًا عليه، بل مِن النحويین </w:t>
      </w:r>
    </w:p>
    <w:p>
      <w:pPr>
        <w:pStyle w:val="BookText"/>
        <w:rPr/>
      </w:pPr>
      <w:r>
        <w:rPr>
          <w:rFonts w:ascii="Amiri" w:hAnsi="Amiri" w:eastAsia="Amiri" w:cs="Amiri"/>
          <w:color w:val="111111"/>
          <w:sz w:val="28"/>
          <w:sz w:val="28"/>
          <w:szCs w:val="28"/>
          <w:rtl w:val="true"/>
          <w:lang w:bidi="ar-SA"/>
        </w:rPr>
        <w:t>مَن لا يشترط ذلك، وهو مذهب ابن خروف</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وأكد ذلك السيوطي</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وتعليل اشتراط تلك المشاركة هو أنَّ المفعول له لا يمكن حصوله إلّا عن فاعلٍ عارفٍ سببَ ما يقوم به، وإلا كان الفعل خُلوًا من علّة تقتضي حصوله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استلزام تلك المشاركة محجوج بما ورد من شواهد قرآنية، منها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يُرِيكُمُ الْبَرْقَ خَوْفًا وَطَمَعًا وَيُنْشِئُ السَّحَابَ الثِّقَالَ</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تعالى،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المخاطَبون</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 xml:space="preserve">، وهذه حجة ابن خروف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إجازته النصبَ مع اختلاف الفاعل؛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ينص على منعه أحدٌ من المتقدمین</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يُجانب ابن خروف الصواب فيما رأى؛ إذ إنَّ ظاهر كلام سيبويه يُشعر بجواز عدم الاشتراك</w:t>
      </w:r>
      <w:r>
        <w:rPr>
          <w:rStyle w:val="FootnoteAnchor"/>
          <w:rtl w:val="true"/>
        </w:rPr>
        <w:footnoteReference w:id="354"/>
      </w:r>
      <w:r>
        <w:rPr>
          <w:rFonts w:ascii="Amiri" w:hAnsi="Amiri" w:eastAsia="Amiri" w:cs="Amiri"/>
          <w:color w:val="111111"/>
          <w:sz w:val="28"/>
          <w:sz w:val="28"/>
          <w:szCs w:val="28"/>
          <w:rtl w:val="true"/>
          <w:lang w:bidi="ar-SA"/>
        </w:rPr>
        <w:t xml:space="preserve">، فيجوز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حذرَ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قول امرئ القيس</w:t>
      </w:r>
      <w:r>
        <w:rPr>
          <w:rStyle w:val="FootnoteAnchor"/>
          <w:rtl w:val="true"/>
        </w:rPr>
        <w:footnoteReference w:id="3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أمَ عمْرٍو دَمْعُها قَدْ تَحَدَّرَا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على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أصبرا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ففاعل التحدّر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 البكاء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عمرو</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وعمد المانعون إلى تأويل ذلك بما ينسجم والقاعدة التي وضعوها، فذهبوا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منصوبان على العلة، وقد اختلفوا في بيان مسوِّغها،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حذف مضاف وإنابة المضاف إليه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هذا الرأي إلى الزجّاج</w:t>
      </w:r>
      <w:r>
        <w:rPr>
          <w:rStyle w:val="FootnoteAnchor"/>
          <w:rtl w:val="true"/>
        </w:rPr>
        <w:footnoteReference w:id="357"/>
      </w:r>
      <w:r>
        <w:rPr>
          <w:rFonts w:ascii="Amiri" w:hAnsi="Amiri" w:eastAsia="Amiri" w:cs="Amiri"/>
          <w:color w:val="111111"/>
          <w:sz w:val="28"/>
          <w:sz w:val="28"/>
          <w:szCs w:val="28"/>
          <w:rtl w:val="true"/>
          <w:lang w:bidi="ar-SA"/>
        </w:rPr>
        <w:t xml:space="preserve">، واختاره الزمخشري، والبيضاوي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منصوبان على العلة، لكن ليس على الاشتراك اللفظي بین الفعل وبينهما في الفاعل، بل على الاشتراك المعنوي، والتقدير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يجعلكم رائین أو ترونه خوفًا وطمعًا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ذهب إلى هذا الزمخشري في رأيه الآخر، وابن مالك والأُشموني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5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والطمع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الإخافة والإطماع</w:t>
      </w:r>
      <w:r>
        <w:rPr>
          <w:rStyle w:val="FootnoteAnchor"/>
          <w:rtl w:val="true"/>
        </w:rPr>
        <w:footnoteReference w:id="36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منصوبان على الحالية</w:t>
      </w:r>
      <w:r>
        <w:rPr>
          <w:rStyle w:val="FootnoteAnchor"/>
          <w:rtl w:val="true"/>
        </w:rPr>
        <w:footnoteReference w:id="361"/>
      </w:r>
      <w:r>
        <w:rPr>
          <w:rFonts w:ascii="Amiri" w:hAnsi="Amiri" w:eastAsia="Amiri" w:cs="Amiri"/>
          <w:color w:val="111111"/>
          <w:sz w:val="28"/>
          <w:sz w:val="28"/>
          <w:szCs w:val="28"/>
          <w:rtl w:val="true"/>
          <w:lang w:bidi="ar-SA"/>
        </w:rPr>
        <w:t>، أو على المفعولية المطلقة 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لتخافوا خوفًا ولتطمعوا طمعًا</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كلَّ تلك الوجوه بحاجةٍ إلى تقدير وتأويل، وعدم التقدير أَولى </w:t>
      </w:r>
    </w:p>
    <w:p>
      <w:pPr>
        <w:pStyle w:val="BookText"/>
        <w:rPr/>
      </w:pPr>
      <w:r>
        <w:rPr>
          <w:rFonts w:ascii="Amiri" w:hAnsi="Amiri" w:eastAsia="Amiri" w:cs="Amiri"/>
          <w:color w:val="111111"/>
          <w:sz w:val="28"/>
          <w:sz w:val="28"/>
          <w:szCs w:val="28"/>
          <w:rtl w:val="true"/>
          <w:lang w:bidi="ar-SA"/>
        </w:rPr>
        <w:t>من التقدير لكثرة الشواهد التي لم ترد فيها المشاركة في الفاعل</w:t>
      </w:r>
      <w:r>
        <w:rPr>
          <w:rStyle w:val="FootnoteAnchor"/>
          <w:rtl w:val="true"/>
        </w:rPr>
        <w:footnoteReference w:id="363"/>
      </w:r>
      <w:r>
        <w:rPr>
          <w:rFonts w:ascii="Amiri" w:hAnsi="Amiri" w:eastAsia="Amiri" w:cs="Amiri"/>
          <w:color w:val="111111"/>
          <w:sz w:val="28"/>
          <w:sz w:val="28"/>
          <w:szCs w:val="28"/>
          <w:rtl w:val="true"/>
          <w:lang w:bidi="ar-SA"/>
        </w:rPr>
        <w:t>، هذا فضلاً عن أنَّ تلك التأويلات بعيدة دعا إليها تحكيم القاعدة وتقديمها على النصوص المستقراة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أجل ذلك ذهب الرضي إلى جواز عدم الاشتراك،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وبعض النحاة لا يشترط تشاركهما في الفاعل، وهو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ظني وإنْ كان الاغلب هو الأول، والدليل على جواز عدم التشارك قول أمیر المؤمنین علي رضي الله عنه في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فأعطاه الله النظرة استحقاقا للسخطة، واستتمامًا للبلية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،والمستحق للسخطة إبليس والمعطي للنظرة هو الله تعالى</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الرضي على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استحقاقاً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حالاً من المفعول؛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استتمامًا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يكون حالاً من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يُعطَف حال الفاعل على حال المفعول</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 ووافق الرضيَّ على هذا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قولَيه والدكتور فاضل السامرائي</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نخلص ممّا تقدَّم ذكره إلى أنَّ المفعول له يجوز فيه عدم الاشتراك في الفاعل استنادًا إلى مجيء ذلك في القرآن الكريم ونهج البلاغة، وهو مذهب ابن خروف الرضي ومن تابعهما، ولهذا لابد من تقديم تعديلٍ للقاعدة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المفعول </w:t>
      </w:r>
      <w:bookmarkStart w:id="115" w:name="pg7031_80866"/>
    </w:p>
    <w:p>
      <w:pPr>
        <w:pStyle w:val="BookText"/>
        <w:rPr/>
      </w:pPr>
      <w:bookmarkEnd w:id="115"/>
      <w:r>
        <w:rPr>
          <w:rFonts w:ascii="Amiri" w:hAnsi="Amiri" w:eastAsia="Amiri" w:cs="Amiri"/>
          <w:color w:val="111111"/>
          <w:sz w:val="28"/>
          <w:sz w:val="28"/>
          <w:szCs w:val="28"/>
          <w:rtl w:val="true"/>
          <w:lang w:bidi="ar-SA"/>
        </w:rPr>
        <w:t>له ألا يكون مشارِكًا في الفاعل لورود ذلك في نهج البلاغة فضلاً عن القرآن الكريم والشعر العربي</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2958304_372815092"/>
      <w:bookmarkStart w:id="117" w:name="_Toc38"/>
      <w:bookmarkEnd w:id="116"/>
      <w:r>
        <w:rPr>
          <w:rtl w:val="true"/>
        </w:rPr>
        <w:t>المسألة التاسعة</w:t>
      </w:r>
      <w:r>
        <w:rPr>
          <w:rtl w:val="true"/>
        </w:rPr>
        <w:t xml:space="preserve">: </w:t>
      </w:r>
      <w:r>
        <w:rPr>
          <w:rtl w:val="true"/>
        </w:rPr>
        <w:t>جواز الإضافة الظرفية</w:t>
      </w:r>
      <w:r>
        <w:rPr>
          <w:rtl w:val="true"/>
        </w:rPr>
        <w:t>:</w:t>
      </w:r>
      <w:bookmarkEnd w:id="117"/>
    </w:p>
    <w:p>
      <w:pPr>
        <w:pStyle w:val="BookText"/>
        <w:rPr/>
      </w:pPr>
      <w:r>
        <w:rPr>
          <w:rFonts w:ascii="IRNazanin" w:hAnsi="IRNazanin" w:eastAsia="IRNazanin"/>
          <w:color w:val="111111"/>
          <w:sz w:val="28"/>
          <w:sz w:val="28"/>
          <w:szCs w:val="28"/>
          <w:rtl w:val="true"/>
          <w:lang w:bidi="fa-IR"/>
        </w:rPr>
        <w:t>الإضافة عند النحويین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محضة وأخرى غیر محضة</w:t>
      </w:r>
      <w:r>
        <w:rPr>
          <w:rStyle w:val="FootnoteAnchor"/>
          <w:rtl w:val="true"/>
        </w:rPr>
        <w:footnoteReference w:id="368"/>
      </w:r>
      <w:r>
        <w:rPr>
          <w:rFonts w:ascii="Amiri" w:hAnsi="Amiri" w:eastAsia="Amiri" w:cs="Amiri"/>
          <w:color w:val="111111"/>
          <w:sz w:val="28"/>
          <w:sz w:val="28"/>
          <w:szCs w:val="28"/>
          <w:rtl w:val="true"/>
          <w:lang w:bidi="ar-SA"/>
        </w:rPr>
        <w:t>، والحديث ههنا يقتصر على الأولى منهما، وسُميت أيضًا معنوية؛ لأنّها إضافة لفظًا ومعنًى، ولأنّها تتطلّب وجود حرف إضافة مقدَّر وظيفته إيصال معنى ما قبله إلى ما بعده</w:t>
      </w:r>
      <w:r>
        <w:rPr>
          <w:rStyle w:val="FootnoteAnchor"/>
          <w:rtl w:val="true"/>
        </w:rPr>
        <w:footnoteReference w:id="369"/>
      </w:r>
      <w:r>
        <w:rPr>
          <w:rFonts w:ascii="Amiri" w:hAnsi="Amiri" w:eastAsia="Amiri" w:cs="Amiri"/>
          <w:color w:val="111111"/>
          <w:sz w:val="28"/>
          <w:sz w:val="28"/>
          <w:szCs w:val="28"/>
          <w:rtl w:val="true"/>
          <w:lang w:bidi="ar-SA"/>
        </w:rPr>
        <w:t>، وهي تفيد المضاف إمّا تعريفًا إذا أُضيفَت النكرة إلى معرفة،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تخصيصًا إذا أُضيفَتْ النكرة إلى نكرة،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امرأةٍ</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والإضافة الظرفية هي الإضافة الخالصة من نيّة الانفصال</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لأصالتها، ولأن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من ضمیر مستتر يفصل بينهما</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النحويون يشترطون تقدير حرف جر بین المضاف والمضاف إليه اختلفوا في المعاني التي تحتملها الإضافة المحضة تبعًا لاختلافهم في تقدير الحرف، فمنهم من قصر الإضافة على حرفین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ومنهم من ذهب إلى أنّها لا تكون إلّا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اقتصر الزجّاج</w:t>
      </w:r>
      <w:r>
        <w:rPr>
          <w:rStyle w:val="FootnoteAnchor"/>
          <w:rtl w:val="true"/>
        </w:rPr>
        <w:footnoteReference w:id="373"/>
      </w:r>
      <w:r>
        <w:rPr>
          <w:rFonts w:ascii="IRNazanin" w:hAnsi="IRNazanin" w:eastAsia="IRNazanin"/>
          <w:color w:val="111111"/>
          <w:sz w:val="28"/>
          <w:sz w:val="28"/>
          <w:szCs w:val="28"/>
          <w:rtl w:val="true"/>
          <w:lang w:bidi="fa-IR"/>
        </w:rPr>
        <w:t xml:space="preserve">، وابن الضائع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وتعليل ذلك أنّ معنى الإضافة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اختلفت كلمة النحويین في الإضافة الظرفية،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فمنهم من أيّدها واستشهد لها، ومنهم من أنكرها ورفض شواهدها أو أوَّلها، فقد ذهب المتقدِّمون من النحويین إلى أنَّ الإضافة إنما تقتصر على حرفین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مذهب سيبويه وعليه الجمهور</w:t>
      </w:r>
      <w:r>
        <w:rPr>
          <w:rStyle w:val="FootnoteAnchor"/>
          <w:rtl w:val="true"/>
        </w:rPr>
        <w:footnoteReference w:id="376"/>
      </w:r>
      <w:r>
        <w:rPr>
          <w:rFonts w:ascii="IRNazanin" w:hAnsi="IRNazanin" w:eastAsia="IRNazanin"/>
          <w:color w:val="111111"/>
          <w:sz w:val="28"/>
          <w:sz w:val="28"/>
          <w:szCs w:val="28"/>
          <w:rtl w:val="true"/>
          <w:lang w:bidi="fa-IR"/>
        </w:rPr>
        <w:t xml:space="preserve">، ونُسِبَ هذا الرأي إلى الجرمي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أكثر النحويین المتأخرين</w:t>
      </w:r>
      <w:r>
        <w:rPr>
          <w:rStyle w:val="FootnoteAnchor"/>
          <w:rtl w:val="true"/>
        </w:rPr>
        <w:footnoteReference w:id="377"/>
      </w:r>
      <w:r>
        <w:rPr>
          <w:rFonts w:ascii="Amiri" w:hAnsi="Amiri" w:eastAsia="Amiri" w:cs="Amiri"/>
          <w:color w:val="111111"/>
          <w:sz w:val="28"/>
          <w:sz w:val="28"/>
          <w:szCs w:val="28"/>
          <w:rtl w:val="true"/>
          <w:lang w:bidi="ar-SA"/>
        </w:rPr>
        <w:t xml:space="preserve">، وما أوهم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عى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اتساعًا أو مجازًا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وممّن صرَّح بمنع الإضافة الظرفية السیرافي،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والإضافة تكون على معنى أحد الحرفین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الإضافة على معناها تبعيض كقولك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ثوب 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ثوب من خز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من 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كان على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فإضافته على وجه الاستحقاق، كقولك</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دارُ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لزيد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وربما أوهمتك الإضافة الخروج عن هذين الوجهین، فإذا رددتها إلى أُصول ما وضعت له رأيتها لازمة لأحد الحرفین كقولك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أفضلهم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الفاضل منهم زيد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 فالسیرافي بحسب نصِّه هذا قد قصر الإضافة على حرفین، وما خرج عنها فيرجِع إليهما بالتأويل، وتابعه </w:t>
      </w:r>
    </w:p>
    <w:p>
      <w:pPr>
        <w:pStyle w:val="BookText"/>
        <w:rPr/>
      </w:pPr>
      <w:r>
        <w:rPr>
          <w:rFonts w:ascii="IRNazanin" w:hAnsi="IRNazanin" w:eastAsia="IRNazanin"/>
          <w:color w:val="111111"/>
          <w:sz w:val="28"/>
          <w:sz w:val="28"/>
          <w:szCs w:val="28"/>
          <w:rtl w:val="true"/>
          <w:lang w:bidi="fa-IR"/>
        </w:rPr>
        <w:t>على هذا جمع من النحويین منهم أبو علي الفارسي</w:t>
      </w:r>
      <w:r>
        <w:rPr>
          <w:rStyle w:val="FootnoteAnchor"/>
          <w:rtl w:val="true"/>
        </w:rPr>
        <w:footnoteReference w:id="380"/>
      </w:r>
      <w:r>
        <w:rPr>
          <w:rFonts w:ascii="Amiri" w:hAnsi="Amiri" w:eastAsia="Amiri" w:cs="Amiri"/>
          <w:color w:val="111111"/>
          <w:sz w:val="28"/>
          <w:sz w:val="28"/>
          <w:szCs w:val="28"/>
          <w:rtl w:val="true"/>
          <w:lang w:bidi="ar-SA"/>
        </w:rPr>
        <w:t>، وابن جني</w:t>
      </w:r>
      <w:r>
        <w:rPr>
          <w:rStyle w:val="FootnoteAnchor"/>
          <w:rtl w:val="true"/>
        </w:rPr>
        <w:footnoteReference w:id="381"/>
      </w:r>
      <w:r>
        <w:rPr>
          <w:rFonts w:ascii="Amiri" w:hAnsi="Amiri" w:eastAsia="Amiri" w:cs="Amiri"/>
          <w:color w:val="111111"/>
          <w:sz w:val="28"/>
          <w:sz w:val="28"/>
          <w:szCs w:val="28"/>
          <w:rtl w:val="true"/>
          <w:lang w:bidi="ar-SA"/>
        </w:rPr>
        <w:t xml:space="preserve">، وعبد 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وغيرهم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ما منعه النحويون هنا تنقضه الكثیر من الشواهد القرآنية التي جاءت فيها الإضافة دالةً على الظرفية الحقيقية بلا تقدير أو تأويل، من ذلك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فَصِيَامُ ثَلَاثَةِ أَيَّامٍ فِی الْحَجِّ</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يُؤْلُونَ مِنْ نِسَائِهِمْ تَرَبُّصُ أَرْبَعَةِ أَشْهُرٍ فَإِنْ فَاءُوا فَإِنَّ الله غَفُورٌ رَحِيمٌ</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مَكْرُ اللَّيْلِ وَالنَّهَارِ</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 xml:space="preserve">، وقول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رباط يوم في سبيل الله خیر من الدنيا وما عليها</w:t>
      </w:r>
      <w:r>
        <w:rPr>
          <w:rFonts w:eastAsia="IRNazanin" w:cs="IRNazanin"/>
          <w:color w:val="111111"/>
          <w:sz w:val="28"/>
          <w:szCs w:val="28"/>
          <w:rtl w:val="true"/>
          <w:lang w:bidi="fa-IR"/>
        </w:rPr>
        <w:t>))</w:t>
      </w:r>
      <w:r>
        <w:rPr>
          <w:rStyle w:val="FootnoteAnchor"/>
          <w:rtl w:val="true"/>
        </w:rPr>
        <w:footnoteReference w:id="387"/>
      </w:r>
      <w:r>
        <w:rPr>
          <w:rFonts w:ascii="Amiri" w:hAnsi="Amiri" w:eastAsia="Amiri" w:cs="Amiri"/>
          <w:color w:val="111111"/>
          <w:sz w:val="28"/>
          <w:sz w:val="28"/>
          <w:szCs w:val="28"/>
          <w:rtl w:val="true"/>
          <w:lang w:bidi="ar-SA"/>
        </w:rPr>
        <w:t xml:space="preserve">، كما أنَّ تلك الاضافة ثابتة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شهيد الدار وقتيل الكربلاء</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واستنادًا إلى تلك النصوص العربية الفصيحة وما ناظرها قرَّر جملة من النحويین أنَّ الإضافة الظرفية ثابتة في لغة العرب ولا يمكن إنكارها أو تأويلها، وهذا ما عليه فريق من المفسرين</w:t>
      </w:r>
      <w:r>
        <w:rPr>
          <w:rStyle w:val="FootnoteAnchor"/>
          <w:rtl w:val="true"/>
        </w:rPr>
        <w:footnoteReference w:id="389"/>
      </w:r>
      <w:r>
        <w:rPr>
          <w:rFonts w:ascii="IRNazanin" w:hAnsi="IRNazanin" w:eastAsia="IRNazanin"/>
          <w:color w:val="111111"/>
          <w:sz w:val="28"/>
          <w:sz w:val="28"/>
          <w:szCs w:val="28"/>
          <w:rtl w:val="true"/>
          <w:lang w:bidi="fa-IR"/>
        </w:rPr>
        <w:t xml:space="preserve">، على أنَّ إفرادها بباب والاحتجاج لها قد </w:t>
      </w:r>
    </w:p>
    <w:p>
      <w:pPr>
        <w:pStyle w:val="BookText"/>
        <w:rPr/>
      </w:pPr>
      <w:r>
        <w:rPr>
          <w:rFonts w:ascii="IRNazanin" w:hAnsi="IRNazanin" w:eastAsia="IRNazanin"/>
          <w:color w:val="111111"/>
          <w:sz w:val="28"/>
          <w:sz w:val="28"/>
          <w:szCs w:val="28"/>
          <w:rtl w:val="true"/>
          <w:lang w:bidi="fa-IR"/>
        </w:rPr>
        <w:t>يُحسب لابن مالك الذي صرَّح برأيه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وأغفل أكثر النحويین الإضافة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ثابتة في الكلام الفصيح</w:t>
      </w:r>
      <w:r>
        <w:rPr>
          <w:rFonts w:eastAsia="IRNazanin" w:cs="IRNazanin"/>
          <w:color w:val="111111"/>
          <w:sz w:val="28"/>
          <w:szCs w:val="28"/>
          <w:rtl w:val="true"/>
          <w:lang w:bidi="fa-IR"/>
        </w:rPr>
        <w:t>))</w:t>
      </w:r>
      <w:r>
        <w:rPr>
          <w:rStyle w:val="FootnoteAnchor"/>
          <w:rtl w:val="true"/>
        </w:rPr>
        <w:footnoteReference w:id="390"/>
      </w:r>
      <w:r>
        <w:rPr>
          <w:rFonts w:ascii="Amiri" w:hAnsi="Amiri" w:eastAsia="Amiri" w:cs="Amiri"/>
          <w:color w:val="111111"/>
          <w:sz w:val="28"/>
          <w:sz w:val="28"/>
          <w:szCs w:val="28"/>
          <w:rtl w:val="true"/>
          <w:lang w:bidi="ar-SA"/>
        </w:rPr>
        <w:t>، وتابعه على هذا المرادي</w:t>
      </w:r>
      <w:r>
        <w:rPr>
          <w:rStyle w:val="FootnoteAnchor"/>
          <w:rtl w:val="true"/>
        </w:rPr>
        <w:footnoteReference w:id="391"/>
      </w:r>
      <w:r>
        <w:rPr>
          <w:rFonts w:ascii="Amiri" w:hAnsi="Amiri" w:eastAsia="Amiri" w:cs="Amiri"/>
          <w:color w:val="111111"/>
          <w:sz w:val="28"/>
          <w:sz w:val="28"/>
          <w:szCs w:val="28"/>
          <w:rtl w:val="true"/>
          <w:lang w:bidi="ar-SA"/>
        </w:rPr>
        <w:t>، وقد انتهج ابنُ هشام وابن عقيل هذا المذهب إلا أنهما اشترطا أنْ يكون الثاني ظرفًا للأول</w:t>
      </w:r>
      <w:r>
        <w:rPr>
          <w:rStyle w:val="FootnoteAnchor"/>
          <w:rtl w:val="true"/>
        </w:rPr>
        <w:footnoteReference w:id="392"/>
      </w:r>
      <w:r>
        <w:rPr>
          <w:rFonts w:ascii="Amiri" w:hAnsi="Amiri" w:eastAsia="Amiri" w:cs="Amiri"/>
          <w:color w:val="111111"/>
          <w:sz w:val="28"/>
          <w:sz w:val="28"/>
          <w:szCs w:val="28"/>
          <w:rtl w:val="true"/>
          <w:lang w:bidi="ar-SA"/>
        </w:rPr>
        <w:t>، وتبنّى هذا الشرطَ الُأستاذُ عباس حسن من المحدَثین أيضًا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يرتضِ المانعون ظاهر تلك الشواهد النحوية فذهبوا إلى تأويلها بما ينسجم وما قرّروه، فرأوا أنَّ قسماً من الشواهد المحتج بها على الإضافة الظرفية هي من قبيل إضافة المصدر إلى ما هو ظرف زمان بالأصل، إلا أنَّه اتُسِع فيه فصار مفعولًا به وعلى هذا خرَّجوا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تَرَبُّصُ أرْبَعَة أشْهُرٍ</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 كما حملوا بعض الشواهد على أنَّ الاضافة فيها محمولة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وقد استدلَّ ابن الناظم على ذلك بأنَّ الإضافة إذا كانت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استلزم ذلك كثرة الاشتراك في معناها، وهو خلاف الأصل لذا الحمل على المجاز أَولى من الاشتراك</w:t>
      </w:r>
      <w:r>
        <w:rPr>
          <w:rStyle w:val="FootnoteAnchor"/>
          <w:rtl w:val="true"/>
        </w:rPr>
        <w:footnoteReference w:id="395"/>
      </w:r>
      <w:r>
        <w:rPr>
          <w:rFonts w:ascii="IRNazanin" w:hAnsi="IRNazanin" w:eastAsia="IRNazanin"/>
          <w:color w:val="111111"/>
          <w:sz w:val="28"/>
          <w:sz w:val="28"/>
          <w:szCs w:val="28"/>
          <w:rtl w:val="true"/>
          <w:lang w:bidi="fa-IR"/>
        </w:rPr>
        <w:t>، هذا،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قتيل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بدعوى معنى الاختصاص بین المتضايفین وهو مما تدلُّ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استعرض ابنُ مالك أغلبَ تلك الاعتراضات وردّ عليها، فأشار إلى أنّ حَمْلَ الإضافة فيما ورد من شواهد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إلا على نحوٍ بعيد ومتكلف</w:t>
      </w:r>
      <w:r>
        <w:rPr>
          <w:rStyle w:val="FootnoteAnchor"/>
          <w:rtl w:val="true"/>
        </w:rPr>
        <w:footnoteReference w:id="397"/>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يخفى أنَّ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الشواهد كلِّها صحيح ظاهر لا غنى عن اعتباره، وأن اعتبار غیره ممتنع، أو متوصل إليه بتكلف لا مزيد عليه</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ثم إنَّ تأويل تلك النصوص الكثیرة وجهٌ ضعيف في العربية</w:t>
      </w:r>
      <w:r>
        <w:rPr>
          <w:rStyle w:val="FootnoteAnchor"/>
          <w:rtl w:val="true"/>
        </w:rPr>
        <w:footnoteReference w:id="399"/>
      </w:r>
      <w:r>
        <w:rPr>
          <w:rFonts w:ascii="Amiri" w:hAnsi="Amiri" w:eastAsia="Amiri" w:cs="Amiri"/>
          <w:color w:val="111111"/>
          <w:sz w:val="28"/>
          <w:sz w:val="28"/>
          <w:szCs w:val="28"/>
          <w:rtl w:val="true"/>
          <w:lang w:bidi="ar-SA"/>
        </w:rPr>
        <w:t>، ولاسيما مع كثرة الشواهد النحوية المؤيِّدة للإضافة الظرفية في نهج البلاغة، فهي ليست قليلة كما قِيل</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ما ادَّعاه المعترضون بأنَّ الإضافة الظرفية محمولة على المجاز كلام غیر دقيق ومردود؛ لأنه لا يُعدَل من الحقيقة إلى المجاز إلا بقرينة، زيادة على أنَّ هذا العدول إنما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لمعانٍ ثلاثة،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الاتساع والتوكيد والتشبيه</w:t>
      </w:r>
      <w:r>
        <w:rPr>
          <w:rFonts w:eastAsia="IRNazanin" w:cs="IRNazanin"/>
          <w:color w:val="111111"/>
          <w:sz w:val="28"/>
          <w:szCs w:val="28"/>
          <w:rtl w:val="true"/>
          <w:lang w:bidi="fa-IR"/>
        </w:rPr>
        <w:t>))</w:t>
      </w:r>
      <w:r>
        <w:rPr>
          <w:rStyle w:val="FootnoteAnchor"/>
          <w:rtl w:val="true"/>
        </w:rPr>
        <w:footnoteReference w:id="401"/>
      </w:r>
      <w:r>
        <w:rPr>
          <w:rFonts w:ascii="Amiri" w:hAnsi="Amiri" w:eastAsia="Amiri" w:cs="Amiri"/>
          <w:color w:val="111111"/>
          <w:sz w:val="28"/>
          <w:sz w:val="28"/>
          <w:szCs w:val="28"/>
          <w:rtl w:val="true"/>
          <w:lang w:bidi="ar-SA"/>
        </w:rPr>
        <w:t>وليس فيما ورد من شواهد أيُّ معنى من تلك المعاني كما يظهر إلاّ على نحو متكلّف وبعيد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القول بأنَّ الاختصاص الظاهر في بعض الشواهد المحمولة على الإضافة الظرفية يجعلها على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دقيق أيضًا؛ لأنَّ ذلك سيؤدي إلى تساوي الإضافة التي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التي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اعتُبِرَ الحمل في الأولى دون الثانية؟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واستنادًا إلى كلِّ ما تقدَّم يظهر صِحَّة المذهب القاضي بثبوت الإضافة الظرفية </w:t>
      </w:r>
    </w:p>
    <w:p>
      <w:pPr>
        <w:pStyle w:val="BookText"/>
        <w:rPr/>
      </w:pPr>
      <w:r>
        <w:rPr>
          <w:rFonts w:ascii="Amiri" w:hAnsi="Amiri" w:eastAsia="Amiri" w:cs="Amiri"/>
          <w:color w:val="111111"/>
          <w:sz w:val="28"/>
          <w:sz w:val="28"/>
          <w:szCs w:val="28"/>
          <w:rtl w:val="true"/>
          <w:lang w:bidi="ar-SA"/>
        </w:rPr>
        <w:t>لورودها في الموروث اللغوي الفصيح، وادّعاء خلاف ذلك لا يستند إلى دليل، وبناءً على هذا ذهب كلٌّ من المرادي، وابن هشام، وابن عقيل، والسيوطي إلى أنَّها قِسم آخر ينبغي أنْ يُضاف إلى نوعَي الإضافة في العربية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شواهد الإضافة الظرفية في الكلام العَلَوي المبارك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اليقین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وَاَلْيَقِینُ مِنْهَا عَلىَ أَرْبَعِ شُعَبٍ عَلىَ تَبْصِرَةِ اَلْفِطْنَةِ وَتَأَوُّلِ اَلْحِكْمَةِ وَ مَوْعِظَةِ اَلْعِبْرَةِ وَ سُنَّةِ اَلْأَوَّلِینَ فَمَنْ تَبَصَّرَ فِی اَلْفِطْنَةِ تَبَيَّنَتْ لَهُ اَلْحِكْمَةُ</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أن بیَّنَ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ومصاديقه وأركانه جاعلاً اليقین من أهم تلك الأركان شرَع بإيضاح دعائم اليقین، فابتدأ بالشعبة الأُولى التي يستند إليها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الفطنة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يريد بذلك أنْ يكون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حاذقًا بصیرًا في الامور عميقًا في حقائقها</w:t>
      </w:r>
      <w:r>
        <w:rPr>
          <w:rFonts w:eastAsia="IRNazanin" w:cs="IRNazanin"/>
          <w:color w:val="111111"/>
          <w:sz w:val="28"/>
          <w:szCs w:val="28"/>
          <w:rtl w:val="true"/>
          <w:lang w:bidi="fa-IR"/>
        </w:rPr>
        <w:t>))</w:t>
      </w:r>
      <w:r>
        <w:rPr>
          <w:rStyle w:val="FootnoteAnchor"/>
          <w:rtl w:val="true"/>
        </w:rPr>
        <w:footnoteReference w:id="405"/>
      </w:r>
      <w:r>
        <w:rPr>
          <w:rFonts w:ascii="Amiri" w:hAnsi="Amiri" w:eastAsia="Amiri" w:cs="Amiri"/>
          <w:color w:val="111111"/>
          <w:sz w:val="28"/>
          <w:sz w:val="28"/>
          <w:szCs w:val="28"/>
          <w:rtl w:val="true"/>
          <w:lang w:bidi="ar-SA"/>
        </w:rPr>
        <w:t xml:space="preserve">، وهي إضافة ظرفية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أنّ الإمام قد أردف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تبصّر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التأمل والتدبّر، وهذا من قبيل التفصيل بعد الإجمال، قال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تبصرة الفطنة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له قوله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تبصّر في الفطنة</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 ومما يقوّي هذا أنَّ النصّ الشريف قد رُوِيَ في موضع آخر بإثبات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وَالْيَقِینُ عَلىَ أَرْبَعِ شُعَبٍ عَلىَ تَبْصَرَةٍ فِی الْفِطْنَةِ</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 وبهذا تكون الإضافة الظرفية صحيحة فصيحة ولا موجِب لإنكارها؛ </w:t>
      </w:r>
    </w:p>
    <w:p>
      <w:pPr>
        <w:pStyle w:val="BookText"/>
        <w:rPr/>
      </w:pPr>
      <w:r>
        <w:rPr>
          <w:rFonts w:ascii="Amiri" w:hAnsi="Amiri" w:eastAsia="Amiri" w:cs="Amiri"/>
          <w:color w:val="111111"/>
          <w:sz w:val="28"/>
          <w:sz w:val="28"/>
          <w:szCs w:val="28"/>
          <w:rtl w:val="true"/>
          <w:lang w:bidi="ar-SA"/>
        </w:rPr>
        <w:t>لكون المضاف اليه كالوعاء الذي يقع فيه المضاف</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الشواهد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التحذير من التعلّق بالدنيا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خَیْرُ دَارٍ تُنْقَضُ نَقْضَ اَلْبِنَاءِ وَ عُمُرٍ يَفْنَى فِيهَا فَنَاءَ اَلزَّادِ</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 xml:space="preserve">، ومحل الشاهد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خیر في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فالإضافة ظرفية</w:t>
      </w:r>
      <w:r>
        <w:rPr>
          <w:rStyle w:val="FootnoteAnchor"/>
          <w:rtl w:val="true"/>
        </w:rPr>
        <w:footnoteReference w:id="410"/>
      </w:r>
      <w:r>
        <w:rPr>
          <w:rFonts w:ascii="Amiri" w:hAnsi="Amiri" w:eastAsia="Amiri" w:cs="Amiri"/>
          <w:color w:val="111111"/>
          <w:sz w:val="28"/>
          <w:sz w:val="28"/>
          <w:szCs w:val="28"/>
          <w:rtl w:val="true"/>
          <w:lang w:bidi="ar-SA"/>
        </w:rPr>
        <w:t xml:space="preserve">، ومما يؤكِّد هذا المعنى قولُ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خَیْرَ فِی دَارٍ قَدْ عُصِيَ اللهُ فِيهَا، وَلَا خَیْرَ فِی دَارٍ لَا تُدْرَكُ الْآخِرَةُ إِلَّا بِتَرْكِهَ</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 فأظهر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خبرَ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الشواهد العَلَوية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تَقْوَى اللهِ دَوَاءُ دَاءِ قُلُوبِكُمْ، وَبَصَرُ عَمَى أَفْئِدَتِكُمْ، وَشِفَاءُ مَرِضِ أَجْسَادِكُمْ، وَصَلاَحُ فَسَادِ صُدُورِكُمْ، وَطُهُورُ دَنَسِ أَنْفُسِكُمْ</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فالإضافة الظرفية واضحة في هذا النص،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تقوى الله دواءُ داءٍ في قلوبكم، وبصرُ عمًى في أفئدتكم، وشفاءُ مرضٍ في أجسادكم، وصلاحُ فسادٍ في صدوركم، وطُهور دنسٍ في أنفسكم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مما تقدَّم ذكره ترجيح مذهب من أَجاز ورود الإضافة الظرفية في كلام العرب دون تأويل أو تقدير، لورودها في أصح مصادر السماع العربي من القرآن الكريم والسُّنّة النبوية ونهج البلاغة، ولهذا يجب تعديل القاعدة النحوية بالآتي</w:t>
      </w:r>
      <w:r>
        <w:rPr>
          <w:rFonts w:eastAsia="Amiri" w:cs="Amiri" w:ascii="Amiri" w:hAnsi="Amiri"/>
          <w:color w:val="111111"/>
          <w:sz w:val="28"/>
          <w:szCs w:val="28"/>
          <w:rtl w:val="true"/>
          <w:lang w:bidi="ar-SA"/>
        </w:rPr>
        <w:t xml:space="preserve">: </w:t>
      </w:r>
      <w:bookmarkStart w:id="118" w:name="pg7031_80881"/>
    </w:p>
    <w:p>
      <w:pPr>
        <w:pStyle w:val="BookText"/>
        <w:rPr/>
      </w:pPr>
      <w:bookmarkEnd w:id="118"/>
      <w:r>
        <w:rPr>
          <w:rFonts w:ascii="Amiri" w:hAnsi="Amiri" w:eastAsia="Amiri" w:cs="Amiri"/>
          <w:color w:val="111111"/>
          <w:sz w:val="28"/>
          <w:sz w:val="28"/>
          <w:szCs w:val="28"/>
          <w:rtl w:val="true"/>
          <w:lang w:bidi="ar-SA"/>
        </w:rPr>
        <w:t>الإضافة الظرفية قسم آخر من أقسام الإضافة يجوز استعماله والقياس عليه استنادًا إلى وروده في نهج البلاغة فضلاً عن القرآن الكريم وكلام العرب شعرًا ونثرًا</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2958306_372815092"/>
      <w:bookmarkStart w:id="120" w:name="_Toc39"/>
      <w:bookmarkEnd w:id="119"/>
      <w:r>
        <w:rPr>
          <w:rtl w:val="true"/>
        </w:rPr>
        <w:t>المسألة العاشرة</w:t>
      </w:r>
      <w:r>
        <w:rPr>
          <w:rtl w:val="true"/>
        </w:rPr>
        <w:t xml:space="preserve">: </w:t>
      </w:r>
      <w:r>
        <w:rPr>
          <w:rtl w:val="true"/>
        </w:rPr>
        <w:t>جواز حذف الموصول الإسمي</w:t>
      </w:r>
      <w:r>
        <w:rPr>
          <w:rtl w:val="true"/>
        </w:rPr>
        <w:t>:</w:t>
      </w:r>
      <w:bookmarkEnd w:id="120"/>
    </w:p>
    <w:p>
      <w:pPr>
        <w:pStyle w:val="BookText"/>
        <w:rPr/>
      </w:pPr>
      <w:r>
        <w:rPr>
          <w:rFonts w:ascii="IRNazanin" w:hAnsi="IRNazanin" w:eastAsia="IRNazanin"/>
          <w:color w:val="111111"/>
          <w:sz w:val="28"/>
          <w:sz w:val="28"/>
          <w:szCs w:val="28"/>
          <w:rtl w:val="true"/>
          <w:lang w:bidi="fa-IR"/>
        </w:rPr>
        <w:t>يُقسِّم النحويون الموصول على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إسمي وحرفي، فالموصول الإسمي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افتقر إلى الوصل بجملة معهودة مشتملة على ضمیر لائق بالمعنى، والموصول الحرفي هو كلُّ حرف يؤوَّل مع صلته بمصدر</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الموصول الإسمي فهو على قسمين؛ خاص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وفروعهما، وعام وألفاظه ستة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وما، وأي، وذو، وذا، وأي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بسط علماء العربية القول في بيان أحكام الموصول</w:t>
      </w:r>
      <w:r>
        <w:rPr>
          <w:rStyle w:val="FootnoteAnchor"/>
          <w:rtl w:val="true"/>
        </w:rPr>
        <w:footnoteReference w:id="414"/>
      </w:r>
      <w:r>
        <w:rPr>
          <w:rFonts w:ascii="IRNazanin" w:hAnsi="IRNazanin" w:eastAsia="IRNazanin"/>
          <w:color w:val="111111"/>
          <w:sz w:val="28"/>
          <w:sz w:val="28"/>
          <w:szCs w:val="28"/>
          <w:rtl w:val="true"/>
          <w:lang w:bidi="fa-IR"/>
        </w:rPr>
        <w:t xml:space="preserve">، ومن بین تلك الأحكام التي ذكروها حذف الموصول الإسمي إذا عُلم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حُكمٌ قد اختلف النحويون فيه على مذاهبَ وآراء، فذهب البصريون إلى منعه، فقد صرَّح المبرَّد بهذا وهو يوجِّه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يَسْأَلُهُ مَنْ فِی السَّمَاوَاتِ وَالْأَرْضِ كُلَّ يَوْمٍ هُوَ فِی شَأْنٍ</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فالقول عندنا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مشتملة على الجميع؛ لأنَّها تقع للجميع على لفظ الواحد وقد ذهب هؤلاء القوم إلى أنَّ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المعنى عندي كما قالوا، وقالوا في بيت 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يَهْجو رَسُولَ اللهِ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ويَمْدحُهُ ويَنْصُرُهُ سَوَاءُ إنما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يمدحه وينصره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الأمر عند أهل النظر كذلك، ولكنه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وجعل الفعل وصفًا لها ثم أقام في الثانية الوصف مقام الموصوف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وواحد يمدحه وينصره؛ لأنَّ الوصف يقع في موضع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دالًا عليه</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فالمبرَّد على وفق هذا النص لا يُجيز حذف الموصول، لهذا حاول تأويل بيت حسان على إقامة الوصف مقام الموصوف، فالتقدير لديه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وواحد يمدحه وينصره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في الوقت الذي رفض فيه تقدير الموصول قدّر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يستقيم معنى البيت، فرفض حذف الموصول على حین أجاز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أخذ بمذهب العلماء القائلین بمنع حذف الموصول الإسمي جمعٌ من النحويین منهم ابن السراج</w:t>
      </w:r>
      <w:r>
        <w:rPr>
          <w:rStyle w:val="FootnoteAnchor"/>
          <w:rtl w:val="true"/>
        </w:rPr>
        <w:footnoteReference w:id="418"/>
      </w:r>
      <w:r>
        <w:rPr>
          <w:rFonts w:ascii="Amiri" w:hAnsi="Amiri" w:eastAsia="Amiri" w:cs="Amiri"/>
          <w:color w:val="111111"/>
          <w:sz w:val="28"/>
          <w:sz w:val="28"/>
          <w:szCs w:val="28"/>
          <w:rtl w:val="true"/>
          <w:lang w:bidi="ar-SA"/>
        </w:rPr>
        <w:t>، وأبو علي الفارسي</w:t>
      </w:r>
      <w:r>
        <w:rPr>
          <w:rStyle w:val="FootnoteAnchor"/>
          <w:rtl w:val="true"/>
        </w:rPr>
        <w:footnoteReference w:id="419"/>
      </w:r>
      <w:r>
        <w:rPr>
          <w:rFonts w:ascii="Amiri" w:hAnsi="Amiri" w:eastAsia="Amiri" w:cs="Amiri"/>
          <w:color w:val="111111"/>
          <w:sz w:val="28"/>
          <w:sz w:val="28"/>
          <w:szCs w:val="28"/>
          <w:rtl w:val="true"/>
          <w:lang w:bidi="ar-SA"/>
        </w:rPr>
        <w:t>، وأبو حيان</w:t>
      </w:r>
      <w:r>
        <w:rPr>
          <w:rStyle w:val="FootnoteAnchor"/>
          <w:rtl w:val="true"/>
        </w:rPr>
        <w:footnoteReference w:id="420"/>
      </w:r>
      <w:r>
        <w:rPr>
          <w:rFonts w:ascii="Amiri" w:hAnsi="Amiri" w:eastAsia="Amiri" w:cs="Amiri"/>
          <w:color w:val="111111"/>
          <w:sz w:val="28"/>
          <w:sz w:val="28"/>
          <w:szCs w:val="28"/>
          <w:rtl w:val="true"/>
          <w:lang w:bidi="ar-SA"/>
        </w:rPr>
        <w:t>، والسيوطي</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علّل أبو علي الفارسي منعَ هذا الحذف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الموصول لا يُحذَفُ ويُترَكُ شيء من صلته، كما لا يُحذَفُ بعض الاسم ويترك بعضه</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أي إنَّ الموصول وصلته كالكلمة الواحدة</w:t>
      </w:r>
      <w:r>
        <w:rPr>
          <w:rStyle w:val="FootnoteAnchor"/>
          <w:rtl w:val="true"/>
        </w:rPr>
        <w:footnoteReference w:id="423"/>
      </w:r>
      <w:r>
        <w:rPr>
          <w:rFonts w:ascii="Amiri" w:hAnsi="Amiri" w:eastAsia="Amiri" w:cs="Amiri"/>
          <w:color w:val="111111"/>
          <w:sz w:val="28"/>
          <w:sz w:val="28"/>
          <w:szCs w:val="28"/>
          <w:rtl w:val="true"/>
          <w:lang w:bidi="ar-SA"/>
        </w:rPr>
        <w:t>، وقد اعترض الرضي على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وجه لمنع </w:t>
      </w:r>
    </w:p>
    <w:p>
      <w:pPr>
        <w:pStyle w:val="BookText"/>
        <w:rPr/>
      </w:pPr>
      <w:r>
        <w:rPr>
          <w:rFonts w:ascii="IRNazanin" w:hAnsi="IRNazanin" w:eastAsia="IRNazanin"/>
          <w:color w:val="111111"/>
          <w:sz w:val="28"/>
          <w:sz w:val="28"/>
          <w:szCs w:val="28"/>
          <w:rtl w:val="true"/>
          <w:lang w:bidi="fa-IR"/>
        </w:rPr>
        <w:t xml:space="preserve">البصريین من ذلك، من حيث القياس، إذ قد يُحذَف بعض حروف الكلمة، وإن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الموصول بألزق منهما</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ذهب الكوفيون والبغداديون والأخفش من البصريین إلى جواز حذف الموصول الإسمي إذا عُلِم</w:t>
      </w:r>
      <w:r>
        <w:rPr>
          <w:rStyle w:val="FootnoteAnchor"/>
          <w:rtl w:val="true"/>
        </w:rPr>
        <w:footnoteReference w:id="425"/>
      </w:r>
      <w:r>
        <w:rPr>
          <w:rFonts w:ascii="Amiri" w:hAnsi="Amiri" w:eastAsia="Amiri" w:cs="Amiri"/>
          <w:color w:val="111111"/>
          <w:sz w:val="28"/>
          <w:sz w:val="28"/>
          <w:szCs w:val="28"/>
          <w:rtl w:val="true"/>
          <w:lang w:bidi="ar-SA"/>
        </w:rPr>
        <w:t>، على أنْ تدلَّ عليه صلتُه بعد الحذف، هذا ما نصَّ عليه الفراء في توجيه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أَنْتُمْ بِمُعْجِزِينَ فِی الْأَرْضِ وَلَا فِی السَّمَاءِ وَمَا لَكُمْ مِنْ دُونِ الله مِنْ وَلِیٍّ وَلَا نَصِیرٍ</w:t>
      </w:r>
      <w:r>
        <w:rPr>
          <w:rFonts w:eastAsia="Amiri" w:cs="Amiri" w:ascii="Amiri" w:hAnsi="Amiri"/>
          <w:color w:val="111111"/>
          <w:sz w:val="28"/>
          <w:szCs w:val="28"/>
          <w:rtl w:val="true"/>
          <w:lang w:bidi="ar-SA"/>
        </w:rPr>
        <w:t>»</w:t>
      </w:r>
      <w:r>
        <w:rPr>
          <w:rStyle w:val="FootnoteAnchor"/>
          <w:rtl w:val="true"/>
        </w:rPr>
        <w:footnoteReference w:id="426"/>
      </w:r>
      <w:r>
        <w:rPr>
          <w:rStyle w:val="FootnoteAnchor"/>
          <w:rtl w:val="true"/>
        </w:rPr>
        <w:footnoteReference w:id="427"/>
      </w:r>
      <w:r>
        <w:rPr>
          <w:rFonts w:ascii="Amiri" w:hAnsi="Amiri" w:eastAsia="Amiri" w:cs="Amiri"/>
          <w:color w:val="111111"/>
          <w:sz w:val="28"/>
          <w:sz w:val="28"/>
          <w:szCs w:val="28"/>
          <w:rtl w:val="true"/>
          <w:lang w:bidi="ar-SA"/>
        </w:rPr>
        <w:t>، وعلى هذا وجّه قوله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مِنْكُمْ إِلَّا وَارِدُهَا كَانَ عَلَى رَبِّكَ حَتْماً مَقْضِيًّا</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فجعله 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هو واردها</w:t>
      </w:r>
      <w:r>
        <w:rPr>
          <w:rStyle w:val="FootnoteAnchor"/>
          <w:rtl w:val="true"/>
        </w:rPr>
        <w:footnoteReference w:id="429"/>
      </w:r>
      <w:r>
        <w:rPr>
          <w:rFonts w:ascii="Amiri" w:hAnsi="Amiri" w:eastAsia="Amiri" w:cs="Amiri"/>
          <w:color w:val="111111"/>
          <w:sz w:val="28"/>
          <w:sz w:val="28"/>
          <w:szCs w:val="28"/>
          <w:rtl w:val="true"/>
          <w:lang w:bidi="ar-SA"/>
        </w:rPr>
        <w:t>، وعلى هذا 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مِنَّا إِلَّا لَهُ مَقَامٌ مَعْلُومٌ</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أيضًا</w:t>
      </w:r>
      <w:r>
        <w:rPr>
          <w:rStyle w:val="FootnoteAnchor"/>
          <w:rtl w:val="true"/>
        </w:rPr>
        <w:footnoteReference w:id="431"/>
      </w:r>
      <w:r>
        <w:rPr>
          <w:rFonts w:ascii="Amiri" w:hAnsi="Amiri" w:eastAsia="Amiri" w:cs="Amiri"/>
          <w:color w:val="111111"/>
          <w:sz w:val="28"/>
          <w:sz w:val="28"/>
          <w:szCs w:val="28"/>
          <w:rtl w:val="true"/>
          <w:lang w:bidi="ar-SA"/>
        </w:rPr>
        <w:t xml:space="preserve">، واشتراط الدليل على الحذف نابع من أنَّ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يحذفون شيئًا إلا وفيما أبقوا دليلٌ على ما ألقوا</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رجَّح مذهبَ الكوفيین ابنُ مالك بعد أنْ عضَده بشواهد نثرية وشعرية، فاحتج له بقول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الجمعة وقفتْ الملائكة على باب المسجد يكتبون الأول فالأول، ومثل المهجر كمثل الذي يهدي بدنة، ثم كالذي يهدي بقرة، ثم كبشًا، ثم دجاجةً، ثم بيضةً، فإذا خرج الإمام طووا صُحُفَهم</w:t>
      </w:r>
      <w:r>
        <w:rPr>
          <w:rFonts w:eastAsia="IRNazanin" w:cs="IRNazanin"/>
          <w:color w:val="111111"/>
          <w:sz w:val="28"/>
          <w:szCs w:val="28"/>
          <w:rtl w:val="true"/>
          <w:lang w:bidi="fa-IR"/>
        </w:rPr>
        <w:t>))</w:t>
      </w:r>
      <w:r>
        <w:rPr>
          <w:rStyle w:val="FootnoteAnchor"/>
          <w:rtl w:val="true"/>
        </w:rPr>
        <w:footnoteReference w:id="433"/>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فيه حذف الموصول وأكثر الصلة ثلاث مرات؛ لأن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كالذي يهدي كبشًا ثم كالذي يهدي دجاجة ثم كالذي يهدي 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حُذِفَ الموصول وأكثر الصلة، فأنْ يُحذفَ الموصول وتبقى الصلة بكمالها أحقُّ بالجواز وأولى</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واختار هذا المذهبَ الرضي الاسترابادي</w:t>
      </w:r>
      <w:r>
        <w:rPr>
          <w:rStyle w:val="FootnoteAnchor"/>
          <w:rtl w:val="true"/>
        </w:rPr>
        <w:footnoteReference w:id="435"/>
      </w:r>
      <w:r>
        <w:rPr>
          <w:rFonts w:ascii="Amiri" w:hAnsi="Amiri" w:eastAsia="Amiri" w:cs="Amiri"/>
          <w:color w:val="111111"/>
          <w:sz w:val="28"/>
          <w:sz w:val="28"/>
          <w:szCs w:val="28"/>
          <w:rtl w:val="true"/>
          <w:lang w:bidi="ar-SA"/>
        </w:rPr>
        <w:t>، واستند إليه أبو حيان، والسمين الحلبي، وابن عادل الدمشقي في توجيه نصوص من القرآن الكريم</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تقتصر إجازة هذا الحذف على السماع فقط، بل يعضدها القياس أيضًا؛ إذ إنَّ النحويین يُجيزون حذف الموصول الحرفي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بقاء صلته، ودلالة صلة الموصول الحرفي عليه أضعف من دلالة الإسمي عليه بعد الحذف، فلما كان حذفُ الأول جائزًا جازَ حذفُ الثاني لقوة الدلالة عليه بالعائد</w:t>
      </w:r>
      <w:r>
        <w:rPr>
          <w:rStyle w:val="FootnoteAnchor"/>
          <w:rtl w:val="true"/>
        </w:rPr>
        <w:footnoteReference w:id="437"/>
      </w:r>
      <w:r>
        <w:rPr>
          <w:rFonts w:ascii="Amiri" w:hAnsi="Amiri" w:eastAsia="Amiri" w:cs="Amiri"/>
          <w:color w:val="111111"/>
          <w:sz w:val="28"/>
          <w:sz w:val="28"/>
          <w:szCs w:val="28"/>
          <w:rtl w:val="true"/>
          <w:lang w:bidi="ar-SA"/>
        </w:rPr>
        <w:t>، هذا فضلاَّ عن أنَّ الموصول الإسمي وصلته بمنزلة المضاف والمضاف إليه، وحذف المضاف جائز إذا عُلم فكذلك ما أشبهَهُ</w:t>
      </w:r>
      <w:r>
        <w:rPr>
          <w:rStyle w:val="FootnoteAnchor"/>
          <w:rtl w:val="true"/>
        </w:rPr>
        <w:footnoteReference w:id="438"/>
      </w:r>
      <w:r>
        <w:rPr>
          <w:rFonts w:ascii="Amiri" w:hAnsi="Amiri" w:eastAsia="Amiri" w:cs="Amiri"/>
          <w:color w:val="111111"/>
          <w:sz w:val="28"/>
          <w:sz w:val="28"/>
          <w:szCs w:val="28"/>
          <w:rtl w:val="true"/>
          <w:lang w:bidi="ar-SA"/>
        </w:rPr>
        <w:t xml:space="preserve">، والمعنى يُثبت هذا ويؤكِّده أيضًا، فإنَّ بعض الشواهد لا يستقيم معناها إلّا على الحذف، ففي بيت حسّان المذكور آنفًا لا بد من </w:t>
      </w:r>
    </w:p>
    <w:p>
      <w:pPr>
        <w:pStyle w:val="BookText"/>
        <w:rPr/>
      </w:pPr>
      <w:r>
        <w:rPr>
          <w:rFonts w:ascii="Amiri" w:hAnsi="Amiri" w:eastAsia="Amiri" w:cs="Amiri"/>
          <w:color w:val="111111"/>
          <w:sz w:val="28"/>
          <w:sz w:val="28"/>
          <w:szCs w:val="28"/>
          <w:rtl w:val="true"/>
          <w:lang w:bidi="ar-SA"/>
        </w:rPr>
        <w:t xml:space="preserve">تقدير 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هذا التقدير لكان ظاهر الكلام أنَّ الهجاء والمدح والنصر، كلُّ أولئك من فريق واحد ومن 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آَمَنَّا بِالَّذِي أُنْزِلَ إِلَيْنَا وَأُنْزِلَ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أُنزل إليكم؛ لأنَّ المنزَّل إلى المسلمين ليس هو المنزَّل إلى غيرهم من أهل الكتاب</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يقبل المانعون ما وجَّه به المجيزون، فهم وإن أقرّوا الحذف إلا أنَّهم ذهبوا إلى تفسیر الشواهد بعيدًا عن حذف الموصول الإسمي، فحملوا بيت حسان على أنَّ المحذوف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الموصوفة لا الموصولة</w:t>
      </w:r>
      <w:r>
        <w:rPr>
          <w:rStyle w:val="FootnoteAnchor"/>
          <w:rtl w:val="true"/>
        </w:rPr>
        <w:footnoteReference w:id="440"/>
      </w:r>
      <w:r>
        <w:rPr>
          <w:rFonts w:ascii="Amiri" w:hAnsi="Amiri" w:eastAsia="Amiri" w:cs="Amiri"/>
          <w:color w:val="111111"/>
          <w:sz w:val="28"/>
          <w:sz w:val="28"/>
          <w:szCs w:val="28"/>
          <w:rtl w:val="true"/>
          <w:lang w:bidi="ar-SA"/>
        </w:rPr>
        <w:t>، كما حملوا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مِنَّا إِلاَّ لَهُ مَقامٌ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أحد أو ملك إلا له مقام معلوم</w:t>
      </w:r>
      <w:r>
        <w:rPr>
          <w:rStyle w:val="FootnoteAnchor"/>
          <w:rtl w:val="true"/>
        </w:rPr>
        <w:footnoteReference w:id="441"/>
      </w:r>
      <w:r>
        <w:rPr>
          <w:rFonts w:ascii="Amiri" w:hAnsi="Amiri" w:eastAsia="Amiri" w:cs="Amiri"/>
          <w:color w:val="111111"/>
          <w:sz w:val="28"/>
          <w:sz w:val="28"/>
          <w:szCs w:val="28"/>
          <w:rtl w:val="true"/>
          <w:lang w:bidi="ar-SA"/>
        </w:rPr>
        <w:t xml:space="preserve">، وهو وجهٌ جائزٌ إلا أنّ الأرجح تقدير الموصول لقيامه على دليل من القرآن الكريم؛ إذ كثر حذف الموصول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وترجيح القرآن بالقرآن أَولى</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يُحتجُ به على صحة هذا الحذف وجوازه ما جاء في نهج البلاغة من شواهد لا يستقيم معناها إلّا على الحذف 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له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فَأَنَا أَبُو حَسَنٍ قَاتِلُ جَدِّكَ وَأَخِيكَ وَ خَالِكَ شَدْخًا يَوْمَ بَدْرٍ وَذَلِكَ اَلسَّيْفُ مَعِي وَ بِذَلِكَ اَلْقَلْبِ أَلْقَى عَدُوِّي مَا اِسْتَبْدَلْتُ دِينًا وَلاَ اِسْتَحْدَثْتُ نَبِيًا وَإِنِّی </w:t>
      </w:r>
    </w:p>
    <w:p>
      <w:pPr>
        <w:pStyle w:val="BookText"/>
        <w:rPr/>
      </w:pPr>
      <w:r>
        <w:rPr>
          <w:rFonts w:ascii="Amiri" w:hAnsi="Amiri" w:eastAsia="Amiri" w:cs="Amiri"/>
          <w:color w:val="111111"/>
          <w:sz w:val="28"/>
          <w:sz w:val="28"/>
          <w:szCs w:val="28"/>
          <w:rtl w:val="true"/>
          <w:lang w:bidi="ar-SA"/>
        </w:rPr>
        <w:t>لَعَلَى اَلْمِنْهَاجِ اَلَّذِي تَرَكْتُمُوهُ طَائِعِینَ وَ دَخَلْتُمْ فِيهِ مُكْرَهِینَ</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معرض توبيخ معاوية وتنبيهه على غفلته وانشغاله في ملذاته ودنياه التي حجبتْ عنه رؤيةَ الحق، وكلامه هذا إنما جاء ردًّا على دعوة كان وجّهها معاوية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للحرب، فذكَّره الإمام بحال أسلافه الذين قُتلوا بسيفه ذي الفقار، ثم أردف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بذلك ثباتَه على الدِّين القويم والشريعة الحقة، ذلك النهج المحمَّدي الأصيل الذي تركه الأمويون باختيارهم وملء حريتهم ولم يدخلوا فيه إلا خوفًا من السيف، وفي هذا توبيخ لمعاوية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المنهاج الذي سار عليه بثبات وعقيدة راسخة بأنّه ذلك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تركوه طائعین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فالموصول الإسمي وصلته في محل جر صفة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صفته أيضًا أنّهم قد دخلوا فيه مكرَهین، وهذا ما أفصحت عنه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دخلتم فيه مكرهین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صلة اسم موصول محذوف دَلَّ عليه ما قبله، والتقدير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دخلتم فيه مكرهین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إنَّ دلالة هذا الحذف قد توحي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بيان أنَّ صفة هذا المنهاج الذي هو عليه واحدٌ لا يتغیر أو يتبدل، وهذا ما تؤكِّده العبارة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اِسْتَبْدَلْتُ دِيناً وَلاَ اِسْتَحْدَثْتُ 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كان هذا المنهاج واحدًا كان من الواجب حذفُ الموصول والاكتفاء بصلته؛ إذ لو ذُكِرَ هذا الموصول لأحال المعنى إلى تعدد المنهاج الذي يعتقد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والحق خلاف ذلك؛ لأنَّ طريق الحق واحد وطرق الشر كثیرة ومتشعبة</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وبهذا تكون قرائن النص وظروف القول فيه توجب حذف هذا الموصول؛ لأنَّ إعادته تعطي دلالة الاختلاف في هذا المنهاج، ولهذا أوجب المفسرون تقدير الموصول في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آَمَنَّا بِالَّذِي أُنْزِلَ إِلَيْنَا وَأُنْزِلَ إِلَيْكُمْ وَإِلَهُنَا وَإِلَهُكُمْ وَاحِدٌ وَنَحْنُ لَهُ مُسْلِمُونَ</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لأنَّ عدم تقديره سيجعل الكتاب المنزَل إلى المسلمين والكتاب المنزَل إلى غيرهم من أهل الكتاب واحدًا، وهذا خلاف المراد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آَمِنُوا بِالله وَرَسُولِهِ وَالْكِتَابِ الَّذِي نَزَّلَ عَلَى رَسُولِهِ وَالْكِتَابِ الَّذِي أَنْزَلَ مِنْ قَبْلُ</w:t>
      </w:r>
      <w:r>
        <w:rPr>
          <w:rFonts w:eastAsia="Amiri" w:cs="Amiri" w:ascii="Amiri" w:hAnsi="Amiri"/>
          <w:color w:val="111111"/>
          <w:sz w:val="28"/>
          <w:szCs w:val="28"/>
          <w:rtl w:val="true"/>
          <w:lang w:bidi="ar-SA"/>
        </w:rPr>
        <w:t>»</w:t>
      </w:r>
      <w:r>
        <w:rPr>
          <w:rStyle w:val="FootnoteAnchor"/>
          <w:rtl w:val="true"/>
        </w:rPr>
        <w:footnoteReference w:id="447"/>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الشواهد العَلَوية أيضًا ما جاء في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متحسِّرًا على فَقْد أصحابه الخُلَّص بعد أن قَامَ إِلَيْهِ رَجُلٌ مِنْ أَصْحَابِهِ فَقَالَ نَهَيْتَنَا عَنِ اَلْحُكُومَةِ ثُمَّ أَمَرْتَنَا بِهَا فَماَ نَدْرِي أَيُّ اَلْأَمْرَيْنِ أَرْشَدُ،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اَلْقَوْمُ اَلَّذِينَ دُعُوا إلى اَلْإِسْلاَمِ فَقَبِلُوهُ وَ قَرَؤوا اَلْقُرْآنَ فَأَحْكَمُوهُ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الشاهد 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وَقَرَؤوا اَلْقُرْآنَ فَأَحْكَمُوهُ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فالجملة صلة اسم موصول محذوف دَلَّ عليه ما قبله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دُعُوا إلى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في ذكر هذا الموصول ما يشیر إلى تعدّد هؤلاء القوم الذين وصفهم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والحال أنَّهم ليسوا متعددين، فالذين قبلوا دعوة الإسلام من أصحابه هم أنفسهم الذين قرؤوا القرآن وأتْقنوا تلاوته وعملوا بمضامينه</w:t>
      </w:r>
      <w:r>
        <w:rPr>
          <w:rFonts w:eastAsia="Amiri" w:cs="Amiri" w:ascii="Amiri" w:hAnsi="Amiri"/>
          <w:color w:val="111111"/>
          <w:sz w:val="28"/>
          <w:szCs w:val="28"/>
          <w:rtl w:val="true"/>
          <w:lang w:bidi="ar-SA"/>
        </w:rPr>
        <w:t xml:space="preserve">. </w:t>
      </w:r>
      <w:bookmarkStart w:id="121" w:name="pg7031_80895"/>
    </w:p>
    <w:p>
      <w:pPr>
        <w:pStyle w:val="BookText"/>
        <w:rPr/>
      </w:pPr>
      <w:bookmarkEnd w:id="121"/>
      <w:r>
        <w:rPr>
          <w:rFonts w:ascii="IRNazanin" w:hAnsi="IRNazanin" w:eastAsia="IRNazanin"/>
          <w:color w:val="111111"/>
          <w:sz w:val="28"/>
          <w:sz w:val="28"/>
          <w:szCs w:val="28"/>
          <w:rtl w:val="true"/>
          <w:lang w:bidi="fa-IR"/>
        </w:rPr>
        <w:t>نخلص مما تقدم إلى ترجيح مذهب من جوّز هذا الحذف؛ إذ إنَّ القول بالمنع لا يتسق والنصوص اللغوية الكثیرة التي كانت دلالاتها واضحةً في استلزام هذا التقدير، وبهذا فإن القاعدة النحوية ستكون على النحو 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حذف الموصول الإسمي إذا عُلِمَ استنادًا إلى ما جاء في نهج البلاغة فضلاً عن القرآن الكريم والسنة النبوية والشعر العربي</w:t>
      </w:r>
      <w:r>
        <w:rPr>
          <w:rFonts w:eastAsia="IRNazanin" w:cs="IRNazanin"/>
          <w:color w:val="111111"/>
          <w:sz w:val="28"/>
          <w:szCs w:val="28"/>
          <w:rtl w:val="true"/>
          <w:lang w:bidi="fa-IR"/>
        </w:rPr>
        <w:t>.</w:t>
      </w:r>
    </w:p>
    <w:p>
      <w:pPr>
        <w:pStyle w:val="Heading4"/>
        <w:numPr>
          <w:ilvl w:val="3"/>
          <w:numId w:val="1"/>
        </w:numPr>
        <w:rPr/>
      </w:pPr>
      <w:bookmarkStart w:id="122" w:name="__RefHeading___Toc2958308_372815092"/>
      <w:bookmarkStart w:id="123" w:name="_Toc40"/>
      <w:bookmarkEnd w:id="122"/>
      <w:r>
        <w:rPr>
          <w:rtl w:val="true"/>
        </w:rPr>
        <w:t>المسألة الحادية عشرة</w:t>
      </w:r>
      <w:r>
        <w:rPr>
          <w:rtl w:val="true"/>
        </w:rPr>
        <w:t xml:space="preserve">: </w:t>
      </w:r>
      <w:r>
        <w:rPr>
          <w:rtl w:val="true"/>
        </w:rPr>
        <w:t>جواز تقديم الصلة أو ما يتعلَّق بها على الموصول</w:t>
      </w:r>
      <w:bookmarkEnd w:id="123"/>
    </w:p>
    <w:p>
      <w:pPr>
        <w:pStyle w:val="BookText"/>
        <w:rPr/>
      </w:pPr>
      <w:r>
        <w:rPr>
          <w:rFonts w:ascii="IRNazanin" w:hAnsi="IRNazanin" w:eastAsia="IRNazanin"/>
          <w:color w:val="111111"/>
          <w:sz w:val="28"/>
          <w:sz w:val="28"/>
          <w:szCs w:val="28"/>
          <w:rtl w:val="true"/>
          <w:lang w:bidi="fa-IR"/>
        </w:rPr>
        <w:t>تنتظم اللغة العربية الكثیر من الظواهر التركيبية التي وقف العلماء على إظهارها وبيان خصائصها وسماتها، من ذلك مثلاً التازم التركيبي بین الألفاظ أو التراكيب، كتلازم الموصول وصلته، فالموصول وصلته يؤلِّفان وحدة لغوية لايمكن الاستغناء عن أحدهما في التركيب النحوي، ومن هنا ذكر النحويون أحكامًا خاصة لذلك المركَّب، من ذلك مسألة التقديم والتأخیر بينهما، وهذا ما ستبحثه هذه المسألة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باب الموصول في الدرس النحوي واسع يشمل الكثیر من المفردات التي لا تخرج عن أحكام الموصول وصلته، فالموصول لدى النحويین يشمل الموصول الإسمي والحرفي والمصدر الصريح</w:t>
      </w:r>
      <w:r>
        <w:rPr>
          <w:rStyle w:val="FootnoteAnchor"/>
          <w:rtl w:val="true"/>
        </w:rPr>
        <w:footnoteReference w:id="450"/>
      </w:r>
      <w:r>
        <w:rPr>
          <w:rFonts w:ascii="Amiri" w:hAnsi="Amiri" w:eastAsia="Amiri" w:cs="Amiri"/>
          <w:color w:val="111111"/>
          <w:sz w:val="28"/>
          <w:sz w:val="28"/>
          <w:szCs w:val="28"/>
          <w:rtl w:val="true"/>
          <w:lang w:bidi="ar-SA"/>
        </w:rPr>
        <w:t xml:space="preserve">لأنَّ المصدر الصريح إنما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بفعلٍ وحرفٍ مصدري جُعل هو ومعموله كموصول وصلة فلا يتقدَّم ما يتعلق به </w:t>
      </w:r>
    </w:p>
    <w:p>
      <w:pPr>
        <w:pStyle w:val="BookText"/>
        <w:rPr/>
      </w:pPr>
      <w:r>
        <w:rPr>
          <w:rFonts w:ascii="Amiri" w:hAnsi="Amiri" w:eastAsia="Amiri" w:cs="Amiri"/>
          <w:color w:val="111111"/>
          <w:sz w:val="28"/>
          <w:sz w:val="28"/>
          <w:szCs w:val="28"/>
          <w:rtl w:val="true"/>
          <w:lang w:bidi="ar-SA"/>
        </w:rPr>
        <w:t>عليه، كما لا يتقدَّم شيء من الصلة على الموصول</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وقد بسط علماء العربية القول في بيان أحكام الموصول وصلته من ذلك تقديم الصلة على الموصول، فمنهم من منع هذا التقديم ومنهم من أجازه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منعَ فريقٌ من النحويین تقديمَ الصلة أو جزء منها على الموصول؛ لأنهم يعدّون الموصول وصلته كالكلمة الواحدة، فغیر جائز تقديم الصلة عليه كما لا يجوز تقديم جزء الكلمة عليها، قال المبرَّد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الصلة والموصول كاسم واحد لا يتقدَّم بعضه بعضًا، فهذا القول الصحيح الذى لا يجوز في القياس غیره</w:t>
      </w:r>
      <w:r>
        <w:rPr>
          <w:rFonts w:eastAsia="IRNazanin" w:cs="IRNazanin"/>
          <w:color w:val="111111"/>
          <w:sz w:val="28"/>
          <w:szCs w:val="28"/>
          <w:rtl w:val="true"/>
          <w:lang w:bidi="fa-IR"/>
        </w:rPr>
        <w:t>))</w:t>
      </w:r>
      <w:r>
        <w:rPr>
          <w:rStyle w:val="FootnoteAnchor"/>
          <w:rtl w:val="true"/>
        </w:rPr>
        <w:footnoteReference w:id="452"/>
      </w:r>
      <w:r>
        <w:rPr>
          <w:rFonts w:ascii="Amiri" w:hAnsi="Amiri" w:eastAsia="Amiri" w:cs="Amiri"/>
          <w:color w:val="111111"/>
          <w:sz w:val="28"/>
          <w:sz w:val="28"/>
          <w:szCs w:val="28"/>
          <w:rtl w:val="true"/>
          <w:lang w:bidi="ar-SA"/>
        </w:rPr>
        <w:t>، ولذلك عُدَّ قولنا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اليوم ضرب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مُحالًا لا يجوز في الكلام</w:t>
      </w:r>
      <w:r>
        <w:rPr>
          <w:rStyle w:val="FootnoteAnchor"/>
          <w:rtl w:val="true"/>
        </w:rPr>
        <w:footnoteReference w:id="453"/>
      </w:r>
      <w:r>
        <w:rPr>
          <w:rFonts w:ascii="Amiri" w:hAnsi="Amiri" w:eastAsia="Amiri" w:cs="Amiri"/>
          <w:color w:val="111111"/>
          <w:sz w:val="28"/>
          <w:sz w:val="28"/>
          <w:szCs w:val="28"/>
          <w:rtl w:val="true"/>
          <w:lang w:bidi="ar-SA"/>
        </w:rPr>
        <w:t xml:space="preserve">، وقد علَّلَ ابن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المنع بأنَّ الموصول وصلته إجمال وتفصيل، فالتفصيل يجب أنْ يلي الإجمال ويعقبه وليس العكس</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احتكم بعض النحويین إلى أصل المصدر الصريح قبل التأويل بالمفرد،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المضارع في تعليل عدم جواز تقديم الصلة على الموصول، إذ إنَّ المصدر بتقدير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وشيء مما في حيز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يتقدّم عليه، فلا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أعجبني عمرًا ضرب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تعليل المبرَّد كما مرَّ، وابن السراج</w:t>
      </w:r>
      <w:r>
        <w:rPr>
          <w:rStyle w:val="FootnoteAnchor"/>
          <w:rtl w:val="true"/>
        </w:rPr>
        <w:footnoteReference w:id="455"/>
      </w:r>
      <w:r>
        <w:rPr>
          <w:rFonts w:ascii="Amiri" w:hAnsi="Amiri" w:eastAsia="Amiri" w:cs="Amiri"/>
          <w:color w:val="111111"/>
          <w:sz w:val="28"/>
          <w:sz w:val="28"/>
          <w:szCs w:val="28"/>
          <w:rtl w:val="true"/>
          <w:lang w:bidi="ar-SA"/>
        </w:rPr>
        <w:t>، وابن يعيش</w:t>
      </w:r>
      <w:r>
        <w:rPr>
          <w:rStyle w:val="FootnoteAnchor"/>
          <w:rtl w:val="true"/>
        </w:rPr>
        <w:footnoteReference w:id="456"/>
      </w:r>
      <w:r>
        <w:rPr>
          <w:rFonts w:ascii="IRNazanin" w:hAnsi="IRNazanin" w:eastAsia="IRNazanin"/>
          <w:color w:val="111111"/>
          <w:sz w:val="28"/>
          <w:sz w:val="28"/>
          <w:szCs w:val="28"/>
          <w:rtl w:val="true"/>
          <w:lang w:bidi="fa-IR"/>
        </w:rPr>
        <w:t xml:space="preserve">، وقد </w:t>
      </w:r>
    </w:p>
    <w:p>
      <w:pPr>
        <w:pStyle w:val="BookText"/>
        <w:rPr/>
      </w:pPr>
      <w:r>
        <w:rPr>
          <w:rFonts w:ascii="Amiri" w:hAnsi="Amiri" w:eastAsia="Amiri" w:cs="Amiri"/>
          <w:color w:val="111111"/>
          <w:sz w:val="28"/>
          <w:sz w:val="28"/>
          <w:szCs w:val="28"/>
          <w:rtl w:val="true"/>
          <w:lang w:bidi="ar-SA"/>
        </w:rPr>
        <w:t>ذكر هذا التعليلَ الرضي أيضًا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إصرار النحويین على منع التقديم ههنا ينسحب على الصلة التي تكون ظرفًا أو جارًا ومجرورًا أيضًا، لهذا ذهبوا إلى تأويل ما جاء على وفق ذلك بتقدير مصدر من لفظ المصدر المذكور، من ذلك تأويلهم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مَعَهُ السَّعْيَ</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لَا يَبْغُونَ عَنْهَا حِوَلًا</w:t>
      </w:r>
      <w:r>
        <w:rPr>
          <w:rFonts w:eastAsia="Amiri" w:cs="Amiri" w:ascii="Amiri" w:hAnsi="Amiri"/>
          <w:color w:val="111111"/>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تَأْخُذْكُمْ بِهِمَا رَأْفَةٌ فِی دِينِ الله</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وقول الفند الزماني، واسمه شهل بن شيبان</w:t>
      </w:r>
      <w:r>
        <w:rPr>
          <w:rStyle w:val="FootnoteAnchor"/>
          <w:rtl w:val="true"/>
        </w:rPr>
        <w:footnoteReference w:id="4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الهزَج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الحلمِ يوم الجَهْ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للذّلةِ إذعانُ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السعي معه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الأُولى،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يبغون حولًا عنها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تأخذكما رأفة بهما 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الثالثة،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الحلم عند الجهل إذعان للذلة 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الشعري</w:t>
      </w:r>
      <w:r>
        <w:rPr>
          <w:rStyle w:val="FootnoteAnchor"/>
          <w:rtl w:val="true"/>
        </w:rPr>
        <w:footnoteReference w:id="4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وهمع الهوامع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والنحو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وهي تقديرات لا داعي لها سوى إثبات ما قعَّدوا له استنادًا إلى استقراء ناقص، ولهذا ذهب الرضي إلى إجازة هذا التقديم إذا كانت الصلة ظرفًا أو جارًا أو مجرورًا،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لا أرى منعًا من تقدم معموله عليه إذا كان ظرفًا أو</w:t>
      </w:r>
    </w:p>
    <w:p>
      <w:pPr>
        <w:pStyle w:val="BookText"/>
        <w:rPr/>
      </w:pPr>
      <w:r>
        <w:rPr>
          <w:rFonts w:ascii="Amiri" w:hAnsi="Amiri" w:eastAsia="Amiri" w:cs="Amiri"/>
          <w:color w:val="111111"/>
          <w:sz w:val="28"/>
          <w:sz w:val="28"/>
          <w:szCs w:val="28"/>
          <w:rtl w:val="true"/>
          <w:lang w:bidi="ar-SA"/>
        </w:rPr>
        <w:t>شبهه، نحو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من عدوك الراءة، وإليك الفرار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تأخذكم بهما رأفة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 معه السعي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 عنكم 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 في كلامهم كثیر، وتقدير الفعل في مثله تكلّف، وليس كلُّ مؤوَّل بشيء حكمُه حكم ما أُوِّل به، فلا منع من تأويله بالحرف المصدري من جهة المعنى، مع أنه لا يلزمه أحكامه</w:t>
      </w:r>
      <w:r>
        <w:rPr>
          <w:rFonts w:eastAsia="IRNazanin" w:cs="IRNazanin"/>
          <w:color w:val="111111"/>
          <w:sz w:val="28"/>
          <w:szCs w:val="28"/>
          <w:rtl w:val="true"/>
          <w:lang w:bidi="fa-IR"/>
        </w:rPr>
        <w:t>))</w:t>
      </w:r>
      <w:r>
        <w:rPr>
          <w:rStyle w:val="FootnoteAnchor"/>
          <w:rtl w:val="true"/>
        </w:rPr>
        <w:footnoteReference w:id="463"/>
      </w:r>
      <w:r>
        <w:rPr>
          <w:rFonts w:ascii="Amiri" w:hAnsi="Amiri" w:eastAsia="Amiri" w:cs="Amiri"/>
          <w:color w:val="111111"/>
          <w:sz w:val="28"/>
          <w:sz w:val="28"/>
          <w:szCs w:val="28"/>
          <w:rtl w:val="true"/>
          <w:lang w:bidi="ar-SA"/>
        </w:rPr>
        <w:t>، وقد نَسب السيوطي إلى ابن السراج إجازته تقديم صلة المصدر عليه</w:t>
      </w:r>
      <w:r>
        <w:rPr>
          <w:rStyle w:val="FootnoteAnchor"/>
          <w:rtl w:val="true"/>
        </w:rPr>
        <w:footnoteReference w:id="464"/>
      </w:r>
      <w:r>
        <w:rPr>
          <w:rFonts w:ascii="Amiri" w:hAnsi="Amiri" w:eastAsia="Amiri" w:cs="Amiri"/>
          <w:color w:val="111111"/>
          <w:sz w:val="28"/>
          <w:sz w:val="28"/>
          <w:szCs w:val="28"/>
          <w:rtl w:val="true"/>
          <w:lang w:bidi="ar-SA"/>
        </w:rPr>
        <w:t>، والتحقيق يُثبتُ خلاف ذلك، فابن السراج يمنع ذلك، وهذا نص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المصادر التي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يتقدَّم ما في صلتها عليها</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 وممن تابع الرضي في إجازته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xml:space="preserve">، والكفوي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xml:space="preserve">، والآلوسي الذي لم يرتضِ ما أوَّل به المانعون معللاً 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 المذكور على المشهور في المصدر المنكَّر دون المعرَّف، وأما ثانيًا فلأنه إذا سلم العموم فليس كلُّ ما أُوِّل بشيء حكمُه حكم ما أُوِّل به، وأما ثالثًا فلأنَّ المقدَّم هنا ظرف وقد اشتهر أنه يُغتفر فيه ما لا يُغتفر في غیره</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 xml:space="preserve">، وأيَّد هذا من المحدثین الشيخ مصطفى الغلاييني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69"/>
      </w:r>
      <w:r>
        <w:rPr>
          <w:rFonts w:ascii="Amiri" w:hAnsi="Amiri" w:eastAsia="Amiri" w:cs="Amiri"/>
          <w:color w:val="111111"/>
          <w:sz w:val="28"/>
          <w:sz w:val="28"/>
          <w:szCs w:val="28"/>
          <w:rtl w:val="true"/>
          <w:lang w:bidi="ar-SA"/>
        </w:rPr>
        <w:t>، والُأستاذ عباس حسن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المعمول شبه الجملة فالأحسن الأخذ بالرأي الذي يبيح تقديمه؛ لوروده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داعي للتكلّف والتأويل للمنع، من </w:t>
      </w:r>
    </w:p>
    <w:p>
      <w:pPr>
        <w:pStyle w:val="BookText"/>
        <w:rPr/>
      </w:pPr>
      <w:r>
        <w:rPr>
          <w:rFonts w:ascii="IRNazanin" w:hAnsi="IRNazanin" w:eastAsia="IRNazanin"/>
          <w:color w:val="111111"/>
          <w:sz w:val="28"/>
          <w:sz w:val="28"/>
          <w:szCs w:val="28"/>
          <w:rtl w:val="true"/>
          <w:lang w:bidi="fa-IR"/>
        </w:rPr>
        <w:t>غیر داعٍ، وبخاصة في القرآن</w:t>
      </w:r>
      <w:r>
        <w:rPr>
          <w:rFonts w:eastAsia="IRNazanin" w:cs="IRNazanin"/>
          <w:color w:val="111111"/>
          <w:sz w:val="28"/>
          <w:szCs w:val="28"/>
          <w:rtl w:val="true"/>
          <w:lang w:bidi="fa-IR"/>
        </w:rPr>
        <w:t>))</w:t>
      </w:r>
      <w:r>
        <w:rPr>
          <w:rStyle w:val="FootnoteAnchor"/>
          <w:rtl w:val="true"/>
        </w:rPr>
        <w:footnoteReference w:id="470"/>
      </w:r>
      <w:r>
        <w:rPr>
          <w:rFonts w:ascii="Amiri" w:hAnsi="Amiri" w:eastAsia="Amiri" w:cs="Amiri"/>
          <w:color w:val="111111"/>
          <w:sz w:val="28"/>
          <w:sz w:val="28"/>
          <w:szCs w:val="28"/>
          <w:rtl w:val="true"/>
          <w:lang w:bidi="ar-SA"/>
        </w:rPr>
        <w:t>، وتبنَّى هذا الدكتور فاضل السامرائي ورأى أنّه رأي أولى بالقبول، والحكم بمنعه تعسّف</w:t>
      </w:r>
      <w:r>
        <w:rPr>
          <w:rStyle w:val="FootnoteAnchor"/>
          <w:rtl w:val="true"/>
        </w:rPr>
        <w:footnoteReference w:id="471"/>
      </w:r>
      <w:r>
        <w:rPr>
          <w:rFonts w:ascii="Amiri" w:hAnsi="Amiri" w:eastAsia="Amiri" w:cs="Amiri"/>
          <w:color w:val="111111"/>
          <w:sz w:val="28"/>
          <w:sz w:val="28"/>
          <w:szCs w:val="28"/>
          <w:rtl w:val="true"/>
          <w:lang w:bidi="ar-SA"/>
        </w:rPr>
        <w:t>، وهو الصواب لوروده في أكثر من موضع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الشواهد العَلَوية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تعظيم الله تعالى وتمجيده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وَاِفْتَرَضَ مِنْ أَلْسِنَتِكُمُ اَلذِّكْرَ وَأَوْصَاكُمْ بِالتَّقْوَى</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 لكلٍّ من الجوارح عبادة مفترَضة عليه كانت العبادة المفروضة على اللسان هي الذكر؛ فهو سبيل عظيم الأثر في تهذيب سلوك الإنسان وتنظيم عباداته</w:t>
      </w:r>
      <w:r>
        <w:rPr>
          <w:rStyle w:val="FootnoteAnchor"/>
          <w:rtl w:val="true"/>
        </w:rPr>
        <w:footnoteReference w:id="473"/>
      </w:r>
      <w:r>
        <w:rPr>
          <w:rFonts w:ascii="Amiri" w:hAnsi="Amiri" w:eastAsia="Amiri" w:cs="Amiri"/>
          <w:color w:val="111111"/>
          <w:sz w:val="28"/>
          <w:sz w:val="28"/>
          <w:szCs w:val="28"/>
          <w:rtl w:val="true"/>
          <w:lang w:bidi="ar-SA"/>
        </w:rPr>
        <w:t>، وهو معنى مستوحى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الله ذِكْرًا كَثِیرًا</w:t>
      </w:r>
      <w:r>
        <w:rPr>
          <w:rFonts w:eastAsia="Amiri" w:cs="Amiri" w:ascii="Amiri" w:hAnsi="Amiri"/>
          <w:color w:val="111111"/>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 xml:space="preserve">، يريد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أوجبَ عليكم أنْ تذكروه سبحانه بألسنتكم</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ومحلُّ الشاهد في النص تقديمُ 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ألسنتكم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المصدر العامل فيهما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وجَّه ابنُ أبي الحديد هذا توجيهًا تابع فيه مذهب المانعین،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وافرض من ألسنتكم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افرض عليكم أنْ تذكروه و تشكروه بألسنتكم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بمحذوف دلَّ عليه المصدر المتأخر تقديره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وافترض عليكم الذكر من ألسنتكم الذكر</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xml:space="preserve">، ولم يرتضِ ذلك الخوئي فذهب </w:t>
      </w:r>
    </w:p>
    <w:p>
      <w:pPr>
        <w:pStyle w:val="BookText"/>
        <w:rPr/>
      </w:pPr>
      <w:r>
        <w:rPr>
          <w:rFonts w:ascii="Amiri" w:hAnsi="Amiri" w:eastAsia="Amiri" w:cs="Amiri"/>
          <w:color w:val="111111"/>
          <w:sz w:val="28"/>
          <w:sz w:val="28"/>
          <w:szCs w:val="28"/>
          <w:rtl w:val="true"/>
          <w:lang w:bidi="ar-SA"/>
        </w:rPr>
        <w:t>إلى متابعة الرضي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حرفي لا يتقدّم معموله عليه فلا يجوز تعلّقه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المصدر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يتوجّه عليه أنّ الظرف و الجارّ والمجرور يتّسع فيه ما لا يتّسع في غیره كما صرّح به المحقّقون من علماء الأدبية، 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مَعَهُ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فيهما تعلّقهما بالمصدر المذكور و لا حاجة إلى التقدير</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 xml:space="preserve">لأنَّ هذا التقدير سيُفضي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دلالة غیر التي يقصدها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فالذي يبدو أنَّ تقديم شبه الجملة واستعمال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يوحي بدلالة الابتداء، وقد يكون هذا ما أدى إلى تعدية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حین أنَّ المشهور في إرادة الوجوب أنْ يتعدى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وكأن الإمام يشیر بذلك إلى أنَّ الذكر اللساني يعدُّ مقدِّمةً لغیره من العبادات، ولعل ما يعضد هذا التوجيه ما ورد من الحديث النبوي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قولٌ باللسان، ومعرفة بالقلب، وعمل بالأركان</w:t>
      </w:r>
      <w:r>
        <w:rPr>
          <w:rFonts w:eastAsia="IRNazanin" w:cs="IRNazanin"/>
          <w:color w:val="111111"/>
          <w:sz w:val="28"/>
          <w:szCs w:val="28"/>
          <w:rtl w:val="true"/>
          <w:lang w:bidi="fa-IR"/>
        </w:rPr>
        <w:t>))</w:t>
      </w:r>
      <w:r>
        <w:rPr>
          <w:rStyle w:val="FootnoteAnchor"/>
          <w:rtl w:val="true"/>
        </w:rPr>
        <w:footnoteReference w:id="478"/>
      </w:r>
      <w:r>
        <w:rPr>
          <w:rFonts w:ascii="Amiri" w:hAnsi="Amiri" w:eastAsia="Amiri" w:cs="Amiri"/>
          <w:color w:val="111111"/>
          <w:sz w:val="28"/>
          <w:sz w:val="28"/>
          <w:szCs w:val="28"/>
          <w:rtl w:val="true"/>
          <w:lang w:bidi="ar-SA"/>
        </w:rPr>
        <w:t>، والحق أنَّ اللجوء إلى التقدير والتأويل لا يؤدي إلى تلك الدلالات، زيادةً على أنَّ هذا التقدير لا يزيد شيئًا على التركيب إنْ لم نقل يُفقد النص فصاحته وبلاغته، وإلا فما الداعي إلى تقدير مصدر مذكور في الجملة سوى الحفاظ على قاعدة بُنِيتْ في الأساس على استقراء ناقص وأُريدَ لها أنْ تطَّردَ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الشواهد العَلَوية أيضًا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إلى المنذر بن الجارود </w:t>
      </w:r>
    </w:p>
    <w:p>
      <w:pPr>
        <w:pStyle w:val="BookText"/>
        <w:rPr/>
      </w:pPr>
      <w:r>
        <w:rPr>
          <w:rFonts w:ascii="Amiri" w:hAnsi="Amiri" w:eastAsia="Amiri" w:cs="Amiri"/>
          <w:color w:val="111111"/>
          <w:sz w:val="28"/>
          <w:sz w:val="28"/>
          <w:szCs w:val="28"/>
          <w:rtl w:val="true"/>
          <w:lang w:bidi="ar-SA"/>
        </w:rPr>
        <w:t>العبدي</w:t>
      </w:r>
      <w:r>
        <w:rPr>
          <w:rStyle w:val="FootnoteAnchor"/>
          <w:rtl w:val="true"/>
        </w:rPr>
        <w:footnoteReference w:id="479"/>
      </w:r>
      <w:r>
        <w:rPr>
          <w:rFonts w:ascii="Amiri" w:hAnsi="Amiri" w:eastAsia="Amiri" w:cs="Amiri"/>
          <w:color w:val="111111"/>
          <w:sz w:val="28"/>
          <w:sz w:val="28"/>
          <w:szCs w:val="28"/>
          <w:rtl w:val="true"/>
          <w:lang w:bidi="ar-SA"/>
        </w:rPr>
        <w:t>وقد كان الإمام استعمله على بعض النواحي فخان الأمانة في بعض ما ولّاه من أعماله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صَلاَحَ أَبِيكَ غَرَّنِی مِنْكَ وَ ظَنَنْتُ أَنَّكَ تَتَّبِعُ هَدْيَهُ وَ تَسْلُكُ سَبِيلَهُ فَإِذَا أَنْتَ فِيماَ رُقِّيَ إِلَیَّ عَنْكَ لاَ تَدَعُ لَهِوَاكَ اِنْقِيَادًا وَ لاَ تُبْقِي لآِخِرَتِكَ عَتَادًا</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والشاهد فيه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تدعُ لهواك انقيادًا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فقدَّم شبه الجملة على العامل فيها وهو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انقيادًا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ذكر ابن ابي الحديد والخوئي من شُّراح النهج هذا الوجه، لكنَّهما ذهبا إلى متابعة من قال بمنع هذا التقديم من النحويین</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الشواهد العَلَوية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ذكر فيها منِ انحرف عن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وَسَمَّوْا صِدْقَهُمْ عَلَى اَللَّهِ فِرْيَةً</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 فتعلَّقت شبه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بالمصدر المتأخِّر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العامل فيها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العَلَوية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 بالتقوى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وَعَظُمَتْ فِيكُمْ سَطْوَتُهُ وَ تَتَابَعَتْ عَلَيْكُمْ عَدْوَتُهُ</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الشواهد العَلَوية أيضًا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مقطع من دعاء كُميل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4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وعَظُم فيما عندَكَ رغْبتُه</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هذا الحشد من الشواهد الفصيحة يبدو أنَّ القول بمنع تقديم شبه الجملة على المصدر العامل فيها غیر مقبول ولا يمكن التعويل عليه، ثم إنَّ اللجوء إلى التأويل والتقدير لا ينسجم وظاهر هذه النصوص، وهو خلاف أُسس التقعيد النحوي التي ينبغي أنْ تستند إلى النصوص الفصيحة، ولا شك في أنَّ نهج البلاغة من تلك النصوص وأهمها بعد القرآن الكريم والسنة النبوية المطهَّرة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واحتكامًا إلى كلِّ ما تقدَّم يجب تعديل القاعدة النحوية بالنحو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تقدّم شبه الجملة على المصدر العامل فيها لورود ذلك في نهج البلاغة فضلاً عن القرآن الكريم وكلام العرب نظماً ونثرًا</w:t>
      </w:r>
      <w:r>
        <w:rPr>
          <w:rFonts w:eastAsia="Amiri" w:cs="Amiri" w:ascii="Amiri" w:hAnsi="Amiri"/>
          <w:color w:val="111111"/>
          <w:sz w:val="28"/>
          <w:szCs w:val="28"/>
          <w:rtl w:val="true"/>
          <w:lang w:bidi="ar-SA"/>
        </w:rPr>
        <w:t xml:space="preserve">. </w:t>
      </w:r>
      <w:bookmarkStart w:id="124" w:name="pg7031_80910"/>
    </w:p>
    <w:p>
      <w:pPr>
        <w:pStyle w:val="Heading3"/>
        <w:numPr>
          <w:ilvl w:val="2"/>
          <w:numId w:val="1"/>
        </w:numPr>
        <w:rPr/>
      </w:pPr>
      <w:bookmarkStart w:id="125" w:name="__RefHeading___Toc2958310_372815092"/>
      <w:bookmarkStart w:id="126" w:name="_Toc41"/>
      <w:bookmarkEnd w:id="124"/>
      <w:bookmarkEnd w:id="125"/>
      <w:r>
        <w:rPr>
          <w:rtl w:val="true"/>
        </w:rPr>
        <w:t>الفصل الثاني ما منعَهُ أغلبُ النحويين في الأفعال والحروف</w:t>
      </w:r>
      <w:bookmarkEnd w:id="126"/>
    </w:p>
    <w:p>
      <w:pPr>
        <w:pStyle w:val="Heading4"/>
        <w:numPr>
          <w:ilvl w:val="3"/>
          <w:numId w:val="1"/>
        </w:numPr>
        <w:rPr/>
      </w:pPr>
      <w:bookmarkStart w:id="127" w:name="__RefHeading___Toc2958312_372815092"/>
      <w:bookmarkStart w:id="128" w:name="_Toc42"/>
      <w:bookmarkEnd w:id="127"/>
      <w:r>
        <w:rPr>
          <w:rtl w:val="true"/>
        </w:rPr>
        <w:t>اشارة</w:t>
      </w:r>
      <w:bookmarkEnd w:id="12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أغلبُ النحويين في الأفعال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منعَهُ أغلبُ النحويين في الحروف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7031_80913"/>
      <w:bookmarkStart w:id="130" w:name="pg7031_80913"/>
      <w:bookmarkEnd w:id="130"/>
    </w:p>
    <w:p>
      <w:pPr>
        <w:pStyle w:val="Heading4"/>
        <w:numPr>
          <w:ilvl w:val="3"/>
          <w:numId w:val="1"/>
        </w:numPr>
        <w:rPr/>
      </w:pPr>
      <w:bookmarkStart w:id="131" w:name="pg7031_80913"/>
      <w:bookmarkStart w:id="132" w:name="__RefHeading___Toc2958314_372815092"/>
      <w:bookmarkStart w:id="133" w:name="_Toc43"/>
      <w:bookmarkEnd w:id="131"/>
      <w:bookmarkEnd w:id="132"/>
      <w:r>
        <w:rPr>
          <w:rtl w:val="true"/>
        </w:rPr>
        <w:t>المبحث الأول ما منعَهُ أغلبُ النحويين في الأفعال</w:t>
      </w:r>
      <w:bookmarkEnd w:id="133"/>
    </w:p>
    <w:p>
      <w:pPr>
        <w:pStyle w:val="Heading5"/>
        <w:numPr>
          <w:ilvl w:val="4"/>
          <w:numId w:val="1"/>
        </w:numPr>
        <w:rPr/>
      </w:pPr>
      <w:bookmarkStart w:id="134" w:name="__RefHeading___Toc2958316_372815092"/>
      <w:bookmarkStart w:id="135" w:name="_Toc44"/>
      <w:bookmarkEnd w:id="134"/>
      <w:r>
        <w:rPr>
          <w:rtl w:val="true"/>
        </w:rPr>
        <w:t>المسألة الأولى</w:t>
      </w:r>
      <w:r>
        <w:rPr>
          <w:rtl w:val="true"/>
        </w:rPr>
        <w:t xml:space="preserve">: </w:t>
      </w:r>
      <w:r>
        <w:rPr>
          <w:rtl w:val="true"/>
        </w:rPr>
        <w:t xml:space="preserve">جواز وقوع الفعل الماضي خبرًا ل </w:t>
      </w:r>
      <w:r>
        <w:rPr>
          <w:rtl w:val="true"/>
        </w:rPr>
        <w:t>(</w:t>
      </w:r>
      <w:r>
        <w:rPr>
          <w:rtl w:val="true"/>
        </w:rPr>
        <w:t>كان</w:t>
      </w:r>
      <w:r>
        <w:rPr>
          <w:rtl w:val="true"/>
        </w:rPr>
        <w:t xml:space="preserve">) </w:t>
      </w:r>
      <w:r>
        <w:rPr>
          <w:rtl w:val="true"/>
        </w:rPr>
        <w:t xml:space="preserve">بلا </w:t>
      </w:r>
      <w:r>
        <w:rPr>
          <w:rtl w:val="true"/>
        </w:rPr>
        <w:t>(</w:t>
      </w:r>
      <w:r>
        <w:rPr>
          <w:rtl w:val="true"/>
        </w:rPr>
        <w:t>قد</w:t>
      </w:r>
      <w:r>
        <w:rPr>
          <w:rtl w:val="true"/>
        </w:rPr>
        <w:t>):</w:t>
      </w:r>
      <w:bookmarkEnd w:id="135"/>
    </w:p>
    <w:p>
      <w:pPr>
        <w:pStyle w:val="BookText"/>
        <w:rPr/>
      </w:pPr>
      <w:r>
        <w:rPr>
          <w:rFonts w:ascii="Amiri" w:hAnsi="Amiri" w:eastAsia="Amiri" w:cs="Amiri"/>
          <w:color w:val="111111"/>
          <w:sz w:val="28"/>
          <w:sz w:val="28"/>
          <w:szCs w:val="28"/>
          <w:rtl w:val="true"/>
          <w:lang w:bidi="ar-SA"/>
        </w:rPr>
        <w:t>الأصل في الخبر الإفراد</w:t>
      </w:r>
      <w:r>
        <w:rPr>
          <w:rStyle w:val="FootnoteAnchor"/>
          <w:rtl w:val="true"/>
        </w:rPr>
        <w:footnoteReference w:id="486"/>
      </w:r>
      <w:r>
        <w:rPr>
          <w:rFonts w:ascii="Amiri" w:hAnsi="Amiri" w:eastAsia="Amiri" w:cs="Amiri"/>
          <w:color w:val="111111"/>
          <w:sz w:val="28"/>
          <w:sz w:val="28"/>
          <w:szCs w:val="28"/>
          <w:rtl w:val="true"/>
          <w:lang w:bidi="ar-SA"/>
        </w:rPr>
        <w:t>، وقد يقع جملةً</w:t>
      </w:r>
      <w:r>
        <w:rPr>
          <w:rStyle w:val="FootnoteAnchor"/>
          <w:rtl w:val="true"/>
        </w:rPr>
        <w:footnoteReference w:id="4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لتضمّنها للحكم المطلوب من الخبر، كتضمن المفرد له</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xml:space="preserve">، والجملة الواقعة خبراً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المتمِّمة لمبتدإ الجملة الإسمية ويكثر أنْ تُتَمم الجملة الفعلية مبتدأ الكلام في الجملة الإسمية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حضر</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وتكون خبراً لمبتدإ، أو لفعلٍ من الأفعال الناقصة، أو لحرفٍ مشبَّه بالفعل</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وموضعها رفعٌ في با بیَ المبتدإ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ونصبٌ في با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النحويون في وقوع الجملة المصدَّرة بالفعل الماضي خبراً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وأخواتها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فالكوفيون يشترطون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أو مقدَّرةً، وفي هذا قال الفراء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وقولك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كَثُرَ مالُك، لا يجوز إلاّ وأنتَ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كَثُرَ مالُك؛ </w:t>
      </w:r>
    </w:p>
    <w:p>
      <w:pPr>
        <w:pStyle w:val="BookText"/>
        <w:rPr/>
      </w:pPr>
      <w:r>
        <w:rPr>
          <w:rFonts w:ascii="Amiri" w:hAnsi="Amiri" w:eastAsia="Amiri" w:cs="Amiri"/>
          <w:color w:val="111111"/>
          <w:sz w:val="28"/>
          <w:sz w:val="28"/>
          <w:szCs w:val="28"/>
          <w:rtl w:val="true"/>
          <w:lang w:bidi="ar-SA"/>
        </w:rPr>
        <w:t xml:space="preserve">لانّهما جميعًا قد كانا، فالثاني حال للأوّل، والحالُ لا تكون إلا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بإظهارها</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وأكد مذهبه هذا في موضع آخر</w:t>
      </w:r>
      <w:r>
        <w:rPr>
          <w:rStyle w:val="FootnoteAnchor"/>
          <w:rtl w:val="true"/>
        </w:rPr>
        <w:footnoteReference w:id="492"/>
      </w:r>
      <w:r>
        <w:rPr>
          <w:rFonts w:ascii="Amiri" w:hAnsi="Amiri" w:eastAsia="Amiri" w:cs="Amiri"/>
          <w:color w:val="111111"/>
          <w:sz w:val="28"/>
          <w:sz w:val="28"/>
          <w:szCs w:val="28"/>
          <w:rtl w:val="true"/>
          <w:lang w:bidi="ar-SA"/>
        </w:rPr>
        <w:t>، وهو مذهب نُسِبَ إلى عامة الكوفين أيضًا</w:t>
      </w:r>
      <w:r>
        <w:rPr>
          <w:rStyle w:val="FootnoteAnchor"/>
          <w:rtl w:val="true"/>
        </w:rPr>
        <w:footnoteReference w:id="493"/>
      </w:r>
      <w:r>
        <w:rPr>
          <w:rFonts w:ascii="Amiri" w:hAnsi="Amiri" w:eastAsia="Amiri" w:cs="Amiri"/>
          <w:color w:val="111111"/>
          <w:sz w:val="28"/>
          <w:sz w:val="28"/>
          <w:szCs w:val="28"/>
          <w:rtl w:val="true"/>
          <w:lang w:bidi="ar-SA"/>
        </w:rPr>
        <w:t xml:space="preserve">، وقد نَسب الرضي إلى ابن درستويه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بمنع وقوع الماضي خبرًا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وقد اعترض عليه الرضي وردَّه فأجاز وقوع الماضي خبرًا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أو مقدَّرة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علَّل أصحاب هذا المذهب اشتراطهم هذا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الفعل الذي يقع خبرًا إذا كان ماضيًا لم يحتج معه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وأخواتها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إنما دخلت على الجملة لتدلّ على الزمان، فإذا كان الخبر يعطي الزمان لم يحتج إليها وكان ذكرها فضلاً</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 فاشتراط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الماضي إنما جاء من وجهة نظرهم ليكتسب الفعل دلالة التقريب من الحال، وتصبح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قام، المرفوضة لديهم بعد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تقديرها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يقوم</w:t>
      </w:r>
      <w:r>
        <w:rPr>
          <w:rStyle w:val="FootnoteAnchor"/>
          <w:rtl w:val="true"/>
        </w:rPr>
        <w:footnoteReference w:id="496"/>
      </w:r>
      <w:r>
        <w:rPr>
          <w:rFonts w:ascii="IRNazanin" w:hAnsi="IRNazanin" w:eastAsia="IRNazanin"/>
          <w:color w:val="111111"/>
          <w:sz w:val="28"/>
          <w:sz w:val="28"/>
          <w:szCs w:val="28"/>
          <w:rtl w:val="true"/>
          <w:lang w:bidi="fa-IR"/>
        </w:rPr>
        <w:t>، وهو رأي غیر دقيق؛ فلو صحّ لمَا جاز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زيد يقومُ؛ إذ إنَّ دلالة الاستقبال مفهومةٌ من الفعل وخبره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النحويون البصريون جواز وقوع الماضي خبرًا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أو مقدَّرة، لورود ذلك في الشعر والنثر</w:t>
      </w:r>
      <w:r>
        <w:rPr>
          <w:rStyle w:val="FootnoteAnchor"/>
          <w:rtl w:val="true"/>
        </w:rPr>
        <w:footnoteReference w:id="498"/>
      </w:r>
      <w:r>
        <w:rPr>
          <w:rFonts w:ascii="Amiri" w:hAnsi="Amiri" w:eastAsia="Amiri" w:cs="Amiri"/>
          <w:color w:val="111111"/>
          <w:sz w:val="28"/>
          <w:sz w:val="28"/>
          <w:szCs w:val="28"/>
          <w:rtl w:val="true"/>
          <w:lang w:bidi="ar-SA"/>
        </w:rPr>
        <w:t>، والكثرة تُجيز القياس، بل هي دليل من أدلته</w:t>
      </w:r>
      <w:r>
        <w:rPr>
          <w:rStyle w:val="FootnoteAnchor"/>
          <w:rtl w:val="true"/>
        </w:rPr>
        <w:footnoteReference w:id="499"/>
      </w:r>
      <w:r>
        <w:rPr>
          <w:rFonts w:ascii="IRNazanin" w:hAnsi="IRNazanin" w:eastAsia="IRNazanin"/>
          <w:color w:val="111111"/>
          <w:sz w:val="28"/>
          <w:sz w:val="28"/>
          <w:szCs w:val="28"/>
          <w:rtl w:val="true"/>
          <w:lang w:bidi="fa-IR"/>
        </w:rPr>
        <w:t xml:space="preserve">، ومن أجل هذا ذهب ابن مالك إلى جوازه إلا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فيما تصدّره النفي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فاشترط لوقوع الماضي خبرًا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يكون اسمُها ضمیرَ شأنٍ</w:t>
      </w:r>
      <w:r>
        <w:rPr>
          <w:rStyle w:val="FootnoteAnchor"/>
          <w:rtl w:val="true"/>
        </w:rPr>
        <w:footnoteReference w:id="500"/>
      </w:r>
      <w:r>
        <w:rPr>
          <w:rFonts w:ascii="Amiri" w:hAnsi="Amiri" w:eastAsia="Amiri" w:cs="Amiri"/>
          <w:color w:val="111111"/>
          <w:sz w:val="28"/>
          <w:sz w:val="28"/>
          <w:szCs w:val="28"/>
          <w:rtl w:val="true"/>
          <w:lang w:bidi="ar-SA"/>
        </w:rPr>
        <w:t>، ولم يرتضِ أبو حيان ذلك</w:t>
      </w:r>
      <w:r>
        <w:rPr>
          <w:rStyle w:val="FootnoteAnchor"/>
          <w:rtl w:val="true"/>
        </w:rPr>
        <w:footnoteReference w:id="501"/>
      </w:r>
      <w:r>
        <w:rPr>
          <w:rFonts w:ascii="Amiri" w:hAnsi="Amiri" w:eastAsia="Amiri" w:cs="Amiri"/>
          <w:color w:val="111111"/>
          <w:sz w:val="28"/>
          <w:sz w:val="28"/>
          <w:szCs w:val="28"/>
          <w:rtl w:val="true"/>
          <w:lang w:bidi="ar-SA"/>
        </w:rPr>
        <w:t xml:space="preserve">، وهو على حق؛ لأنَّ مجيءَ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ماضيًا مجردًا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في لغة العرب شعرها ونثرها، ومنه في نصوص نهج البلاغة؛ إذ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كُلُّ مَنْ رَمَى أَصَابَ</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وأخذ برأي البصريین في عدم 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حيان ايضًا، جاء ذلك في معرض تفسیره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مَرْضَی أَوْ عَلَى سَفَرٍ أَوْ جَاءَ أَحَدٌ مِنْكُمْ مِنَ الْغَائِطِ</w:t>
      </w:r>
      <w:r>
        <w:rPr>
          <w:rFonts w:eastAsia="Amiri" w:cs="Amiri" w:ascii="Amiri" w:hAnsi="Amiri"/>
          <w:color w:val="111111"/>
          <w:sz w:val="28"/>
          <w:szCs w:val="28"/>
          <w:rtl w:val="true"/>
          <w:lang w:bidi="ar-SA"/>
        </w:rPr>
        <w:t>»</w:t>
      </w:r>
      <w:r>
        <w:rPr>
          <w:rStyle w:val="FootnoteAnchor"/>
          <w:rtl w:val="true"/>
        </w:rPr>
        <w:footnoteReference w:id="5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جاء، أو لامستم دليل على جواز وقوع الماضي خبرًا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وادّعاء إضمارها تكلف خلافًا للكوفيین لعطفها على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والمعطوفُ على الخبرِ خبرَ</w:t>
      </w:r>
      <w:r>
        <w:rPr>
          <w:rFonts w:eastAsia="IRNazanin" w:cs="IRNazanin"/>
          <w:color w:val="111111"/>
          <w:sz w:val="28"/>
          <w:szCs w:val="28"/>
          <w:rtl w:val="true"/>
          <w:lang w:bidi="fa-IR"/>
        </w:rPr>
        <w:t>))</w:t>
      </w:r>
      <w:r>
        <w:rPr>
          <w:rStyle w:val="FootnoteAnchor"/>
          <w:rtl w:val="true"/>
        </w:rPr>
        <w:footnoteReference w:id="504"/>
      </w:r>
      <w:r>
        <w:rPr>
          <w:rFonts w:ascii="Amiri" w:hAnsi="Amiri" w:eastAsia="Amiri" w:cs="Amiri"/>
          <w:color w:val="111111"/>
          <w:sz w:val="28"/>
          <w:sz w:val="28"/>
          <w:szCs w:val="28"/>
          <w:rtl w:val="true"/>
          <w:lang w:bidi="ar-SA"/>
        </w:rPr>
        <w:t>، ونحا هذا المنحى علماء آخرون أيضًا</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احتج المجوّزون لذلك بجملة من الشواهد النحوية، فمن القرآن </w:t>
      </w:r>
    </w:p>
    <w:p>
      <w:pPr>
        <w:pStyle w:val="BookText"/>
        <w:rPr/>
      </w:pPr>
      <w:r>
        <w:rPr>
          <w:rFonts w:ascii="Amiri" w:hAnsi="Amiri" w:eastAsia="Amiri" w:cs="Amiri"/>
          <w:color w:val="111111"/>
          <w:sz w:val="28"/>
          <w:sz w:val="28"/>
          <w:szCs w:val="28"/>
          <w:rtl w:val="true"/>
          <w:lang w:bidi="ar-SA"/>
        </w:rPr>
        <w:t>الكريم</w:t>
      </w:r>
      <w:r>
        <w:rPr>
          <w:rStyle w:val="FootnoteAnchor"/>
          <w:rtl w:val="true"/>
        </w:rPr>
        <w:footnoteReference w:id="506"/>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قَمِيصُهُ قُدَّ مِنْ قُبُلٍ فَصَدَقَتْ وَهُوَ مِنَ الْكَاذِبِيَن</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يتضح مما تقدّم ذكره رجحان مذهب البصريین وابن مالك؛ لأنَّ الشواهد التي جاءت مجرَّدةً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كثیرة في القرآن الكريم والشعر، وبهذا يظهر أنَّ مذهب المانعین محجوج بالسماع والقياس أيضًا؛ إذ بالإمكان حمله على الماضي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التعجب في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أحسنَ زيدًا، والقول بزيادة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الموضع لا يُبطِلُ الاستدلال به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والشواهد على هذه المسألة في نهج البلاغة كثیرة، منها ما جاء في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بَلَغَنِي عَنْكَ أَمْرٌ إِنْ كُنْتَ فَعَلْتَهُ فَقَدْ أَسْخَطْتَ رَبَّكَ وَعَصَيْتَ إِمَامَكَ وَ أَخْزَيْتَ أَمَانَتَكَ</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فَعَلْتَهُ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ضمیر 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والجملة الفعلية المصدَّرة بالفعل الماضي المجرَّد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وتقديرًا في محل نصب خیر، وإنما حكمتُ بعدم تقديرها ههنا استنادًا إلى المعنى الذي تؤديه وهو تقريب الفعل الماضي من الحال وهذا متعذّر في النص؛ إذ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معرض سَوق اتهامات بخيانة الأمانة وصَلَتْه عن هذا العامل، فالكلام عن وقائع جرت في الماضي، ولهذا لم يأتِ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تقرِّب الحدث من الحال، هذا فضلاً عن أنَّها حرف تحقيق وتوكيد للماضي</w:t>
      </w:r>
      <w:r>
        <w:rPr>
          <w:rStyle w:val="FootnoteAnchor"/>
          <w:rtl w:val="true"/>
        </w:rPr>
        <w:footnoteReference w:id="510"/>
      </w:r>
      <w:r>
        <w:rPr>
          <w:rFonts w:ascii="Amiri" w:hAnsi="Amiri" w:eastAsia="Amiri" w:cs="Amiri"/>
          <w:color w:val="111111"/>
          <w:sz w:val="28"/>
          <w:sz w:val="28"/>
          <w:szCs w:val="28"/>
          <w:rtl w:val="true"/>
          <w:lang w:bidi="ar-SA"/>
        </w:rPr>
        <w:t xml:space="preserve">، وهذا المعنى لا يتفق وسياق النص، </w:t>
      </w:r>
    </w:p>
    <w:p>
      <w:pPr>
        <w:pStyle w:val="BookText"/>
        <w:rPr/>
      </w:pPr>
      <w:r>
        <w:rPr>
          <w:rFonts w:ascii="IRNazanin" w:hAnsi="IRNazanin" w:eastAsia="IRNazanin"/>
          <w:color w:val="111111"/>
          <w:sz w:val="28"/>
          <w:sz w:val="28"/>
          <w:szCs w:val="28"/>
          <w:rtl w:val="true"/>
          <w:lang w:bidi="fa-IR"/>
        </w:rPr>
        <w:t>فالإمام يريد التحقق من اتّهام قد يصدق وقد لا، فكيف يؤكِّد ما لم يثبُت أو يتحقَّق؟ ولعلّ ما يؤكِّد ما ذهبتُ إليه هو مضي الشرط في هذا النص على حین أنَّ النحويین ينكرون ذلك ويمنعونه</w:t>
      </w:r>
      <w:r>
        <w:rPr>
          <w:rStyle w:val="FootnoteAnchor"/>
          <w:rtl w:val="true"/>
        </w:rPr>
        <w:footnoteReference w:id="511"/>
      </w:r>
      <w:r>
        <w:rPr>
          <w:rFonts w:ascii="Amiri" w:hAnsi="Amiri" w:eastAsia="Amiri" w:cs="Amiri"/>
          <w:color w:val="111111"/>
          <w:sz w:val="28"/>
          <w:sz w:val="28"/>
          <w:szCs w:val="28"/>
          <w:rtl w:val="true"/>
          <w:lang w:bidi="ar-SA"/>
        </w:rPr>
        <w:t xml:space="preserve">، فأداة الشرط عندهم تُحيل زمن الماضي بعدها إلى المستقبل، غیر أنَّ هذا الحكم لا ينسجم والمعنى المتحصِّل من ظروف القول في هذا النص، فمعنى المضي ثابت فيه لا يمكن تأويله أو تقديره، ولهذا ذهب المبرَّد إلى إجازة ذلك بشرط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الأداة؛ إذ إنَّها تبقى على مُضيِّها لفظًا ومعنًى مستندًا بذلك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قُلْتُهُ فَقَدْ عَلِمْتَهُ</w:t>
      </w:r>
      <w:r>
        <w:rPr>
          <w:rFonts w:eastAsia="Amiri" w:cs="Amiri" w:ascii="Amiri" w:hAnsi="Amiri"/>
          <w:color w:val="111111"/>
          <w:sz w:val="28"/>
          <w:szCs w:val="28"/>
          <w:rtl w:val="true"/>
          <w:lang w:bidi="ar-SA"/>
        </w:rPr>
        <w:t>»</w:t>
      </w:r>
      <w:r>
        <w:rPr>
          <w:rStyle w:val="FootnoteAnchor"/>
          <w:rtl w:val="true"/>
        </w:rPr>
        <w:footnoteReference w:id="512"/>
      </w:r>
      <w:r>
        <w:rPr>
          <w:rStyle w:val="FootnoteAnchor"/>
          <w:rtl w:val="true"/>
        </w:rPr>
        <w:footnoteReference w:id="513"/>
      </w:r>
      <w:r>
        <w:rPr>
          <w:rFonts w:ascii="Amiri" w:hAnsi="Amiri" w:eastAsia="Amiri" w:cs="Amiri"/>
          <w:color w:val="111111"/>
          <w:sz w:val="28"/>
          <w:sz w:val="28"/>
          <w:szCs w:val="28"/>
          <w:rtl w:val="true"/>
          <w:lang w:bidi="ar-SA"/>
        </w:rPr>
        <w:t>، وبهذا يكون هذا النصُّ دليلاً على جواز مُضي الشرط لفظًا ومعنًى؛ فالزمن الشرطي لا تفرضه الأداة ولا فعل الشرط، بل الفيصل في ذلك السياق والقرائن المحيطة بالنص</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مخوِّفًا أهلَ النهروان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طَوَّحَتْ بِكُمُ اَلدَّارُ وَ اِحْتَبَلَكُمُ اَلْمِقْدَارُ وَقَدْ كُنْتُ نَهَيْتُكُمْ عَنْ هَذِهِ اَلْحُكُومَةِ فَأَبَيْتُمْ عَلَيَّ إِبَاءَ اَلْمُخَالِفِینَ</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محل الشاهد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نهيتكم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الماضي لا يحتاج هنا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فالإمام في معرض إنذار الخوارج في النهروان وتحذريهم، بعد أنْ نهاهم عن قبول التحكيم في صفّین لكنهم رفضوا قوله</w:t>
      </w:r>
      <w:r>
        <w:rPr>
          <w:rStyle w:val="FootnoteAnchor"/>
          <w:rtl w:val="true"/>
        </w:rPr>
        <w:footnoteReference w:id="516"/>
      </w:r>
      <w:r>
        <w:rPr>
          <w:rFonts w:ascii="IRNazanin" w:hAnsi="IRNazanin" w:eastAsia="IRNazanin"/>
          <w:color w:val="111111"/>
          <w:sz w:val="28"/>
          <w:sz w:val="28"/>
          <w:szCs w:val="28"/>
          <w:rtl w:val="true"/>
          <w:lang w:bidi="fa-IR"/>
        </w:rPr>
        <w:t xml:space="preserve">، فالمعنى قائم على بيان حدَثٍ في الماضي وهو ما وقع في صِفّین سنة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الشواهد أيضًا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لشُرَيْح القاضي</w:t>
      </w:r>
      <w:r>
        <w:rPr>
          <w:rStyle w:val="FootnoteAnchor"/>
          <w:rtl w:val="true"/>
        </w:rPr>
        <w:footnoteReference w:id="5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يَا شَرُيْحُ لَا تَكُونُ ابْتَعْتَ هذِهِ الدَّارَ مِنْ غَیْرِ مَالِكَ، أَوْ نَقَدْتَ الَّثمَنَ مِنْ غَیْرِ حَلاَلِكَ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قدْ خَسِرْتَ دَارَ الدُّنْيَا وَدَارَ الاْخِرَة</w:t>
      </w:r>
      <w:r>
        <w:rPr>
          <w:rFonts w:eastAsia="Amiri" w:cs="Amiri" w:ascii="Amiri" w:hAnsi="Amiri"/>
          <w:color w:val="111111"/>
          <w:sz w:val="28"/>
          <w:szCs w:val="28"/>
          <w:rtl w:val="true"/>
          <w:lang w:bidi="ar-SA"/>
        </w:rPr>
        <w:t>))</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فالفعل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هو وفاعله ومفعوله خبرًا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كما ترى مجردًا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موجِبَ لتقديرها أيضًا؛ لأنَّ الخبر في سياق الاحتمال، على حین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التحقيق والتوكيد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على هذه المسألة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 بعد اتّهامه بقتل الخليفة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كَانُوا وَلُوهُ دُونِی فَمَا اَلتَّبِعَةُ إِلاَّ عِنْدَهُمْ</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136" w:name="pg7031_80919"/>
    </w:p>
    <w:p>
      <w:pPr>
        <w:pStyle w:val="BookText"/>
        <w:rPr/>
      </w:pPr>
      <w:bookmarkEnd w:id="136"/>
      <w:r>
        <w:rPr>
          <w:rFonts w:ascii="Amiri" w:hAnsi="Amiri" w:eastAsia="Amiri" w:cs="Amiri"/>
          <w:color w:val="111111"/>
          <w:sz w:val="28"/>
          <w:sz w:val="28"/>
          <w:szCs w:val="28"/>
          <w:rtl w:val="true"/>
          <w:lang w:bidi="ar-SA"/>
        </w:rPr>
        <w:t xml:space="preserve">ومحل الشاهد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تصدّرت الجملة بالفعل الماضي، وهي في محل نصب خر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مجردة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 لما بُويِعَ بالمدينة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وَلَيَسْبِقَنَّ سَابِقُونَ كَانُوا قَصَّرُوا، وَلَيُقَصِّرَّنَّ سَبَّاقُونَ كَانُوا سَبَقُوا</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يتضح أنَّ السياق هو الحاكم في مسألة اقتران الفعل الماضي الواقع خبرًا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وأخواتها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عدمه، واشتراط ذلك لفظًا أو تقديرًا ما لا تؤيِّده الشواهد الكثیرة الواردة في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الشواهد القرآنية والشعرية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الشواهد لا تُرد مادامتْ من عصر الاحتجاج، ثم إنَّ الذهاب إلى تقدير كلِّ هذه الشواهد مما لا يمكن قبوله بحال، زيادة على أنَّه يبدو متكلفًا ومتعذرًا أحيانًا، فضلاً عن الأصل عدم التقدير في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واستنادًا إلى كلِّ ما تقدَّم يجب تعديل القاعدة النحوية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وقوع الماضي خبرًا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أو مقدَّرةً لورود ذلك كثیرًا في نهج البلاغة، فضلاً عن القرآن الكريم و كلام العرب شعرًا ونثرًا، كما يجوز 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لتقييد ابن مالك</w:t>
      </w:r>
      <w:r>
        <w:rPr>
          <w:rFonts w:eastAsia="IRNazanin" w:cs="IRNazanin"/>
          <w:color w:val="111111"/>
          <w:sz w:val="28"/>
          <w:szCs w:val="28"/>
          <w:rtl w:val="true"/>
          <w:lang w:bidi="fa-IR"/>
        </w:rPr>
        <w:t>.</w:t>
      </w:r>
    </w:p>
    <w:p>
      <w:pPr>
        <w:pStyle w:val="Heading5"/>
        <w:numPr>
          <w:ilvl w:val="4"/>
          <w:numId w:val="1"/>
        </w:numPr>
        <w:rPr/>
      </w:pPr>
      <w:bookmarkStart w:id="137" w:name="__RefHeading___Toc2958318_372815092"/>
      <w:bookmarkStart w:id="138" w:name="_Toc45"/>
      <w:bookmarkEnd w:id="137"/>
      <w:r>
        <w:rPr>
          <w:rtl w:val="true"/>
        </w:rPr>
        <w:t>المسألة الثانية</w:t>
      </w:r>
      <w:r>
        <w:rPr>
          <w:rtl w:val="true"/>
        </w:rPr>
        <w:t xml:space="preserve">: </w:t>
      </w:r>
      <w:r>
        <w:rPr>
          <w:rtl w:val="true"/>
        </w:rPr>
        <w:t xml:space="preserve">جواز إجراء الفعل </w:t>
      </w:r>
      <w:r>
        <w:rPr>
          <w:rtl w:val="true"/>
        </w:rPr>
        <w:t>(</w:t>
      </w:r>
      <w:r>
        <w:rPr>
          <w:rtl w:val="true"/>
        </w:rPr>
        <w:t>عدَّ</w:t>
      </w:r>
      <w:r>
        <w:rPr>
          <w:rtl w:val="true"/>
        </w:rPr>
        <w:t xml:space="preserve">) </w:t>
      </w:r>
      <w:r>
        <w:rPr>
          <w:rtl w:val="true"/>
        </w:rPr>
        <w:t>مجرى الظَّن</w:t>
      </w:r>
      <w:r>
        <w:rPr>
          <w:rtl w:val="true"/>
        </w:rPr>
        <w:t>:</w:t>
      </w:r>
      <w:bookmarkEnd w:id="13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وأخواتها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النواسخ الفعلية التي تباشر الجملة الإسمية، وهي مجموعة من الأفعال تدخل على المبتدإ والخبر فتنصبهما مفعولین لها، وتنقسم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القلوب وأفعال التحويل</w:t>
      </w:r>
      <w:r>
        <w:rPr>
          <w:rStyle w:val="FootnoteAnchor"/>
          <w:rtl w:val="true"/>
        </w:rPr>
        <w:footnoteReference w:id="521"/>
      </w:r>
      <w:r>
        <w:rPr>
          <w:rFonts w:ascii="Amiri" w:hAnsi="Amiri" w:eastAsia="Amiri" w:cs="Amiri"/>
          <w:color w:val="111111"/>
          <w:sz w:val="28"/>
          <w:sz w:val="28"/>
          <w:szCs w:val="28"/>
          <w:rtl w:val="true"/>
          <w:lang w:bidi="ar-SA"/>
        </w:rPr>
        <w:t xml:space="preserve">، ولمشابهة بعض الأفعال أفعالَ الظن </w:t>
      </w:r>
    </w:p>
    <w:p>
      <w:pPr>
        <w:pStyle w:val="BookText"/>
        <w:rPr/>
      </w:pPr>
      <w:r>
        <w:rPr>
          <w:rFonts w:ascii="IRNazanin" w:hAnsi="IRNazanin" w:eastAsia="IRNazanin"/>
          <w:color w:val="111111"/>
          <w:sz w:val="28"/>
          <w:sz w:val="28"/>
          <w:szCs w:val="28"/>
          <w:rtl w:val="true"/>
          <w:lang w:bidi="fa-IR"/>
        </w:rPr>
        <w:t xml:space="preserve">معنًى وعملاً حُمِلَتْ عليها في نصب المفعولین، من ذلك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فعل قد اختلف النحويون في حَمله على معنى الظن على مذاهب وآراء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أنكرَ ابن عصفور إجراءه مجرى الظن</w:t>
      </w:r>
      <w:r>
        <w:rPr>
          <w:rStyle w:val="FootnoteAnchor"/>
          <w:rtl w:val="true"/>
        </w:rPr>
        <w:footnoteReference w:id="522"/>
      </w:r>
      <w:r>
        <w:rPr>
          <w:rFonts w:ascii="Amiri" w:hAnsi="Amiri" w:eastAsia="Amiri" w:cs="Amiri"/>
          <w:color w:val="111111"/>
          <w:sz w:val="28"/>
          <w:sz w:val="28"/>
          <w:szCs w:val="28"/>
          <w:rtl w:val="true"/>
          <w:lang w:bidi="ar-SA"/>
        </w:rPr>
        <w:t>، وتابعه على هذا أبو حيان</w:t>
      </w:r>
      <w:r>
        <w:rPr>
          <w:rStyle w:val="FootnoteAnchor"/>
          <w:rtl w:val="true"/>
        </w:rPr>
        <w:footnoteReference w:id="523"/>
      </w:r>
      <w:r>
        <w:rPr>
          <w:rFonts w:ascii="IRNazanin" w:hAnsi="IRNazanin" w:eastAsia="IRNazanin"/>
          <w:color w:val="111111"/>
          <w:sz w:val="28"/>
          <w:sz w:val="28"/>
          <w:szCs w:val="28"/>
          <w:rtl w:val="true"/>
          <w:lang w:bidi="fa-IR"/>
        </w:rPr>
        <w:t>، ونسب السيوطي هذا المنع إلى أكثر النحويین</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ويرى ابنُ مالك أنَّ إجراء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مجرى الظن كثیرٌ في لغة العرب إلا أنَّ النحويین أغفلوا التصريح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وإجراء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وعملاً مما أغفله أكثر النحويین وهو كثیر في كلام العرب</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محتجًا لذلك بشواهد من الحديث النبوي الشريف والشعر العربي، فمن الحديث ما رُوي عن بعض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تعدّون أهل بدر فيكم،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أفضل المسلمين</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الشواهد الشعرية فمنها قول النعمان بن بشير الأنصاري</w:t>
      </w:r>
      <w:r>
        <w:rPr>
          <w:rStyle w:val="FootnoteAnchor"/>
          <w:rtl w:val="true"/>
        </w:rPr>
        <w:footnoteReference w:id="5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تَعْدُدِ المولى شَريكَك في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المولى شريكُك في العُدْمِ ومثله قول الشاعر أبي دواد الإيادي</w:t>
      </w:r>
      <w:r>
        <w:rPr>
          <w:rStyle w:val="FootnoteAnchor"/>
          <w:rtl w:val="true"/>
        </w:rPr>
        <w:footnoteReference w:id="5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أَعُدُّ الإِقْتَارَ عُدْمًا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مَنْ قَدْ رُزِئتُه الإِعْدَامُ لهذا فلا حجة لمن منع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الظن، ومن هنا ذهب الكوفيون وبعض البصریين إلى إجازة استعماله في هذا المعنى</w:t>
      </w:r>
      <w:r>
        <w:rPr>
          <w:rStyle w:val="FootnoteAnchor"/>
          <w:rtl w:val="true"/>
        </w:rPr>
        <w:footnoteReference w:id="529"/>
      </w:r>
      <w:r>
        <w:rPr>
          <w:rFonts w:ascii="Amiri" w:hAnsi="Amiri" w:eastAsia="Amiri" w:cs="Amiri"/>
          <w:color w:val="111111"/>
          <w:sz w:val="28"/>
          <w:sz w:val="28"/>
          <w:szCs w:val="28"/>
          <w:rtl w:val="true"/>
          <w:lang w:bidi="ar-SA"/>
        </w:rPr>
        <w:t xml:space="preserve">، وممن أيّد هذا المذهب ابن هشام اللخمي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كما صرَّح به الرضي</w:t>
      </w:r>
      <w:r>
        <w:rPr>
          <w:rStyle w:val="FootnoteAnchor"/>
          <w:rtl w:val="true"/>
        </w:rPr>
        <w:footnoteReference w:id="531"/>
      </w:r>
      <w:r>
        <w:rPr>
          <w:rFonts w:ascii="Amiri" w:hAnsi="Amiri" w:eastAsia="Amiri" w:cs="Amiri"/>
          <w:color w:val="111111"/>
          <w:sz w:val="28"/>
          <w:sz w:val="28"/>
          <w:szCs w:val="28"/>
          <w:rtl w:val="true"/>
          <w:lang w:bidi="ar-SA"/>
        </w:rPr>
        <w:t xml:space="preserve">، وابنُ ابي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 وابن هشام</w:t>
      </w:r>
      <w:r>
        <w:rPr>
          <w:rStyle w:val="FootnoteAnchor"/>
          <w:rtl w:val="true"/>
        </w:rPr>
        <w:footnoteReference w:id="533"/>
      </w:r>
      <w:r>
        <w:rPr>
          <w:rFonts w:ascii="Amiri" w:hAnsi="Amiri" w:eastAsia="Amiri" w:cs="Amiri"/>
          <w:color w:val="111111"/>
          <w:sz w:val="28"/>
          <w:sz w:val="28"/>
          <w:szCs w:val="28"/>
          <w:rtl w:val="true"/>
          <w:lang w:bidi="ar-SA"/>
        </w:rPr>
        <w:t>، وابن عقيل</w:t>
      </w:r>
      <w:r>
        <w:rPr>
          <w:rStyle w:val="FootnoteAnchor"/>
          <w:rtl w:val="true"/>
        </w:rPr>
        <w:footnoteReference w:id="534"/>
      </w:r>
      <w:r>
        <w:rPr>
          <w:rFonts w:ascii="IRNazanin" w:hAnsi="IRNazanin" w:eastAsia="IRNazanin"/>
          <w:color w:val="111111"/>
          <w:sz w:val="28"/>
          <w:sz w:val="28"/>
          <w:szCs w:val="28"/>
          <w:rtl w:val="true"/>
          <w:lang w:bidi="fa-IR"/>
        </w:rPr>
        <w:t>، واختاره آخرون</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تأوَّل المانعون هذه الشواهد على إرادة الحال، فقد ذهب ابنُ عصفور إلى أنّه لا وجه لمعنى الظن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عددت زيدًا عالمًا؛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لأنَّ التنكیر لازمٌ فيها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زيدًا العالم</w:t>
      </w:r>
      <w:r>
        <w:rPr>
          <w:rStyle w:val="FootnoteAnchor"/>
          <w:rtl w:val="true"/>
        </w:rPr>
        <w:footnoteReference w:id="536"/>
      </w:r>
      <w:r>
        <w:rPr>
          <w:rFonts w:ascii="Amiri" w:hAnsi="Amiri" w:eastAsia="Amiri" w:cs="Amiri"/>
          <w:color w:val="111111"/>
          <w:sz w:val="28"/>
          <w:sz w:val="28"/>
          <w:szCs w:val="28"/>
          <w:rtl w:val="true"/>
          <w:lang w:bidi="ar-SA"/>
        </w:rPr>
        <w:t>، وهو تأويل بعيد يرفضه المعنى أو يُضعفه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شواهد هذه المسألة في الكلام العَلَوي المبارك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إِنَّا قَدْ أَصْبَحْنَا فِی دَهْرٍ عَنُودٍ وَزَمَنٍ شَديدٍ يُعَدُّ فِيهِ اَلْمُحْسِنُ </w:t>
      </w:r>
      <w:bookmarkStart w:id="139" w:name="pg7031_80922"/>
    </w:p>
    <w:p>
      <w:pPr>
        <w:pStyle w:val="BookText"/>
        <w:rPr/>
      </w:pPr>
      <w:bookmarkEnd w:id="139"/>
      <w:r>
        <w:rPr>
          <w:rFonts w:ascii="Amiri" w:hAnsi="Amiri" w:eastAsia="Amiri" w:cs="Amiri"/>
          <w:color w:val="111111"/>
          <w:sz w:val="28"/>
          <w:sz w:val="28"/>
          <w:szCs w:val="28"/>
          <w:rtl w:val="true"/>
          <w:lang w:bidi="ar-SA"/>
        </w:rPr>
        <w:t>مُسِيئًا وَيَزْدَادُ اَلظَّالِمُ فِيهِ عُتُوًّا</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جَور زمانِه وما حلَّ فيه من المفاسد والشرور فضلاً عن سوء الظن الذي استولى على عقول الناس وسلوكهم وطبائعهم؛ لذا هم يعتقدون بأنَّ الباعث على كلِّ عمل حسن هو الرياء أو السُّمعة أو الخوف ونحو ذلك من الأُمور الناشئة من سوء الظن</w:t>
      </w:r>
      <w:r>
        <w:rPr>
          <w:rStyle w:val="FootnoteAnchor"/>
          <w:rtl w:val="true"/>
        </w:rPr>
        <w:footnoteReference w:id="539"/>
      </w:r>
      <w:r>
        <w:rPr>
          <w:rFonts w:ascii="Amiri" w:hAnsi="Amiri" w:eastAsia="Amiri" w:cs="Amiri"/>
          <w:color w:val="111111"/>
          <w:sz w:val="28"/>
          <w:sz w:val="28"/>
          <w:szCs w:val="28"/>
          <w:rtl w:val="true"/>
          <w:lang w:bidi="ar-SA"/>
        </w:rPr>
        <w:t xml:space="preserve">لهذا فاستعمال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منسجمًا وما يعتقده هؤلاء الناس في ذلك الزمان، ولا مجال لرفض معنى الظن في هذا الفعل أو إنكاره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فيما تقدَّم من نصوص تبیّن أنّ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الأفعال التي تنصب مفعولین كغیره من أفعال القلوب استنادًا إلى النصوص اللغوية الفصيحة المؤيِّدة لهذا، ومن أجل هذ فلابد من تقديم تعديل على القاعدة بما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إجراء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مجرى الظن احتكامًا إلى نهج البلاغة وإلى الموروث اللغوي الفصيح المحتج به من الشعر والنثر</w:t>
      </w:r>
      <w:r>
        <w:rPr>
          <w:rFonts w:eastAsia="IRNazanin" w:cs="IRNazanin"/>
          <w:color w:val="111111"/>
          <w:sz w:val="28"/>
          <w:szCs w:val="28"/>
          <w:rtl w:val="true"/>
          <w:lang w:bidi="fa-IR"/>
        </w:rPr>
        <w:t>.</w:t>
      </w:r>
    </w:p>
    <w:p>
      <w:pPr>
        <w:pStyle w:val="Heading5"/>
        <w:numPr>
          <w:ilvl w:val="4"/>
          <w:numId w:val="1"/>
        </w:numPr>
        <w:rPr/>
      </w:pPr>
      <w:bookmarkStart w:id="140" w:name="__RefHeading___Toc2958320_372815092"/>
      <w:bookmarkStart w:id="141" w:name="_Toc46"/>
      <w:bookmarkEnd w:id="140"/>
      <w:r>
        <w:rPr>
          <w:rtl w:val="true"/>
        </w:rPr>
        <w:t>المسألة الثالثة</w:t>
      </w:r>
      <w:r>
        <w:rPr>
          <w:rtl w:val="true"/>
        </w:rPr>
        <w:t xml:space="preserve">: </w:t>
      </w:r>
      <w:r>
        <w:rPr>
          <w:rtl w:val="true"/>
        </w:rPr>
        <w:t xml:space="preserve">جواز وقوع الفعل الماضي المثبَت المجرَّد من </w:t>
      </w:r>
      <w:r>
        <w:rPr>
          <w:rtl w:val="true"/>
        </w:rPr>
        <w:t>(</w:t>
      </w:r>
      <w:r>
        <w:rPr>
          <w:rtl w:val="true"/>
        </w:rPr>
        <w:t>قد</w:t>
      </w:r>
      <w:r>
        <w:rPr>
          <w:rtl w:val="true"/>
        </w:rPr>
        <w:t xml:space="preserve">) </w:t>
      </w:r>
      <w:r>
        <w:rPr>
          <w:rtl w:val="true"/>
        </w:rPr>
        <w:t>حالًا</w:t>
      </w:r>
      <w:r>
        <w:rPr>
          <w:rtl w:val="true"/>
        </w:rPr>
        <w:t>:</w:t>
      </w:r>
      <w:bookmarkEnd w:id="141"/>
    </w:p>
    <w:p>
      <w:pPr>
        <w:pStyle w:val="BookText"/>
        <w:rPr/>
      </w:pPr>
      <w:r>
        <w:rPr>
          <w:rFonts w:ascii="IRNazanin" w:hAnsi="IRNazanin" w:eastAsia="IRNazanin"/>
          <w:color w:val="111111"/>
          <w:sz w:val="28"/>
          <w:sz w:val="28"/>
          <w:szCs w:val="28"/>
          <w:rtl w:val="true"/>
          <w:lang w:bidi="fa-IR"/>
        </w:rPr>
        <w:t>يُقسِّمُ علماء العربية الحالَ أقسامًا كثیرة باعتبارات متعددة، من ذلك تقسيمها بحسب الإفراد والجملة، فهي بموجب هذه الضابطة تنقسم على الحال المفردة والحال الجملة وشبه الجملة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كانت الحال جملة فهي إما إسمية أو فعلية، وقد ذكر النحويون شروطها في كل حالة، وقد أجازوا مجيء الحال جملةً فعلية فعلُها ماضٍ غیر أنَّهم </w:t>
      </w:r>
    </w:p>
    <w:p>
      <w:pPr>
        <w:pStyle w:val="BookText"/>
        <w:rPr/>
      </w:pPr>
      <w:r>
        <w:rPr>
          <w:rFonts w:ascii="Amiri" w:hAnsi="Amiri" w:eastAsia="Amiri" w:cs="Amiri"/>
          <w:color w:val="111111"/>
          <w:sz w:val="28"/>
          <w:sz w:val="28"/>
          <w:szCs w:val="28"/>
          <w:rtl w:val="true"/>
          <w:lang w:bidi="ar-SA"/>
        </w:rPr>
        <w:t xml:space="preserve">اختلفوا في مسألة اقترانها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فمنهم من أوجب اقترانها بها في حال الإثبات ومنهم من أجاز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اشترط جماعة من النحويین في الجملة الماضوية الواقعة حالًا أنْ تقترن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مظهرةً أو مضمرةً، ولعلَّ الفرّاء يقف في مقدمتهم، فقد أعربَ عن رأيِه وهو يوجه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تَكْفُرُونَ بِالله وَكُنْتُمْ أَمْوَاتًا</w:t>
      </w:r>
      <w:r>
        <w:rPr>
          <w:rFonts w:eastAsia="Amiri" w:cs="Amiri" w:ascii="Amiri" w:hAnsi="Amiri"/>
          <w:color w:val="111111"/>
          <w:sz w:val="28"/>
          <w:szCs w:val="28"/>
          <w:rtl w:val="true"/>
          <w:lang w:bidi="ar-SA"/>
        </w:rPr>
        <w:t>»</w:t>
      </w:r>
      <w:r>
        <w:rPr>
          <w:rStyle w:val="FootnoteAnchor"/>
          <w:rtl w:val="true"/>
        </w:rPr>
        <w:footnoteReference w:id="540"/>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كنتم، ولولا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مثله في الكلام</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وأكد مذهبَه هذا في موضع آخر أيضًا</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سار على هذا المذهب جمعٌ من علماء العربية، منهم المبرَّد</w:t>
      </w:r>
      <w:r>
        <w:rPr>
          <w:rStyle w:val="FootnoteAnchor"/>
          <w:rtl w:val="true"/>
        </w:rPr>
        <w:footnoteReference w:id="543"/>
      </w:r>
      <w:r>
        <w:rPr>
          <w:rFonts w:ascii="Amiri" w:hAnsi="Amiri" w:eastAsia="Amiri" w:cs="Amiri"/>
          <w:color w:val="111111"/>
          <w:sz w:val="28"/>
          <w:sz w:val="28"/>
          <w:szCs w:val="28"/>
          <w:rtl w:val="true"/>
          <w:lang w:bidi="ar-SA"/>
        </w:rPr>
        <w:t>والزجّاج</w:t>
      </w:r>
      <w:r>
        <w:rPr>
          <w:rStyle w:val="FootnoteAnchor"/>
          <w:rtl w:val="true"/>
        </w:rPr>
        <w:footnoteReference w:id="544"/>
      </w:r>
      <w:r>
        <w:rPr>
          <w:rFonts w:ascii="IRNazanin" w:hAnsi="IRNazanin" w:eastAsia="IRNazanin"/>
          <w:color w:val="111111"/>
          <w:sz w:val="28"/>
          <w:sz w:val="28"/>
          <w:szCs w:val="28"/>
          <w:rtl w:val="true"/>
          <w:lang w:bidi="fa-IR"/>
        </w:rPr>
        <w:t>، وابن السراج</w:t>
      </w:r>
      <w:r>
        <w:rPr>
          <w:rStyle w:val="FootnoteAnchor"/>
          <w:rtl w:val="true"/>
        </w:rPr>
        <w:footnoteReference w:id="545"/>
      </w:r>
      <w:r>
        <w:rPr>
          <w:rFonts w:ascii="Amiri" w:hAnsi="Amiri" w:eastAsia="Amiri" w:cs="Amiri"/>
          <w:color w:val="111111"/>
          <w:sz w:val="28"/>
          <w:sz w:val="28"/>
          <w:szCs w:val="28"/>
          <w:rtl w:val="true"/>
          <w:lang w:bidi="ar-SA"/>
        </w:rPr>
        <w:t>، وابن جني</w:t>
      </w:r>
      <w:r>
        <w:rPr>
          <w:rStyle w:val="FootnoteAnchor"/>
          <w:rtl w:val="true"/>
        </w:rPr>
        <w:footnoteReference w:id="546"/>
      </w:r>
      <w:r>
        <w:rPr>
          <w:rFonts w:ascii="Amiri" w:hAnsi="Amiri" w:eastAsia="Amiri" w:cs="Amiri"/>
          <w:color w:val="111111"/>
          <w:sz w:val="28"/>
          <w:sz w:val="28"/>
          <w:szCs w:val="28"/>
          <w:rtl w:val="true"/>
          <w:lang w:bidi="ar-SA"/>
        </w:rPr>
        <w:t>، والزمخشري</w:t>
      </w:r>
      <w:r>
        <w:rPr>
          <w:rStyle w:val="FootnoteAnchor"/>
          <w:rtl w:val="true"/>
        </w:rPr>
        <w:footnoteReference w:id="547"/>
      </w:r>
      <w:r>
        <w:rPr>
          <w:rFonts w:ascii="IRNazanin" w:hAnsi="IRNazanin" w:eastAsia="IRNazanin"/>
          <w:color w:val="111111"/>
          <w:sz w:val="28"/>
          <w:sz w:val="28"/>
          <w:szCs w:val="28"/>
          <w:rtl w:val="true"/>
          <w:lang w:bidi="fa-IR"/>
        </w:rPr>
        <w:t>، وآخرون</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احتجّ المانعون لمذهبِهم بأنَّ الحالَ وصفٌ للهيأة الحاضرة، والماضي يدلُّ على ما انقطع ومضى فليس مناسبًا وقوعُه في الدلالة على الحال؛ لذا اشترطوا وجود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أو مقدَّرةً؛ لأنها تقرِّب الفعل الماضي من الحال</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نُسِبَ إلى الأخفش القول بجواز عدم الاقتران</w:t>
      </w:r>
      <w:r>
        <w:rPr>
          <w:rStyle w:val="FootnoteAnchor"/>
          <w:rtl w:val="true"/>
        </w:rPr>
        <w:footnoteReference w:id="550"/>
      </w:r>
      <w:r>
        <w:rPr>
          <w:rFonts w:ascii="IRNazanin" w:hAnsi="IRNazanin" w:eastAsia="IRNazanin"/>
          <w:color w:val="111111"/>
          <w:sz w:val="28"/>
          <w:sz w:val="28"/>
          <w:szCs w:val="28"/>
          <w:rtl w:val="true"/>
          <w:lang w:bidi="fa-IR"/>
        </w:rPr>
        <w:t>، كما نُسب القول بذلك إلى عامة الكوفيین عدا الفراء</w:t>
      </w:r>
      <w:r>
        <w:rPr>
          <w:rStyle w:val="FootnoteAnchor"/>
          <w:rtl w:val="true"/>
        </w:rPr>
        <w:footnoteReference w:id="551"/>
      </w:r>
      <w:r>
        <w:rPr>
          <w:rFonts w:ascii="IRNazanin" w:hAnsi="IRNazanin" w:eastAsia="IRNazanin"/>
          <w:color w:val="111111"/>
          <w:sz w:val="28"/>
          <w:sz w:val="28"/>
          <w:szCs w:val="28"/>
          <w:rtl w:val="true"/>
          <w:lang w:bidi="fa-IR"/>
        </w:rPr>
        <w:t>، وهذا ما سوّغ لأبي البركات الأنباري دراسة ذلك كمسألة خلافية بین المدرستين</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حقَّق أَحدُ الباحثین في صِحة تلك النسبة فخلص إلى أنَّ الكوفيین لا يختلفون عما رآه البصريون في هذه المسألة، فهم يُوجِبون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أو مضمرةً</w:t>
      </w:r>
      <w:r>
        <w:rPr>
          <w:rStyle w:val="FootnoteAnchor"/>
          <w:rtl w:val="true"/>
        </w:rPr>
        <w:footnoteReference w:id="553"/>
      </w:r>
      <w:r>
        <w:rPr>
          <w:rFonts w:ascii="Amiri" w:hAnsi="Amiri" w:eastAsia="Amiri" w:cs="Amiri"/>
          <w:color w:val="111111"/>
          <w:sz w:val="28"/>
          <w:sz w:val="28"/>
          <w:szCs w:val="28"/>
          <w:rtl w:val="true"/>
          <w:lang w:bidi="ar-SA"/>
        </w:rPr>
        <w:t>، وأنَّ رأيَ الأخفش مُجمَلاً لم يُفهم منه الجواز؛ إذ وجَّه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جَاءُوكُمْ حَصِرَتْ صُدُورُهُمْ أَنْ يُقَاتِلُوكُمْ</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نصبته على الحال،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نقرأ</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الطبري أيضًا إلى ضرورة التقدير ففسَّر الآية نفسَها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أنَّ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جاؤوكم قد حصرت صدورهم، فترك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من شأن العرب فعل مثل ذلك،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فلان ذهبَ عقله،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 عقله؛ ومسموع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نظرت إلى ذات التنانیر،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نظرت</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 xml:space="preserve">، وهو قول ابن </w:t>
      </w:r>
    </w:p>
    <w:p>
      <w:pPr>
        <w:pStyle w:val="BookText"/>
        <w:rPr/>
      </w:pPr>
      <w:r>
        <w:rPr>
          <w:rFonts w:ascii="Amiri" w:hAnsi="Amiri" w:eastAsia="Amiri" w:cs="Amiri"/>
          <w:color w:val="111111"/>
          <w:sz w:val="28"/>
          <w:sz w:val="28"/>
          <w:szCs w:val="28"/>
          <w:rtl w:val="true"/>
          <w:lang w:bidi="ar-SA"/>
        </w:rPr>
        <w:t xml:space="preserve">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أبو منصور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ثعلب رأيَه في الآية مدار الخلاف،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من الحال وصارت كالاسم، وبها قرأ 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حرة صدورهم</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 xml:space="preserve">، وليس في كلام ثعلب ما يُشیر إلى الجواز، على أنَّ ما نقله ابن خالويه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الكسائي يُشیر إلى إجازته التجرّد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قلّة، فقد قال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يكون الماضي حالًا إلا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حدثني أبو عمر عن ثعلب عن سلمة عن الفراء عن الكسائي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يكون الماضي حالًا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مما تقدَّم أنَّ تلك المسألة من المسائل التي يكاد يُمع البصريون وأغلب الكوفيین على ضرورة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مخالف أتم المخالفة للنقل والقياس، أما النقل فالشواهد القرآنية التي جاءت مجردة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كثیرة من ذلك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جاؤوُكُمْ حَصِرَتْ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 صدروهم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الضمیر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جاؤوكم</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قول امرئ القيس</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المذأب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الموسَّع، أي له فرجة أو ذؤابة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ذأب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كَفَلٌ كالدِّعْصِ لَبَّدهُ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حَارِكٍ مِثْلِ الغَبيطِ المُذَأّبِ ومنه قول العرب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كَذَا وخَلاَكَ ذَمٌّ</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xml:space="preserve">، 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وهو مجرد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ولهذه الشواهد نظائر أُخر يطول المقام بذكرها كلِّها</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القياس فقد استند المؤيِّدون إلى أنَّ الماضي يصح أنْ يكون نعتًا للنكرة، فيجوز حملاً على هذا وقوعُه حالً من المعرفة كالفعل المضارع،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بالرجل قعد، وبالغلام قام</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هذا فضلاً عن جواز قيام الماضي مقام المستقبل، وإذا جاز هذا جاز أنْ يقوم مقام الحال أيضًا</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الرغم من كثرة الشواهد المؤيِّدة لعدم الاقتران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الذين ذكروا هذا الخلاف أو صوّروه قد ركَّزوا في حديثهم في شواهد قليلة ولعل من أبرزها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جاؤُوكُمْ حَصِرَتْ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الفرد الذي لا نظیر له من القرآن لمجيء الفعل الماضي حالًا</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الشواهد كثیرة وقد احتجَّ ببعضها جمعٌ من النحويین المتأخرين في الرد على من أوجب هذا الاقتران، وهذا ما أشار إليه ابن مالك بعد أنِ استعرض </w:t>
      </w:r>
    </w:p>
    <w:p>
      <w:pPr>
        <w:pStyle w:val="BookText"/>
        <w:rPr/>
      </w:pPr>
      <w:r>
        <w:rPr>
          <w:rFonts w:ascii="Amiri" w:hAnsi="Amiri" w:eastAsia="Amiri" w:cs="Amiri"/>
          <w:color w:val="111111"/>
          <w:sz w:val="28"/>
          <w:sz w:val="28"/>
          <w:szCs w:val="28"/>
          <w:rtl w:val="true"/>
          <w:lang w:bidi="ar-SA"/>
        </w:rPr>
        <w:t>جملة منها، ثم كشف عن رأيه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وزعم قوم أنَّ الفعل الماضي لفظًا لا يقع حالًا وليس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إلا وهي قبله مقدَّرة، وهذه دعوى لا تقوم عليها حجة؛ لأنَّ الأصل عدم التقدير، ولأن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الفعل المشار إليه لا يزيد معنى على ما يفهم به إذا لم توجد، وحق المحذوف المقدر ثبوته أنْ يدل على معنى لا يدرك بدونه</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 وارتضى هذا أبو حيان الأندلسي أيضًا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والصحيح جواز ذلك؛ لكثرة ما ورد منه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وتأويل الشيء الكثیر ضعيف جدًا لأنّا إنما نبني المقاييس العربية على وجود الكثرة</w:t>
      </w:r>
      <w:r>
        <w:rPr>
          <w:rFonts w:eastAsia="IRNazanin" w:cs="IRNazanin"/>
          <w:color w:val="111111"/>
          <w:sz w:val="28"/>
          <w:szCs w:val="28"/>
          <w:rtl w:val="true"/>
          <w:lang w:bidi="fa-IR"/>
        </w:rPr>
        <w:t>))</w:t>
      </w:r>
      <w:r>
        <w:rPr>
          <w:rStyle w:val="FootnoteAnchor"/>
          <w:rtl w:val="true"/>
        </w:rPr>
        <w:footnoteReference w:id="569"/>
      </w:r>
      <w:r>
        <w:rPr>
          <w:rFonts w:ascii="Amiri" w:hAnsi="Amiri" w:eastAsia="Amiri" w:cs="Amiri"/>
          <w:color w:val="111111"/>
          <w:sz w:val="28"/>
          <w:sz w:val="28"/>
          <w:szCs w:val="28"/>
          <w:rtl w:val="true"/>
          <w:lang w:bidi="ar-SA"/>
        </w:rPr>
        <w:t>، وأيَّد ذلك المرادي</w:t>
      </w:r>
      <w:r>
        <w:rPr>
          <w:rStyle w:val="FootnoteAnchor"/>
          <w:rtl w:val="true"/>
        </w:rPr>
        <w:footnoteReference w:id="570"/>
      </w:r>
      <w:r>
        <w:rPr>
          <w:rFonts w:ascii="Amiri" w:hAnsi="Amiri" w:eastAsia="Amiri" w:cs="Amiri"/>
          <w:color w:val="111111"/>
          <w:sz w:val="28"/>
          <w:sz w:val="28"/>
          <w:szCs w:val="28"/>
          <w:rtl w:val="true"/>
          <w:lang w:bidi="ar-SA"/>
        </w:rPr>
        <w:t>، والسمين الحلبي</w:t>
      </w:r>
      <w:r>
        <w:rPr>
          <w:rStyle w:val="FootnoteAnchor"/>
          <w:rtl w:val="true"/>
        </w:rPr>
        <w:footnoteReference w:id="571"/>
      </w:r>
      <w:r>
        <w:rPr>
          <w:rFonts w:ascii="Amiri" w:hAnsi="Amiri" w:eastAsia="Amiri" w:cs="Amiri"/>
          <w:color w:val="111111"/>
          <w:sz w:val="28"/>
          <w:sz w:val="28"/>
          <w:szCs w:val="28"/>
          <w:rtl w:val="true"/>
          <w:lang w:bidi="ar-SA"/>
        </w:rPr>
        <w:t>، وابن عقيل</w:t>
      </w:r>
      <w:r>
        <w:rPr>
          <w:rStyle w:val="FootnoteAnchor"/>
          <w:rtl w:val="true"/>
        </w:rPr>
        <w:footnoteReference w:id="572"/>
      </w:r>
      <w:r>
        <w:rPr>
          <w:rFonts w:ascii="Amiri" w:hAnsi="Amiri" w:eastAsia="Amiri" w:cs="Amiri"/>
          <w:color w:val="111111"/>
          <w:sz w:val="28"/>
          <w:sz w:val="28"/>
          <w:szCs w:val="28"/>
          <w:rtl w:val="true"/>
          <w:lang w:bidi="ar-SA"/>
        </w:rPr>
        <w:t>، والُأشموني</w:t>
      </w:r>
      <w:r>
        <w:rPr>
          <w:rStyle w:val="FootnoteAnchor"/>
          <w:rtl w:val="true"/>
        </w:rPr>
        <w:footnoteReference w:id="573"/>
      </w:r>
      <w:r>
        <w:rPr>
          <w:rFonts w:ascii="IRNazanin" w:hAnsi="IRNazanin" w:eastAsia="IRNazanin"/>
          <w:color w:val="111111"/>
          <w:sz w:val="28"/>
          <w:sz w:val="28"/>
          <w:szCs w:val="28"/>
          <w:rtl w:val="true"/>
          <w:lang w:bidi="fa-IR"/>
        </w:rPr>
        <w:t>، والُأستاذ عباس حسن والدكتور أحمد مكي الأنصاري والدكتور خليل بنيان الحسون من المحدَثین</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المانعون فلم يرتضوا ذلك وعلّلوا مذهبهم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الماضي لا يدل على الحال، فينبغي ألا يقوم مقامه</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فهو لا يدل على الحال إلا بقرينة</w:t>
      </w:r>
      <w:r>
        <w:rPr>
          <w:rStyle w:val="FootnoteAnchor"/>
          <w:rtl w:val="true"/>
        </w:rPr>
        <w:footnoteReference w:id="576"/>
      </w:r>
      <w:r>
        <w:rPr>
          <w:rFonts w:ascii="Amiri" w:hAnsi="Amiri" w:eastAsia="Amiri" w:cs="Amiri"/>
          <w:color w:val="111111"/>
          <w:sz w:val="28"/>
          <w:sz w:val="28"/>
          <w:szCs w:val="28"/>
          <w:rtl w:val="true"/>
          <w:lang w:bidi="ar-SA"/>
        </w:rPr>
        <w:t>، ولهذا سعوا إلى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جاؤُكُمْ 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 يكون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المجرور في أول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لقوم مقدَّر، </w:t>
      </w:r>
    </w:p>
    <w:p>
      <w:pPr>
        <w:pStyle w:val="BookText"/>
        <w:rPr/>
      </w:pP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جاؤوكم قومًا حصرت</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العجب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المقدَّر ولا يكون حالًا من الضمیر المجاور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جاؤوكم</w:t>
      </w:r>
      <w:r>
        <w:rPr>
          <w:rFonts w:eastAsia="IRNazanin" w:cs="IRNazanin"/>
          <w:color w:val="111111"/>
          <w:sz w:val="28"/>
          <w:szCs w:val="28"/>
          <w:rtl w:val="true"/>
          <w:lang w:bidi="fa-IR"/>
        </w:rPr>
        <w:t>»))</w:t>
      </w:r>
      <w:r>
        <w:rPr>
          <w:rStyle w:val="FootnoteAnchor"/>
          <w:rtl w:val="true"/>
        </w:rPr>
        <w:footnoteReference w:id="578"/>
      </w:r>
      <w:r>
        <w:rPr>
          <w:rFonts w:ascii="Amiri" w:hAnsi="Amiri" w:eastAsia="Amiri" w:cs="Amiri"/>
          <w:color w:val="111111"/>
          <w:sz w:val="28"/>
          <w:sz w:val="28"/>
          <w:szCs w:val="28"/>
          <w:rtl w:val="true"/>
          <w:lang w:bidi="ar-SA"/>
        </w:rPr>
        <w:t xml:space="preserve">ولهذا فالتكلّف واضح، ثم إنَّ في استدلال المبرَّد ما يدفع لزوم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قد احتج 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حصرة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تعضيد لمعنى الحال 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دأب النحويون على الاستدلال بالقراءة الصحيحة لتوجيه حكم نحوي مناظر</w:t>
      </w:r>
      <w:r>
        <w:rPr>
          <w:rStyle w:val="FootnoteAnchor"/>
          <w:rtl w:val="true"/>
        </w:rPr>
        <w:footnoteReference w:id="579"/>
      </w:r>
      <w:r>
        <w:rPr>
          <w:rFonts w:ascii="IRNazanin" w:hAnsi="IRNazanin" w:eastAsia="IRNazanin"/>
          <w:color w:val="111111"/>
          <w:sz w:val="28"/>
          <w:sz w:val="28"/>
          <w:szCs w:val="28"/>
          <w:rtl w:val="true"/>
          <w:lang w:bidi="fa-IR"/>
        </w:rPr>
        <w:t>، هذا فضلاً عن أنهم يؤوّلون الحال الجملة بالمفرد، والتأويل حاصل بین القراءتین وهذا دليل كافٍ على إرادة معنى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الراجح في نظري أنَّ القول بجواز عدم الاقتران لا يمكن دفعه أو تأويله لكثرة الشواهد المؤيِّدة له، فهي ليستْ قليلة كما نُقِلَ عن الكسائي</w:t>
      </w:r>
      <w:r>
        <w:rPr>
          <w:rStyle w:val="FootnoteAnchor"/>
          <w:rtl w:val="true"/>
        </w:rPr>
        <w:footnoteReference w:id="580"/>
      </w:r>
      <w:r>
        <w:rPr>
          <w:rFonts w:ascii="Amiri" w:hAnsi="Amiri" w:eastAsia="Amiri" w:cs="Amiri"/>
          <w:color w:val="111111"/>
          <w:sz w:val="28"/>
          <w:sz w:val="28"/>
          <w:szCs w:val="28"/>
          <w:rtl w:val="true"/>
          <w:lang w:bidi="ar-SA"/>
        </w:rPr>
        <w:t>، وكما صرَّح بذلك الدكتور الأنصاري أيضًا</w:t>
      </w:r>
      <w:r>
        <w:rPr>
          <w:rStyle w:val="FootnoteAnchor"/>
          <w:rtl w:val="true"/>
        </w:rPr>
        <w:footnoteReference w:id="581"/>
      </w:r>
      <w:r>
        <w:rPr>
          <w:rFonts w:ascii="Amiri" w:hAnsi="Amiri" w:eastAsia="Amiri" w:cs="Amiri"/>
          <w:color w:val="111111"/>
          <w:sz w:val="28"/>
          <w:sz w:val="28"/>
          <w:szCs w:val="28"/>
          <w:rtl w:val="true"/>
          <w:lang w:bidi="ar-SA"/>
        </w:rPr>
        <w:t>، زيادة على أنِّ الأصل عدم التقدير ولاسيما أنَّ التقدير في هذه المسألة في أغلبه ضعيف واضح التكلّف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الشواهد العَلَوية على هذه المسألة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حاله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وَمَضَيْتُ بِنُورِ اَللَّهِ حِینَ وَقَفُوا وَكُنْتُ أَخْفَضَهُمْ صَوْتًا وَأَعْلاَهُمْ فَوْتًا</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مفاخرِه ردًّا على من اتَّهمه بما لا يليق به</w:t>
      </w:r>
      <w:r>
        <w:rPr>
          <w:rStyle w:val="FootnoteAnchor"/>
          <w:rtl w:val="true"/>
        </w:rPr>
        <w:footnoteReference w:id="583"/>
      </w:r>
      <w:r>
        <w:rPr>
          <w:rFonts w:ascii="Amiri" w:hAnsi="Amiri" w:eastAsia="Amiri" w:cs="Amiri"/>
          <w:color w:val="111111"/>
          <w:sz w:val="28"/>
          <w:sz w:val="28"/>
          <w:szCs w:val="28"/>
          <w:rtl w:val="true"/>
          <w:lang w:bidi="ar-SA"/>
        </w:rPr>
        <w:t xml:space="preserve">، فمِن </w:t>
      </w:r>
    </w:p>
    <w:p>
      <w:pPr>
        <w:pStyle w:val="BookText"/>
        <w:rPr/>
      </w:pPr>
      <w:r>
        <w:rPr>
          <w:rFonts w:ascii="Amiri" w:hAnsi="Amiri" w:eastAsia="Amiri" w:cs="Amiri"/>
          <w:color w:val="111111"/>
          <w:sz w:val="28"/>
          <w:sz w:val="28"/>
          <w:szCs w:val="28"/>
          <w:rtl w:val="true"/>
          <w:lang w:bidi="ar-SA"/>
        </w:rPr>
        <w:t xml:space="preserve">سماته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سلك سبيل الله تعالى في زمن سلك الناس فيه سُبُل الشيطان فأصبحوا حيارى تائهین ضلّوا سواء السبيل فالإمامُ هو الأعلم بوحي النبوة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وتلك المراتب وسواها قد زادتْه خِشيةً وتواضعًا، فهو والمراتب تلك كان أخفضَ صوتًا بحرة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تأدّبًا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 لَهُمْ مَغْفِرَةٌ وَأَجْرٌ عَظِيمٌ</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وكان أيضًا أشدَّ ثباتًا وأربطَ جأشًا</w:t>
      </w:r>
      <w:r>
        <w:rPr>
          <w:rStyle w:val="FootnoteAnchor"/>
          <w:rtl w:val="true"/>
        </w:rPr>
        <w:footnoteReference w:id="585"/>
      </w:r>
      <w:r>
        <w:rPr>
          <w:rFonts w:ascii="IRNazanin" w:hAnsi="IRNazanin" w:eastAsia="IRNazanin"/>
          <w:color w:val="111111"/>
          <w:sz w:val="28"/>
          <w:sz w:val="28"/>
          <w:szCs w:val="28"/>
          <w:rtl w:val="true"/>
          <w:lang w:bidi="fa-IR"/>
        </w:rPr>
        <w:t>، وهذا ما أفصحتْ عنه الجملة الحالية المصدَّرة بالفعل الماضي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الحال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الفاعل في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العائد على أمیر المؤمنن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وبهذا تكون الجملة حاليةً من دون اللجوء إلى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اشترط ذلك جمهور النحويین البصریین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الشواهد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النبيَّ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وَنَشْهَدُ أَنَّ مُحَمَّدًا عَبْدُهُ وَرَسُولُهُ خَاضَ إلى رِضْوَانِ اَللَّهِ كُلَّ غَمْرَةٍ وَ تَجَرَّعَ فِيهِ كُلَّ غُصَّةٍ</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xml:space="preserve">، فالجملة الفعلية المصدَّرة بالفعل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أصله مبتدأ على رأي سيبويه الذي أجاز وقوع الحال من المبتدإ</w:t>
      </w:r>
      <w:r>
        <w:rPr>
          <w:rStyle w:val="FootnoteAnchor"/>
          <w:rtl w:val="true"/>
        </w:rPr>
        <w:footnoteReference w:id="587"/>
      </w:r>
      <w:r>
        <w:rPr>
          <w:rFonts w:ascii="Amiri" w:hAnsi="Amiri" w:eastAsia="Amiri" w:cs="Amiri"/>
          <w:color w:val="111111"/>
          <w:sz w:val="28"/>
          <w:sz w:val="28"/>
          <w:szCs w:val="28"/>
          <w:rtl w:val="true"/>
          <w:lang w:bidi="ar-SA"/>
        </w:rPr>
        <w:t xml:space="preserve">، وهي كما ترى مجرَّدة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إحدى معجزات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بَعَثَهُ بِالْحَقِّ لاَنْقَلَعَتْ بِعُرُوقِهَا وَجَاءَتْ وَ لَهَا دَوِيٌّ شَدِيدٌ وَقَصْفٌ كَقَصْفِ أَجْنِحَةِ اَلطَّیْرِ حَتَّى وَقَفَتْ بَیْنَ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مُرَفْرِفَةً وَأَلْقَتْ بِغُصْنِهَا اَلْأَعْلَى عَلَى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بِبَعْضِ أَغْصَانِهَا عَلَى مَنْكِبِي وَكُنْتُ عَنْ يَمِينِهِ</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نصل إلى ثمرة هذا النقاش والتحليل بتعديل القاعدة النحوية بالقول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يجوز تجرّد الفعل الماضي الواقع حالًا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لورود ذلك كثیرًا في نهج البلاغة فضلاً عن القرآن الكريم وكلام العرب نظماً ونثرًا</w:t>
      </w:r>
      <w:r>
        <w:rPr>
          <w:rFonts w:eastAsia="IRNazanin" w:cs="IRNazanin"/>
          <w:color w:val="111111"/>
          <w:sz w:val="28"/>
          <w:szCs w:val="28"/>
          <w:rtl w:val="true"/>
          <w:lang w:bidi="fa-IR"/>
        </w:rPr>
        <w:t xml:space="preserve">. </w:t>
      </w:r>
      <w:bookmarkStart w:id="142" w:name="pg7031_80931"/>
    </w:p>
    <w:p>
      <w:pPr>
        <w:pStyle w:val="Heading4"/>
        <w:numPr>
          <w:ilvl w:val="3"/>
          <w:numId w:val="1"/>
        </w:numPr>
        <w:rPr/>
      </w:pPr>
      <w:bookmarkStart w:id="143" w:name="__RefHeading___Toc2958322_372815092"/>
      <w:bookmarkStart w:id="144" w:name="_Toc47"/>
      <w:bookmarkEnd w:id="142"/>
      <w:bookmarkEnd w:id="143"/>
      <w:r>
        <w:rPr>
          <w:rtl w:val="true"/>
        </w:rPr>
        <w:t>المبحث الثاني ما منعَهُ أغلبُ النحويين في الحروف</w:t>
      </w:r>
      <w:bookmarkEnd w:id="144"/>
    </w:p>
    <w:p>
      <w:pPr>
        <w:pStyle w:val="Heading5"/>
        <w:numPr>
          <w:ilvl w:val="4"/>
          <w:numId w:val="1"/>
        </w:numPr>
        <w:rPr/>
      </w:pPr>
      <w:bookmarkStart w:id="145" w:name="__RefHeading___Toc2958324_372815092"/>
      <w:bookmarkStart w:id="146" w:name="_Toc48"/>
      <w:bookmarkEnd w:id="145"/>
      <w:r>
        <w:rPr>
          <w:rtl w:val="true"/>
        </w:rPr>
        <w:t>المسألة الأولى</w:t>
      </w:r>
      <w:r>
        <w:rPr>
          <w:rtl w:val="true"/>
        </w:rPr>
        <w:t xml:space="preserve">: </w:t>
      </w:r>
      <w:r>
        <w:rPr>
          <w:rtl w:val="true"/>
        </w:rPr>
        <w:t xml:space="preserve">جواز ورود </w:t>
      </w:r>
      <w:r>
        <w:rPr>
          <w:rtl w:val="true"/>
        </w:rPr>
        <w:t>(</w:t>
      </w:r>
      <w:r>
        <w:rPr>
          <w:rtl w:val="true"/>
        </w:rPr>
        <w:t>أنْ</w:t>
      </w:r>
      <w:r>
        <w:rPr>
          <w:rtl w:val="true"/>
        </w:rPr>
        <w:t xml:space="preserve">) </w:t>
      </w:r>
      <w:r>
        <w:rPr>
          <w:rtl w:val="true"/>
        </w:rPr>
        <w:t>ناصبةً مسبوقةً بأفعال التحقيق</w:t>
      </w:r>
      <w:r>
        <w:rPr>
          <w:rtl w:val="true"/>
        </w:rPr>
        <w:t>:</w:t>
      </w:r>
      <w:bookmarkEnd w:id="146"/>
    </w:p>
    <w:p>
      <w:pPr>
        <w:pStyle w:val="BookText"/>
        <w:rPr/>
      </w:pPr>
      <w:r>
        <w:rPr>
          <w:rFonts w:ascii="Amiri" w:hAnsi="Amiri" w:eastAsia="Amiri" w:cs="Amiri"/>
          <w:color w:val="111111"/>
          <w:sz w:val="28"/>
          <w:sz w:val="28"/>
          <w:szCs w:val="28"/>
          <w:rtl w:val="true"/>
          <w:lang w:bidi="ar-SA"/>
        </w:rPr>
        <w:t xml:space="preserve">قرَّر النحويون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نواصب الفعل المضارع</w:t>
      </w:r>
      <w:r>
        <w:rPr>
          <w:rStyle w:val="FootnoteAnchor"/>
          <w:rtl w:val="true"/>
        </w:rPr>
        <w:footnoteReference w:id="589"/>
      </w:r>
      <w:r>
        <w:rPr>
          <w:rFonts w:ascii="Amiri" w:hAnsi="Amiri" w:eastAsia="Amiri" w:cs="Amiri"/>
          <w:color w:val="111111"/>
          <w:sz w:val="28"/>
          <w:sz w:val="28"/>
          <w:szCs w:val="28"/>
          <w:rtl w:val="true"/>
          <w:lang w:bidi="ar-SA"/>
        </w:rPr>
        <w:t>، وقد اشترطوا لعملها النصب جملة شروط من بينها ألّا يعمل فيها فعلٌ من أفعال التحقيق، نحو</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ورأى، فلا يجوز عندهم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أنْ يقومَ زيد بالنصب، قال سيبويه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آخر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مخففة، وذلك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لا يقولُ ذاك، وقد تيقنت أنْ لا تفعلُ ذاك، 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يقول وأنك لا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تنصب الأفعال تقع في هذا الموضع؛ لأنَّ ذا موضع يقین وإيجاب</w:t>
      </w:r>
      <w:r>
        <w:rPr>
          <w:rFonts w:eastAsia="IRNazanin" w:cs="IRNazanin"/>
          <w:color w:val="111111"/>
          <w:sz w:val="28"/>
          <w:szCs w:val="28"/>
          <w:rtl w:val="true"/>
          <w:lang w:bidi="fa-IR"/>
        </w:rPr>
        <w:t>))</w:t>
      </w:r>
      <w:r>
        <w:rPr>
          <w:rStyle w:val="FootnoteAnchor"/>
          <w:rtl w:val="true"/>
        </w:rPr>
        <w:footnoteReference w:id="590"/>
      </w:r>
      <w:r>
        <w:rPr>
          <w:rFonts w:ascii="Amiri" w:hAnsi="Amiri" w:eastAsia="Amiri" w:cs="Amiri"/>
          <w:color w:val="111111"/>
          <w:sz w:val="28"/>
          <w:sz w:val="28"/>
          <w:szCs w:val="28"/>
          <w:rtl w:val="true"/>
          <w:lang w:bidi="ar-SA"/>
        </w:rPr>
        <w:t>، لذا عدّوها في تلك الحالة مخففةً من الثقيلة والفعل بعدها مرفوع، وأخذ بهذا الأخفش</w:t>
      </w:r>
      <w:r>
        <w:rPr>
          <w:rStyle w:val="FootnoteAnchor"/>
          <w:rtl w:val="true"/>
        </w:rPr>
        <w:footnoteReference w:id="591"/>
      </w:r>
      <w:r>
        <w:rPr>
          <w:rFonts w:ascii="IRNazanin" w:hAnsi="IRNazanin" w:eastAsia="IRNazanin"/>
          <w:color w:val="111111"/>
          <w:sz w:val="28"/>
          <w:sz w:val="28"/>
          <w:szCs w:val="28"/>
          <w:rtl w:val="true"/>
          <w:lang w:bidi="fa-IR"/>
        </w:rPr>
        <w:t>، وابن السراج</w:t>
      </w:r>
      <w:r>
        <w:rPr>
          <w:rStyle w:val="FootnoteAnchor"/>
          <w:rtl w:val="true"/>
        </w:rPr>
        <w:footnoteReference w:id="592"/>
      </w:r>
      <w:r>
        <w:rPr>
          <w:rFonts w:ascii="Amiri" w:hAnsi="Amiri" w:eastAsia="Amiri" w:cs="Amiri"/>
          <w:color w:val="111111"/>
          <w:sz w:val="28"/>
          <w:sz w:val="28"/>
          <w:szCs w:val="28"/>
          <w:rtl w:val="true"/>
          <w:lang w:bidi="ar-SA"/>
        </w:rPr>
        <w:t>، والصّيْمري</w:t>
      </w:r>
      <w:r>
        <w:rPr>
          <w:rStyle w:val="FootnoteAnchor"/>
          <w:rtl w:val="true"/>
        </w:rPr>
        <w:footnoteReference w:id="593"/>
      </w:r>
      <w:r>
        <w:rPr>
          <w:rFonts w:ascii="IRNazanin" w:hAnsi="IRNazanin" w:eastAsia="IRNazanin"/>
          <w:color w:val="111111"/>
          <w:sz w:val="28"/>
          <w:sz w:val="28"/>
          <w:szCs w:val="28"/>
          <w:rtl w:val="true"/>
          <w:lang w:bidi="fa-IR"/>
        </w:rPr>
        <w:t>، وأبو علی الفارسي</w:t>
      </w:r>
      <w:r>
        <w:rPr>
          <w:rStyle w:val="FootnoteAnchor"/>
          <w:rtl w:val="true"/>
        </w:rPr>
        <w:footnoteReference w:id="594"/>
      </w:r>
      <w:r>
        <w:rPr>
          <w:rFonts w:ascii="Amiri" w:hAnsi="Amiri" w:eastAsia="Amiri" w:cs="Amiri"/>
          <w:color w:val="111111"/>
          <w:sz w:val="28"/>
          <w:sz w:val="28"/>
          <w:szCs w:val="28"/>
          <w:rtl w:val="true"/>
          <w:lang w:bidi="ar-SA"/>
        </w:rPr>
        <w:t xml:space="preserve">، ونُسِبَ القول </w:t>
      </w:r>
    </w:p>
    <w:p>
      <w:pPr>
        <w:pStyle w:val="BookText"/>
        <w:rPr/>
      </w:pPr>
      <w:r>
        <w:rPr>
          <w:rFonts w:ascii="Amiri" w:hAnsi="Amiri" w:eastAsia="Amiri" w:cs="Amiri"/>
          <w:color w:val="111111"/>
          <w:sz w:val="28"/>
          <w:sz w:val="28"/>
          <w:szCs w:val="28"/>
          <w:rtl w:val="true"/>
          <w:lang w:bidi="ar-SA"/>
        </w:rPr>
        <w:t>بذلك إلى الجمهور</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علَّل أصحاب هذا المذهب المسألة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الناصبة موضوعةٌ للاستقبال؛ لذا فهي تدخل على ما ليس بثابت مستقر فلا يناسب وقوعها بعد ما يدل على التحقّق واليقین المتمثل بأفعال التحقيق</w:t>
      </w:r>
      <w:r>
        <w:rPr>
          <w:rStyle w:val="FootnoteAnchor"/>
          <w:rtl w:val="true"/>
        </w:rPr>
        <w:footnoteReference w:id="596"/>
      </w:r>
      <w:r>
        <w:rPr>
          <w:rFonts w:ascii="Amiri" w:hAnsi="Amiri" w:eastAsia="Amiri" w:cs="Amiri"/>
          <w:color w:val="111111"/>
          <w:sz w:val="28"/>
          <w:sz w:val="28"/>
          <w:szCs w:val="28"/>
          <w:rtl w:val="true"/>
          <w:lang w:bidi="ar-SA"/>
        </w:rPr>
        <w:t>، فإنْ تأوّلَ العلم بالظن جاز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إلا أن يقومَ زيد،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أشرت لك إلا بأنْ تقومَ</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المبرَّد انفرد برأيٍ ذهب فيه إلى منع النصب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بعد العِلم مطلقًا سواء تأوّل بالظن أم لا</w:t>
      </w:r>
      <w:r>
        <w:rPr>
          <w:rStyle w:val="FootnoteAnchor"/>
          <w:rtl w:val="true"/>
        </w:rPr>
        <w:footnoteReference w:id="598"/>
      </w:r>
      <w:r>
        <w:rPr>
          <w:rFonts w:ascii="Amiri" w:hAnsi="Amiri" w:eastAsia="Amiri" w:cs="Amiri"/>
          <w:color w:val="111111"/>
          <w:sz w:val="28"/>
          <w:sz w:val="28"/>
          <w:szCs w:val="28"/>
          <w:rtl w:val="true"/>
          <w:lang w:bidi="ar-SA"/>
        </w:rPr>
        <w:t>، والشواهد تردُّ ما ذهب إليه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القراءات القرآنية مصدرًا مهماً من مصادر بناء القواعد النحوية أو تقويمها، ومنبعا ثرًّا للشواهد النحوية الفصيحة</w:t>
      </w:r>
      <w:r>
        <w:rPr>
          <w:rStyle w:val="FootnoteAnchor"/>
          <w:rtl w:val="true"/>
        </w:rPr>
        <w:footnoteReference w:id="599"/>
      </w:r>
      <w:r>
        <w:rPr>
          <w:rFonts w:ascii="IRNazanin" w:hAnsi="IRNazanin" w:eastAsia="IRNazanin"/>
          <w:color w:val="111111"/>
          <w:sz w:val="28"/>
          <w:sz w:val="28"/>
          <w:szCs w:val="28"/>
          <w:rtl w:val="true"/>
          <w:lang w:bidi="fa-IR"/>
        </w:rPr>
        <w:t xml:space="preserve">كان مما لاشك فيه أن يَعتمدَ عليها الفرّاء شيخُ الكوفيین ورئيسُهم في الاستدلال على جواز النصب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أفعال اليقین بقراءة النصب 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يرجع</w:t>
      </w:r>
      <w:r>
        <w:rPr>
          <w:rFonts w:eastAsia="IRNazanin" w:cs="IRNazanin"/>
          <w:color w:val="111111"/>
          <w:sz w:val="28"/>
          <w:szCs w:val="28"/>
          <w:rtl w:val="true"/>
          <w:lang w:bidi="fa-IR"/>
        </w:rPr>
        <w:t>)</w:t>
      </w:r>
      <w:r>
        <w:rPr>
          <w:rStyle w:val="FootnoteAnchor"/>
          <w:rtl w:val="true"/>
        </w:rPr>
        <w:footnoteReference w:id="600"/>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يَرَوْنَ </w:t>
      </w:r>
    </w:p>
    <w:p>
      <w:pPr>
        <w:pStyle w:val="BookText"/>
        <w:rPr/>
      </w:pPr>
      <w:r>
        <w:rPr>
          <w:rFonts w:ascii="Amiri" w:hAnsi="Amiri" w:eastAsia="Amiri" w:cs="Amiri"/>
          <w:color w:val="111111"/>
          <w:sz w:val="28"/>
          <w:sz w:val="28"/>
          <w:szCs w:val="28"/>
          <w:rtl w:val="true"/>
          <w:lang w:bidi="ar-SA"/>
        </w:rPr>
        <w:t>أَلَّا يَرْجِعُ إِلَيْهِمْ قَوْلً وَلَا يَمْلِكُ لَهُمْ ضَّرًا وَلَا نَفْعًا</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xml:space="preserve">، فأجاز النصبَ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أفعال التحقيق بلا تأويل أو تقدير</w:t>
      </w:r>
      <w:r>
        <w:rPr>
          <w:rStyle w:val="FootnoteAnchor"/>
          <w:rtl w:val="true"/>
        </w:rPr>
        <w:footnoteReference w:id="602"/>
      </w:r>
      <w:r>
        <w:rPr>
          <w:rFonts w:ascii="IRNazanin" w:hAnsi="IRNazanin" w:eastAsia="IRNazanin"/>
          <w:color w:val="111111"/>
          <w:sz w:val="28"/>
          <w:sz w:val="28"/>
          <w:szCs w:val="28"/>
          <w:rtl w:val="true"/>
          <w:lang w:bidi="fa-IR"/>
        </w:rPr>
        <w:t xml:space="preserve">، ثم وضعَ ضابطةً لترجيح النصب أو الرفع أو احتمالهما معًا، فذهب إلى تجربة إدخال الضمیر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صحَّ ذلك التقدير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مخففةً من الثقيلة أو ناصبةً، وإنْ لم يصحْ كانت ناصبةً فقط</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صواب؛ إذ يمكن تطبيق هذا المعيار والقياس عليه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يَرَوْنَ أَلَّا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وَحَسِبُوا أَلَّا تَكُونَ فِتْنَةٌ</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تقفْ حدود الاستدلال على إجازة هذه المسألة على القراءات القرآنية فحسب، بل يدعهما الشعر العربي أيضًا، من ذلك قول جرير</w:t>
      </w:r>
      <w:r>
        <w:rPr>
          <w:rStyle w:val="FootnoteAnchor"/>
          <w:rtl w:val="true"/>
        </w:rPr>
        <w:footnoteReference w:id="6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نرضى عن الله أنَّ الناسَ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يُدانينا من خلقهِ بشرُ وممّن أخذ برأي الفراء وتابعه ابن الانباري</w:t>
      </w:r>
      <w:r>
        <w:rPr>
          <w:rStyle w:val="FootnoteAnchor"/>
          <w:rtl w:val="true"/>
        </w:rPr>
        <w:footnoteReference w:id="606"/>
      </w:r>
      <w:r>
        <w:rPr>
          <w:rFonts w:ascii="Amiri" w:hAnsi="Amiri" w:eastAsia="Amiri" w:cs="Amiri"/>
          <w:color w:val="111111"/>
          <w:sz w:val="28"/>
          <w:sz w:val="28"/>
          <w:szCs w:val="28"/>
          <w:rtl w:val="true"/>
          <w:lang w:bidi="ar-SA"/>
        </w:rPr>
        <w:t xml:space="preserve">، والنحّاس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وجهَي الرفع والنصب وعدَّ الرفع أَولى</w:t>
      </w:r>
      <w:r>
        <w:rPr>
          <w:rStyle w:val="FootnoteAnchor"/>
          <w:rtl w:val="true"/>
        </w:rPr>
        <w:footnoteReference w:id="607"/>
      </w:r>
      <w:r>
        <w:rPr>
          <w:rFonts w:ascii="IRNazanin" w:hAnsi="IRNazanin" w:eastAsia="IRNazanin"/>
          <w:color w:val="111111"/>
          <w:sz w:val="28"/>
          <w:sz w:val="28"/>
          <w:szCs w:val="28"/>
          <w:rtl w:val="true"/>
          <w:lang w:bidi="fa-IR"/>
        </w:rPr>
        <w:t xml:space="preserve">، على حین حمله آخرون على </w:t>
      </w:r>
    </w:p>
    <w:p>
      <w:pPr>
        <w:pStyle w:val="BookText"/>
        <w:rPr/>
      </w:pPr>
      <w:r>
        <w:rPr>
          <w:rFonts w:ascii="IRNazanin" w:hAnsi="IRNazanin" w:eastAsia="IRNazanin"/>
          <w:color w:val="111111"/>
          <w:sz w:val="28"/>
          <w:sz w:val="28"/>
          <w:szCs w:val="28"/>
          <w:rtl w:val="true"/>
          <w:lang w:bidi="fa-IR"/>
        </w:rPr>
        <w:t>الضعف والشذوذ</w:t>
      </w:r>
      <w:r>
        <w:rPr>
          <w:rStyle w:val="FootnoteAnchor"/>
          <w:rtl w:val="true"/>
        </w:rPr>
        <w:footnoteReference w:id="608"/>
      </w:r>
      <w:r>
        <w:rPr>
          <w:rFonts w:ascii="Amiri" w:hAnsi="Amiri" w:eastAsia="Amiri" w:cs="Amiri"/>
          <w:color w:val="111111"/>
          <w:sz w:val="28"/>
          <w:sz w:val="28"/>
          <w:szCs w:val="28"/>
          <w:rtl w:val="true"/>
          <w:lang w:bidi="ar-SA"/>
        </w:rPr>
        <w:t xml:space="preserve">، واستحسنه ابن مالك فوصفَ النصب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أفعال التحقيق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حسن؛ لأنه قد جاء به السماع ولا يأباه القياس</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شواهد تلك المسألة في نهج البلاغة ما ورد 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المسیر إلى الشام،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بَعَثْتُ مُقَدِّمَتِي وَ أَمَرْتُهُمْ بِلُزُومِ هَذَا اَلْمِلْطَاطِ حَتَّى يَأْتِيَهُمْ أَمْرِي وَقَدْ رَأَيْتُ أَنْ أَقْطَعَ هَذِهِ اَلنُّطْفَةَ إلى شِرْذِمَةٍ مِنْكُمْ</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عندما توجَّه الإمام إلى صِفّین أرسل بعض قادة جيشه وأمرهم بأنْ يلزموا جانب الفرات،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أنْ يعبر الفرات باتجاه المدائن حيث أهلها القلة يستنهضهم لقتال معاوية ومواجهته</w:t>
      </w:r>
      <w:r>
        <w:rPr>
          <w:rStyle w:val="FootnoteAnchor"/>
          <w:rtl w:val="true"/>
        </w:rPr>
        <w:footnoteReference w:id="611"/>
      </w:r>
      <w:r>
        <w:rPr>
          <w:rFonts w:ascii="IRNazanin" w:hAnsi="IRNazanin" w:eastAsia="IRNazanin"/>
          <w:color w:val="111111"/>
          <w:sz w:val="28"/>
          <w:sz w:val="28"/>
          <w:szCs w:val="28"/>
          <w:rtl w:val="true"/>
          <w:lang w:bidi="fa-IR"/>
        </w:rPr>
        <w:t xml:space="preserve">، ولمّا كان هذا قرارًا من الإمام يعتقد صوابه كان مناسبًا استعمال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على التحقيق واليقین في إشارة إلى الاعتقاد الجازم بهذه الخطة، على أنَّ هذا لم يمنع من نصب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المضارع الدال على الاستقبال، وبهذا يكون حصر النصب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بعد الشك مدفوع ومردود، ويترجَّح مذهب الفراء ومن تابعه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يمكن إعادة صوغ القاعدة النحوية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نصب الفعل المضارع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بعد أفعال اليقین لثبوت ذلك في نهج البلاغة وفي كلام العرب نثرًا ونظماً</w:t>
      </w:r>
      <w:r>
        <w:rPr>
          <w:rFonts w:eastAsia="IRNazanin" w:cs="IRNazanin"/>
          <w:color w:val="111111"/>
          <w:sz w:val="28"/>
          <w:szCs w:val="28"/>
          <w:rtl w:val="true"/>
          <w:lang w:bidi="fa-IR"/>
        </w:rPr>
        <w:t xml:space="preserve">. </w:t>
      </w:r>
      <w:bookmarkStart w:id="147" w:name="pg7031_80935"/>
    </w:p>
    <w:p>
      <w:pPr>
        <w:pStyle w:val="Heading5"/>
        <w:numPr>
          <w:ilvl w:val="4"/>
          <w:numId w:val="1"/>
        </w:numPr>
        <w:rPr/>
      </w:pPr>
      <w:bookmarkStart w:id="148" w:name="__RefHeading___Toc2958326_372815092"/>
      <w:bookmarkStart w:id="149" w:name="_Toc49"/>
      <w:bookmarkEnd w:id="147"/>
      <w:bookmarkEnd w:id="148"/>
      <w:r>
        <w:rPr>
          <w:rtl w:val="true"/>
        </w:rPr>
        <w:t>المسألة الثانية</w:t>
      </w:r>
      <w:r>
        <w:rPr>
          <w:rtl w:val="true"/>
        </w:rPr>
        <w:t xml:space="preserve">: </w:t>
      </w:r>
      <w:r>
        <w:rPr>
          <w:rtl w:val="true"/>
        </w:rPr>
        <w:t xml:space="preserve">جواز استعمال </w:t>
      </w:r>
      <w:r>
        <w:rPr>
          <w:rtl w:val="true"/>
        </w:rPr>
        <w:t>(</w:t>
      </w:r>
      <w:r>
        <w:rPr>
          <w:rtl w:val="true"/>
        </w:rPr>
        <w:t>في</w:t>
      </w:r>
      <w:r>
        <w:rPr>
          <w:rtl w:val="true"/>
        </w:rPr>
        <w:t xml:space="preserve">) </w:t>
      </w:r>
      <w:r>
        <w:rPr>
          <w:rtl w:val="true"/>
        </w:rPr>
        <w:t>في الدلالة على التعليل</w:t>
      </w:r>
      <w:r>
        <w:rPr>
          <w:rtl w:val="true"/>
        </w:rPr>
        <w:t>:</w:t>
      </w:r>
      <w:bookmarkEnd w:id="149"/>
    </w:p>
    <w:p>
      <w:pPr>
        <w:pStyle w:val="BookText"/>
        <w:rPr/>
      </w:pPr>
      <w:r>
        <w:rPr>
          <w:rFonts w:ascii="IRNazanin" w:hAnsi="IRNazanin" w:eastAsia="IRNazanin"/>
          <w:color w:val="111111"/>
          <w:sz w:val="28"/>
          <w:sz w:val="28"/>
          <w:szCs w:val="28"/>
          <w:rtl w:val="true"/>
          <w:lang w:bidi="fa-IR"/>
        </w:rPr>
        <w:t>حروف المعاني من المباحث اللغوية التي نالت حيِّزًا واسعًا من عناية علماء العربية واهتمامهم؛ لِما لها من أثرٍ كبیرٍ في بيان معنى التركيب النحوي، ومصداق تلك العناية كثرة ما أُلِّف فيها من مصادر أغنت المكتبة العربية، وحروف الجر قسم رئيس من تلك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النحويون في معاني حروف الجر، أتلتزم معانيَها الأصلية أم أنّها تخرج إلى معانٍ أُخر؟ فیرى الكوفيون أنّه يجوز تنوّع معاني الحرف الواحد، فجوّزوا نيابة حروف الجر بعضها عن بعض</w:t>
      </w:r>
      <w:r>
        <w:rPr>
          <w:rStyle w:val="FootnoteAnchor"/>
          <w:rtl w:val="true"/>
        </w:rPr>
        <w:footnoteReference w:id="612"/>
      </w:r>
      <w:r>
        <w:rPr>
          <w:rFonts w:ascii="IRNazanin" w:hAnsi="IRNazanin" w:eastAsia="IRNazanin"/>
          <w:color w:val="111111"/>
          <w:sz w:val="28"/>
          <w:sz w:val="28"/>
          <w:szCs w:val="28"/>
          <w:rtl w:val="true"/>
          <w:lang w:bidi="fa-IR"/>
        </w:rPr>
        <w:t>، وذهب البصريّون إلى عدم جواز ذلك، وعندهم أنّ حرف الجر باقٍ على معناه الأصلي، وما أوهم ذلك فهو مؤوَّل على التضمین أو على المجاز</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وقع فيه الخلاف بین النحويین، فرأى جملة منهم أنَّ دلالته تقتصر على الظرفية حقيقةً أو مجازًا، وما أوهم خلاف هذا رُدَّ بالتأويل إليه، قال سيبويه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للوعاء،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الجراب، وفي الكيس، وهو في بطن أُمه، وكذلك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الغل، لأنه جعله إذ أدخله فيه كالوعاء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القبة، وفي الدار، وإن اتسعت في الكلام فهي على هذا وإنما تكون كالمثل يُجاء به يقارب الشيء وليس مثله</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 وتابعه على هذا المبرَّد</w:t>
      </w:r>
      <w:r>
        <w:rPr>
          <w:rStyle w:val="FootnoteAnchor"/>
          <w:rtl w:val="true"/>
        </w:rPr>
        <w:footnoteReference w:id="615"/>
      </w:r>
      <w:r>
        <w:rPr>
          <w:rFonts w:ascii="IRNazanin" w:hAnsi="IRNazanin" w:eastAsia="IRNazanin"/>
          <w:color w:val="111111"/>
          <w:sz w:val="28"/>
          <w:sz w:val="28"/>
          <w:szCs w:val="28"/>
          <w:rtl w:val="true"/>
          <w:lang w:bidi="fa-IR"/>
        </w:rPr>
        <w:t>، وابن السراج</w:t>
      </w:r>
      <w:r>
        <w:rPr>
          <w:rStyle w:val="FootnoteAnchor"/>
          <w:rtl w:val="true"/>
        </w:rPr>
        <w:footnoteReference w:id="616"/>
      </w:r>
      <w:r>
        <w:rPr>
          <w:rFonts w:ascii="Amiri" w:hAnsi="Amiri" w:eastAsia="Amiri" w:cs="Amiri"/>
          <w:color w:val="111111"/>
          <w:sz w:val="28"/>
          <w:sz w:val="28"/>
          <w:szCs w:val="28"/>
          <w:rtl w:val="true"/>
          <w:lang w:bidi="ar-SA"/>
        </w:rPr>
        <w:t xml:space="preserve">، وأكثر </w:t>
      </w:r>
    </w:p>
    <w:p>
      <w:pPr>
        <w:pStyle w:val="BookText"/>
        <w:rPr/>
      </w:pPr>
      <w:r>
        <w:rPr>
          <w:rFonts w:ascii="IRNazanin" w:hAnsi="IRNazanin" w:eastAsia="IRNazanin"/>
          <w:color w:val="111111"/>
          <w:sz w:val="28"/>
          <w:sz w:val="28"/>
          <w:szCs w:val="28"/>
          <w:rtl w:val="true"/>
          <w:lang w:bidi="fa-IR"/>
        </w:rPr>
        <w:t>البصريین ومن ذهب مذهبهم</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وصرَّح قسم آخر من النحويین بجواز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الدلالة على التعليل، جاء ذلك في سياق تعقيبهم على مجموعة من الشواهد، منها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وَاهْجُرُوهُنَّ فِی الْمَضَاجِعِ</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xml:space="preserve">، فقد احتمل النحّاس في الآية ثلاثة أقوال إلا أنه رجَّح معنى السببية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xml:space="preserve">، وأكد هذا الرأيَ مكي القيي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وأبو البركات الأنباري</w:t>
      </w:r>
      <w:r>
        <w:rPr>
          <w:rStyle w:val="FootnoteAnchor"/>
          <w:rtl w:val="true"/>
        </w:rPr>
        <w:footnoteReference w:id="621"/>
      </w:r>
      <w:r>
        <w:rPr>
          <w:rFonts w:ascii="Amiri" w:hAnsi="Amiri" w:eastAsia="Amiri" w:cs="Amiri"/>
          <w:color w:val="111111"/>
          <w:sz w:val="28"/>
          <w:sz w:val="28"/>
          <w:szCs w:val="28"/>
          <w:rtl w:val="true"/>
          <w:lang w:bidi="ar-SA"/>
        </w:rPr>
        <w:t>، والعكبري</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الاستدلال على صحة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لمعنى السببية له ما يعضده من الشواهد القرآنية والحديثية والشعرية فقد احتج ابن مالك بقوله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كِتَابٌ مِنَ الله سَبَقَ لَمَسَّكُمْ فِيمَا أَخَذْتُمْ عَذَابٌ عَظِيمٌ</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xml:space="preserve">، واحتج أيضًا بقول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عُذبتْ امرأة في هِرَّةٍ سَجَنتْها حتى ماتتْ، فدخلتْ فيها النار</w:t>
      </w:r>
      <w:r>
        <w:rPr>
          <w:rFonts w:eastAsia="Amiri" w:cs="Amiri" w:ascii="Amiri" w:hAnsi="Amiri"/>
          <w:color w:val="111111"/>
          <w:sz w:val="28"/>
          <w:szCs w:val="28"/>
          <w:rtl w:val="true"/>
          <w:lang w:bidi="ar-SA"/>
        </w:rPr>
        <w:t>))</w:t>
      </w:r>
      <w:r>
        <w:rPr>
          <w:rStyle w:val="FootnoteAnchor"/>
          <w:rtl w:val="true"/>
        </w:rPr>
        <w:footnoteReference w:id="624"/>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تضمّن هذا الحديث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على التعليل وهو مما خفي على أكثر النحويین مع وروده في القرآن العزيز والحديث والشعر القديم</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تابع ابنَ مالك في حُكمِه هذا عددٌ من النحويین منهم ابنُه</w:t>
      </w:r>
      <w:r>
        <w:rPr>
          <w:rStyle w:val="FootnoteAnchor"/>
          <w:rtl w:val="true"/>
        </w:rPr>
        <w:footnoteReference w:id="626"/>
      </w:r>
      <w:r>
        <w:rPr>
          <w:rFonts w:ascii="Amiri" w:hAnsi="Amiri" w:eastAsia="Amiri" w:cs="Amiri"/>
          <w:color w:val="111111"/>
          <w:sz w:val="28"/>
          <w:sz w:val="28"/>
          <w:szCs w:val="28"/>
          <w:rtl w:val="true"/>
          <w:lang w:bidi="ar-SA"/>
        </w:rPr>
        <w:t xml:space="preserve">، والرضي الذي عدَّ السبيبة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من الظرفية المجازية</w:t>
      </w:r>
      <w:r>
        <w:rPr>
          <w:rStyle w:val="FootnoteAnchor"/>
          <w:rtl w:val="true"/>
        </w:rPr>
        <w:footnoteReference w:id="627"/>
      </w:r>
      <w:r>
        <w:rPr>
          <w:rFonts w:ascii="Amiri" w:hAnsi="Amiri" w:eastAsia="Amiri" w:cs="Amiri"/>
          <w:color w:val="111111"/>
          <w:sz w:val="28"/>
          <w:sz w:val="28"/>
          <w:szCs w:val="28"/>
          <w:rtl w:val="true"/>
          <w:lang w:bidi="ar-SA"/>
        </w:rPr>
        <w:t>، وقد ارتضى رأيَ ابن مالك أيضًا المرادي</w:t>
      </w:r>
      <w:r>
        <w:rPr>
          <w:rStyle w:val="FootnoteAnchor"/>
          <w:rtl w:val="true"/>
        </w:rPr>
        <w:footnoteReference w:id="628"/>
      </w:r>
      <w:r>
        <w:rPr>
          <w:rFonts w:ascii="IRNazanin" w:hAnsi="IRNazanin" w:eastAsia="IRNazanin"/>
          <w:color w:val="111111"/>
          <w:sz w:val="28"/>
          <w:sz w:val="28"/>
          <w:szCs w:val="28"/>
          <w:rtl w:val="true"/>
          <w:lang w:bidi="fa-IR"/>
        </w:rPr>
        <w:t>، وابن هشام</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توجيه الرضي لمعنى السببية على الظرفية المجازية إنْ صحَّ فيما استشهد به فإنه لا يستقيم في غیره من الشواهد فهو غیر مطَّرد؛ إذ إنَّ الشواهد على هذا كثیرة، ومن غیر الممكن تأويلها كلّها على الظرفية المجازية، ومن أجل هذا قد أيّد الشيخ محمد عبد الخالق عضيمة صحة هذا الاستعمال مستدلًا له بعدد من الشواهد القرآنية مستندًا فيها على ما ذكره فريق من النحويین والمفسرين، 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وَالْبَغْضَاءَ فِی الْخَمْرِ وَالْمَيْسِرِ</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فقد أورد رأيَ العكبري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الخمر والميسر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بمعنى السبب،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شرب الخمر وفعل الميسر</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الْقِصَاصُ فِی الْقَتْلَى</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ثم ذكر رأي أبي حيان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القتلى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للسببية، أي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بسبب القتلى،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امرأةٌ النارَ في هِرة</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شواهد هذه المسألة في الكلام العلَوي المبارك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فِیَّ رَجُلاَنِ مُحِبٌّ غَالٍ وَ مُبْغِضٌ قَالٍ</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يشیر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صنفین من الناس يهلكان نتيجة اعتقادهما الخاطئ فيه، صنف غالى في حبِّه وزاد فيه حتى أوصله إلى درجة الألوهية وهذا صريح الكفر المستلزم للهلاك، وآخر مبغض له وهذا مستحق للهاك ايضًا؛ لأنَّ من عادى أولياء الله تعالى المنصوص عليهم بصحيح السُّنة فقد عادى الله تعالى وكان من الهالكین</w:t>
      </w:r>
      <w:r>
        <w:rPr>
          <w:rStyle w:val="FootnoteAnchor"/>
          <w:rtl w:val="true"/>
        </w:rPr>
        <w:footnoteReference w:id="635"/>
      </w:r>
      <w:r>
        <w:rPr>
          <w:rFonts w:ascii="Amiri" w:hAnsi="Amiri" w:eastAsia="Amiri" w:cs="Amiri"/>
          <w:color w:val="111111"/>
          <w:sz w:val="28"/>
          <w:sz w:val="28"/>
          <w:szCs w:val="28"/>
          <w:rtl w:val="true"/>
          <w:lang w:bidi="ar-SA"/>
        </w:rPr>
        <w:t xml:space="preserve">، والذي دلَّ على هذا المعنى استعمال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الشواهد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يذكر فيها ما جرى يوم الشورى بعد مقتل الخليفة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فِی اَلْحَقِّ أَنْ تَأْخُذَهُ وَفِی اَلْحَقِّ أَنْ تَتْرُكَهُ</w:t>
      </w:r>
      <w:r>
        <w:rPr>
          <w:rFonts w:eastAsia="Amiri" w:cs="Amiri" w:ascii="Amiri" w:hAnsi="Amiri"/>
          <w:color w:val="111111"/>
          <w:sz w:val="28"/>
          <w:szCs w:val="28"/>
          <w:rtl w:val="true"/>
          <w:lang w:bidi="ar-SA"/>
        </w:rPr>
        <w:t>))</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الحق، أي لك أخذ هذا الأمر بسبب الحقّ</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العَلَوية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 في ذمِّ الغافلین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 شِئْتُ أَنْ أُخْبِرَ كُلَّ رَجُلٍ مِنْكُمْ بِمَخْرَجِهِ وَ مَوْلِجِهِ وَ جَمِيعِ شَأْنِهِ لَفَعَلْتُ وَ لَكِنْ أَخَافُ أَنْ تَكْفُرُوا فِیَّ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150" w:name="pg7031_80939"/>
    </w:p>
    <w:p>
      <w:pPr>
        <w:pStyle w:val="BookText"/>
        <w:rPr/>
      </w:pPr>
      <w:bookmarkEnd w:id="150"/>
      <w:r>
        <w:rPr>
          <w:rFonts w:ascii="Amiri" w:hAnsi="Amiri" w:eastAsia="Amiri" w:cs="Amiri"/>
          <w:color w:val="111111"/>
          <w:sz w:val="28"/>
          <w:sz w:val="28"/>
          <w:szCs w:val="28"/>
          <w:rtl w:val="true"/>
          <w:lang w:bidi="ar-SA"/>
        </w:rPr>
        <w:t xml:space="preserve">وبهذا يكون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السياق الوارد فيه دالًا على معنى التعليل، وإن كان أصلُ معناه هو الظرفية، على أنَّ ذلك لا يمنع من خروجه إلى معانٍ أُخر يكشف عنها السياق والقرائن المحيطة بكلِّ نص، لكن ليس على اطِّراد وهذا ما كشف عنه ابن جني الذي ذهب إلى أنّ تعاور حروف الجر فيما بينها وجه مقبول في العربية، على أنه لا يمكن القياس عليه وجعله حُكماً مطّردا</w:t>
      </w:r>
      <w:r>
        <w:rPr>
          <w:rStyle w:val="FootnoteAnchor"/>
          <w:rtl w:val="true"/>
        </w:rPr>
        <w:footnoteReference w:id="639"/>
      </w:r>
      <w:r>
        <w:rPr>
          <w:rFonts w:ascii="IRNazanin" w:hAnsi="IRNazanin" w:eastAsia="IRNazanin"/>
          <w:color w:val="111111"/>
          <w:sz w:val="28"/>
          <w:sz w:val="28"/>
          <w:szCs w:val="28"/>
          <w:rtl w:val="true"/>
          <w:lang w:bidi="fa-IR"/>
        </w:rPr>
        <w:t>، وأيّده الدكتور فاضل السامرائي من المحدثین</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نخلص مما تقدم إلى تعديل القاعدة النحوية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استعمال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التعليل لورود ذلك في نهج البلاغة فضلاً عن القرآن الكريم والسُّنة النبوية الشريفة و كلام العرب نظماً ونثرًا</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2958328_372815092"/>
      <w:bookmarkStart w:id="152" w:name="_Toc50"/>
      <w:bookmarkEnd w:id="151"/>
      <w:r>
        <w:rPr>
          <w:rtl w:val="true"/>
        </w:rPr>
        <w:t>المسألة الثالثة</w:t>
      </w:r>
      <w:r>
        <w:rPr>
          <w:rtl w:val="true"/>
        </w:rPr>
        <w:t xml:space="preserve">: </w:t>
      </w:r>
      <w:r>
        <w:rPr>
          <w:rtl w:val="true"/>
        </w:rPr>
        <w:t xml:space="preserve">جواز استعمال </w:t>
      </w:r>
      <w:r>
        <w:rPr>
          <w:rtl w:val="true"/>
        </w:rPr>
        <w:t>(</w:t>
      </w:r>
      <w:r>
        <w:rPr>
          <w:rtl w:val="true"/>
        </w:rPr>
        <w:t>مِن</w:t>
      </w:r>
      <w:r>
        <w:rPr>
          <w:rtl w:val="true"/>
        </w:rPr>
        <w:t xml:space="preserve">) </w:t>
      </w:r>
      <w:r>
        <w:rPr>
          <w:rtl w:val="true"/>
        </w:rPr>
        <w:t>في الدلالة على الزمان</w:t>
      </w:r>
      <w:r>
        <w:rPr>
          <w:rtl w:val="true"/>
        </w:rPr>
        <w:t>:</w:t>
      </w:r>
      <w:bookmarkEnd w:id="15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النحويون في الدلالة النحوية التي تؤديها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العربية، فمنهم من قصر دلالتها على ابتداء الغاية المكانية وما يجري مجراها، وذهب آخرون إلى إجازة استعمالها في الزمان فضلاً عن استعمالها في المكان، فقد ذهب سيبويه إلى منع مجيئها في الغاية الزمانية؛ لأنّها موضوعة للدلالة على الغاية المكانية وما يقوم مقامها،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لابتداء الغاية في الأماكن، وذلك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 كذا وكذا إلى مكان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إذا كتبت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فان إلى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الأسماء سوى الأماكن بمنزلتها</w:t>
      </w:r>
      <w:r>
        <w:rPr>
          <w:rFonts w:eastAsia="Amiri" w:cs="Amiri" w:ascii="Amiri" w:hAnsi="Amiri"/>
          <w:color w:val="111111"/>
          <w:sz w:val="28"/>
          <w:szCs w:val="28"/>
          <w:rtl w:val="true"/>
          <w:lang w:bidi="ar-SA"/>
        </w:rPr>
        <w:t>))</w:t>
      </w:r>
      <w:r>
        <w:rPr>
          <w:rStyle w:val="FootnoteAnchor"/>
          <w:rtl w:val="true"/>
        </w:rPr>
        <w:footnoteReference w:id="641"/>
      </w:r>
      <w:r>
        <w:rPr>
          <w:rFonts w:ascii="IRNazanin" w:hAnsi="IRNazanin" w:eastAsia="IRNazanin"/>
          <w:color w:val="111111"/>
          <w:sz w:val="28"/>
          <w:sz w:val="28"/>
          <w:szCs w:val="28"/>
          <w:rtl w:val="true"/>
          <w:lang w:bidi="fa-IR"/>
        </w:rPr>
        <w:t>، وما رآه سيبويه ههنا هو مذهب عامة البصريین</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وذهب الكوفيون إلى جواز استعمالها في الغاية المكانية والزمانية</w:t>
      </w:r>
      <w:r>
        <w:rPr>
          <w:rStyle w:val="FootnoteAnchor"/>
          <w:rtl w:val="true"/>
        </w:rPr>
        <w:footnoteReference w:id="643"/>
      </w:r>
      <w:r>
        <w:rPr>
          <w:rFonts w:ascii="Amiri" w:hAnsi="Amiri" w:eastAsia="Amiri" w:cs="Amiri"/>
          <w:color w:val="111111"/>
          <w:sz w:val="28"/>
          <w:sz w:val="28"/>
          <w:szCs w:val="28"/>
          <w:rtl w:val="true"/>
          <w:lang w:bidi="ar-SA"/>
        </w:rPr>
        <w:t>استنادًا إلى ورودها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لَمَسْجِدٌ أُسِّسَ عَلَى التَّقْوَى مِنْ أَوَّلِ يَوْمٍ أَحَقُّ أَنْ تَقُومَ فِيهِ</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وللمرد رأيٌ ذهب فيه إلى جواز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ابتداء كلِّ غاية</w:t>
      </w:r>
      <w:r>
        <w:rPr>
          <w:rStyle w:val="FootnoteAnchor"/>
          <w:rtl w:val="true"/>
        </w:rPr>
        <w:footnoteReference w:id="646"/>
      </w:r>
      <w:r>
        <w:rPr>
          <w:rFonts w:ascii="Amiri" w:hAnsi="Amiri" w:eastAsia="Amiri" w:cs="Amiri"/>
          <w:color w:val="111111"/>
          <w:sz w:val="28"/>
          <w:sz w:val="28"/>
          <w:szCs w:val="28"/>
          <w:rtl w:val="true"/>
          <w:lang w:bidi="ar-SA"/>
        </w:rPr>
        <w:t>، وهو ما ارتضاه ابن درستويه أيضًا</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واختار مذهبَ الكوفيین وصححه ابنُ مالك، فاحتج له بطائفة من الشواهد القرآنية والحديثية والشعرية، من ذلك آية التوبة المار ذكرها، وأما الشواهد الحديثية</w:t>
      </w:r>
      <w:r>
        <w:rPr>
          <w:rStyle w:val="FootnoteAnchor"/>
          <w:rtl w:val="true"/>
        </w:rPr>
        <w:footnoteReference w:id="648"/>
      </w:r>
      <w:r>
        <w:rPr>
          <w:rFonts w:ascii="IRNazanin" w:hAnsi="IRNazanin" w:eastAsia="IRNazanin"/>
          <w:color w:val="111111"/>
          <w:sz w:val="28"/>
          <w:sz w:val="28"/>
          <w:szCs w:val="28"/>
          <w:rtl w:val="true"/>
          <w:lang w:bidi="fa-IR"/>
        </w:rPr>
        <w:t xml:space="preserve">فمنها قول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مَثَلكم ومثل أهل الكتابین، كمثل رجل استأجر أُجَراء،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يعمل لي من غدوة إلى نصف النهار على قیراط؟ فعملت اليهود،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يعمل لي من نصف النهار إلى صلاة العصر على قیراط؟ فعملت النصارى</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 ثم قال ابن 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تضمّن هذا الحديث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ابتداء غاية الزمان أربع مرات، وهو مما خفي على أكثر النحويین فمنعوه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تقليدًا لسيبويه</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لذا عدّه صحيحًا منقاسًا لصحة السماع به</w:t>
      </w:r>
      <w:r>
        <w:rPr>
          <w:rStyle w:val="FootnoteAnchor"/>
          <w:rtl w:val="true"/>
        </w:rPr>
        <w:footnoteReference w:id="651"/>
      </w:r>
      <w:r>
        <w:rPr>
          <w:rFonts w:ascii="Amiri" w:hAnsi="Amiri" w:eastAsia="Amiri" w:cs="Amiri"/>
          <w:color w:val="111111"/>
          <w:sz w:val="28"/>
          <w:sz w:val="28"/>
          <w:szCs w:val="28"/>
          <w:rtl w:val="true"/>
          <w:lang w:bidi="ar-SA"/>
        </w:rPr>
        <w:t>كما أورد طائفة من الشواهد الشعرية</w:t>
      </w:r>
      <w:r>
        <w:rPr>
          <w:rStyle w:val="FootnoteAnchor"/>
          <w:rtl w:val="true"/>
        </w:rPr>
        <w:footnoteReference w:id="652"/>
      </w:r>
      <w:r>
        <w:rPr>
          <w:rFonts w:ascii="Amiri" w:hAnsi="Amiri" w:eastAsia="Amiri" w:cs="Amiri"/>
          <w:color w:val="111111"/>
          <w:sz w:val="28"/>
          <w:sz w:val="28"/>
          <w:szCs w:val="28"/>
          <w:rtl w:val="true"/>
          <w:lang w:bidi="ar-SA"/>
        </w:rPr>
        <w:t>، منها قول النابغة الذبياني</w:t>
      </w:r>
      <w:r>
        <w:rPr>
          <w:rStyle w:val="FootnoteAnchor"/>
          <w:rtl w:val="true"/>
        </w:rPr>
        <w:footnoteReference w:id="6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تَخَيرن من أزمانِ يومِ 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 قد جُرِبْنَ كلَّ التَّجاربِ وقد اختار مذهبَ الكوفيین وأيدَّه أيضًا كلٌّ من العكبري</w:t>
      </w:r>
      <w:r>
        <w:rPr>
          <w:rStyle w:val="FootnoteAnchor"/>
          <w:rtl w:val="true"/>
        </w:rPr>
        <w:footnoteReference w:id="654"/>
      </w:r>
      <w:r>
        <w:rPr>
          <w:rFonts w:ascii="IRNazanin" w:hAnsi="IRNazanin" w:eastAsia="IRNazanin"/>
          <w:color w:val="111111"/>
          <w:sz w:val="28"/>
          <w:sz w:val="28"/>
          <w:szCs w:val="28"/>
          <w:rtl w:val="true"/>
          <w:lang w:bidi="fa-IR"/>
        </w:rPr>
        <w:t>، وابنِ الناظم</w:t>
      </w:r>
      <w:r>
        <w:rPr>
          <w:rStyle w:val="FootnoteAnchor"/>
          <w:rtl w:val="true"/>
        </w:rPr>
        <w:footnoteReference w:id="655"/>
      </w:r>
      <w:r>
        <w:rPr>
          <w:rFonts w:ascii="Amiri" w:hAnsi="Amiri" w:eastAsia="Amiri" w:cs="Amiri"/>
          <w:color w:val="111111"/>
          <w:sz w:val="28"/>
          <w:sz w:val="28"/>
          <w:szCs w:val="28"/>
          <w:rtl w:val="true"/>
          <w:lang w:bidi="ar-SA"/>
        </w:rPr>
        <w:t>، وأبي حيان</w:t>
      </w:r>
      <w:r>
        <w:rPr>
          <w:rStyle w:val="FootnoteAnchor"/>
          <w:rtl w:val="true"/>
        </w:rPr>
        <w:footnoteReference w:id="656"/>
      </w:r>
      <w:r>
        <w:rPr>
          <w:rFonts w:ascii="IRNazanin" w:hAnsi="IRNazanin" w:eastAsia="IRNazanin"/>
          <w:color w:val="111111"/>
          <w:sz w:val="28"/>
          <w:sz w:val="28"/>
          <w:szCs w:val="28"/>
          <w:rtl w:val="true"/>
          <w:lang w:bidi="fa-IR"/>
        </w:rPr>
        <w:t>، وابن هشام</w:t>
      </w:r>
      <w:r>
        <w:rPr>
          <w:rStyle w:val="FootnoteAnchor"/>
          <w:rtl w:val="true"/>
        </w:rPr>
        <w:footnoteReference w:id="657"/>
      </w:r>
      <w:r>
        <w:rPr>
          <w:rFonts w:ascii="Amiri" w:hAnsi="Amiri" w:eastAsia="Amiri" w:cs="Amiri"/>
          <w:color w:val="111111"/>
          <w:sz w:val="28"/>
          <w:sz w:val="28"/>
          <w:szCs w:val="28"/>
          <w:rtl w:val="true"/>
          <w:lang w:bidi="ar-SA"/>
        </w:rPr>
        <w:t>، وابن عقيل</w:t>
      </w:r>
      <w:r>
        <w:rPr>
          <w:rStyle w:val="FootnoteAnchor"/>
          <w:rtl w:val="true"/>
        </w:rPr>
        <w:footnoteReference w:id="658"/>
      </w:r>
      <w:r>
        <w:rPr>
          <w:rFonts w:ascii="Amiri" w:hAnsi="Amiri" w:eastAsia="Amiri" w:cs="Amiri"/>
          <w:color w:val="111111"/>
          <w:sz w:val="28"/>
          <w:sz w:val="28"/>
          <w:szCs w:val="28"/>
          <w:rtl w:val="true"/>
          <w:lang w:bidi="ar-SA"/>
        </w:rPr>
        <w:t>، والأشموني</w:t>
      </w:r>
      <w:r>
        <w:rPr>
          <w:rStyle w:val="FootnoteAnchor"/>
          <w:rtl w:val="true"/>
        </w:rPr>
        <w:footnoteReference w:id="659"/>
      </w:r>
      <w:r>
        <w:rPr>
          <w:rFonts w:ascii="Amiri" w:hAnsi="Amiri" w:eastAsia="Amiri" w:cs="Amiri"/>
          <w:color w:val="111111"/>
          <w:sz w:val="28"/>
          <w:sz w:val="28"/>
          <w:szCs w:val="28"/>
          <w:rtl w:val="true"/>
          <w:lang w:bidi="ar-SA"/>
        </w:rPr>
        <w:t>، والسيوطي</w:t>
      </w:r>
      <w:r>
        <w:rPr>
          <w:rStyle w:val="FootnoteAnchor"/>
          <w:rtl w:val="true"/>
        </w:rPr>
        <w:footnoteReference w:id="660"/>
      </w:r>
      <w:r>
        <w:rPr>
          <w:rFonts w:ascii="IRNazanin" w:hAnsi="IRNazanin" w:eastAsia="IRNazanin"/>
          <w:color w:val="111111"/>
          <w:sz w:val="28"/>
          <w:sz w:val="28"/>
          <w:szCs w:val="28"/>
          <w:rtl w:val="true"/>
          <w:lang w:bidi="fa-IR"/>
        </w:rPr>
        <w:t>، ومن المحدثین الأستاذ عباس حسن</w:t>
      </w:r>
      <w:r>
        <w:rPr>
          <w:rStyle w:val="FootnoteAnchor"/>
          <w:rtl w:val="true"/>
        </w:rPr>
        <w:footnoteReference w:id="661"/>
      </w:r>
      <w:r>
        <w:rPr>
          <w:rFonts w:ascii="IRNazanin" w:hAnsi="IRNazanin" w:eastAsia="IRNazanin"/>
          <w:color w:val="111111"/>
          <w:sz w:val="28"/>
          <w:sz w:val="28"/>
          <w:szCs w:val="28"/>
          <w:rtl w:val="true"/>
          <w:lang w:bidi="fa-IR"/>
        </w:rPr>
        <w:t xml:space="preserve">، والدكتور إبراهيم الشمسان الذي عدَّ إصرار البصريین على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الدلالة المكانية أمرًا غريبًا</w:t>
      </w:r>
      <w:r>
        <w:rPr>
          <w:rStyle w:val="FootnoteAnchor"/>
          <w:rtl w:val="true"/>
        </w:rPr>
        <w:footnoteReference w:id="662"/>
      </w:r>
      <w:r>
        <w:rPr>
          <w:rFonts w:ascii="IRNazanin" w:hAnsi="IRNazanin" w:eastAsia="IRNazanin"/>
          <w:color w:val="111111"/>
          <w:sz w:val="28"/>
          <w:sz w:val="28"/>
          <w:szCs w:val="28"/>
          <w:rtl w:val="true"/>
          <w:lang w:bidi="fa-IR"/>
        </w:rPr>
        <w:t>، ووافق الكوفيین أيضًا الدكتور خليل بنيان الحسون</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 يرتضِ البصريون ومن تابعهم تلك النصوص، فأخضعوها للتأويل والتقدير من أجل سلامة ما قعَّد له سيبويه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في الغاية المكانية على الرغم من تلك الشواهد الصريحة الناقضة لما ذهبوا اليه، لذا أشاروا إلى أن آية سورة التوبة إنما هي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تأسيس أول يوم</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وهو ما ضعّفه أبو البقاء العكبري</w:t>
      </w:r>
      <w:r>
        <w:rPr>
          <w:rStyle w:val="FootnoteAnchor"/>
          <w:rtl w:val="true"/>
        </w:rPr>
        <w:footnoteReference w:id="665"/>
      </w:r>
      <w:r>
        <w:rPr>
          <w:rFonts w:ascii="Amiri" w:hAnsi="Amiri" w:eastAsia="Amiri" w:cs="Amiri"/>
          <w:color w:val="111111"/>
          <w:sz w:val="28"/>
          <w:sz w:val="28"/>
          <w:szCs w:val="28"/>
          <w:rtl w:val="true"/>
          <w:lang w:bidi="ar-SA"/>
        </w:rPr>
        <w:t>، وعدّه المرادي تعسّفًا</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بقي أنْ أذكر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زمانية أيضًا فيما إذا 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دلالة ظاهرة على الابتداء وعلى الاستمرار</w:t>
      </w:r>
      <w:r>
        <w:rPr>
          <w:rFonts w:eastAsia="Amiri" w:cs="Amiri" w:ascii="Amiri" w:hAnsi="Amiri"/>
          <w:color w:val="111111"/>
          <w:sz w:val="28"/>
          <w:szCs w:val="28"/>
          <w:rtl w:val="true"/>
          <w:lang w:bidi="ar-SA"/>
        </w:rPr>
        <w:t>))</w:t>
      </w:r>
      <w:r>
        <w:rPr>
          <w:rStyle w:val="FootnoteAnchor"/>
          <w:rtl w:val="true"/>
        </w:rPr>
        <w:footnoteReference w:id="667"/>
      </w:r>
      <w:r>
        <w:rPr>
          <w:rFonts w:ascii="IRNazanin" w:hAnsi="IRNazanin" w:eastAsia="IRNazanin"/>
          <w:color w:val="111111"/>
          <w:sz w:val="28"/>
          <w:sz w:val="28"/>
          <w:szCs w:val="28"/>
          <w:rtl w:val="true"/>
          <w:lang w:bidi="fa-IR"/>
        </w:rPr>
        <w:t xml:space="preserve">، ومما يدفع مذهب البصريین أنَّ تقديرهم يُدخلهم فيما ينقضونه هم،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وفق مذهبهم لا تدخل إلا على المكان، لكنها في تقديراتهم دخلت على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مصدر وليس مكانًا ولا زمانًا، وإنْ كانت المصادر تُضارع الأزمنة من حيث هي منقضية مثلها</w:t>
      </w:r>
      <w:r>
        <w:rPr>
          <w:rStyle w:val="FootnoteAnchor"/>
          <w:rtl w:val="true"/>
        </w:rPr>
        <w:footnoteReference w:id="668"/>
      </w:r>
      <w:r>
        <w:rPr>
          <w:rFonts w:ascii="Amiri" w:hAnsi="Amiri" w:eastAsia="Amiri" w:cs="Amiri"/>
          <w:color w:val="111111"/>
          <w:sz w:val="28"/>
          <w:sz w:val="28"/>
          <w:szCs w:val="28"/>
          <w:rtl w:val="true"/>
          <w:lang w:bidi="ar-SA"/>
        </w:rPr>
        <w:t>، هذا فضلاً عن أنَّ عدم التقدير أولى من التقدير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وخلاصة ما تقدَّم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تجيء دالة على الغاية المكانية والزمانية، لورودها في أصح أدلة النحو العربي من القرآن الكريم والسنة النبوية الشريفة والشعر العربي، ومن غیر الممكن اللجوء إلى تقدير كلِّ هذه الشواهد بدعوى الحفاظ على القاعدة، فالقواعد تخضع للنصوص الصحيحة وتستند إليها وليس العكس</w:t>
      </w:r>
      <w:r>
        <w:rPr>
          <w:rFonts w:eastAsia="IRNazanin" w:cs="IRNazanin"/>
          <w:color w:val="111111"/>
          <w:sz w:val="28"/>
          <w:szCs w:val="28"/>
          <w:rtl w:val="true"/>
          <w:lang w:bidi="fa-IR"/>
        </w:rPr>
        <w:t xml:space="preserve">. </w:t>
      </w:r>
      <w:bookmarkStart w:id="153" w:name="pg7031_80943"/>
    </w:p>
    <w:p>
      <w:pPr>
        <w:pStyle w:val="BookText"/>
        <w:rPr/>
      </w:pPr>
      <w:bookmarkEnd w:id="153"/>
      <w:r>
        <w:rPr>
          <w:rFonts w:ascii="IRNazanin" w:hAnsi="IRNazanin" w:eastAsia="IRNazanin"/>
          <w:color w:val="111111"/>
          <w:sz w:val="28"/>
          <w:sz w:val="28"/>
          <w:szCs w:val="28"/>
          <w:rtl w:val="true"/>
          <w:lang w:bidi="fa-IR"/>
        </w:rPr>
        <w:t xml:space="preserve">ومن شواهد ذلك في نهج البلاغة 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حال الناس بعد البعثة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أنتُم اليومَ من يوم كنتُم في أصلابِهم ببعيدٍ</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أن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الناس بعد البعثة النبوية الشريفة، وما جرى عليهم في الأزمان الغابرة شرَعَ ببيان تقارب الأزمان وتشابه الأحوال بین الماضین والغابرين، غرضه من هذا اعتبار القوم اليوم بما جرى على آبائهم وأسلافهم</w:t>
      </w:r>
      <w:r>
        <w:rPr>
          <w:rStyle w:val="FootnoteAnchor"/>
          <w:rtl w:val="true"/>
        </w:rPr>
        <w:footnoteReference w:id="670"/>
      </w:r>
      <w:r>
        <w:rPr>
          <w:rFonts w:ascii="IRNazanin" w:hAnsi="IRNazanin" w:eastAsia="IRNazanin"/>
          <w:color w:val="111111"/>
          <w:sz w:val="28"/>
          <w:sz w:val="28"/>
          <w:szCs w:val="28"/>
          <w:rtl w:val="true"/>
          <w:lang w:bidi="fa-IR"/>
        </w:rPr>
        <w:t>إذ إنَّ الزمن بينهما ليس ببعيد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من أجل التنفیر عن حال مَن سبق من العاصین في هذه الدنيا</w:t>
      </w:r>
      <w:r>
        <w:rPr>
          <w:rStyle w:val="FootnoteAnchor"/>
          <w:rtl w:val="true"/>
        </w:rPr>
        <w:footnoteReference w:id="671"/>
      </w:r>
      <w:r>
        <w:rPr>
          <w:rFonts w:ascii="Amiri" w:hAnsi="Amiri" w:eastAsia="Amiri" w:cs="Amiri"/>
          <w:color w:val="111111"/>
          <w:sz w:val="28"/>
          <w:sz w:val="28"/>
          <w:szCs w:val="28"/>
          <w:rtl w:val="true"/>
          <w:lang w:bidi="ar-SA"/>
        </w:rPr>
        <w:t xml:space="preserve">، لهذا فدلالةُ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الزمان واضحة جلية، ومن المستبعد إغفالُ ذلك وتأويله بدلالة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واستنادًا إلى ما تقدّم أرى ضرورة تعديل القاعدة النحوية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للغاية الزمانية لورود ذلك في نهج البلاغة فضلاً عن القرآن الكريم والسُّنة النبوية والشعر العربي، ودعوى التقدير والتأويل لا تتفق وكثرة النصوص</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2958330_372815092"/>
      <w:bookmarkStart w:id="155" w:name="_Toc51"/>
      <w:bookmarkEnd w:id="154"/>
      <w:r>
        <w:rPr>
          <w:rtl w:val="true"/>
        </w:rPr>
        <w:t>المسألة الرابعة</w:t>
      </w:r>
      <w:r>
        <w:rPr>
          <w:rtl w:val="true"/>
        </w:rPr>
        <w:t xml:space="preserve">: </w:t>
      </w:r>
      <w:r>
        <w:rPr>
          <w:rtl w:val="true"/>
        </w:rPr>
        <w:t xml:space="preserve">جواز زيادة </w:t>
      </w:r>
      <w:r>
        <w:rPr>
          <w:rtl w:val="true"/>
        </w:rPr>
        <w:t>(</w:t>
      </w:r>
      <w:r>
        <w:rPr>
          <w:rtl w:val="true"/>
        </w:rPr>
        <w:t>مِن</w:t>
      </w:r>
      <w:r>
        <w:rPr>
          <w:rtl w:val="true"/>
        </w:rPr>
        <w:t xml:space="preserve">) </w:t>
      </w:r>
      <w:r>
        <w:rPr>
          <w:rtl w:val="true"/>
        </w:rPr>
        <w:t>في الإيجاب</w:t>
      </w:r>
      <w:r>
        <w:rPr>
          <w:rtl w:val="true"/>
        </w:rPr>
        <w:t>:</w:t>
      </w:r>
      <w:bookmarkEnd w:id="15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العرب معانٍ مختلفة ومتعددة، فقد ذكر لها ابن هشام سبعة معانٍ مرة</w:t>
      </w:r>
      <w:r>
        <w:rPr>
          <w:rStyle w:val="FootnoteAnchor"/>
          <w:rtl w:val="true"/>
        </w:rPr>
        <w:footnoteReference w:id="672"/>
      </w:r>
      <w:r>
        <w:rPr>
          <w:rFonts w:ascii="Amiri" w:hAnsi="Amiri" w:eastAsia="Amiri" w:cs="Amiri"/>
          <w:color w:val="111111"/>
          <w:sz w:val="28"/>
          <w:sz w:val="28"/>
          <w:szCs w:val="28"/>
          <w:rtl w:val="true"/>
          <w:lang w:bidi="ar-SA"/>
        </w:rPr>
        <w:t>، ثم أوصلها إلى خمسةَ عشَر معنى مرة أُخرى</w:t>
      </w:r>
      <w:r>
        <w:rPr>
          <w:rStyle w:val="FootnoteAnchor"/>
          <w:rtl w:val="true"/>
        </w:rPr>
        <w:footnoteReference w:id="673"/>
      </w:r>
      <w:r>
        <w:rPr>
          <w:rFonts w:ascii="Amiri" w:hAnsi="Amiri" w:eastAsia="Amiri" w:cs="Amiri"/>
          <w:color w:val="111111"/>
          <w:sz w:val="28"/>
          <w:sz w:val="28"/>
          <w:szCs w:val="28"/>
          <w:rtl w:val="true"/>
          <w:lang w:bidi="ar-SA"/>
        </w:rPr>
        <w:t>، وجعل لها السيوطي اثني عر معنى</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معانيها المختلف فيها بین النحويین معنى الزيادة، فرأى سيبويه أنَّ زيادتها مشروطة بأن يتقدمها كلامٌ غیر موجب وأن يكون مجرورها نكرة، هذا ما يُفهم مما جاء في نصوصه،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حذف في الكلام لكثرة استعمالهم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طعام؟ أي هل من طعام في زمان أو مكان، وإنما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طعام، فمن طعام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كما كان ما أتاني من رجل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أتاني رجل، ومثله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طعام</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وكشف عن مذهبه هذا في مواضع أُخر من كتابه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وللمرد في هذه المسألة أقوال تبدو متباينة فيما بينها</w:t>
      </w:r>
      <w:r>
        <w:rPr>
          <w:rStyle w:val="FootnoteAnchor"/>
          <w:rtl w:val="true"/>
        </w:rPr>
        <w:footnoteReference w:id="677"/>
      </w:r>
      <w:r>
        <w:rPr>
          <w:rFonts w:ascii="Amiri" w:hAnsi="Amiri" w:eastAsia="Amiri" w:cs="Amiri"/>
          <w:color w:val="111111"/>
          <w:sz w:val="28"/>
          <w:sz w:val="28"/>
          <w:szCs w:val="28"/>
          <w:rtl w:val="true"/>
          <w:lang w:bidi="ar-SA"/>
        </w:rPr>
        <w:t xml:space="preserve">، فمرة أنكر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Style w:val="FootnoteAnchor"/>
          <w:rtl w:val="true"/>
        </w:rPr>
        <w:footnoteReference w:id="678"/>
      </w:r>
      <w:r>
        <w:rPr>
          <w:rFonts w:ascii="IRNazanin" w:hAnsi="IRNazanin" w:eastAsia="IRNazanin"/>
          <w:color w:val="111111"/>
          <w:sz w:val="28"/>
          <w:sz w:val="28"/>
          <w:szCs w:val="28"/>
          <w:rtl w:val="true"/>
          <w:lang w:bidi="fa-IR"/>
        </w:rPr>
        <w:t>، ووافق سيبويه في موطنین آخرين، يظهر من أحدهما صراحة تلك الموافقة،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وإنما تُزاد في النفي ولا تقع في الإيجاب زائدة</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 وقد اشترط النفيَ والتنكیرَ عددٌ من النحويین</w:t>
      </w:r>
      <w:r>
        <w:rPr>
          <w:rStyle w:val="FootnoteAnchor"/>
          <w:rtl w:val="true"/>
        </w:rPr>
        <w:footnoteReference w:id="680"/>
      </w:r>
      <w:r>
        <w:rPr>
          <w:rFonts w:ascii="IRNazanin" w:hAnsi="IRNazanin" w:eastAsia="IRNazanin"/>
          <w:color w:val="111111"/>
          <w:sz w:val="28"/>
          <w:sz w:val="28"/>
          <w:szCs w:val="28"/>
          <w:rtl w:val="true"/>
          <w:lang w:bidi="fa-IR"/>
        </w:rPr>
        <w:t>، وهو مذهب البصريین إلا الأخفش</w:t>
      </w:r>
      <w:r>
        <w:rPr>
          <w:rStyle w:val="FootnoteAnchor"/>
          <w:rtl w:val="true"/>
        </w:rPr>
        <w:footnoteReference w:id="681"/>
      </w:r>
      <w:r>
        <w:rPr>
          <w:rFonts w:ascii="Amiri" w:hAnsi="Amiri" w:eastAsia="Amiri" w:cs="Amiri"/>
          <w:color w:val="111111"/>
          <w:sz w:val="28"/>
          <w:sz w:val="28"/>
          <w:szCs w:val="28"/>
          <w:rtl w:val="true"/>
          <w:lang w:bidi="ar-SA"/>
        </w:rPr>
        <w:t>، وتعليل ذلك أنَّها لم تُفِدْ معنًى جديدًا قبل دخولها، فدخولها وخروجها سواء</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ونُسِبَ إلى عامة الكوفيین القول بجواز زيادتها في الإيجاب</w:t>
      </w:r>
      <w:r>
        <w:rPr>
          <w:rStyle w:val="FootnoteAnchor"/>
          <w:rtl w:val="true"/>
        </w:rPr>
        <w:footnoteReference w:id="683"/>
      </w:r>
      <w:r>
        <w:rPr>
          <w:rFonts w:ascii="Amiri" w:hAnsi="Amiri" w:eastAsia="Amiri" w:cs="Amiri"/>
          <w:color w:val="111111"/>
          <w:sz w:val="28"/>
          <w:sz w:val="28"/>
          <w:szCs w:val="28"/>
          <w:rtl w:val="true"/>
          <w:lang w:bidi="ar-SA"/>
        </w:rPr>
        <w:t>، كما نُسب القول بذلك إلى الكسائي ايضًا</w:t>
      </w:r>
      <w:r>
        <w:rPr>
          <w:rStyle w:val="FootnoteAnchor"/>
          <w:rtl w:val="true"/>
        </w:rPr>
        <w:footnoteReference w:id="684"/>
      </w:r>
      <w:r>
        <w:rPr>
          <w:rFonts w:ascii="Amiri" w:hAnsi="Amiri" w:eastAsia="Amiri" w:cs="Amiri"/>
          <w:color w:val="111111"/>
          <w:sz w:val="28"/>
          <w:sz w:val="28"/>
          <w:szCs w:val="28"/>
          <w:rtl w:val="true"/>
          <w:lang w:bidi="ar-SA"/>
        </w:rPr>
        <w:t>، وهذا ما أَدلى به الفراء في تفسیره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يَحُلَّونْ فِيهَا مِنْ أَسَاوِرَ مِنْ ذَهَبٍ</w:t>
      </w:r>
      <w:r>
        <w:rPr>
          <w:rFonts w:eastAsia="Amiri" w:cs="Amiri" w:ascii="Amiri" w:hAnsi="Amiri"/>
          <w:color w:val="111111"/>
          <w:sz w:val="28"/>
          <w:szCs w:val="28"/>
          <w:rtl w:val="true"/>
          <w:lang w:bidi="ar-SA"/>
        </w:rPr>
        <w:t>»</w:t>
      </w:r>
      <w:r>
        <w:rPr>
          <w:rStyle w:val="FootnoteAnchor"/>
          <w:rtl w:val="true"/>
        </w:rPr>
        <w:footnoteReference w:id="685"/>
      </w:r>
      <w:r>
        <w:rPr>
          <w:rStyle w:val="FootnoteAnchor"/>
          <w:rtl w:val="true"/>
        </w:rPr>
        <w:footnoteReference w:id="686"/>
      </w:r>
      <w:r>
        <w:rPr>
          <w:rFonts w:ascii="Amiri" w:hAnsi="Amiri" w:eastAsia="Amiri" w:cs="Amiri"/>
          <w:color w:val="111111"/>
          <w:sz w:val="28"/>
          <w:sz w:val="28"/>
          <w:szCs w:val="28"/>
          <w:rtl w:val="true"/>
          <w:lang w:bidi="ar-SA"/>
        </w:rPr>
        <w:t>، واستحسنه أبو علي الفارسي</w:t>
      </w:r>
      <w:r>
        <w:rPr>
          <w:rStyle w:val="FootnoteAnchor"/>
          <w:rtl w:val="true"/>
        </w:rPr>
        <w:footnoteReference w:id="687"/>
      </w:r>
      <w:r>
        <w:rPr>
          <w:rFonts w:ascii="Amiri" w:hAnsi="Amiri" w:eastAsia="Amiri" w:cs="Amiri"/>
          <w:color w:val="111111"/>
          <w:sz w:val="28"/>
          <w:sz w:val="28"/>
          <w:szCs w:val="28"/>
          <w:rtl w:val="true"/>
          <w:lang w:bidi="ar-SA"/>
        </w:rPr>
        <w:t>، وتلميذه ابن جني</w:t>
      </w:r>
      <w:r>
        <w:rPr>
          <w:rStyle w:val="FootnoteAnchor"/>
          <w:rtl w:val="true"/>
        </w:rPr>
        <w:footnoteReference w:id="688"/>
      </w:r>
      <w:r>
        <w:rPr>
          <w:rFonts w:ascii="Amiri" w:hAnsi="Amiri" w:eastAsia="Amiri" w:cs="Amiri"/>
          <w:color w:val="111111"/>
          <w:sz w:val="28"/>
          <w:sz w:val="28"/>
          <w:szCs w:val="28"/>
          <w:rtl w:val="true"/>
          <w:lang w:bidi="ar-SA"/>
        </w:rPr>
        <w:t>، واختار هذا المذهبَ ابنُ مالك ايضًا</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احتجَّ المؤيدون لورودها زائدة في الإيجاب بطائفةٍ من الشواهد القرآنية والشعرية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النَّبِيِّینَ لَمَا آَتَيْتُكُمْ مِنْ كِتَابٍ وَحِكْمَةٍ</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فِيهَا مِنْ كُلِّ الثَّمَرَاتِ</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xml:space="preserve">، فذهب الأخفش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زائدة</w:t>
      </w:r>
      <w:r>
        <w:rPr>
          <w:rStyle w:val="FootnoteAnchor"/>
          <w:rtl w:val="true"/>
        </w:rPr>
        <w:footnoteReference w:id="692"/>
      </w:r>
      <w:r>
        <w:rPr>
          <w:rFonts w:ascii="Amiri" w:hAnsi="Amiri" w:eastAsia="Amiri" w:cs="Amiri"/>
          <w:color w:val="111111"/>
          <w:sz w:val="28"/>
          <w:sz w:val="28"/>
          <w:szCs w:val="28"/>
          <w:rtl w:val="true"/>
          <w:lang w:bidi="ar-SA"/>
        </w:rPr>
        <w:t>، كما رجَّح الأخفش زيادتها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وَيُكَفِّرُ عَنْكُمْ مِنْ سَيِّئَاتِكُمْ وَالله بِاَ تَعْمَلُونَ خَبِیرٌ</w:t>
      </w:r>
      <w:r>
        <w:rPr>
          <w:rFonts w:eastAsia="Amiri" w:cs="Amiri" w:ascii="Amiri" w:hAnsi="Amiri"/>
          <w:color w:val="111111"/>
          <w:sz w:val="28"/>
          <w:szCs w:val="28"/>
          <w:rtl w:val="true"/>
          <w:lang w:bidi="ar-SA"/>
        </w:rPr>
        <w:t>»</w:t>
      </w:r>
      <w:r>
        <w:rPr>
          <w:rStyle w:val="FootnoteAnchor"/>
          <w:rtl w:val="true"/>
        </w:rPr>
        <w:footnoteReference w:id="693"/>
      </w:r>
      <w:r>
        <w:rPr>
          <w:rStyle w:val="FootnoteAnchor"/>
          <w:rtl w:val="true"/>
        </w:rPr>
        <w:footnoteReference w:id="694"/>
      </w:r>
      <w:r>
        <w:rPr>
          <w:rFonts w:ascii="Amiri" w:hAnsi="Amiri" w:eastAsia="Amiri" w:cs="Amiri"/>
          <w:color w:val="111111"/>
          <w:sz w:val="28"/>
          <w:sz w:val="28"/>
          <w:szCs w:val="28"/>
          <w:rtl w:val="true"/>
          <w:lang w:bidi="ar-SA"/>
        </w:rPr>
        <w:t>استنادًا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نُكَفِّرْ عَنْكُمْ سَيِّئَاتِكُمْ وَنُدْخِلْكُمْ مُدْخَلاً كَرِيمًا</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xml:space="preserve">، كما قال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الإيجاب عددٌ </w:t>
      </w:r>
    </w:p>
    <w:p>
      <w:pPr>
        <w:pStyle w:val="BookText"/>
        <w:rPr/>
      </w:pPr>
      <w:r>
        <w:rPr>
          <w:rFonts w:ascii="Amiri" w:hAnsi="Amiri" w:eastAsia="Amiri" w:cs="Amiri"/>
          <w:color w:val="111111"/>
          <w:sz w:val="28"/>
          <w:sz w:val="28"/>
          <w:szCs w:val="28"/>
          <w:rtl w:val="true"/>
          <w:lang w:bidi="ar-SA"/>
        </w:rPr>
        <w:t>من المفسرين</w:t>
      </w:r>
      <w:r>
        <w:rPr>
          <w:rStyle w:val="FootnoteAnchor"/>
          <w:rtl w:val="true"/>
        </w:rPr>
        <w:footnoteReference w:id="696"/>
      </w:r>
      <w:r>
        <w:rPr>
          <w:rFonts w:ascii="Amiri" w:hAnsi="Amiri" w:eastAsia="Amiri" w:cs="Amiri"/>
          <w:color w:val="111111"/>
          <w:sz w:val="28"/>
          <w:sz w:val="28"/>
          <w:szCs w:val="28"/>
          <w:rtl w:val="true"/>
          <w:lang w:bidi="ar-SA"/>
        </w:rPr>
        <w:t xml:space="preserve">، كما استند مَن أجاز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إلى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مطر</w:t>
      </w:r>
      <w:r>
        <w:rPr>
          <w:rStyle w:val="FootnoteAnchor"/>
          <w:rtl w:val="true"/>
        </w:rPr>
        <w:footnoteReference w:id="69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يقوّي زيادتها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عَالِيَهُمْ ثِيَابُ سُنْدُسٍ خُضْرٌ وَإِسْتَبْرَقٌ وَحُلُّوا أَسَاوِرَ مِنْ فِضَّةٍ وَسَقَاهُمْ رَبُّهُمْ شَرَابًا طَهُورًا</w:t>
      </w:r>
      <w:r>
        <w:rPr>
          <w:rFonts w:eastAsia="Amiri" w:cs="Amiri" w:ascii="Amiri" w:hAnsi="Amiri"/>
          <w:color w:val="111111"/>
          <w:sz w:val="28"/>
          <w:szCs w:val="28"/>
          <w:rtl w:val="true"/>
          <w:lang w:bidi="ar-SA"/>
        </w:rPr>
        <w:t>»</w:t>
      </w:r>
      <w:r>
        <w:rPr>
          <w:rStyle w:val="FootnoteAnchor"/>
          <w:rtl w:val="true"/>
        </w:rPr>
        <w:footnoteReference w:id="6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تعدّى الفعل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تعلّق بحرف، فالعطف عليه مع ظهور الدليل على 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وأَولى من تقدير عطفه على المجرور بحرف غیر زائد</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 وأَولى كذلك من تقدير فعل، وهذا من قبيل ترجيح القرآن بالقرآن، وهو منهج سليم قد اتبعه جُلُّ علماء العربية في توجيه الكثیر من مسائل الخااف في إعراب القرآن الكريم</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عمد البصريون ومؤيدوهم إلى تأويل تلك النصوص بما ينسجم وعدم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فذهبوا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ومجرورها صفة لموصوف محذوف، وعلى هذا التأويل حملوا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جَاءَكَ مِنْ نَبَإِ الْمُرْسَلِينَ</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xml:space="preserve">فأعربوا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لموصوفٍ محذوف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من الخبر كائنًا من نبإ المرسلين</w:t>
      </w:r>
      <w:r>
        <w:rPr>
          <w:rFonts w:eastAsia="Amiri" w:cs="Amiri" w:ascii="Amiri" w:hAnsi="Amiri"/>
          <w:color w:val="111111"/>
          <w:sz w:val="28"/>
          <w:szCs w:val="28"/>
          <w:rtl w:val="true"/>
          <w:lang w:bidi="ar-SA"/>
        </w:rPr>
        <w:t>))</w:t>
      </w:r>
      <w:r>
        <w:rPr>
          <w:rStyle w:val="FootnoteAnchor"/>
          <w:rtl w:val="true"/>
        </w:rPr>
        <w:footnoteReference w:id="70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ضعّفه ابن هشام</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يبدو مما تقدم أن إجازة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في الإيجاب لا يمكن دفعه لكثرة الشواهد المؤيِّدة لذلك، هذا فضلاً عن أنَّ تلك الإجازة أَولى من التقدير والتأويل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شواهد ذلك في نهج البلاغة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أحوال زمانه، وذِكْر أصناف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يَطْلُبُ اَلدُّنْيَا بِعَمَلِ اَلآْخِرَةِ وَلاَ يَطْلُبُ اَلآْخِرَةَ بِعَمَلِ اَلدُّنْيَا قَدْ طَامَنَ مِنْ شَخْصِهِ وَ قَارَبَ مِنْ خَطْوِهِ وَ شَمَّرَ مِنْ ثَوْبِهِ وَ زَخْرَفَ مِنْ نَفْسِهِ لِلْأَمَانَةِ وَاِتَّخَذَ سِتْرَ اَللَّهِ ذَرِيعَةً إلى اَلْمَعْصِيَةِ</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صفات المُرائین الذين يسعَون إلى التقرّب إلى العِباد وكسب قلوبهم بما يمقته الله تعالى ويذمُّه، وأُولى هذه الصفات إظهار التواضع الزائف وقد عبرّ عنه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طامن من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أو خضع وسكن إظهارًا للتواضع، وطامن الرجل ظهره إذا حناه وخفضه</w:t>
      </w:r>
      <w:r>
        <w:rPr>
          <w:rStyle w:val="FootnoteAnchor"/>
          <w:rtl w:val="true"/>
        </w:rPr>
        <w:footnoteReference w:id="705"/>
      </w:r>
      <w:r>
        <w:rPr>
          <w:rFonts w:ascii="Amiri" w:hAnsi="Amiri" w:eastAsia="Amiri" w:cs="Amiri"/>
          <w:color w:val="111111"/>
          <w:sz w:val="28"/>
          <w:sz w:val="28"/>
          <w:szCs w:val="28"/>
          <w:rtl w:val="true"/>
          <w:lang w:bidi="ar-SA"/>
        </w:rPr>
        <w:t xml:space="preserve">، والفعل كما تورده المعجمات متعدٍ بلا واسطة، لذا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زائدة في المفعول به من دون أنْ يتقدمها النفي، وهي زائدة في الصفة الثانية أيضًا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قَارَبَ مِنْ خَطْوِهِ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يمشي ببطء وتمهّل إظهارًا للوقار</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واللغويون في ضوء تفسیرهم بعضَ المواد اللغوية يذكرون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 الخطو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إنَّ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 بلا وساطة أيضًا، قال ابن دريد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رَسَفَ يرسِف ويرسُف رَسْفاً ورَسيفاً ورَسَفاناً، وَهُوَ مشي المقيَّد إِذا قَارب </w:t>
      </w:r>
    </w:p>
    <w:p>
      <w:pPr>
        <w:pStyle w:val="BookText"/>
        <w:rPr/>
      </w:pPr>
      <w:r>
        <w:rPr>
          <w:rFonts w:ascii="Amiri" w:hAnsi="Amiri" w:eastAsia="Amiri" w:cs="Amiri"/>
          <w:color w:val="111111"/>
          <w:sz w:val="28"/>
          <w:sz w:val="28"/>
          <w:szCs w:val="28"/>
          <w:rtl w:val="true"/>
          <w:lang w:bidi="ar-SA"/>
        </w:rPr>
        <w:t>خطوَه</w:t>
      </w:r>
      <w:r>
        <w:rPr>
          <w:rFonts w:eastAsia="Amiri" w:cs="Amiri" w:ascii="Amiri" w:hAnsi="Amiri"/>
          <w:color w:val="111111"/>
          <w:sz w:val="28"/>
          <w:szCs w:val="28"/>
          <w:rtl w:val="true"/>
          <w:lang w:bidi="ar-SA"/>
        </w:rPr>
        <w:t>))</w:t>
      </w:r>
      <w:r>
        <w:rPr>
          <w:rStyle w:val="FootnoteAnchor"/>
          <w:rtl w:val="true"/>
        </w:rPr>
        <w:footnoteReference w:id="707"/>
      </w:r>
      <w:r>
        <w:rPr>
          <w:rFonts w:ascii="IRNazanin" w:hAnsi="IRNazanin" w:eastAsia="IRNazanin"/>
          <w:color w:val="111111"/>
          <w:sz w:val="28"/>
          <w:sz w:val="28"/>
          <w:szCs w:val="28"/>
          <w:rtl w:val="true"/>
          <w:lang w:bidi="fa-IR"/>
        </w:rPr>
        <w:t xml:space="preserve">، وبهذا يتضح 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عدم تقدّم النفي خلافًا للبصريین ومن تابعهم، وهي زائدة أيضًا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وشمر من ثوبه وزخرف من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يظهر مما تقدم أنَّ ما ذهب إليه البصريون مردودٌ ويخالف ما عليه القرآن الكريم ونهج البلاغة فضلاً عن الشعر العربي، لذا فالأَولى أن تستندَ القواعد إلى تلك النصوص العربية الفصيحة ما دامت هي منتمية إلى عصر الاحتجاج</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وصفوة القول وثمرته تعديل القاعدة بما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في الإيجاب استنادًا إلى ثبوت ذلك في نهج البلاغة فضلاً عن القرآن الكريم وكلام العرب شعرًا ونثرًا</w:t>
      </w:r>
      <w:r>
        <w:rPr>
          <w:rFonts w:eastAsia="Amiri" w:cs="Amiri" w:ascii="Amiri" w:hAnsi="Amiri"/>
          <w:color w:val="111111"/>
          <w:sz w:val="28"/>
          <w:szCs w:val="28"/>
          <w:rtl w:val="true"/>
          <w:lang w:bidi="ar-SA"/>
        </w:rPr>
        <w:t xml:space="preserve">. </w:t>
      </w:r>
      <w:bookmarkStart w:id="156" w:name="pg7031_80949"/>
    </w:p>
    <w:p>
      <w:pPr>
        <w:pStyle w:val="Heading2"/>
        <w:numPr>
          <w:ilvl w:val="1"/>
          <w:numId w:val="1"/>
        </w:numPr>
        <w:rPr/>
      </w:pPr>
      <w:bookmarkStart w:id="157" w:name="__RefHeading___Toc2958332_372815092"/>
      <w:bookmarkStart w:id="158" w:name="_Toc52"/>
      <w:bookmarkEnd w:id="156"/>
      <w:bookmarkEnd w:id="157"/>
      <w:r>
        <w:rPr>
          <w:rtl w:val="true"/>
        </w:rPr>
        <w:t>الباب الثاني ما حَمَلَهُ أغلبُ النَحْويينَ</w:t>
      </w:r>
      <w:bookmarkEnd w:id="158"/>
    </w:p>
    <w:p>
      <w:pPr>
        <w:pStyle w:val="Heading3"/>
        <w:numPr>
          <w:ilvl w:val="2"/>
          <w:numId w:val="1"/>
        </w:numPr>
        <w:rPr/>
      </w:pPr>
      <w:bookmarkStart w:id="159" w:name="__RefHeading___Toc2958334_372815092"/>
      <w:bookmarkStart w:id="160" w:name="_Toc53"/>
      <w:bookmarkEnd w:id="159"/>
      <w:r>
        <w:rPr>
          <w:rtl w:val="true"/>
        </w:rPr>
        <w:t>اشارة</w:t>
      </w:r>
      <w:bookmarkEnd w:id="16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الضرورة الشعرية وَورد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 على الضرورة الشعرية فيما أُثبِتَ في الكلام 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 على الضرورة الشعرية فيما اعتوَرَهُ الحذف ومسائل أُخر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7031_80951"/>
      <w:bookmarkStart w:id="162" w:name="pg7031_80951"/>
      <w:bookmarkEnd w:id="162"/>
    </w:p>
    <w:p>
      <w:pPr>
        <w:pStyle w:val="Heading3"/>
        <w:numPr>
          <w:ilvl w:val="2"/>
          <w:numId w:val="1"/>
        </w:numPr>
        <w:rPr/>
      </w:pPr>
      <w:bookmarkStart w:id="163" w:name="pg7031_80951"/>
      <w:bookmarkStart w:id="164" w:name="__RefHeading___Toc2958336_372815092"/>
      <w:bookmarkStart w:id="165" w:name="_Toc54"/>
      <w:bookmarkEnd w:id="163"/>
      <w:bookmarkEnd w:id="164"/>
      <w:r>
        <w:rPr>
          <w:rtl w:val="true"/>
        </w:rPr>
        <w:t>توطئة</w:t>
      </w:r>
      <w:r>
        <w:rPr>
          <w:rtl w:val="true"/>
        </w:rPr>
        <w:t>:</w:t>
      </w:r>
      <w:bookmarkEnd w:id="165"/>
    </w:p>
    <w:p>
      <w:pPr>
        <w:pStyle w:val="BookText"/>
        <w:rPr/>
      </w:pPr>
      <w:r>
        <w:rPr>
          <w:rFonts w:ascii="IRNazanin" w:hAnsi="IRNazanin" w:eastAsia="IRNazanin"/>
          <w:color w:val="111111"/>
          <w:sz w:val="28"/>
          <w:sz w:val="28"/>
          <w:szCs w:val="28"/>
          <w:rtl w:val="true"/>
          <w:lang w:bidi="fa-IR"/>
        </w:rPr>
        <w:t>درجَ أعلامُ الدرس النحوي على الاستشهاد بالشعر بوصفِه مصدرًا مهمَا من مصادر التقعيد النحوي، ومن المسلَّم به أنَّ لغة الشعر تتسم بركيزتین أساسيتین هما الوزن والقافية فضلا عن اتّسامها بطابع الانفعال بخلاف لغة النثر، ومن هنا قد يضطر الشاعر إلى الخروج عن قواعد النحو من أجل إيصال أفكاره، قال ابن جني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 موضع اضطرار، وموقف 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وكثیرًا ما یُحرَفُ فيه الكَلِم عن أبنيته و تُحال فيه المُثُل عن أوضاع صِيَغها لأجله</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 ومن هنا كانت للغة الشعر خصوصية في طريقة استعمال المفردات جرْسًا وبنيةً، وفي صَوْغ التراكيب واستعمال الأساليب؛ لإيصال الانفعال من جهة، والتأثیر في المتلقي من جهة أُخرى</w:t>
      </w:r>
      <w:r>
        <w:rPr>
          <w:rStyle w:val="FootnoteAnchor"/>
          <w:rtl w:val="true"/>
        </w:rPr>
        <w:footnoteReference w:id="709"/>
      </w:r>
      <w:r>
        <w:rPr>
          <w:rFonts w:ascii="Amiri" w:hAnsi="Amiri" w:eastAsia="Amiri" w:cs="Amiri"/>
          <w:color w:val="111111"/>
          <w:sz w:val="28"/>
          <w:sz w:val="28"/>
          <w:szCs w:val="28"/>
          <w:rtl w:val="true"/>
          <w:lang w:bidi="ar-SA"/>
        </w:rPr>
        <w:t>، وسُمِيَ هذا الخروج في التراث اللغوي العربي بالضرورة الشعرية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والضرورة كما تناولتها معجمات اللغة مشتقة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اسم 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الحاجة إلى الشيء أو الإلجاء إليه، ورجلٌ ذو ضرورة،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حاجة، وقد اضطر إلى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أُلجِئ إليه</w:t>
      </w:r>
      <w:r>
        <w:rPr>
          <w:rStyle w:val="FootnoteAnchor"/>
          <w:rtl w:val="true"/>
        </w:rPr>
        <w:footnoteReference w:id="710"/>
      </w:r>
      <w:r>
        <w:rPr>
          <w:rFonts w:ascii="Amiri" w:hAnsi="Amiri" w:eastAsia="Amiri" w:cs="Amiri"/>
          <w:color w:val="111111"/>
          <w:sz w:val="28"/>
          <w:sz w:val="28"/>
          <w:szCs w:val="28"/>
          <w:rtl w:val="true"/>
          <w:lang w:bidi="ar-SA"/>
        </w:rPr>
        <w:t>،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غَیرَ بَاغٍ وَلَا عَادٍ فَلا إِثْمَ عَلَيْهِ</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والضرورة من مصطلحات الفقهاء والمفسرين، إذ تعني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الحالة المُلجِئة </w:t>
      </w:r>
    </w:p>
    <w:p>
      <w:pPr>
        <w:pStyle w:val="BookText"/>
        <w:rPr/>
      </w:pPr>
      <w:r>
        <w:rPr>
          <w:rFonts w:ascii="Amiri" w:hAnsi="Amiri" w:eastAsia="Amiri" w:cs="Amiri"/>
          <w:color w:val="111111"/>
          <w:sz w:val="28"/>
          <w:sz w:val="28"/>
          <w:szCs w:val="28"/>
          <w:rtl w:val="true"/>
          <w:lang w:bidi="ar-SA"/>
        </w:rPr>
        <w:t>إلى ما لا بدَّ منه، والضرورة أشدُّ درجات الحاجة</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xml:space="preserve">، وعلى هذا فهي 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أدّى إلى الاضطرار، كالمشقة التي لا مدفع لها، وما به حفظ النفس وغيرها، كالحاجة الشديدة إلى الماء أو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الضرورات تُبيح المحظورات</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ومفهوم الضرورة الشعرية في الاصطلاح اللغوي إجمالًا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الخروج على القواعد والأُصول بسبب الوزن والقافية، وقد جوَّز القدماء للشاعر ما لم يجوّزوا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للتأثیر</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للناثر</w:t>
      </w:r>
    </w:p>
    <w:p>
      <w:pPr>
        <w:pStyle w:val="BookText"/>
        <w:rPr/>
      </w:pPr>
      <w:r>
        <w:rPr>
          <w:rFonts w:ascii="IRNazanin" w:hAnsi="IRNazanin" w:eastAsia="IRNazanin"/>
          <w:color w:val="111111"/>
          <w:sz w:val="28"/>
          <w:sz w:val="28"/>
          <w:szCs w:val="28"/>
          <w:rtl w:val="true"/>
          <w:lang w:bidi="fa-IR"/>
        </w:rPr>
        <w:t>لأنّ احتفال العرب بالشعر أدَّى إلى أنْ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 أُمَراء الكلام، يقصرون الممدود، ولا يمدُّون المقصور، ويقدّمون ويؤخرون، ويومِئون ويشیرون، ويختلسون ويُعیرون ويستعيرون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اختلفت كلمة النحويین في معنى الضرورة الشعرية على مذهبین، فمذهب الجمهور يرى أنَّ الضرورة مما تقع في الشعر دون النثر سواء أكان عنها مندوحة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 أو فسحة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r>
        <w:rPr>
          <w:rStyle w:val="FootnoteAnchor"/>
          <w:rtl w:val="true"/>
        </w:rPr>
        <w:footnoteReference w:id="715"/>
      </w:r>
      <w:r>
        <w:rPr>
          <w:rFonts w:ascii="Amiri" w:hAnsi="Amiri" w:eastAsia="Amiri" w:cs="Amiri"/>
          <w:color w:val="111111"/>
          <w:sz w:val="28"/>
          <w:sz w:val="28"/>
          <w:szCs w:val="28"/>
          <w:rtl w:val="true"/>
          <w:lang w:bidi="ar-SA"/>
        </w:rPr>
        <w:t>، فلم يشترطوا فيها اضطرارَ الشاعر إلى الخروج عن بعض الأقيسة النحوية بل جوّزوا له في الشعر ما لم يجُز في الكلام</w:t>
      </w:r>
      <w:r>
        <w:rPr>
          <w:rStyle w:val="FootnoteAnchor"/>
          <w:rtl w:val="true"/>
        </w:rPr>
        <w:footnoteReference w:id="716"/>
      </w:r>
      <w:r>
        <w:rPr>
          <w:rFonts w:ascii="Amiri" w:hAnsi="Amiri" w:eastAsia="Amiri" w:cs="Amiri"/>
          <w:color w:val="111111"/>
          <w:sz w:val="28"/>
          <w:sz w:val="28"/>
          <w:szCs w:val="28"/>
          <w:rtl w:val="true"/>
          <w:lang w:bidi="ar-SA"/>
        </w:rPr>
        <w:t>، ويُمثل هذا الرأيَ ابنُ جني،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تراهم كيف يدخلون تحت قبح الضرورة مع قدرتهم على </w:t>
      </w:r>
    </w:p>
    <w:p>
      <w:pPr>
        <w:pStyle w:val="BookText"/>
        <w:rPr/>
      </w:pPr>
      <w:r>
        <w:rPr>
          <w:rFonts w:ascii="Amiri" w:hAnsi="Amiri" w:eastAsia="Amiri" w:cs="Amiri"/>
          <w:color w:val="111111"/>
          <w:sz w:val="28"/>
          <w:sz w:val="28"/>
          <w:szCs w:val="28"/>
          <w:rtl w:val="true"/>
          <w:lang w:bidi="ar-SA"/>
        </w:rPr>
        <w:t>تركها، ليعدّوها لوقت الحاجة إليها</w:t>
      </w:r>
      <w:r>
        <w:rPr>
          <w:rFonts w:eastAsia="Amiri" w:cs="Amiri" w:ascii="Amiri" w:hAnsi="Amiri"/>
          <w:color w:val="111111"/>
          <w:sz w:val="28"/>
          <w:szCs w:val="28"/>
          <w:rtl w:val="true"/>
          <w:lang w:bidi="ar-SA"/>
        </w:rPr>
        <w:t>))</w:t>
      </w:r>
      <w:r>
        <w:rPr>
          <w:rStyle w:val="FootnoteAnchor"/>
          <w:rtl w:val="true"/>
        </w:rPr>
        <w:footnoteReference w:id="717"/>
      </w:r>
      <w:r>
        <w:rPr>
          <w:rFonts w:ascii="IRNazanin" w:hAnsi="IRNazanin" w:eastAsia="IRNazanin"/>
          <w:color w:val="111111"/>
          <w:sz w:val="28"/>
          <w:sz w:val="28"/>
          <w:szCs w:val="28"/>
          <w:rtl w:val="true"/>
          <w:lang w:bidi="fa-IR"/>
        </w:rPr>
        <w:t>، واختار هذا المذهبَ ابنُ عصفور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الشعر لما كان كلامًا موزونًا يخرجه الزيادة فيه والنقص منه عن صحة الوزن ويحيله عن طريق الشعر أجازت العرب فيه ما لا يجوز في الكلام اضطروا إلى ذلك أو لم يضطروا إليه</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وأخذ بهذا المذهب أيضًا الرضي</w:t>
      </w:r>
      <w:r>
        <w:rPr>
          <w:rStyle w:val="FootnoteAnchor"/>
          <w:rtl w:val="true"/>
        </w:rPr>
        <w:footnoteReference w:id="719"/>
      </w:r>
      <w:r>
        <w:rPr>
          <w:rFonts w:ascii="IRNazanin" w:hAnsi="IRNazanin" w:eastAsia="IRNazanin"/>
          <w:color w:val="111111"/>
          <w:sz w:val="28"/>
          <w:sz w:val="28"/>
          <w:szCs w:val="28"/>
          <w:rtl w:val="true"/>
          <w:lang w:bidi="fa-IR"/>
        </w:rPr>
        <w:t>، وابن هشام</w:t>
      </w:r>
      <w:r>
        <w:rPr>
          <w:rStyle w:val="FootnoteAnchor"/>
          <w:rtl w:val="true"/>
        </w:rPr>
        <w:footnoteReference w:id="720"/>
      </w:r>
      <w:r>
        <w:rPr>
          <w:rFonts w:ascii="Amiri" w:hAnsi="Amiri" w:eastAsia="Amiri" w:cs="Amiri"/>
          <w:color w:val="111111"/>
          <w:sz w:val="28"/>
          <w:sz w:val="28"/>
          <w:szCs w:val="28"/>
          <w:rtl w:val="true"/>
          <w:lang w:bidi="ar-SA"/>
        </w:rPr>
        <w:t xml:space="preserve">، والبغدادي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ومحمود شكري الآلوسي</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ومذهب آخر يرى في الضرورة أنّها تقع فيما ليس للشاعر عنه مندوحة</w:t>
      </w:r>
      <w:r>
        <w:rPr>
          <w:rStyle w:val="FootnoteAnchor"/>
          <w:rtl w:val="true"/>
        </w:rPr>
        <w:footnoteReference w:id="723"/>
      </w:r>
      <w:r>
        <w:rPr>
          <w:rFonts w:ascii="IRNazanin" w:hAnsi="IRNazanin" w:eastAsia="IRNazanin"/>
          <w:color w:val="111111"/>
          <w:sz w:val="28"/>
          <w:sz w:val="28"/>
          <w:szCs w:val="28"/>
          <w:rtl w:val="true"/>
          <w:lang w:bidi="fa-IR"/>
        </w:rPr>
        <w:t>، أي تقع بشرط الاضطرار، وهو المذهب الذي نسبه بعض النحويین إلى سيبويه</w:t>
      </w:r>
      <w:r>
        <w:rPr>
          <w:rStyle w:val="FootnoteAnchor"/>
          <w:rtl w:val="true"/>
        </w:rPr>
        <w:footnoteReference w:id="724"/>
      </w:r>
      <w:r>
        <w:rPr>
          <w:rFonts w:ascii="IRNazanin" w:hAnsi="IRNazanin" w:eastAsia="IRNazanin"/>
          <w:color w:val="111111"/>
          <w:sz w:val="28"/>
          <w:sz w:val="28"/>
          <w:szCs w:val="28"/>
          <w:rtl w:val="true"/>
          <w:lang w:bidi="fa-IR"/>
        </w:rPr>
        <w:t>، وعليه يكون سيبويه إمامَ ابن مالك الذي هو رائد هذا المذهب والمشتهر به كثیرًا، فقد صرَّح ابن مالك معقِّبًا على بعض الأبيات الشعرية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 لم يفعلوا ذلك مع استطاعته ففي ذلك إشعار بالاختيار وعدم الاضطرار</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 xml:space="preserve">، وأشار آخرون إلى </w:t>
      </w:r>
    </w:p>
    <w:p>
      <w:pPr>
        <w:pStyle w:val="BookText"/>
        <w:rPr/>
      </w:pPr>
      <w:r>
        <w:rPr>
          <w:rFonts w:ascii="Amiri" w:hAnsi="Amiri" w:eastAsia="Amiri" w:cs="Amiri"/>
          <w:color w:val="111111"/>
          <w:sz w:val="28"/>
          <w:sz w:val="28"/>
          <w:szCs w:val="28"/>
          <w:rtl w:val="true"/>
          <w:lang w:bidi="ar-SA"/>
        </w:rPr>
        <w:t>أنَّ سيبويه يرى رأيَ الجمهور في الضرورة الشعرية</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السّر في هذا الاختلاف والاضطراب يرجع إلى التباين في تحليل كلِّ فريق لكلام سيبويه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وأغلب الظنِّ أنَّ ما ذكره سيبويه أقرب إلى فهم الجمهور في هذه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كثیرًا من الشواهد التي أوردها في أقسام الضرورة المختلفة من تلك الشواهد التي وردت فيها روايات أُخرى تُخرجها من مجال الضرورة، ومع ذلك لم يذكرْ سيبويه شيئًا من تلك الروايات في كتابه</w:t>
      </w:r>
      <w:r>
        <w:rPr>
          <w:rFonts w:eastAsia="IRNazanin" w:cs="IRNazanin"/>
          <w:color w:val="111111"/>
          <w:sz w:val="28"/>
          <w:szCs w:val="28"/>
          <w:rtl w:val="true"/>
          <w:lang w:bidi="fa-IR"/>
        </w:rPr>
        <w:t>))</w:t>
      </w:r>
      <w:r>
        <w:rPr>
          <w:rStyle w:val="FootnoteAnchor"/>
          <w:rtl w:val="true"/>
        </w:rPr>
        <w:footnoteReference w:id="727"/>
      </w:r>
      <w:r>
        <w:rPr>
          <w:rFonts w:ascii="Amiri" w:hAnsi="Amiri" w:eastAsia="Amiri" w:cs="Amiri"/>
          <w:color w:val="111111"/>
          <w:sz w:val="28"/>
          <w:sz w:val="28"/>
          <w:szCs w:val="28"/>
          <w:rtl w:val="true"/>
          <w:lang w:bidi="ar-SA"/>
        </w:rPr>
        <w:t xml:space="preserve">، على أَنَّ ختام الباب الذي عرض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يحتمل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في الكلام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شيء يضطرون إليه إلا وهم يحاولون به وجهًا</w:t>
      </w:r>
      <w:r>
        <w:rPr>
          <w:rFonts w:eastAsia="Amiri" w:cs="Amiri" w:ascii="Amiri" w:hAnsi="Amiri"/>
          <w:color w:val="111111"/>
          <w:sz w:val="28"/>
          <w:szCs w:val="28"/>
          <w:rtl w:val="true"/>
          <w:lang w:bidi="ar-SA"/>
        </w:rPr>
        <w:t>))</w:t>
      </w:r>
      <w:r>
        <w:rPr>
          <w:rStyle w:val="FootnoteAnchor"/>
          <w:rtl w:val="true"/>
        </w:rPr>
        <w:footnoteReference w:id="728"/>
      </w:r>
      <w:r>
        <w:rPr>
          <w:rFonts w:ascii="IRNazanin" w:hAnsi="IRNazanin" w:eastAsia="IRNazanin"/>
          <w:color w:val="111111"/>
          <w:sz w:val="28"/>
          <w:sz w:val="28"/>
          <w:szCs w:val="28"/>
          <w:rtl w:val="true"/>
          <w:lang w:bidi="fa-IR"/>
        </w:rPr>
        <w:t xml:space="preserve">، وعلى وفق هذا فإنَّ الضرورة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تقتصر على الشعر ولا تجوز في سَعة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الشاعر لا بد من أنْ يسعى من وراء ارتكابها إلى معنى تُجيزه أقيسة العربية المستنبَطة من النثر، وإلا يُعدُّ ما جاء به مخالِفًا للقواعد، ودليل هذا المعنى ما قاله في باب الممنوع من الصرف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أنَّه يجوز في الشعر ما لا يجوز في الكلام من صرف ما لا ينصرف، يشبهونه بما قد پحُذف واستُعمل محذوفًا</w:t>
      </w:r>
      <w:r>
        <w:rPr>
          <w:rFonts w:eastAsia="IRNazanin" w:cs="IRNazanin"/>
          <w:color w:val="111111"/>
          <w:sz w:val="28"/>
          <w:szCs w:val="28"/>
          <w:rtl w:val="true"/>
          <w:lang w:bidi="fa-IR"/>
        </w:rPr>
        <w:t>))</w:t>
      </w:r>
      <w:r>
        <w:rPr>
          <w:rStyle w:val="FootnoteAnchor"/>
          <w:rtl w:val="true"/>
        </w:rPr>
        <w:footnoteReference w:id="729"/>
      </w:r>
      <w:r>
        <w:rPr>
          <w:rFonts w:ascii="Amiri" w:hAnsi="Amiri" w:eastAsia="Amiri" w:cs="Amiri"/>
          <w:color w:val="111111"/>
          <w:sz w:val="28"/>
          <w:sz w:val="28"/>
          <w:szCs w:val="28"/>
          <w:rtl w:val="true"/>
          <w:lang w:bidi="ar-SA"/>
        </w:rPr>
        <w:t>، كما جرى حمل المسائل بعضها على بعض على نحو التشابه بينها في الأحكام في مواضع أُخر من كتابه</w:t>
      </w:r>
      <w:r>
        <w:rPr>
          <w:rStyle w:val="FootnoteAnchor"/>
          <w:rtl w:val="true"/>
        </w:rPr>
        <w:footnoteReference w:id="730"/>
      </w:r>
      <w:r>
        <w:rPr>
          <w:rFonts w:ascii="Amiri" w:hAnsi="Amiri" w:eastAsia="Amiri" w:cs="Amiri"/>
          <w:color w:val="111111"/>
          <w:sz w:val="28"/>
          <w:sz w:val="28"/>
          <w:szCs w:val="28"/>
          <w:rtl w:val="true"/>
          <w:lang w:bidi="ar-SA"/>
        </w:rPr>
        <w:t>، ولهذا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الضرائر التشبيه لشيء بشيء أو الرد إلى الأصل</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xml:space="preserve">، ومن أجل هذا ذهب السيد إبراهيم </w:t>
      </w:r>
    </w:p>
    <w:p>
      <w:pPr>
        <w:pStyle w:val="BookText"/>
        <w:rPr/>
      </w:pPr>
      <w:r>
        <w:rPr>
          <w:rFonts w:ascii="IRNazanin" w:hAnsi="IRNazanin" w:eastAsia="IRNazanin"/>
          <w:color w:val="111111"/>
          <w:sz w:val="28"/>
          <w:sz w:val="28"/>
          <w:szCs w:val="28"/>
          <w:rtl w:val="true"/>
          <w:lang w:bidi="fa-IR"/>
        </w:rPr>
        <w:t xml:space="preserve">محمد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 الذي تتوجه عليه الضرورة الشعرية عند سيبويه أنها بلوغ مستوى من التعبیر مبلغ مستوى آخر</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 xml:space="preserve">، فالفرق بین ما يقع في الشعر والنثر من خروج عن القواعد النحوية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فكلاهما خروج عن القياس، وإنما الفرق بينهما أنَّ الشعر وقع فيه من ذلك ما لم تَثبت الرواية بوقوعه في الكلام، وهذا هو محل الضرورة</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 xml:space="preserve">، وهذا هو وجه الكلام في هذا الباب الذي وسمتُه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حمله أغلب النحويین على الضرورة الشعرية وورد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ليس مهمًا لديَّ سواء أكان الشاعر مُختارًا في ارتكابه الضرورات أم مضطرًا إلى ذلك، فالغاية الرئيسة ههنا تنصب حول التماس شيءٍ من النظائر النثرية الواردة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لجملة من القواعد النحوية التي حُكِمَ عليها بأنَّها من الضرائر الشعرية، لأُثبت بذلك أنّها ليست مقتصرة على لغة الشعر فقط، بل هي واردة في النثر أيضًا، وبهذا يظهر مدى نقص استقراء النحويین بسبب إغفالهم لنصوص نهج البلاغة في التقعيد النحوي</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كانت الضرورات مرتبطة بالشعر، والشعر ما لا يحيط به أحد تعذّرَ حصرُها وإحصاؤها، على أنَّ هذا لم يمنع علماء العربية من وضع تقسيمات عامة تنطوي تحت كلِّ قسم مباحث فرعية، ولعل لابن السراج قصب السبق في تثبيت مبادئ التصنيف في الضرورة،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الشاعر أنْ يضطر الوزن إلى حذف، أو زيادة، أو تقديم، أو تأخیر في غیر موضعه، وإبدال حرف، أو تغيیر إعراب عن وجهه عى التأويل، أو تأنيث مذكر على التأويل وليس للشاعر أنْ يحذفَ ما اتفق له ولا أنْ يزيد ما شاء بل لذلك أُصول يعمل عليها</w:t>
      </w:r>
      <w:r>
        <w:rPr>
          <w:rFonts w:eastAsia="IRNazanin" w:cs="IRNazanin"/>
          <w:color w:val="111111"/>
          <w:sz w:val="28"/>
          <w:szCs w:val="28"/>
          <w:rtl w:val="true"/>
          <w:lang w:bidi="fa-IR"/>
        </w:rPr>
        <w:t>))</w:t>
      </w:r>
      <w:r>
        <w:rPr>
          <w:rStyle w:val="FootnoteAnchor"/>
          <w:rtl w:val="true"/>
        </w:rPr>
        <w:footnoteReference w:id="734"/>
      </w:r>
      <w:r>
        <w:rPr>
          <w:rFonts w:ascii="Amiri" w:hAnsi="Amiri" w:eastAsia="Amiri" w:cs="Amiri"/>
          <w:color w:val="111111"/>
          <w:sz w:val="28"/>
          <w:sz w:val="28"/>
          <w:szCs w:val="28"/>
          <w:rtl w:val="true"/>
          <w:lang w:bidi="ar-SA"/>
        </w:rPr>
        <w:t xml:space="preserve">، وقد راعى تلك الُأصولَ </w:t>
      </w:r>
    </w:p>
    <w:p>
      <w:pPr>
        <w:pStyle w:val="BookText"/>
        <w:rPr/>
      </w:pPr>
      <w:r>
        <w:rPr>
          <w:rFonts w:ascii="IRNazanin" w:hAnsi="IRNazanin" w:eastAsia="IRNazanin"/>
          <w:color w:val="111111"/>
          <w:sz w:val="28"/>
          <w:sz w:val="28"/>
          <w:szCs w:val="28"/>
          <w:rtl w:val="true"/>
          <w:lang w:bidi="fa-IR"/>
        </w:rPr>
        <w:t>أغلبُ من جاء بعده من العلماء منهم السیرافي</w:t>
      </w:r>
      <w:r>
        <w:rPr>
          <w:rStyle w:val="FootnoteAnchor"/>
          <w:rtl w:val="true"/>
        </w:rPr>
        <w:footnoteReference w:id="735"/>
      </w:r>
      <w:r>
        <w:rPr>
          <w:rFonts w:ascii="IRNazanin" w:hAnsi="IRNazanin" w:eastAsia="IRNazanin"/>
          <w:color w:val="111111"/>
          <w:sz w:val="28"/>
          <w:sz w:val="28"/>
          <w:szCs w:val="28"/>
          <w:rtl w:val="true"/>
          <w:lang w:bidi="fa-IR"/>
        </w:rPr>
        <w:t>، وابن عصفور</w:t>
      </w:r>
      <w:r>
        <w:rPr>
          <w:rStyle w:val="FootnoteAnchor"/>
          <w:rtl w:val="true"/>
        </w:rPr>
        <w:footnoteReference w:id="736"/>
      </w:r>
      <w:r>
        <w:rPr>
          <w:rFonts w:ascii="Amiri" w:hAnsi="Amiri" w:eastAsia="Amiri" w:cs="Amiri"/>
          <w:color w:val="111111"/>
          <w:sz w:val="28"/>
          <w:sz w:val="28"/>
          <w:szCs w:val="28"/>
          <w:rtl w:val="true"/>
          <w:lang w:bidi="ar-SA"/>
        </w:rPr>
        <w:t>، وأبو حيان</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سار هذا الباب في عرض القواعد النحوية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إلى تلك التقسيمات وإن استدعى تنظيم المنهج تقسيمه على فصلین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على الضرورة الشعرية فيما أُثبِتَ في الكلام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على الضرورة الشعرية فيما اعتوره الحذف ومسائل أُخر</w:t>
      </w:r>
      <w:r>
        <w:rPr>
          <w:rFonts w:eastAsia="Amiri" w:cs="Amiri" w:ascii="Amiri" w:hAnsi="Amiri"/>
          <w:color w:val="111111"/>
          <w:sz w:val="28"/>
          <w:szCs w:val="28"/>
          <w:rtl w:val="true"/>
          <w:lang w:bidi="ar-SA"/>
        </w:rPr>
        <w:t xml:space="preserve">: </w:t>
      </w:r>
      <w:bookmarkStart w:id="166" w:name="pg7031_80957"/>
    </w:p>
    <w:p>
      <w:pPr>
        <w:pStyle w:val="Heading3"/>
        <w:numPr>
          <w:ilvl w:val="2"/>
          <w:numId w:val="1"/>
        </w:numPr>
        <w:rPr/>
      </w:pPr>
      <w:bookmarkStart w:id="167" w:name="__RefHeading___Toc2958338_372815092"/>
      <w:bookmarkStart w:id="168" w:name="_Toc55"/>
      <w:bookmarkEnd w:id="166"/>
      <w:bookmarkEnd w:id="167"/>
      <w:r>
        <w:rPr>
          <w:rtl w:val="true"/>
        </w:rPr>
        <w:t>الفصل الأول ما حُمِل على الضرورة الشعرية فيما أُثبِتَ في الكلام</w:t>
      </w:r>
      <w:bookmarkEnd w:id="16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9" w:name="__RefHeading___Toc2958340_372815092"/>
      <w:bookmarkStart w:id="170" w:name="_Toc56"/>
      <w:bookmarkEnd w:id="169"/>
      <w:r>
        <w:rPr>
          <w:rtl w:val="true"/>
        </w:rPr>
        <w:t>اشارة</w:t>
      </w:r>
      <w:bookmarkEnd w:id="17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7031_80959"/>
      <w:bookmarkStart w:id="172" w:name="pg7031_80959"/>
      <w:bookmarkEnd w:id="172"/>
    </w:p>
    <w:p>
      <w:pPr>
        <w:pStyle w:val="Heading4"/>
        <w:numPr>
          <w:ilvl w:val="3"/>
          <w:numId w:val="1"/>
        </w:numPr>
        <w:rPr/>
      </w:pPr>
      <w:bookmarkStart w:id="173" w:name="pg7031_80959"/>
      <w:bookmarkStart w:id="174" w:name="__RefHeading___Toc2958342_372815092"/>
      <w:bookmarkStart w:id="175" w:name="_Toc57"/>
      <w:bookmarkEnd w:id="173"/>
      <w:bookmarkEnd w:id="174"/>
      <w:r>
        <w:rPr>
          <w:rtl w:val="true"/>
        </w:rPr>
        <w:t>المسألة الأولى</w:t>
      </w:r>
      <w:r>
        <w:rPr>
          <w:rtl w:val="true"/>
        </w:rPr>
        <w:t xml:space="preserve">: </w:t>
      </w:r>
      <w:r>
        <w:rPr>
          <w:rtl w:val="true"/>
        </w:rPr>
        <w:t xml:space="preserve">جواز توكيد جواب الشرط ب </w:t>
      </w:r>
      <w:r>
        <w:rPr>
          <w:rtl w:val="true"/>
        </w:rPr>
        <w:t>(</w:t>
      </w:r>
      <w:r>
        <w:rPr>
          <w:rtl w:val="true"/>
        </w:rPr>
        <w:t>نون</w:t>
      </w:r>
      <w:r>
        <w:rPr>
          <w:rtl w:val="true"/>
        </w:rPr>
        <w:t xml:space="preserve">) </w:t>
      </w:r>
      <w:r>
        <w:rPr>
          <w:rtl w:val="true"/>
        </w:rPr>
        <w:t>التوكيد</w:t>
      </w:r>
      <w:r>
        <w:rPr>
          <w:rtl w:val="true"/>
        </w:rPr>
        <w:t>:</w:t>
      </w:r>
      <w:bookmarkEnd w:id="175"/>
    </w:p>
    <w:p>
      <w:pPr>
        <w:pStyle w:val="BookText"/>
        <w:rPr/>
      </w:pPr>
      <w:r>
        <w:rPr>
          <w:rFonts w:ascii="IRNazanin" w:hAnsi="IRNazanin" w:eastAsia="IRNazanin"/>
          <w:color w:val="111111"/>
          <w:sz w:val="28"/>
          <w:sz w:val="28"/>
          <w:szCs w:val="28"/>
          <w:rtl w:val="true"/>
          <w:lang w:bidi="fa-IR"/>
        </w:rPr>
        <w:t>للتوكيد في العربية أنماط مختلفة وأساليب متعددة من ذلك التوكيد بنونَی التوكيد الثقيلة أو الخفيفة، وهما حرفان من حروف المعاني قد اتفق النحويون على دلالتهما على التوكيد، وإنْ كان التوكيد بالثقيلة أشدَّ دلالةً كما نُقل عن الخليل</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دار خلافٌ بین النحويین في أصلهما، فذهب البصريون إلى أنهما أصلان، على حین يرى الكوفيون أنَّ المشددة هي الأصل</w:t>
      </w:r>
      <w:r>
        <w:rPr>
          <w:rStyle w:val="FootnoteAnchor"/>
          <w:rtl w:val="true"/>
        </w:rPr>
        <w:footnoteReference w:id="739"/>
      </w:r>
      <w:r>
        <w:rPr>
          <w:rFonts w:ascii="IRNazanin" w:hAnsi="IRNazanin" w:eastAsia="IRNazanin"/>
          <w:color w:val="111111"/>
          <w:sz w:val="28"/>
          <w:sz w:val="28"/>
          <w:szCs w:val="28"/>
          <w:rtl w:val="true"/>
          <w:lang w:bidi="fa-IR"/>
        </w:rPr>
        <w:t>، وهما حرفان یختصان بالدخول على الأفعال، فيؤكَّد بهما الفعل المضارع جوازًا أو وجوبًا</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المواضع التي اختلف فيها النحويون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التوكيد في جواب الشرط، فقد ذهب فريق منهم إلى أنّ هذا التوكيد إنّما يجوز في الشعر لا في النثر، وفي هذا قال سيبويه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الجزاء، وذلك قليلٌ في الشعر، شبهوه بالنهي حین كان مجزومًا غیر واجب</w:t>
      </w:r>
      <w:r>
        <w:rPr>
          <w:rFonts w:eastAsia="IRNazanin" w:cs="IRNazanin"/>
          <w:color w:val="111111"/>
          <w:sz w:val="28"/>
          <w:szCs w:val="28"/>
          <w:rtl w:val="true"/>
          <w:lang w:bidi="fa-IR"/>
        </w:rPr>
        <w:t>))</w:t>
      </w:r>
      <w:r>
        <w:rPr>
          <w:rStyle w:val="FootnoteAnchor"/>
          <w:rtl w:val="true"/>
        </w:rPr>
        <w:footnoteReference w:id="741"/>
      </w:r>
      <w:r>
        <w:rPr>
          <w:rFonts w:ascii="Amiri" w:hAnsi="Amiri" w:eastAsia="Amiri" w:cs="Amiri"/>
          <w:color w:val="111111"/>
          <w:sz w:val="28"/>
          <w:sz w:val="28"/>
          <w:szCs w:val="28"/>
          <w:rtl w:val="true"/>
          <w:lang w:bidi="ar-SA"/>
        </w:rPr>
        <w:t>نحو قول الشاعر كميل بن معروف</w:t>
      </w:r>
      <w:r>
        <w:rPr>
          <w:rStyle w:val="FootnoteAnchor"/>
          <w:rtl w:val="true"/>
        </w:rPr>
        <w:footnoteReference w:id="7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فمهما تَشَأ مِنْهُ فَزارةُ تُعْطِكُمْ ومهما تَشَأ مِنْه فزارَةُ تَمْنَعَا </w:t>
      </w:r>
    </w:p>
    <w:p>
      <w:pPr>
        <w:pStyle w:val="BookText"/>
        <w:rPr/>
      </w:pPr>
      <w:r>
        <w:rPr>
          <w:rFonts w:ascii="Amiri" w:hAnsi="Amiri" w:eastAsia="Amiri" w:cs="Amiri"/>
          <w:color w:val="111111"/>
          <w:sz w:val="28"/>
          <w:sz w:val="28"/>
          <w:szCs w:val="28"/>
          <w:rtl w:val="true"/>
          <w:lang w:bidi="ar-SA"/>
        </w:rPr>
        <w:t>وقد انتهج مذهبَ سيبويه هذا جمعٌ من علماء العربية منهم الفرّاء وهو يعرض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مَسَاكِنَكُمْ لَا يَحْطِمَنَّكُمْ سُلَيْمَانُ وَجُنُودُهُ</w:t>
      </w:r>
      <w:r>
        <w:rPr>
          <w:rFonts w:eastAsia="Amiri" w:cs="Amiri" w:ascii="Amiri" w:hAnsi="Amiri"/>
          <w:color w:val="111111"/>
          <w:sz w:val="28"/>
          <w:szCs w:val="28"/>
          <w:rtl w:val="true"/>
          <w:lang w:bidi="ar-SA"/>
        </w:rPr>
        <w:t>»</w:t>
      </w:r>
      <w:r>
        <w:rPr>
          <w:rStyle w:val="FootnoteAnchor"/>
          <w:rtl w:val="true"/>
        </w:rPr>
        <w:footnoteReference w:id="743"/>
      </w:r>
      <w:r>
        <w:rPr>
          <w:rStyle w:val="FootnoteAnchor"/>
          <w:rtl w:val="true"/>
        </w:rPr>
        <w:footnoteReference w:id="744"/>
      </w:r>
      <w:r>
        <w:rPr>
          <w:rFonts w:ascii="Amiri" w:hAnsi="Amiri" w:eastAsia="Amiri" w:cs="Amiri"/>
          <w:color w:val="111111"/>
          <w:sz w:val="28"/>
          <w:sz w:val="28"/>
          <w:szCs w:val="28"/>
          <w:rtl w:val="true"/>
          <w:lang w:bidi="ar-SA"/>
        </w:rPr>
        <w:t>، والمبرّدُ</w:t>
      </w:r>
      <w:r>
        <w:rPr>
          <w:rStyle w:val="FootnoteAnchor"/>
          <w:rtl w:val="true"/>
        </w:rPr>
        <w:footnoteReference w:id="745"/>
      </w:r>
      <w:r>
        <w:rPr>
          <w:rFonts w:ascii="IRNazanin" w:hAnsi="IRNazanin" w:eastAsia="IRNazanin"/>
          <w:color w:val="111111"/>
          <w:sz w:val="28"/>
          <w:sz w:val="28"/>
          <w:szCs w:val="28"/>
          <w:rtl w:val="true"/>
          <w:lang w:bidi="fa-IR"/>
        </w:rPr>
        <w:t>، وابنُ السراج</w:t>
      </w:r>
      <w:r>
        <w:rPr>
          <w:rStyle w:val="FootnoteAnchor"/>
          <w:rtl w:val="true"/>
        </w:rPr>
        <w:footnoteReference w:id="746"/>
      </w:r>
      <w:r>
        <w:rPr>
          <w:rFonts w:ascii="Amiri" w:hAnsi="Amiri" w:eastAsia="Amiri" w:cs="Amiri"/>
          <w:color w:val="111111"/>
          <w:sz w:val="28"/>
          <w:sz w:val="28"/>
          <w:szCs w:val="28"/>
          <w:rtl w:val="true"/>
          <w:lang w:bidi="ar-SA"/>
        </w:rPr>
        <w:t>، والسرافي</w:t>
      </w:r>
      <w:r>
        <w:rPr>
          <w:rStyle w:val="FootnoteAnchor"/>
          <w:rtl w:val="true"/>
        </w:rPr>
        <w:footnoteReference w:id="747"/>
      </w:r>
      <w:r>
        <w:rPr>
          <w:rFonts w:ascii="Amiri" w:hAnsi="Amiri" w:eastAsia="Amiri" w:cs="Amiri"/>
          <w:color w:val="111111"/>
          <w:sz w:val="28"/>
          <w:sz w:val="28"/>
          <w:szCs w:val="28"/>
          <w:rtl w:val="true"/>
          <w:lang w:bidi="ar-SA"/>
        </w:rPr>
        <w:t>، وأبو علي الفارسي</w:t>
      </w:r>
      <w:r>
        <w:rPr>
          <w:rStyle w:val="FootnoteAnchor"/>
          <w:rtl w:val="true"/>
        </w:rPr>
        <w:footnoteReference w:id="748"/>
      </w:r>
      <w:r>
        <w:rPr>
          <w:rFonts w:ascii="IRNazanin" w:hAnsi="IRNazanin" w:eastAsia="IRNazanin"/>
          <w:color w:val="111111"/>
          <w:sz w:val="28"/>
          <w:sz w:val="28"/>
          <w:szCs w:val="28"/>
          <w:rtl w:val="true"/>
          <w:lang w:bidi="fa-IR"/>
        </w:rPr>
        <w:t xml:space="preserve">، والقزّاز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صاح الدين 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وأبو البركات الأنباري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والزمخشري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وابن الحاجب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وعلماء آخرون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حمل الشاهد الشعري على الضرورة الشعرية لا يمنع من تعليله وبيان وجهه في العربية،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يضطرون إليه إلا وهم يحاولون به وجهًا</w:t>
      </w:r>
      <w:r>
        <w:rPr>
          <w:rFonts w:eastAsia="Amiri" w:cs="Amiri" w:ascii="Amiri" w:hAnsi="Amiri"/>
          <w:color w:val="111111"/>
          <w:sz w:val="28"/>
          <w:szCs w:val="28"/>
          <w:rtl w:val="true"/>
          <w:lang w:bidi="ar-SA"/>
        </w:rPr>
        <w:t>))</w:t>
      </w:r>
      <w:r>
        <w:rPr>
          <w:rStyle w:val="FootnoteAnchor"/>
          <w:rtl w:val="true"/>
        </w:rPr>
        <w:footnoteReference w:id="750"/>
      </w:r>
      <w:r>
        <w:rPr>
          <w:rFonts w:ascii="IRNazanin" w:hAnsi="IRNazanin" w:eastAsia="IRNazanin"/>
          <w:color w:val="111111"/>
          <w:sz w:val="28"/>
          <w:sz w:val="28"/>
          <w:szCs w:val="28"/>
          <w:rtl w:val="true"/>
          <w:lang w:bidi="fa-IR"/>
        </w:rPr>
        <w:t xml:space="preserve">، ومن هنا ذهب علماء العربية إلى أنَّ علة توكيد جواب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مما لا يجوز في سعة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مشابهته للنهي، وقد فسَّر هذا أبو علي الفارسي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شبهوا الجزاء لمّا أدخل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بالنهي؛ لأن الجزاء فعل مجزوم كما أنَّ النهي فعل مجزوم وهو غیر واجب كما أنَّ النهي غیر واجب</w:t>
      </w:r>
      <w:r>
        <w:rPr>
          <w:rFonts w:eastAsia="IRNazanin" w:cs="IRNazanin"/>
          <w:color w:val="111111"/>
          <w:sz w:val="28"/>
          <w:szCs w:val="28"/>
          <w:rtl w:val="true"/>
          <w:lang w:bidi="fa-IR"/>
        </w:rPr>
        <w:t>))</w:t>
      </w:r>
      <w:r>
        <w:rPr>
          <w:rStyle w:val="FootnoteAnchor"/>
          <w:rtl w:val="true"/>
        </w:rPr>
        <w:footnoteReference w:id="751"/>
      </w:r>
      <w:r>
        <w:rPr>
          <w:rFonts w:ascii="Amiri" w:hAnsi="Amiri" w:eastAsia="Amiri" w:cs="Amiri"/>
          <w:color w:val="111111"/>
          <w:sz w:val="28"/>
          <w:sz w:val="28"/>
          <w:szCs w:val="28"/>
          <w:rtl w:val="true"/>
          <w:lang w:bidi="ar-SA"/>
        </w:rPr>
        <w:t xml:space="preserve">، أي إنَّ العلة علة مشابهة، فالعرب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يشبِّهون الشيء بالشيء وإن لم يكن مثله في جميع الأشياء</w:t>
      </w:r>
      <w:r>
        <w:rPr>
          <w:rFonts w:eastAsia="Amiri" w:cs="Amiri" w:ascii="Amiri" w:hAnsi="Amiri"/>
          <w:color w:val="111111"/>
          <w:sz w:val="28"/>
          <w:szCs w:val="28"/>
          <w:rtl w:val="true"/>
          <w:lang w:bidi="ar-SA"/>
        </w:rPr>
        <w:t>))</w:t>
      </w:r>
      <w:r>
        <w:rPr>
          <w:rStyle w:val="FootnoteAnchor"/>
          <w:rtl w:val="true"/>
        </w:rPr>
        <w:footnoteReference w:id="752"/>
      </w:r>
      <w:r>
        <w:rPr>
          <w:rFonts w:ascii="IRNazanin" w:hAnsi="IRNazanin" w:eastAsia="IRNazanin"/>
          <w:color w:val="111111"/>
          <w:sz w:val="28"/>
          <w:sz w:val="28"/>
          <w:szCs w:val="28"/>
          <w:rtl w:val="true"/>
          <w:lang w:bidi="fa-IR"/>
        </w:rPr>
        <w:t>، وبحسب هذا الفهم فالمفترض أنْ يكون هذا داعيًا إلى قبول هذا التوكيد في غیر الشعر لا قصره عليه، ولعلّ الذي دعاهم إلى هذا هو نقص استقرائهم وعدم التقصّي بدقة عن شواهد في غیر الشعر؛ لأنَّ الشواهد على تلك المسألة كثیرة من القرآن الكريم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الشواهد القرآنية في هذا الباب</w:t>
      </w:r>
      <w:r>
        <w:rPr>
          <w:rStyle w:val="FootnoteAnchor"/>
          <w:rtl w:val="true"/>
        </w:rPr>
        <w:footnoteReference w:id="753"/>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رَبَّنَا ظَلَمْنَا أَنْفُسَنَا وَإِنْ لَمْ تَغْفِرْ لَنَا وَتَرْحَمْنَا لَنَكُونَنَّ مِنَ الْخَاسِرِينَ </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 وَمَا مِنْ إِلَهٍ إِلَّا إِلَهٌ وَاحِدٌ وَإِنْ لَمْ يَنْتَهُوا عَمَّا يَقُولُونَ لَيَمَسَّنَّ الَّذِينَ كَفَرُوا مِنْهُمْ عَذَابٌ أَلِيمٌ</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على النحويین أنْ يستندوا إلى هذه النصوص القرآنية وسواها في تعديل القاعدة النحوية؛ فالضوابط النحوية يجب أنْ تخضع للنصوص الفصيحة المسموعة وتستند إليها وليس العكس، لكنّهم تمسكوا بما تقرَّر لديهم محاولین تأويل هذه النصوص على الحذف والتقدير، بل جزم ابن السراج بعدم جواز توكيد جواب الشرط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التوكيد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تأتِني لأفعلن</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وإيضاح ما تقدَّم أنَّ النحويین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الخروج من تضارب السماع والقياس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ذهبوا إلى أنَّ الفعل المؤكَّد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لم يقع في جواب الشرط، بل وقع في جواب قسَمٍ دلَّتْ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الموطِّئة للقسم المحذوفة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هذا يكون التركيب قائمًا على الشرط، إلا أنَّ جوابه قد حُذِفَ لدلالة جواب </w:t>
      </w:r>
    </w:p>
    <w:p>
      <w:pPr>
        <w:pStyle w:val="BookText"/>
        <w:rPr/>
      </w:pPr>
      <w:r>
        <w:rPr>
          <w:rFonts w:ascii="IRNazanin" w:hAnsi="IRNazanin" w:eastAsia="IRNazanin"/>
          <w:color w:val="111111"/>
          <w:sz w:val="28"/>
          <w:sz w:val="28"/>
          <w:szCs w:val="28"/>
          <w:rtl w:val="true"/>
          <w:lang w:bidi="fa-IR"/>
        </w:rPr>
        <w:t xml:space="preserve">القسم المقدَّر عليه، لحذف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الموطِّئة للقسم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وتأكيدهم على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الموطِّئة للقسم إنما أصله الخلاف في جواز وقوع الجواب للشرط مع تقدَّم القسم عليه، فإنَّ الثابت لدى أكثر النحويین أنه إذا اجتمع الشرط والقسم فإنَّ الجواب للسابق منهما؛ قال سيبويه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أتيتني لأُكرمنَّك، وإن لم تأتني لأغمنَّك، جاز لأنَّه في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أتيتني لأُكرمنَّك، ولئن لم تأتني لأغمنَّك، ولا بد من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أو مظهرة؛ لأنها لليمین، كأنك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أتيتني لأُكرمنَّك</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الرأي لم يصمد أمام كثرة الشواهد النحوية المخالفة لما قرّروه</w:t>
      </w:r>
      <w:r>
        <w:rPr>
          <w:rStyle w:val="FootnoteAnchor"/>
          <w:rtl w:val="true"/>
        </w:rPr>
        <w:footnoteReference w:id="758"/>
      </w:r>
      <w:r>
        <w:rPr>
          <w:rFonts w:ascii="IRNazanin" w:hAnsi="IRNazanin" w:eastAsia="IRNazanin"/>
          <w:color w:val="111111"/>
          <w:sz w:val="28"/>
          <w:sz w:val="28"/>
          <w:szCs w:val="28"/>
          <w:rtl w:val="true"/>
          <w:lang w:bidi="fa-IR"/>
        </w:rPr>
        <w:t xml:space="preserve">، هذا من وجه، ومن وجه آخر فإنَّهم في الوقت الذي يُصرُّون فيه على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الموطِّئة للقسم كي يسوّغوا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فعل الجواب نجدهم حین يُجاب القسم بالشرط يحملون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الموطِّئة على الزيادة أو على الضرورة الشعرية</w:t>
      </w:r>
      <w:r>
        <w:rPr>
          <w:rStyle w:val="FootnoteAnchor"/>
          <w:rtl w:val="true"/>
        </w:rPr>
        <w:footnoteReference w:id="759"/>
      </w:r>
      <w:r>
        <w:rPr>
          <w:rFonts w:ascii="Amiri" w:hAnsi="Amiri" w:eastAsia="Amiri" w:cs="Amiri"/>
          <w:color w:val="111111"/>
          <w:sz w:val="28"/>
          <w:sz w:val="28"/>
          <w:szCs w:val="28"/>
          <w:rtl w:val="true"/>
          <w:lang w:bidi="ar-SA"/>
        </w:rPr>
        <w:t xml:space="preserve">، وفي هذا خلط واضح وجِلي أساسه تقديم القاعدة والقياس على أدلة السماع الموثوق بها، لهذا تراهم قد ذهبوا في توجيه الأفعال التي اقترنت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 في جواب الشرط على تقدير القسم</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تقدَّم كلِّه كان ينبغي الوقوف عند تلك الشواهد والنظر في سياقاتها والقرائن المحيطة بها للوصول إلى ضوابط نحوية تؤسس لقاعدة عامة بلا إغفال لما يتفرّع </w:t>
      </w:r>
    </w:p>
    <w:p>
      <w:pPr>
        <w:pStyle w:val="BookText"/>
        <w:rPr/>
      </w:pPr>
      <w:r>
        <w:rPr>
          <w:rFonts w:ascii="IRNazanin" w:hAnsi="IRNazanin" w:eastAsia="IRNazanin"/>
          <w:color w:val="111111"/>
          <w:sz w:val="28"/>
          <w:sz w:val="28"/>
          <w:szCs w:val="28"/>
          <w:rtl w:val="true"/>
          <w:lang w:bidi="fa-IR"/>
        </w:rPr>
        <w:t xml:space="preserve">منها من مسائل استنادًا إلى الموروث اللغوي المحتج به، وإذا كان استقراء النحويین قد أوصلهم إلى قاعدة ترى إجابة المتقدم من الشرط والقسم واجبة عند اجتماعهما فإنَّ ورود عدد من الشواهد العلوية التي جاء فيها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تقدّم القسم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مُجابًا بالشرط تخرق ذلك الاستقراء وتنقضه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تقرَّر هذا فإنَّ للقرائن الدلالية المحيطة بالنص أثرًا في فهمه وبيان المراد منه؛ لهذا فإنَّ توجيه تلك النصوص على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الموطِّئة للقسم فيه بُعد وتكلّف، إذ التركيب لم يكن بحاجة إلى توكيد الشرط والقسم عليه، فمدار الكلام في آية سورة الأعراف هو الحديث عن قصة نبيِّنا آدم وحواء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 خشيتهما من الخسران المهدِّد لهم؛ لذا عمدَ النص الكريم إلى توكيد الفعل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لأنهما يخافان تحققه ووقوعه، لكنّهما يطمعان بغفران ذنوبهما والعفو عنهما؛ لهذا لم يُقسما على هذا، وهذا ما دعاهما إلى التذلّل والمسكنة للتعبیر عمّا صدر عنها من المخالفة؛ لهذا عبر القرآن الكريم عن حالهما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تَغْفِرْ لَنَا وَتَرْحَمْنَا لَنَكُونَنَّ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الحياة يهددنا وقد أطلَّ بنا وما له من دافع إلا مغفرتك للذنب الصادر عنا وغشيانك إيانا بعد ذلك برحمتك وهي السعادة لمِا أنَّ الانسان بل كل موجود مصنوع يشعر بفطرته المغروزة أنَّ من شأن الأشياء الواقعة في منزل الوجود ومسیر البقاء أن تستتم ما يعرضها من النقص والعيب، وإن السبب الجابر لهذا الكسر هو الله سبحانه وحده فهو من عادة الربوبية</w:t>
      </w:r>
      <w:r>
        <w:rPr>
          <w:rFonts w:eastAsia="IRNazanin" w:cs="IRNazanin"/>
          <w:color w:val="111111"/>
          <w:sz w:val="28"/>
          <w:szCs w:val="28"/>
          <w:rtl w:val="true"/>
          <w:lang w:bidi="fa-IR"/>
        </w:rPr>
        <w:t>))</w:t>
      </w:r>
      <w:r>
        <w:rPr>
          <w:rStyle w:val="FootnoteAnchor"/>
          <w:rtl w:val="true"/>
        </w:rPr>
        <w:footnoteReference w:id="762"/>
      </w:r>
      <w:r>
        <w:rPr>
          <w:rFonts w:ascii="Amiri" w:hAnsi="Amiri" w:eastAsia="Amiri" w:cs="Amiri"/>
          <w:color w:val="111111"/>
          <w:sz w:val="28"/>
          <w:sz w:val="28"/>
          <w:szCs w:val="28"/>
          <w:rtl w:val="true"/>
          <w:lang w:bidi="ar-SA"/>
        </w:rPr>
        <w:t>، وبهذا يكون فعل الشرط قد أُجيب بالقسم</w:t>
      </w:r>
      <w:r>
        <w:rPr>
          <w:rStyle w:val="FootnoteAnchor"/>
          <w:rtl w:val="true"/>
        </w:rPr>
        <w:footnoteReference w:id="763"/>
      </w:r>
      <w:r>
        <w:rPr>
          <w:rFonts w:ascii="IRNazanin" w:hAnsi="IRNazanin" w:eastAsia="IRNazanin"/>
          <w:color w:val="111111"/>
          <w:sz w:val="28"/>
          <w:sz w:val="28"/>
          <w:szCs w:val="28"/>
          <w:rtl w:val="true"/>
          <w:lang w:bidi="fa-IR"/>
        </w:rPr>
        <w:t xml:space="preserve">بفعل مؤكَّد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التوكيد، وما يعضُد هذا أنَّ القرآن الكريم أشار إلى قصة النبي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فقال الله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إِنِّی أَعُوذُ بِكَ أَنْ أَسْأَلَكَ مَا لَيْسَ لِی بِهِ عِلْمٌ وَإِلَّا تَغْفِرْ لِی وَتَرْحَمْنِي أَكُنْ مِنَ الْخَاسِرِينَ</w:t>
      </w:r>
      <w:r>
        <w:rPr>
          <w:rFonts w:eastAsia="Amiri" w:cs="Amiri" w:ascii="Amiri" w:hAnsi="Amiri"/>
          <w:color w:val="111111"/>
          <w:sz w:val="28"/>
          <w:szCs w:val="28"/>
          <w:rtl w:val="true"/>
          <w:lang w:bidi="ar-SA"/>
        </w:rPr>
        <w:t>»</w:t>
      </w:r>
      <w:r>
        <w:rPr>
          <w:rStyle w:val="FootnoteAnchor"/>
          <w:rtl w:val="true"/>
        </w:rPr>
        <w:footnoteReference w:id="764"/>
      </w:r>
      <w:r>
        <w:rPr>
          <w:rFonts w:ascii="IRNazanin" w:hAnsi="IRNazanin" w:eastAsia="IRNazanin"/>
          <w:color w:val="111111"/>
          <w:sz w:val="28"/>
          <w:sz w:val="28"/>
          <w:szCs w:val="28"/>
          <w:rtl w:val="true"/>
          <w:lang w:bidi="fa-IR"/>
        </w:rPr>
        <w:t xml:space="preserve">، فلم يذهب النص إلى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الموطئة للقسم، بل جاء على الشرط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تغفر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كغیره من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يطمع في مغفرة الله تعالى ورحمته؛ لذا لم يؤكَّد الشرط المنفي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الحال في آية سورة المائدة فإنَّ الذي دعا إلى أن يُعتنى بتوكيد جواب الرط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التوكيد دون توكيد الشرط هو مراعاة السياق وظروف المقال أيضًا، فإنَّ توكيد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إنما جاء لبيان أنَّ مستحِق العقوبة هو من أصرَّ على فعلته، وتنبيهًا على أنَّ العذاب هو جزاء مَن دام على الكفر ولم ينقلع عنه</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فمدارُ القول وأهميته تشديد العقوبة على هذا الصنف من الناس، أمّا الذين لم ينتهوا فلهم فرصة في التوبة والعودة إلى الصواب؛ لهذا لم يكن ثمة ما يدعو إلى التوكيد والتشديد باستعمال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الموطِّئة للقسم، ودليل هذا أن الله تعالى قال في عَقب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يَتُوبُونَ إلى اللَّ ويَسْتَغْفِرُونَه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الشواهد العلوية على هذه المسألة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 في قسمة الأرزاق بین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رَأَى أَحَدُكُمْ لِأَخِيهِ غَفِیرَةً فِی أَهْلٍ أَوْ مَالٍ أَوْ نَفْسٍ؛ فَلاَ تَكُونَنَّ لَهُ فِتْنَةً</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النهي عن الحسد بأنّ من يرى عند أخيه زيادةً أو نماءً في أمرٍ ما فلا يحمله ذلك على الافتنان المُفضي إلى الحسد والغیرة</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مَن نظر </w:t>
      </w:r>
    </w:p>
    <w:p>
      <w:pPr>
        <w:pStyle w:val="BookText"/>
        <w:rPr/>
      </w:pPr>
      <w:r>
        <w:rPr>
          <w:rFonts w:ascii="Amiri" w:hAnsi="Amiri" w:eastAsia="Amiri" w:cs="Amiri"/>
          <w:color w:val="111111"/>
          <w:sz w:val="28"/>
          <w:sz w:val="28"/>
          <w:szCs w:val="28"/>
          <w:rtl w:val="true"/>
          <w:lang w:bidi="ar-SA"/>
        </w:rPr>
        <w:t>في أحوال الدنيا إلى من فوقه يستحقر ما عنده من نعم الله، فيكون ذلك فتنة عليه</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xml:space="preserve">، فالتعليق الشرطي قائم في التركيب بدليل أنَّ الإمام قرنَ النهي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جملة جواب الشرط، وقد جاء فعلها مؤكَّدًا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مقطع من كتاب إلى مالك الأشتر</w:t>
      </w:r>
      <w:r>
        <w:rPr>
          <w:rStyle w:val="FootnoteAnchor"/>
          <w:rtl w:val="true"/>
        </w:rPr>
        <w:footnoteReference w:id="7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ابْتُلِيتَ بِخَطإٍ، وأفْرَط عَلَيْكَ سَوْطُكَ أوْ سَيْفُكَ أوْ يَدُكَ بِالْعُقُوبَةِ، فَإِنَّ فِی الْوَكْزَةِ فَما فَوْقَها مَقْتَلَةً، فلا تطْمَحَنَّ بِكَ نَخْوَةُ سُلْطانِكَ عَنْ أَنْ تُؤَدِّيَ إلى أَوْلِياءِ المَقْتُولِ حَقّهُمْ</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كتاب العین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جواب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ابتُليت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مؤكَّدًا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 لأن مدار القول وأهميته تقع على جواب الشرط المتمثلة دلالته بضرورة النهي عن التكبرّ والتسلط على أولياء المقتول، والامتناع عن أداء حق ولي المقتول</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حِكَمه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وَضَعَ نَفْسَهُ مَوَاضِعَ التُّهَمَةِ فَلاَ يَلُومَنَّ مَنْ أَسَاءَ بِهِ الظَّنَّ</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الشرط، وجوابه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فلايلومن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فعلها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والمؤكَّد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والنحويون يقدِّرون في مثل هذه الشواهد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موطِّئة للقسم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xml:space="preserve">، وهذا لا يصح مع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ممّا تربط فعلَ الشرط بجوابِه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ما يدحض تلك التقديرات كثرة الشواهد النثرية من القرآن الكريم وكلام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كافية للرد على من قال بالضرورة، ولهذا ذهب ابن مالك إلى جوازه في سعة الكلام</w:t>
      </w:r>
      <w:r>
        <w:rPr>
          <w:rStyle w:val="FootnoteAnchor"/>
          <w:rtl w:val="true"/>
        </w:rPr>
        <w:footnoteReference w:id="774"/>
      </w:r>
      <w:r>
        <w:rPr>
          <w:rFonts w:ascii="Amiri" w:hAnsi="Amiri" w:eastAsia="Amiri" w:cs="Amiri"/>
          <w:color w:val="111111"/>
          <w:sz w:val="28"/>
          <w:sz w:val="28"/>
          <w:szCs w:val="28"/>
          <w:rtl w:val="true"/>
          <w:lang w:bidi="ar-SA"/>
        </w:rPr>
        <w:t>، وتابعه الرضي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اختيارًا في جواب الشرط</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وهو ما رآه ناظر الجيش</w:t>
      </w:r>
      <w:r>
        <w:rPr>
          <w:rStyle w:val="FootnoteAnchor"/>
          <w:rtl w:val="true"/>
        </w:rPr>
        <w:footnoteReference w:id="776"/>
      </w:r>
      <w:r>
        <w:rPr>
          <w:rFonts w:ascii="Amiri" w:hAnsi="Amiri" w:eastAsia="Amiri" w:cs="Amiri"/>
          <w:color w:val="111111"/>
          <w:sz w:val="28"/>
          <w:sz w:val="28"/>
          <w:szCs w:val="28"/>
          <w:rtl w:val="true"/>
          <w:lang w:bidi="ar-SA"/>
        </w:rPr>
        <w:t xml:space="preserve">، والشاطبي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وارتضاه الُأشموني</w:t>
      </w:r>
      <w:r>
        <w:rPr>
          <w:rStyle w:val="FootnoteAnchor"/>
          <w:rtl w:val="true"/>
        </w:rPr>
        <w:footnoteReference w:id="778"/>
      </w:r>
      <w:r>
        <w:rPr>
          <w:rFonts w:ascii="IRNazanin" w:hAnsi="IRNazanin" w:eastAsia="IRNazanin"/>
          <w:color w:val="111111"/>
          <w:sz w:val="28"/>
          <w:sz w:val="28"/>
          <w:szCs w:val="28"/>
          <w:rtl w:val="true"/>
          <w:lang w:bidi="fa-IR"/>
        </w:rPr>
        <w:t>، وتبنّاه من المحدثین الدكتور خليل بنيان الحسون</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وصفوة ما ورد آنفًا أنَّ القسم يصح أنْ يقع جوابًا للشرط، ولا داعي إلى تكلّف التقدير والتأويل؛ لأنه ليس من الصواب أن يُعمدَ إلى تأويل تلك النصوص النحوية الكثیرة، وممّا ينتج عن وقوع هذا القسم في الجواب توكيد الفعل المضارع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التوكيد، فأصل المسألة هو جواز وقوع القسم جوابًا للشرط، وهو ما تحقق بورود الفعل مسبوقًا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الناهية، لهذا جاء الفعل المضارع مؤكَّدًا جوازًا</w:t>
      </w:r>
      <w:r>
        <w:rPr>
          <w:rStyle w:val="FootnoteAnchor"/>
          <w:rtl w:val="true"/>
        </w:rPr>
        <w:footnoteReference w:id="780"/>
      </w:r>
      <w:r>
        <w:rPr>
          <w:rFonts w:ascii="Amiri" w:hAnsi="Amiri" w:eastAsia="Amiri" w:cs="Amiri"/>
          <w:color w:val="111111"/>
          <w:sz w:val="28"/>
          <w:sz w:val="28"/>
          <w:szCs w:val="28"/>
          <w:rtl w:val="true"/>
          <w:lang w:bidi="ar-SA"/>
        </w:rPr>
        <w:t>لأنَّ مدار الكلام معتمِدٌ على الجواب ومنعقِدٌ على توكيده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واستنادًا إلى ما تقدَّم ذكرُه يمكن إعادة صوغ القاعدة النحوية بالآتي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توكيد جواب الشرط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التوكيد في السعة والاختيار استنادًا إلى ما ورد في نهج </w:t>
      </w:r>
      <w:bookmarkStart w:id="176" w:name="pg7031_80967"/>
    </w:p>
    <w:p>
      <w:pPr>
        <w:pStyle w:val="BookText"/>
        <w:rPr/>
      </w:pPr>
      <w:bookmarkEnd w:id="176"/>
      <w:r>
        <w:rPr>
          <w:rFonts w:ascii="Amiri" w:hAnsi="Amiri" w:eastAsia="Amiri" w:cs="Amiri"/>
          <w:color w:val="111111"/>
          <w:sz w:val="28"/>
          <w:sz w:val="28"/>
          <w:szCs w:val="28"/>
          <w:rtl w:val="true"/>
          <w:lang w:bidi="ar-SA"/>
        </w:rPr>
        <w:t>البلاغة فضلاً عن القرآن الكريم</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958344_372815092"/>
      <w:bookmarkStart w:id="178" w:name="_Toc58"/>
      <w:bookmarkEnd w:id="177"/>
      <w:r>
        <w:rPr>
          <w:rtl w:val="true"/>
        </w:rPr>
        <w:t>المسألة الثانية</w:t>
      </w:r>
      <w:r>
        <w:rPr>
          <w:rtl w:val="true"/>
        </w:rPr>
        <w:t>:</w:t>
      </w:r>
      <w:r>
        <w:rPr>
          <w:rtl w:val="true"/>
        </w:rPr>
        <w:t xml:space="preserve">جواز إبقاء ألف </w:t>
      </w:r>
      <w:r>
        <w:rPr>
          <w:rtl w:val="true"/>
        </w:rPr>
        <w:t>(</w:t>
      </w:r>
      <w:r>
        <w:rPr>
          <w:rtl w:val="true"/>
        </w:rPr>
        <w:t>ما</w:t>
      </w:r>
      <w:r>
        <w:rPr>
          <w:rtl w:val="true"/>
        </w:rPr>
        <w:t xml:space="preserve">) </w:t>
      </w:r>
      <w:r>
        <w:rPr>
          <w:rtl w:val="true"/>
        </w:rPr>
        <w:t>الاستفهامية عند جرها بحرف الجر</w:t>
      </w:r>
      <w:r>
        <w:rPr>
          <w:rtl w:val="true"/>
        </w:rPr>
        <w:t>:</w:t>
      </w:r>
      <w:bookmarkEnd w:id="178"/>
    </w:p>
    <w:p>
      <w:pPr>
        <w:pStyle w:val="BookText"/>
        <w:rPr/>
      </w:pPr>
      <w:r>
        <w:rPr>
          <w:rFonts w:ascii="IRNazanin" w:hAnsi="IRNazanin" w:eastAsia="IRNazanin"/>
          <w:color w:val="111111"/>
          <w:sz w:val="28"/>
          <w:sz w:val="28"/>
          <w:szCs w:val="28"/>
          <w:rtl w:val="true"/>
          <w:lang w:bidi="fa-IR"/>
        </w:rPr>
        <w:t xml:space="preserve">قرَّر النحويون أنَّ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الاستفهامية تُحذف إذا سُبِقت بحرف جر، على أنْ تبقى الفتحة دليلاً عليها، وتعليل هذا الحذف إما للفرق بین الاستفهامية والموصولة</w:t>
      </w:r>
      <w:r>
        <w:rPr>
          <w:rStyle w:val="FootnoteAnchor"/>
          <w:rtl w:val="true"/>
        </w:rPr>
        <w:footnoteReference w:id="781"/>
      </w:r>
      <w:r>
        <w:rPr>
          <w:rFonts w:ascii="Amiri" w:hAnsi="Amiri" w:eastAsia="Amiri" w:cs="Amiri"/>
          <w:color w:val="111111"/>
          <w:sz w:val="28"/>
          <w:sz w:val="28"/>
          <w:szCs w:val="28"/>
          <w:rtl w:val="true"/>
          <w:lang w:bidi="ar-SA"/>
        </w:rPr>
        <w:t>، أو للتخفيف لكثرة الاستعمال</w:t>
      </w:r>
      <w:r>
        <w:rPr>
          <w:rStyle w:val="FootnoteAnchor"/>
          <w:rtl w:val="true"/>
        </w:rPr>
        <w:footnoteReference w:id="782"/>
      </w:r>
      <w:r>
        <w:rPr>
          <w:rFonts w:ascii="Amiri" w:hAnsi="Amiri" w:eastAsia="Amiri" w:cs="Amiri"/>
          <w:color w:val="111111"/>
          <w:sz w:val="28"/>
          <w:sz w:val="28"/>
          <w:szCs w:val="28"/>
          <w:rtl w:val="true"/>
          <w:lang w:bidi="ar-SA"/>
        </w:rPr>
        <w:t xml:space="preserve">، أو للدلالة على التركيب؛ إذ إنَّ تركيب حرف الجر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يصيِّرهما ككلمةٍ واحدة موضوعة للاستفهام للحفاظ على صدارة الاستفهام</w:t>
      </w:r>
      <w:r>
        <w:rPr>
          <w:rStyle w:val="FootnoteAnchor"/>
          <w:rtl w:val="true"/>
        </w:rPr>
        <w:footnoteReference w:id="783"/>
      </w:r>
      <w:r>
        <w:rPr>
          <w:rFonts w:ascii="Amiri" w:hAnsi="Amiri" w:eastAsia="Amiri" w:cs="Amiri"/>
          <w:color w:val="111111"/>
          <w:sz w:val="28"/>
          <w:sz w:val="28"/>
          <w:szCs w:val="28"/>
          <w:rtl w:val="true"/>
          <w:lang w:bidi="ar-SA"/>
        </w:rPr>
        <w:t xml:space="preserve">، على أنَّ وجوبَ حذف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مقصورٌ على المجرورة بحرف الجر، أما المجرورة بالإضافة في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ما جئت، فالحذف ليس لازمًا</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اختلفت آراء العلماء في حكم هذا الحذف، فقد ذهب ابن جني إلى أنَّ حذف الألف لغة ضعيفة</w:t>
      </w:r>
      <w:r>
        <w:rPr>
          <w:rStyle w:val="FootnoteAnchor"/>
          <w:rtl w:val="true"/>
        </w:rPr>
        <w:footnoteReference w:id="785"/>
      </w:r>
      <w:r>
        <w:rPr>
          <w:rFonts w:ascii="IRNazanin" w:hAnsi="IRNazanin" w:eastAsia="IRNazanin"/>
          <w:color w:val="111111"/>
          <w:sz w:val="28"/>
          <w:sz w:val="28"/>
          <w:szCs w:val="28"/>
          <w:rtl w:val="true"/>
          <w:lang w:bidi="fa-IR"/>
        </w:rPr>
        <w:t>، وأشار آخرون إلى أنّه واجب</w:t>
      </w:r>
      <w:r>
        <w:rPr>
          <w:rStyle w:val="FootnoteAnchor"/>
          <w:rtl w:val="true"/>
        </w:rPr>
        <w:footnoteReference w:id="786"/>
      </w:r>
      <w:r>
        <w:rPr>
          <w:rFonts w:ascii="Amiri" w:hAnsi="Amiri" w:eastAsia="Amiri" w:cs="Amiri"/>
          <w:color w:val="111111"/>
          <w:sz w:val="28"/>
          <w:sz w:val="28"/>
          <w:szCs w:val="28"/>
          <w:rtl w:val="true"/>
          <w:lang w:bidi="ar-SA"/>
        </w:rPr>
        <w:t xml:space="preserve">، ورأى الثعالبي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سنن العربية</w:t>
      </w:r>
      <w:r>
        <w:rPr>
          <w:rStyle w:val="FootnoteAnchor"/>
          <w:rtl w:val="true"/>
        </w:rPr>
        <w:footnoteReference w:id="787"/>
      </w:r>
      <w:r>
        <w:rPr>
          <w:rFonts w:ascii="Amiri" w:hAnsi="Amiri" w:eastAsia="Amiri" w:cs="Amiri"/>
          <w:color w:val="111111"/>
          <w:sz w:val="28"/>
          <w:sz w:val="28"/>
          <w:szCs w:val="28"/>
          <w:rtl w:val="true"/>
          <w:lang w:bidi="ar-SA"/>
        </w:rPr>
        <w:t>، وللزمخشري رأيان في توجيه هذا الحذف، فرأى في أحدهما أنَّ إثبات الألف جائز</w:t>
      </w:r>
      <w:r>
        <w:rPr>
          <w:rStyle w:val="FootnoteAnchor"/>
          <w:rtl w:val="true"/>
        </w:rPr>
        <w:footnoteReference w:id="788"/>
      </w:r>
      <w:r>
        <w:rPr>
          <w:rFonts w:ascii="Amiri" w:hAnsi="Amiri" w:eastAsia="Amiri" w:cs="Amiri"/>
          <w:color w:val="111111"/>
          <w:sz w:val="28"/>
          <w:sz w:val="28"/>
          <w:szCs w:val="28"/>
          <w:rtl w:val="true"/>
          <w:lang w:bidi="ar-SA"/>
        </w:rPr>
        <w:t>، وأشار في الآخر إلى أنّ اثباتها قليلٌ شاذ</w:t>
      </w:r>
      <w:r>
        <w:rPr>
          <w:rStyle w:val="FootnoteAnchor"/>
          <w:rtl w:val="true"/>
        </w:rPr>
        <w:footnoteReference w:id="789"/>
      </w:r>
      <w:r>
        <w:rPr>
          <w:rFonts w:ascii="Amiri" w:hAnsi="Amiri" w:eastAsia="Amiri" w:cs="Amiri"/>
          <w:color w:val="111111"/>
          <w:sz w:val="28"/>
          <w:sz w:val="28"/>
          <w:szCs w:val="28"/>
          <w:rtl w:val="true"/>
          <w:lang w:bidi="ar-SA"/>
        </w:rPr>
        <w:t>، وقد عدَّه السيوطي حذفًا مَقيسًا</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الوجوب النحوي في تلك المسألة منتقِضًا بعدد من الشواهد الشعرية التي جاءت فيها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مثبتة بالرغم من جرها بحرف الجر في مثل قول حسان بن ثابت</w:t>
      </w:r>
      <w:r>
        <w:rPr>
          <w:rStyle w:val="FootnoteAnchor"/>
          <w:rtl w:val="true"/>
        </w:rPr>
        <w:footnoteReference w:id="7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قَامَ يَشْتمنِی لئيم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كخنزيرٍ تَمرّغ فِی رَمادِ ذهب جملة من النحویين إلى حمل هذا الإثبات على الضرورة الشعرية وقصروه عليها، ومن بينهم القزّاز</w:t>
      </w:r>
      <w:r>
        <w:rPr>
          <w:rStyle w:val="FootnoteAnchor"/>
          <w:rtl w:val="true"/>
        </w:rPr>
        <w:footnoteReference w:id="792"/>
      </w:r>
      <w:r>
        <w:rPr>
          <w:rFonts w:ascii="Amiri" w:hAnsi="Amiri" w:eastAsia="Amiri" w:cs="Amiri"/>
          <w:color w:val="111111"/>
          <w:sz w:val="28"/>
          <w:sz w:val="28"/>
          <w:szCs w:val="28"/>
          <w:rtl w:val="true"/>
          <w:lang w:bidi="ar-SA"/>
        </w:rPr>
        <w:t>، والعكبري</w:t>
      </w:r>
      <w:r>
        <w:rPr>
          <w:rStyle w:val="FootnoteAnchor"/>
          <w:rtl w:val="true"/>
        </w:rPr>
        <w:footnoteReference w:id="793"/>
      </w:r>
      <w:r>
        <w:rPr>
          <w:rFonts w:ascii="Amiri" w:hAnsi="Amiri" w:eastAsia="Amiri" w:cs="Amiri"/>
          <w:color w:val="111111"/>
          <w:sz w:val="28"/>
          <w:sz w:val="28"/>
          <w:szCs w:val="28"/>
          <w:rtl w:val="true"/>
          <w:lang w:bidi="ar-SA"/>
        </w:rPr>
        <w:t>، وأبو حيان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والمشهور أنَّ إثبات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إذا دخل عليها حرف جر، مختص بالضرورة</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ذلك ابن هشام</w:t>
      </w:r>
      <w:r>
        <w:rPr>
          <w:rStyle w:val="FootnoteAnchor"/>
          <w:rtl w:val="true"/>
        </w:rPr>
        <w:footnoteReference w:id="795"/>
      </w:r>
      <w:r>
        <w:rPr>
          <w:rFonts w:ascii="Amiri" w:hAnsi="Amiri" w:eastAsia="Amiri" w:cs="Amiri"/>
          <w:color w:val="111111"/>
          <w:sz w:val="28"/>
          <w:sz w:val="28"/>
          <w:szCs w:val="28"/>
          <w:rtl w:val="true"/>
          <w:lang w:bidi="ar-SA"/>
        </w:rPr>
        <w:t>، والُأشموني</w:t>
      </w:r>
      <w:r>
        <w:rPr>
          <w:rStyle w:val="FootnoteAnchor"/>
          <w:rtl w:val="true"/>
        </w:rPr>
        <w:footnoteReference w:id="796"/>
      </w:r>
      <w:r>
        <w:rPr>
          <w:rFonts w:ascii="Amiri" w:hAnsi="Amiri" w:eastAsia="Amiri" w:cs="Amiri"/>
          <w:color w:val="111111"/>
          <w:sz w:val="28"/>
          <w:sz w:val="28"/>
          <w:szCs w:val="28"/>
          <w:rtl w:val="true"/>
          <w:lang w:bidi="ar-SA"/>
        </w:rPr>
        <w:t>، وخالد الأزهري</w:t>
      </w:r>
      <w:r>
        <w:rPr>
          <w:rStyle w:val="FootnoteAnchor"/>
          <w:rtl w:val="true"/>
        </w:rPr>
        <w:footnoteReference w:id="797"/>
      </w:r>
      <w:r>
        <w:rPr>
          <w:rFonts w:ascii="IRNazanin" w:hAnsi="IRNazanin" w:eastAsia="IRNazanin"/>
          <w:color w:val="111111"/>
          <w:sz w:val="28"/>
          <w:sz w:val="28"/>
          <w:szCs w:val="28"/>
          <w:rtl w:val="true"/>
          <w:lang w:bidi="fa-IR"/>
        </w:rPr>
        <w:t xml:space="preserve">، ومن المحدَثین محمود شكري الآلوسي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798"/>
      </w:r>
      <w:r>
        <w:rPr>
          <w:rFonts w:ascii="Amiri" w:hAnsi="Amiri" w:eastAsia="Amiri" w:cs="Amiri"/>
          <w:color w:val="111111"/>
          <w:sz w:val="28"/>
          <w:sz w:val="28"/>
          <w:szCs w:val="28"/>
          <w:rtl w:val="true"/>
          <w:lang w:bidi="ar-SA"/>
        </w:rPr>
        <w:t xml:space="preserve">، وأحمد الحملاوي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99"/>
      </w:r>
      <w:r>
        <w:rPr>
          <w:rFonts w:ascii="IRNazanin" w:hAnsi="IRNazanin" w:eastAsia="IRNazanin"/>
          <w:color w:val="111111"/>
          <w:sz w:val="28"/>
          <w:sz w:val="28"/>
          <w:szCs w:val="28"/>
          <w:rtl w:val="true"/>
          <w:lang w:bidi="fa-IR"/>
        </w:rPr>
        <w:t>، وعبد السلام هارون</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عند جرها بحرف الجر لم يكن مقتصرًا على الشعر فقط، بل هو وارد في الموروث اللغوي الفصيح، فقد جاء في مواطن متعددة من الحديث النبوي الشريف، هذا فضلاً عن مجيئه في قراءة عيسى وعكرمة التي مرّ ذكرها، من ذلك قول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أَهْلَلْتَ يَا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أَهَلَّ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 وَامْكُثْ حَرَامًا كَمَا أَنْتَ</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لَيَأْتِیَنَّ عَلَى النَّاسِ زَمَانٌ لَا يُبَالِی الْمَرْءُ بِمَا أَخَذَ مِنَ الْمَالِ، أمِنْ حالٍ أم مِن حَرامٍ</w:t>
      </w:r>
      <w:r>
        <w:rPr>
          <w:rFonts w:eastAsia="Amiri" w:cs="Amiri" w:ascii="Amiri" w:hAnsi="Amiri"/>
          <w:color w:val="111111"/>
          <w:sz w:val="28"/>
          <w:szCs w:val="28"/>
          <w:rtl w:val="true"/>
          <w:lang w:bidi="ar-SA"/>
        </w:rPr>
        <w:t>))</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وقع نظر عدد من النحويین على بعض هذه الشواهد فاستند إليها في تجويز هذا الاثبات مطلقًا، ولعلّ الفراء يقف في مقدمتهم،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وصلت بحرفٍ خافضٍ نُقصت الألف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ليعرف الاستفهام من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يتساءَلُونَ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أتممتها </w:t>
      </w:r>
    </w:p>
    <w:p>
      <w:pPr>
        <w:pStyle w:val="BookText"/>
        <w:rPr/>
      </w:pPr>
      <w:r>
        <w:rPr>
          <w:rFonts w:ascii="IRNazanin" w:hAnsi="IRNazanin" w:eastAsia="IRNazanin"/>
          <w:color w:val="111111"/>
          <w:sz w:val="28"/>
          <w:sz w:val="28"/>
          <w:szCs w:val="28"/>
          <w:rtl w:val="true"/>
          <w:lang w:bidi="fa-IR"/>
        </w:rPr>
        <w:t>فصواب</w:t>
      </w:r>
      <w:r>
        <w:rPr>
          <w:rFonts w:eastAsia="IRNazanin" w:cs="IRNazanin"/>
          <w:color w:val="111111"/>
          <w:sz w:val="28"/>
          <w:szCs w:val="28"/>
          <w:rtl w:val="true"/>
          <w:lang w:bidi="fa-IR"/>
        </w:rPr>
        <w:t>))</w:t>
      </w:r>
      <w:r>
        <w:rPr>
          <w:rStyle w:val="FootnoteAnchor"/>
          <w:rtl w:val="true"/>
        </w:rPr>
        <w:footnoteReference w:id="803"/>
      </w:r>
      <w:r>
        <w:rPr>
          <w:rFonts w:ascii="Amiri" w:hAnsi="Amiri" w:eastAsia="Amiri" w:cs="Amiri"/>
          <w:color w:val="111111"/>
          <w:sz w:val="28"/>
          <w:sz w:val="28"/>
          <w:szCs w:val="28"/>
          <w:rtl w:val="true"/>
          <w:lang w:bidi="ar-SA"/>
        </w:rPr>
        <w:t>، وأخذ به الزمخشري في أحد قولَيه</w:t>
      </w:r>
      <w:r>
        <w:rPr>
          <w:rStyle w:val="FootnoteAnchor"/>
          <w:rtl w:val="true"/>
        </w:rPr>
        <w:footnoteReference w:id="804"/>
      </w:r>
      <w:r>
        <w:rPr>
          <w:rFonts w:ascii="Amiri" w:hAnsi="Amiri" w:eastAsia="Amiri" w:cs="Amiri"/>
          <w:color w:val="111111"/>
          <w:sz w:val="28"/>
          <w:sz w:val="28"/>
          <w:szCs w:val="28"/>
          <w:rtl w:val="true"/>
          <w:lang w:bidi="ar-SA"/>
        </w:rPr>
        <w:t xml:space="preserve">وقد مرَّ ذكره، وصَّرح بمثل هذا الرازي في توجيه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Style w:val="FootnoteAnchor"/>
          <w:rtl w:val="true"/>
        </w:rPr>
        <w:footnoteReference w:id="805"/>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أيَّد ذلك أيضّا ابن مالك بعد أنِ احتجَّ له بقِسمٍ من الشواهد الحديثية التي ذكرتُها، ورأى جواز إثبات الألف إلا أنه حكم عليها بالشذوذ، إذ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وشذ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أهللت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يبالي المرء با اخذ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عرف مما عوده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المواضع الثلاثة استفهامية مجرورة فحقّها أنْ تُحذفَ ألفها فرقًا بينها وبین الموصولة</w:t>
      </w:r>
      <w:r>
        <w:rPr>
          <w:rFonts w:eastAsia="IRNazanin" w:cs="IRNazanin"/>
          <w:color w:val="111111"/>
          <w:sz w:val="28"/>
          <w:szCs w:val="28"/>
          <w:rtl w:val="true"/>
          <w:lang w:bidi="fa-IR"/>
        </w:rPr>
        <w:t>))</w:t>
      </w:r>
      <w:r>
        <w:rPr>
          <w:rStyle w:val="FootnoteAnchor"/>
          <w:rtl w:val="true"/>
        </w:rPr>
        <w:footnoteReference w:id="807"/>
      </w:r>
      <w:r>
        <w:rPr>
          <w:rFonts w:ascii="Amiri" w:hAnsi="Amiri" w:eastAsia="Amiri" w:cs="Amiri"/>
          <w:color w:val="111111"/>
          <w:sz w:val="28"/>
          <w:sz w:val="28"/>
          <w:szCs w:val="28"/>
          <w:rtl w:val="true"/>
          <w:lang w:bidi="ar-SA"/>
        </w:rPr>
        <w:t xml:space="preserve">، ثم حمل بيت حسّان على الاختيار لا الاضطرار لإمكانه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قام</w:t>
      </w:r>
      <w:r>
        <w:rPr>
          <w:rFonts w:eastAsia="Amiri" w:cs="Amiri" w:ascii="Amiri" w:hAnsi="Amiri"/>
          <w:color w:val="111111"/>
          <w:sz w:val="28"/>
          <w:szCs w:val="28"/>
          <w:rtl w:val="true"/>
          <w:lang w:bidi="ar-SA"/>
        </w:rPr>
        <w:t>...)</w:t>
      </w:r>
      <w:r>
        <w:rPr>
          <w:rStyle w:val="FootnoteAnchor"/>
          <w:rtl w:val="true"/>
        </w:rPr>
        <w:footnoteReference w:id="808"/>
      </w:r>
      <w:r>
        <w:rPr>
          <w:rFonts w:ascii="IRNazanin" w:hAnsi="IRNazanin" w:eastAsia="IRNazanin"/>
          <w:color w:val="111111"/>
          <w:sz w:val="28"/>
          <w:sz w:val="28"/>
          <w:szCs w:val="28"/>
          <w:rtl w:val="true"/>
          <w:lang w:bidi="fa-IR"/>
        </w:rPr>
        <w:t xml:space="preserve">، وابن مالك في حُكمِه على تلك الشواهد بالشذوذ يُخالف المنهج الذي سار عليه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عمد فيه إلى تعديل الكثیر من القواعد النحوية احتكامًا إلى نصوص الحديث النبوي الشريف، وهذا ما نبّه عليه محقق الكتاب الدكتور طه محسن</w:t>
      </w:r>
      <w:r>
        <w:rPr>
          <w:rStyle w:val="FootnoteAnchor"/>
          <w:rtl w:val="true"/>
        </w:rPr>
        <w:footnoteReference w:id="809"/>
      </w:r>
      <w:r>
        <w:rPr>
          <w:rFonts w:ascii="Amiri" w:hAnsi="Amiri" w:eastAsia="Amiri" w:cs="Amiri"/>
          <w:color w:val="111111"/>
          <w:sz w:val="28"/>
          <w:sz w:val="28"/>
          <w:szCs w:val="28"/>
          <w:rtl w:val="true"/>
          <w:lang w:bidi="ar-SA"/>
        </w:rPr>
        <w:t>، على أنَّ وصف الشاهد الحديثي في هذه المسألة بالشذوذ لم يقتصر على ابن مالك بل سبقه في ذلك العكبري أيضًا</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لي مما تقدم أنَّ القصد بشذوذ الشواهد الحديثية خروجها عن الباب </w:t>
      </w:r>
    </w:p>
    <w:p>
      <w:pPr>
        <w:pStyle w:val="BookText"/>
        <w:rPr/>
      </w:pPr>
      <w:r>
        <w:rPr>
          <w:rFonts w:ascii="IRNazanin" w:hAnsi="IRNazanin" w:eastAsia="IRNazanin"/>
          <w:color w:val="111111"/>
          <w:sz w:val="28"/>
          <w:sz w:val="28"/>
          <w:szCs w:val="28"/>
          <w:rtl w:val="true"/>
          <w:lang w:bidi="fa-IR"/>
        </w:rPr>
        <w:t>وقياس النحويین، إلا أنَّها لم تشذ في استعمال العرب ولاسيما عند فُصَحائِهم وبُلَغائِهم، وهذا ما نصَّ عليه ابن السراج فذكر أنواع الشاذ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والشاذ على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 شذَّ عن بابه وقياسه ولم يشذ في استعمال العرب له</w:t>
      </w:r>
      <w:r>
        <w:rPr>
          <w:rFonts w:eastAsia="IRNazanin" w:cs="IRNazanin"/>
          <w:color w:val="111111"/>
          <w:sz w:val="28"/>
          <w:szCs w:val="28"/>
          <w:rtl w:val="true"/>
          <w:lang w:bidi="fa-IR"/>
        </w:rPr>
        <w:t>))</w:t>
      </w:r>
      <w:r>
        <w:rPr>
          <w:rStyle w:val="FootnoteAnchor"/>
          <w:rtl w:val="true"/>
        </w:rPr>
        <w:footnoteReference w:id="811"/>
      </w:r>
      <w:r>
        <w:rPr>
          <w:rFonts w:ascii="Amiri" w:hAnsi="Amiri" w:eastAsia="Amiri" w:cs="Amiri"/>
          <w:color w:val="111111"/>
          <w:sz w:val="28"/>
          <w:sz w:val="28"/>
          <w:szCs w:val="28"/>
          <w:rtl w:val="true"/>
          <w:lang w:bidi="ar-SA"/>
        </w:rPr>
        <w:t xml:space="preserve">لذا يجب أنْ يُستنَد إلى تلك الشواهد في تعديل القاعدة النحوية، لأنها بُنِيت على استقراء ناقص؛ لأنَّ من أنماط الشاذ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 المقبول؛ فهو الذي يجيء على خلاف القياس، ويُقبل عند الفُصَحاء، والبُلَغاء</w:t>
      </w:r>
      <w:r>
        <w:rPr>
          <w:rFonts w:eastAsia="Amiri" w:cs="Amiri" w:ascii="Amiri" w:hAnsi="Amiri"/>
          <w:color w:val="111111"/>
          <w:sz w:val="28"/>
          <w:szCs w:val="28"/>
          <w:rtl w:val="true"/>
          <w:lang w:bidi="ar-SA"/>
        </w:rPr>
        <w:t>))</w:t>
      </w:r>
      <w:r>
        <w:rPr>
          <w:rStyle w:val="FootnoteAnchor"/>
          <w:rtl w:val="true"/>
        </w:rPr>
        <w:footnoteReference w:id="812"/>
      </w:r>
      <w:r>
        <w:rPr>
          <w:rFonts w:ascii="IRNazanin" w:hAnsi="IRNazanin" w:eastAsia="IRNazanin"/>
          <w:color w:val="111111"/>
          <w:sz w:val="28"/>
          <w:sz w:val="28"/>
          <w:szCs w:val="28"/>
          <w:rtl w:val="true"/>
          <w:lang w:bidi="fa-IR"/>
        </w:rPr>
        <w:t xml:space="preserve">، ولاشك في أنَّ النبيَّ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أفصحُ من نطق بالضاد، ويحدِّث الناس بما يعرفون وبما هو شائع عندهم؛ لذا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الشاذ هو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في كلام العرب كثیرًا لكن بخلاف القياس</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فالاحتكامُ إلى ما سُمِعَ في تعديل أقيسة النحويین أصلٌ يُعتدُّ به</w:t>
      </w:r>
      <w:r>
        <w:rPr>
          <w:rStyle w:val="FootnoteAnchor"/>
          <w:rtl w:val="true"/>
        </w:rPr>
        <w:footnoteReference w:id="814"/>
      </w:r>
      <w:r>
        <w:rPr>
          <w:rFonts w:ascii="Amiri" w:hAnsi="Amiri" w:eastAsia="Amiri" w:cs="Amiri"/>
          <w:color w:val="111111"/>
          <w:sz w:val="28"/>
          <w:sz w:val="28"/>
          <w:szCs w:val="28"/>
          <w:rtl w:val="true"/>
          <w:lang w:bidi="ar-SA"/>
        </w:rPr>
        <w:t>، ومن أجل هذا ذهب الفراء إلى تجويز هذا الاثبات مطلقًا من دون قصره على لغة الشعر، وهو منطق صائب وسليم يفرضه الواقع اللغوي المؤيِّد لهذا الإثبات الذي وردَ في النثر الفصيح من كلام العرب</w:t>
      </w:r>
      <w:r>
        <w:rPr>
          <w:rStyle w:val="FootnoteAnchor"/>
          <w:rtl w:val="true"/>
        </w:rPr>
        <w:footnoteReference w:id="815"/>
      </w:r>
      <w:r>
        <w:rPr>
          <w:rFonts w:ascii="Amiri" w:hAnsi="Amiri" w:eastAsia="Amiri" w:cs="Amiri"/>
          <w:color w:val="111111"/>
          <w:sz w:val="28"/>
          <w:sz w:val="28"/>
          <w:szCs w:val="28"/>
          <w:rtl w:val="true"/>
          <w:lang w:bidi="ar-SA"/>
        </w:rPr>
        <w:t>، الأمر الذي جعل الرضي يحكم على هذا الحذف بالجواز لا الوجوب</w:t>
      </w:r>
      <w:r>
        <w:rPr>
          <w:rStyle w:val="FootnoteAnchor"/>
          <w:rtl w:val="true"/>
        </w:rPr>
        <w:footnoteReference w:id="816"/>
      </w:r>
      <w:r>
        <w:rPr>
          <w:rFonts w:ascii="Amiri" w:hAnsi="Amiri" w:eastAsia="Amiri" w:cs="Amiri"/>
          <w:color w:val="111111"/>
          <w:sz w:val="28"/>
          <w:sz w:val="28"/>
          <w:szCs w:val="28"/>
          <w:rtl w:val="true"/>
          <w:lang w:bidi="ar-SA"/>
        </w:rPr>
        <w:t xml:space="preserve">، ولهذا فإنَّ الَأولى تصحيحُ القاعدة بالاستناد إلى ما سُمِعَ وإن كانت قياسًا، وهذا ما عليه الأَزهري الذي وصف المسألة بالضرورة في موضع، لكنَّه صرَّح في موضع آخر بجواز ورودها في الشعر والنثر مستندًا في ذلك </w:t>
      </w:r>
    </w:p>
    <w:p>
      <w:pPr>
        <w:pStyle w:val="BookText"/>
        <w:rPr/>
      </w:pPr>
      <w:r>
        <w:rPr>
          <w:rFonts w:ascii="Amiri" w:hAnsi="Amiri" w:eastAsia="Amiri" w:cs="Amiri"/>
          <w:color w:val="111111"/>
          <w:sz w:val="28"/>
          <w:sz w:val="28"/>
          <w:szCs w:val="28"/>
          <w:rtl w:val="true"/>
          <w:lang w:bidi="ar-SA"/>
        </w:rPr>
        <w:t>إلى قراءة عكرمة وعيسى</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ما تقدَّم أنَّ إثبات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عند سبقها بحرف الجر في غر التركيب ليس وقفًا على لغة الشعر، بل هو وارد في النثر في أفصح النصوص وأبلغها أيضا، من ذلك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اِلهي وَرَبّی وَسَيِّدِي وَمَوْلايَ لأَيِّ الْأُمُورِ اِلَيْكَ أَشْكُو؟ وَلِا مِنْها أَضِجُّ وَاَبْكي؟ لأَليمِ الْعَذابِ وَشِدَّتِهِ، أمْ لِطُولِ الْبَلاءِ وَمُدَّتِهِ؟</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النحويون قد امتنعوا من توجيه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دلاليًا؛ لأنَّهم يعدّونه اضطرارًا يلجأ إليه الشاعر للهروب من عيوب الوزن على رأي من حمل الضرورة على هذا المعنى</w:t>
      </w:r>
      <w:r>
        <w:rPr>
          <w:rStyle w:val="FootnoteAnchor"/>
          <w:rtl w:val="true"/>
        </w:rPr>
        <w:footnoteReference w:id="819"/>
      </w:r>
      <w:r>
        <w:rPr>
          <w:rFonts w:ascii="IRNazanin" w:hAnsi="IRNazanin" w:eastAsia="IRNazanin"/>
          <w:color w:val="111111"/>
          <w:sz w:val="28"/>
          <w:sz w:val="28"/>
          <w:szCs w:val="28"/>
          <w:rtl w:val="true"/>
          <w:lang w:bidi="fa-IR"/>
        </w:rPr>
        <w:t xml:space="preserve">فإنَّ بوسعنا الاستدلال بالسياق لبيان ذلك، إذ إنَّ الناظر في الشواهد التي وردت آنفًا يجد أنَّ ثمة جامعًا مشركًا بينها وهو وجود القرينة الدالة على استفهامية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أحد الأسباب التي يذكرها النحويون على وجوب حذف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الاستفهامية، فهم يسعَون إلى إيجاد دليل للفرق بین الاستفهامية والموصولة، والدليل واضح وموجود فيما ورد من شواهد،وهي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المعادلة والسياق، فهما كافيان لبيان استفهامية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الحاجة إلى حذف ألفها؛ لذا يمكننا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المعادلة كما كانت شرطًا يدل على همزة الاستفهام المحذوفة يمكن الاستدلال بها على تحديد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الاستفهامية من الخبرية، فالشيء يردُ مع نظیره كما يردُ مع نقيضه كما قال ابن جني</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bookmarkStart w:id="179" w:name="pg7031_80973"/>
    </w:p>
    <w:p>
      <w:pPr>
        <w:pStyle w:val="BookText"/>
        <w:rPr/>
      </w:pPr>
      <w:bookmarkEnd w:id="179"/>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الإثبات في قراءة عكرمة وعيسى،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موجود وواضح، وهو السياق، فإنّ الإجابة التي وردت في الآية اللاحقة دليلٌ على الاستفهام،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نصل إلى تعديل القاعدة النحوية في ضوء تلك النصوص الفصيحة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في السَّعة والاختيار بشرط أمن اللبس وإيضاح المُراد لورود ذلك في نهج البلاغة</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2958346_372815092"/>
      <w:bookmarkStart w:id="181" w:name="_Toc59"/>
      <w:bookmarkEnd w:id="180"/>
      <w:r>
        <w:rPr>
          <w:rtl w:val="true"/>
        </w:rPr>
        <w:t>المسألة الثالثة</w:t>
      </w:r>
      <w:r>
        <w:rPr>
          <w:rtl w:val="true"/>
        </w:rPr>
        <w:t xml:space="preserve">: </w:t>
      </w:r>
      <w:r>
        <w:rPr>
          <w:rtl w:val="true"/>
        </w:rPr>
        <w:t xml:space="preserve">جواز اقتران خبر </w:t>
      </w:r>
      <w:r>
        <w:rPr>
          <w:rtl w:val="true"/>
        </w:rPr>
        <w:t>(</w:t>
      </w:r>
      <w:r>
        <w:rPr>
          <w:rtl w:val="true"/>
        </w:rPr>
        <w:t>كاد</w:t>
      </w:r>
      <w:r>
        <w:rPr>
          <w:rtl w:val="true"/>
        </w:rPr>
        <w:t xml:space="preserve">) </w:t>
      </w:r>
      <w:r>
        <w:rPr>
          <w:rtl w:val="true"/>
        </w:rPr>
        <w:t xml:space="preserve">ب </w:t>
      </w:r>
      <w:r>
        <w:rPr>
          <w:rtl w:val="true"/>
        </w:rPr>
        <w:t>(</w:t>
      </w:r>
      <w:r>
        <w:rPr>
          <w:rtl w:val="true"/>
        </w:rPr>
        <w:t>أنْ</w:t>
      </w:r>
      <w:r>
        <w:rPr>
          <w:rtl w:val="true"/>
        </w:rPr>
        <w:t>):</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من الافعال الناسخة يدخل على الجملة الإسمية، فيرفع المبتدأ اسمًا له، ويكون الخبر خبرًا له في موضع نصب، وهو من أفعال المقاربة،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زيد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قارب القيام ولم يقُم</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منع النحويون وقوع خبره اسمًا حملًا على ما يناظره في المعنى،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xml:space="preserve">لذا فالغالب في خبره أن يكون فعلاً مضارعًا متجردًا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تخلص الفعل للاستقبال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للقرب فيتدافع المعنيان</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أقيسة علماء العربية لم تمنع الشعراء من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w:t>
      </w:r>
    </w:p>
    <w:p>
      <w:pPr>
        <w:pStyle w:val="BookText"/>
        <w:rPr/>
      </w:pPr>
      <w:r>
        <w:rPr>
          <w:rFonts w:ascii="Amiri" w:hAnsi="Amiri" w:eastAsia="Amiri" w:cs="Amiri"/>
          <w:color w:val="111111"/>
          <w:sz w:val="28"/>
          <w:sz w:val="28"/>
          <w:szCs w:val="28"/>
          <w:rtl w:val="true"/>
          <w:lang w:bidi="ar-SA"/>
        </w:rPr>
        <w:t>وردت بعض الشواهد الشعرية مخالفةً لما قرروه من ذلك قول رؤبة</w:t>
      </w:r>
      <w:r>
        <w:rPr>
          <w:rStyle w:val="FootnoteAnchor"/>
          <w:rtl w:val="true"/>
        </w:rPr>
        <w:footnoteReference w:id="8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 الشيء مصوحا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عفا مِن بَعد ما قَد امَّحَى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كادَ مِن طول البلى أنْ يَمْصحا لهذا قرر سيبويه أنه محمول على الضرورة الشعرية،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وكدتُ أنْ أفعلَ لا يجوز إلا في شعر؛ لأنَّه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فاعلًا ويكون فاعلًا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وأكَّد ذلك في موضع آخر محتجًا ببيت رؤبة المذكور آنفًا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من تعليل سيبويه أنَّه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خبرهما لا يأتي مقترنًا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متشابهان من هذه الناحية، إلا أنَّ ابن بابشاذ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ذلك نوعًا من المخالفة بينهما، ذكر ذلك وهو يوازن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اقتران خبرهما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رأيت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أخبار هذه الأفعال فإنما هي مشبهة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رأيتها محذوفة من خبر عسى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مشبهة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وأخواتها للتقارب الذي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فمثال مجيء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كاد من طول البلى أنْ يمصحا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وجه مخالفة هذه الأفعال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وأخواتها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وأخواتها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أخبارها، لا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زيد أنْ يقوم</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فسيبويه على وفق هذا التعليل قد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مجيء خبرهما مقترنًا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الضرورة الشعرية، أما ابنُ بابَشاذ فرأيه يتّجه إلى تجويز اقتران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قرنه بما يخالفه وهو عدم جواز اقتران خبر كان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ويبدو </w:t>
      </w:r>
    </w:p>
    <w:p>
      <w:pPr>
        <w:pStyle w:val="BookText"/>
        <w:rPr/>
      </w:pPr>
      <w:r>
        <w:rPr>
          <w:rFonts w:ascii="Amiri" w:hAnsi="Amiri" w:eastAsia="Amiri" w:cs="Amiri"/>
          <w:color w:val="111111"/>
          <w:sz w:val="28"/>
          <w:sz w:val="28"/>
          <w:szCs w:val="28"/>
          <w:rtl w:val="true"/>
          <w:lang w:bidi="ar-SA"/>
        </w:rPr>
        <w:t xml:space="preserve">لي أنَّ كلا التعليلین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يخص مشابهة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يفتقر إلى الدقة والاستقراء التام، فليس كلام سيبويه دقيقًا، ولا تعليل ابن بابَشاذ سليمًا؛ لأنَّ اقتران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ضرورةً شعرية كما ذهب الأول، ولا ممنوعًا كما رأى الثاني، فهو وارد في فصيح الكلام في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هَذَا الْقُرْآَنُ أَنْ يُفْتَرَى</w:t>
      </w:r>
      <w:r>
        <w:rPr>
          <w:rFonts w:eastAsia="Amiri" w:cs="Amiri" w:ascii="Amiri" w:hAnsi="Amiri"/>
          <w:color w:val="111111"/>
          <w:sz w:val="28"/>
          <w:szCs w:val="28"/>
          <w:rtl w:val="true"/>
          <w:lang w:bidi="ar-SA"/>
        </w:rPr>
        <w:t>»</w:t>
      </w:r>
      <w:r>
        <w:rPr>
          <w:rStyle w:val="FootnoteAnchor"/>
          <w:rtl w:val="true"/>
        </w:rPr>
        <w:footnoteReference w:id="827"/>
      </w:r>
      <w:r>
        <w:rPr>
          <w:rStyle w:val="FootnoteAnchor"/>
          <w:rtl w:val="true"/>
        </w:rPr>
        <w:footnoteReference w:id="828"/>
      </w:r>
      <w:r>
        <w:rPr>
          <w:rFonts w:ascii="Amiri" w:hAnsi="Amiri" w:eastAsia="Amiri" w:cs="Amiri"/>
          <w:color w:val="111111"/>
          <w:sz w:val="28"/>
          <w:sz w:val="28"/>
          <w:szCs w:val="28"/>
          <w:rtl w:val="true"/>
          <w:lang w:bidi="ar-SA"/>
        </w:rPr>
        <w:t xml:space="preserve">، وفي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ذلِكَ كَانَ أَكْبَرُ مَكيدَتِهِ أَنْ يَمْنَحَ الْقَوْمَ سُبَّتَهُ</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وجه التعليل الآخر وهو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دعا إليه هو المشابهة بينهما في معنى المقاربة،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لمقاربة حصول الفعل في المستقبل؛ لأنه يدل على طمع وترج</w:t>
      </w:r>
      <w:r>
        <w:rPr>
          <w:rStyle w:val="FootnoteAnchor"/>
          <w:rtl w:val="true"/>
        </w:rPr>
        <w:footnoteReference w:id="830"/>
      </w:r>
      <w:r>
        <w:rPr>
          <w:rFonts w:ascii="Amiri" w:hAnsi="Amiri" w:eastAsia="Amiri" w:cs="Amiri"/>
          <w:color w:val="111111"/>
          <w:sz w:val="28"/>
          <w:sz w:val="28"/>
          <w:szCs w:val="28"/>
          <w:rtl w:val="true"/>
          <w:lang w:bidi="ar-SA"/>
        </w:rPr>
        <w:t xml:space="preserve">، لهذا اقترن خبره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المستقبل،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لمقاربة الفعل في الحال لذلك لا يقترن خبره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831"/>
      </w:r>
      <w:r>
        <w:rPr>
          <w:rFonts w:ascii="IRNazanin" w:hAnsi="IRNazanin" w:eastAsia="IRNazanin"/>
          <w:color w:val="111111"/>
          <w:sz w:val="28"/>
          <w:sz w:val="28"/>
          <w:szCs w:val="28"/>
          <w:rtl w:val="true"/>
          <w:lang w:bidi="fa-IR"/>
        </w:rPr>
        <w:t>، وهذا سبيل في العربية واسع استعان به العلماء في تفسیر الكثیر من مسائل النحو العربي، قد ذكره ابن جني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العرب إذا شبَّهت شيئَا بشيء مكَّنت ذلك الشبه لهما، وعمرت به الحال بينهما</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سلك مذهبَ سيبويه في حمل تلك المسألة على الضرورة الشعرية عددٌ </w:t>
      </w:r>
    </w:p>
    <w:p>
      <w:pPr>
        <w:pStyle w:val="BookText"/>
        <w:rPr/>
      </w:pPr>
      <w:r>
        <w:rPr>
          <w:rFonts w:ascii="IRNazanin" w:hAnsi="IRNazanin" w:eastAsia="IRNazanin"/>
          <w:color w:val="111111"/>
          <w:sz w:val="28"/>
          <w:sz w:val="28"/>
          <w:szCs w:val="28"/>
          <w:rtl w:val="true"/>
          <w:lang w:bidi="fa-IR"/>
        </w:rPr>
        <w:t>من العلماء منهم المبرّد</w:t>
      </w:r>
      <w:r>
        <w:rPr>
          <w:rStyle w:val="FootnoteAnchor"/>
          <w:rtl w:val="true"/>
        </w:rPr>
        <w:footnoteReference w:id="833"/>
      </w:r>
      <w:r>
        <w:rPr>
          <w:rFonts w:ascii="IRNazanin" w:hAnsi="IRNazanin" w:eastAsia="IRNazanin"/>
          <w:color w:val="111111"/>
          <w:sz w:val="28"/>
          <w:sz w:val="28"/>
          <w:szCs w:val="28"/>
          <w:rtl w:val="true"/>
          <w:lang w:bidi="fa-IR"/>
        </w:rPr>
        <w:t>، وابن السراج</w:t>
      </w:r>
      <w:r>
        <w:rPr>
          <w:rStyle w:val="FootnoteAnchor"/>
          <w:rtl w:val="true"/>
        </w:rPr>
        <w:footnoteReference w:id="834"/>
      </w:r>
      <w:r>
        <w:rPr>
          <w:rFonts w:ascii="Amiri" w:hAnsi="Amiri" w:eastAsia="Amiri" w:cs="Amiri"/>
          <w:color w:val="111111"/>
          <w:sz w:val="28"/>
          <w:sz w:val="28"/>
          <w:szCs w:val="28"/>
          <w:rtl w:val="true"/>
          <w:lang w:bidi="ar-SA"/>
        </w:rPr>
        <w:t>، والزجّاجي</w:t>
      </w:r>
      <w:r>
        <w:rPr>
          <w:rStyle w:val="FootnoteAnchor"/>
          <w:rtl w:val="true"/>
        </w:rPr>
        <w:footnoteReference w:id="835"/>
      </w:r>
      <w:r>
        <w:rPr>
          <w:rFonts w:ascii="Amiri" w:hAnsi="Amiri" w:eastAsia="Amiri" w:cs="Amiri"/>
          <w:color w:val="111111"/>
          <w:sz w:val="28"/>
          <w:sz w:val="28"/>
          <w:szCs w:val="28"/>
          <w:rtl w:val="true"/>
          <w:lang w:bidi="ar-SA"/>
        </w:rPr>
        <w:t>، والفارسي</w:t>
      </w:r>
      <w:r>
        <w:rPr>
          <w:rStyle w:val="FootnoteAnchor"/>
          <w:rtl w:val="true"/>
        </w:rPr>
        <w:footnoteReference w:id="836"/>
      </w:r>
      <w:r>
        <w:rPr>
          <w:rFonts w:ascii="Amiri" w:hAnsi="Amiri" w:eastAsia="Amiri" w:cs="Amiri"/>
          <w:color w:val="111111"/>
          <w:sz w:val="28"/>
          <w:sz w:val="28"/>
          <w:szCs w:val="28"/>
          <w:rtl w:val="true"/>
          <w:lang w:bidi="ar-SA"/>
        </w:rPr>
        <w:t>، وعبد القاهر الجرجاني</w:t>
      </w:r>
      <w:r>
        <w:rPr>
          <w:rStyle w:val="FootnoteAnchor"/>
          <w:rtl w:val="true"/>
        </w:rPr>
        <w:footnoteReference w:id="837"/>
      </w:r>
      <w:r>
        <w:rPr>
          <w:rFonts w:ascii="Amiri" w:hAnsi="Amiri" w:eastAsia="Amiri" w:cs="Amiri"/>
          <w:color w:val="111111"/>
          <w:sz w:val="28"/>
          <w:sz w:val="28"/>
          <w:szCs w:val="28"/>
          <w:rtl w:val="true"/>
          <w:lang w:bidi="ar-SA"/>
        </w:rPr>
        <w:t>، وأبو البركات الأنباري</w:t>
      </w:r>
      <w:r>
        <w:rPr>
          <w:rStyle w:val="FootnoteAnchor"/>
          <w:rtl w:val="true"/>
        </w:rPr>
        <w:footnoteReference w:id="838"/>
      </w:r>
      <w:r>
        <w:rPr>
          <w:rFonts w:ascii="Amiri" w:hAnsi="Amiri" w:eastAsia="Amiri" w:cs="Amiri"/>
          <w:color w:val="111111"/>
          <w:sz w:val="28"/>
          <w:sz w:val="28"/>
          <w:szCs w:val="28"/>
          <w:rtl w:val="true"/>
          <w:lang w:bidi="ar-SA"/>
        </w:rPr>
        <w:t>، وغيرهم</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والحق أنَّ هذا النمط التركيبي واردٌ في عدد من الشواهد النثرية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بابه الشعرَ كما صرَّح بذلك سيبويه ومتابعوه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في الحديث النبوي الشريف في أكثر من موضع منها قول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الفقر أنْ يكون كفرًا، وكاد الحسد أن يغلبَ القدر</w:t>
      </w:r>
      <w:r>
        <w:rPr>
          <w:rFonts w:eastAsia="IRNazanin" w:cs="IRNazanin"/>
          <w:color w:val="111111"/>
          <w:sz w:val="28"/>
          <w:szCs w:val="28"/>
          <w:rtl w:val="true"/>
          <w:lang w:bidi="fa-IR"/>
        </w:rPr>
        <w:t>))</w:t>
      </w:r>
      <w:r>
        <w:rPr>
          <w:rStyle w:val="FootnoteAnchor"/>
          <w:rtl w:val="true"/>
        </w:rPr>
        <w:footnoteReference w:id="840"/>
      </w:r>
      <w:r>
        <w:rPr>
          <w:rFonts w:ascii="Amiri" w:hAnsi="Amiri" w:eastAsia="Amiri" w:cs="Amiri"/>
          <w:color w:val="111111"/>
          <w:sz w:val="28"/>
          <w:sz w:val="28"/>
          <w:szCs w:val="28"/>
          <w:rtl w:val="true"/>
          <w:lang w:bidi="ar-SA"/>
        </w:rPr>
        <w:t>، كما ورد مثل هذا الاقتران في مواضع أُخر من السُّنة المطهَّرة</w:t>
      </w:r>
      <w:r>
        <w:rPr>
          <w:rStyle w:val="FootnoteAnchor"/>
          <w:rtl w:val="true"/>
        </w:rPr>
        <w:footnoteReference w:id="841"/>
      </w:r>
      <w:r>
        <w:rPr>
          <w:rFonts w:ascii="IRNazanin" w:hAnsi="IRNazanin" w:eastAsia="IRNazanin"/>
          <w:color w:val="111111"/>
          <w:sz w:val="28"/>
          <w:sz w:val="28"/>
          <w:szCs w:val="28"/>
          <w:rtl w:val="true"/>
          <w:lang w:bidi="fa-IR"/>
        </w:rPr>
        <w:t>، وجاء هذا الاقتران أيضًا فيما نقله أبو منصور الأزهري عن العوام غیر أنه حكم على قولهم بالمنع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كاد زيد أن يموت،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شواهد هذا الاقتران في الكلام العَلَوي المبارك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w:t>
      </w:r>
    </w:p>
    <w:p>
      <w:pPr>
        <w:pStyle w:val="BookText"/>
        <w:rPr/>
      </w:pPr>
      <w:r>
        <w:rPr>
          <w:rFonts w:ascii="Amiri" w:hAnsi="Amiri" w:eastAsia="Amiri" w:cs="Amiri"/>
          <w:color w:val="111111"/>
          <w:sz w:val="28"/>
          <w:sz w:val="28"/>
          <w:szCs w:val="28"/>
          <w:rtl w:val="true"/>
          <w:lang w:bidi="ar-SA"/>
        </w:rPr>
        <w:t>الشهيد وأجره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اَلْمُجَاهِدُ اَلشَّهِيدُ فِی سَبِيلِ اَللَّهِ بِأَعْظَمَ أَجْرًا مِمَّنْ قَدَرَ فَعَفَّ لَكَادَ اَلْعَفِيفُ أَنْ يَكُونَ مَلَكًا مِنَ اَلْمَلاَئِكَةِ</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القول بيان أهمية العفاف وترك القبيح والمنكر في تقويم سلوك الفرد وتهذيب أخلاقه، فأوضحَ أنَّ من يمتنع عن فعل القبيح مع قدرته عليه له أجر مجاهد استُشهد في سبيل الله تعالى، ولعل وجه الشبه بين الشهادة والعفاف هو طهارة النفس ونقاؤها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لشدة أخذ الانسان زمام نفسه، حتى إنَّ الفاعل لذلك كأنَّه ملائكة في طهارة النفس</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 xml:space="preserve">، إذ إنَّ صفة العفّة تلك ترتقي بصاحبها إلى منزلة الملائكة الذين لا يفعلون القبيح أبدًا، وتقترب بسلوكه من صفاتهم، وقد دلَّ الإمام على ذلك باستعمال ما يدل على المقاربة وهو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أنَّ ترك القبيح هي صفة واحدة من بین صفات كثیرة قد تحلى الملائكة بها؛ لهذا فمن شاء الاقتراب من درجة الملائكة عليه امتلاك صفات أُخر، ومن هنا كان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إيحاء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درجة القرب تحتاج إلى أنْ تكونَ أشدَّ حین التخلّق بصفات أُخر، هذا فضلاً عن أنَّ هذا الاقتران يشیر إلى تحقق هذه الصفة في المستقبل؛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المصدرية تدل على المستقبل، ولعل ما يعضُد هذا إيراد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ومعلوم أنَّ أجر الشهادة إنما يتم في يوم القيامة وهو مستقبل، وهذا يناسب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تُحيل المعنى إلى المستقبل؛ فالعفيف إنما يكون من الملائكة وبدرجتهم في يوم الحساب وهو مستقبل، وهذا من بديع التقابل الدلالي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الشواهد العَلَوية أيضًا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لعقيل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فَأَحْمَيْتُ لَهُ حَدِيدَةً ثُمَّ أَدْنَيْتُهَا مِنْ جِسْمِهِ لِيَعْتَبِرَ بِهَا فَضَجَّ ضَجِيجَ ذِي دَنَفٍ مِنْ أَلَمِهَا وَكَادَ أَنْ يَحْتَرِقَ مِنْ مِيسَمِهَا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يَا عَقِيلُ أَ تَئِنُّ مِنْ حَدِيدَةٍ أَحْمَاهَا إِنْسَانُهَا لِلَعِبِهِ وَ تَجُرُّنِی إلى نَارٍ سَجَرَهَا جَبَّارُهَا لِغَضَبِهِ أَ تَئِنُّ مِنَ اَلْأَذَى وَ لاَ أَئِنُّ مِنْ لَظَى؟</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يشیر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الحادثة التي جرت بينه وبین أخيه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حادثة من حوادث كثیرة يذكرها أرباب السِّیرة والتاريخ في الإشارة إلى عدل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 أنْ يحترق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أنَّه قد أحمى الحديدة ليعتبر عقيل بحرارة نارها لا لإيذائه بها؛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الحديدة لم تتصل بجسم عقيل، وانّما اقتربت منه فحس بلفحها</w:t>
      </w:r>
      <w:r>
        <w:rPr>
          <w:rFonts w:eastAsia="IRNazanin" w:cs="IRNazanin"/>
          <w:color w:val="111111"/>
          <w:sz w:val="28"/>
          <w:szCs w:val="28"/>
          <w:rtl w:val="true"/>
          <w:lang w:bidi="fa-IR"/>
        </w:rPr>
        <w:t>))</w:t>
      </w:r>
      <w:r>
        <w:rPr>
          <w:rStyle w:val="FootnoteAnchor"/>
          <w:rtl w:val="true"/>
        </w:rPr>
        <w:footnoteReference w:id="847"/>
      </w:r>
      <w:r>
        <w:rPr>
          <w:rFonts w:ascii="Amiri" w:hAnsi="Amiri" w:eastAsia="Amiri" w:cs="Amiri"/>
          <w:color w:val="111111"/>
          <w:sz w:val="28"/>
          <w:sz w:val="28"/>
          <w:szCs w:val="28"/>
          <w:rtl w:val="true"/>
          <w:lang w:bidi="ar-SA"/>
        </w:rPr>
        <w:t xml:space="preserve">، ففعل الإحراق لم يحصل؛ لذا كان مناسبًا إيراد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تدلُّ على تراخي حصول الفعل وتحقيقه في المستقبل</w:t>
      </w:r>
      <w:r>
        <w:rPr>
          <w:rStyle w:val="FootnoteAnchor"/>
          <w:rtl w:val="true"/>
        </w:rPr>
        <w:footnoteReference w:id="848"/>
      </w:r>
      <w:r>
        <w:rPr>
          <w:rFonts w:ascii="IRNazanin" w:hAnsi="IRNazanin" w:eastAsia="IRNazanin"/>
          <w:color w:val="111111"/>
          <w:sz w:val="28"/>
          <w:sz w:val="28"/>
          <w:szCs w:val="28"/>
          <w:rtl w:val="true"/>
          <w:lang w:bidi="fa-IR"/>
        </w:rPr>
        <w:t xml:space="preserve">، ولا يمكن أنْ يكون مرادُ الإمام من ذلك إحراقَ عقيل والدليل على ذلك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أدنيتها من 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شك في ذلك؛ لأنه لم يُذنب، وحتى وإن افترضناه ذنبًا فليس جزاؤه الإحراق، ولذا لم يتدافع المعنيان، فاستعمال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على أنَّ الحديدة إنما اقتربت من جسد عقيل قُربًا شديدًا مما جعله يشعر بحرارتها وهذا يتفق مع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تدل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قرب الفعل من الوقوع</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الزمن النحوي في اللغة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 لكن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الاستقبال أعطى دلالة التراخي وعدم الإحراق، وبهذا لم يتدافع المعنيان؛ معنى القرب المفهوم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الاستقبال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هذا يتبیَّن أنَّ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الداعي إليه اضطرارَ الشاعر كما قيل، بل لبيان دلالة القرب وشدته، وفي هذا قال عبد القاهر الجرجاني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علمنا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لأنْ يدلَّ على شدة قرب الفعل من الوقوع، وعلى أنَّه قد شارف الوجود</w:t>
      </w:r>
      <w:r>
        <w:rPr>
          <w:rFonts w:eastAsia="IRNazanin" w:cs="IRNazanin"/>
          <w:color w:val="111111"/>
          <w:sz w:val="28"/>
          <w:szCs w:val="28"/>
          <w:rtl w:val="true"/>
          <w:lang w:bidi="fa-IR"/>
        </w:rPr>
        <w:t>))</w:t>
      </w:r>
      <w:r>
        <w:rPr>
          <w:rStyle w:val="FootnoteAnchor"/>
          <w:rtl w:val="true"/>
        </w:rPr>
        <w:footnoteReference w:id="850"/>
      </w:r>
      <w:r>
        <w:rPr>
          <w:rFonts w:ascii="Amiri" w:hAnsi="Amiri" w:eastAsia="Amiri" w:cs="Amiri"/>
          <w:color w:val="111111"/>
          <w:sz w:val="28"/>
          <w:sz w:val="28"/>
          <w:szCs w:val="28"/>
          <w:rtl w:val="true"/>
          <w:lang w:bidi="ar-SA"/>
        </w:rPr>
        <w:t>، وأكد هذا المعنى علماءٌ آخرون</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من أجل هذا اشترط النحويون في خبره أنْ يكون فعلاً لا اسمًا؛ لأنَّ الاسم لا دلالة فيها على الزمن كما هو معلوم، لهذا اشترطوا وقوع الفعل في خبره</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اتضح مما تقدّم أنَّه نمَط شائع في كلام العرب نظمًا ونثرًا، وليس كما نُقل عن بعض اللغويین بأنه تركيب لا يقوله عربي</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لذا فإنَّ نقص الاستقراء فيما يخص هذا النمط النحوي واضحٌ وجي ولا يمكن ردُّه أو نقضه، وهذا ما جعل نحویين آخرين يحتكمون إلى تلك النصوص مقررين جوازه في السَّعة والاختيار، منهم ابن يعيش</w:t>
      </w:r>
      <w:r>
        <w:rPr>
          <w:rStyle w:val="FootnoteAnchor"/>
          <w:rtl w:val="true"/>
        </w:rPr>
        <w:footnoteReference w:id="854"/>
      </w:r>
      <w:r>
        <w:rPr>
          <w:rFonts w:ascii="IRNazanin" w:hAnsi="IRNazanin" w:eastAsia="IRNazanin"/>
          <w:color w:val="111111"/>
          <w:sz w:val="28"/>
          <w:sz w:val="28"/>
          <w:szCs w:val="28"/>
          <w:rtl w:val="true"/>
          <w:lang w:bidi="fa-IR"/>
        </w:rPr>
        <w:t>، وابن مالك الذي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مما خفي على أكثر النحويین أعني وقوعه في كلام لا ضرورة فيه والصحيح جواز وقوعه إلا أنَّ وقوعه غیر مقرون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وأشهر من وقوعه مقرونًا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لم يقع في القرآن إلا غير مقرون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Style w:val="FootnoteAnchor"/>
          <w:rtl w:val="true"/>
        </w:rPr>
        <w:footnoteReference w:id="855"/>
      </w:r>
      <w:r>
        <w:rPr>
          <w:rFonts w:ascii="Amiri" w:hAnsi="Amiri" w:eastAsia="Amiri" w:cs="Amiri"/>
          <w:color w:val="111111"/>
          <w:sz w:val="28"/>
          <w:sz w:val="28"/>
          <w:szCs w:val="28"/>
          <w:rtl w:val="true"/>
          <w:lang w:bidi="ar-SA"/>
        </w:rPr>
        <w:t xml:space="preserve">، وكذلك في نهج البلاغة فقد ورد الخبر مقترنًا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w:t>
      </w:r>
      <w:r>
        <w:rPr>
          <w:rStyle w:val="FootnoteAnchor"/>
          <w:rtl w:val="true"/>
        </w:rPr>
        <w:footnoteReference w:id="856"/>
      </w:r>
      <w:r>
        <w:rPr>
          <w:rFonts w:ascii="Amiri" w:hAnsi="Amiri" w:eastAsia="Amiri" w:cs="Amiri"/>
          <w:color w:val="111111"/>
          <w:sz w:val="28"/>
          <w:sz w:val="28"/>
          <w:szCs w:val="28"/>
          <w:rtl w:val="true"/>
          <w:lang w:bidi="ar-SA"/>
        </w:rPr>
        <w:t>، وأكد القولَ برفض حمل تلك المسألة على الرورة أيضًا الرضي، وابنُ عقيل، والأُشموني، وخالد الأزهري، والسيوطي</w:t>
      </w:r>
      <w:r>
        <w:rPr>
          <w:rStyle w:val="FootnoteAnchor"/>
          <w:rtl w:val="true"/>
        </w:rPr>
        <w:footnoteReference w:id="857"/>
      </w:r>
      <w:r>
        <w:rPr>
          <w:rFonts w:ascii="IRNazanin" w:hAnsi="IRNazanin" w:eastAsia="IRNazanin"/>
          <w:color w:val="111111"/>
          <w:sz w:val="28"/>
          <w:sz w:val="28"/>
          <w:szCs w:val="28"/>
          <w:rtl w:val="true"/>
          <w:lang w:bidi="fa-IR"/>
        </w:rPr>
        <w:t>، وتبنّى هذا أيضًا الدكتور محمود فجال من المحدثین</w:t>
      </w:r>
      <w:r>
        <w:rPr>
          <w:rStyle w:val="FootnoteAnchor"/>
          <w:rtl w:val="true"/>
        </w:rPr>
        <w:footnoteReference w:id="858"/>
      </w:r>
      <w:r>
        <w:rPr>
          <w:rFonts w:ascii="Amiri" w:hAnsi="Amiri" w:eastAsia="Amiri" w:cs="Amiri"/>
          <w:color w:val="111111"/>
          <w:sz w:val="28"/>
          <w:sz w:val="28"/>
          <w:szCs w:val="28"/>
          <w:rtl w:val="true"/>
          <w:lang w:bidi="ar-SA"/>
        </w:rPr>
        <w:t>، وأُستاذي الدكتور علي عبد الفتاح في دراسته جانبًا من نهج البلاغة</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يظهر مما تقدَّم أنَّ هذا الاقتران يجوز في السَّعة والاختيار وليس وقفًا على الشعر كما ذهب فريق من النحويین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الباعث على هذا الاقتران بيان شدة القرب من عدمه، فشدة القرب من عدمه أو التراخي في حصول الفعل هما </w:t>
      </w:r>
      <w:bookmarkStart w:id="182" w:name="pg7031_80981"/>
    </w:p>
    <w:p>
      <w:pPr>
        <w:pStyle w:val="BookText"/>
        <w:rPr/>
      </w:pPr>
      <w:bookmarkEnd w:id="182"/>
      <w:r>
        <w:rPr>
          <w:rFonts w:ascii="Amiri" w:hAnsi="Amiri" w:eastAsia="Amiri" w:cs="Amiri"/>
          <w:color w:val="111111"/>
          <w:sz w:val="28"/>
          <w:sz w:val="28"/>
          <w:szCs w:val="28"/>
          <w:rtl w:val="true"/>
          <w:lang w:bidi="ar-SA"/>
        </w:rPr>
        <w:t>الفيصل في توجيه هذا الاقتران كما اتضح هذا في الشواهد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واستنادًا إلى كلِّ ما تقدَّم يجب تعديل القاعدة النحوية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السعة والاختيار اقتران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الفارق الزمني في تحقق الخبر، زيادة على إرادة شدة قرب الفعل من الوقوع استنادًا إلى ورود الشواهد النثرية الفصيحة المؤيِّدة لذلك من نهج البلاغة فضلاً عن الحديث النبوي الشريف وكلام العرب</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2958348_372815092"/>
      <w:bookmarkStart w:id="184" w:name="_Toc60"/>
      <w:bookmarkEnd w:id="183"/>
      <w:r>
        <w:rPr>
          <w:rtl w:val="true"/>
        </w:rPr>
        <w:t>الفصل الثاني ما حُمِل على الضرورة الشعرية فيما اعتوره الحذف ومسائل أُخر</w:t>
      </w:r>
      <w:bookmarkEnd w:id="184"/>
    </w:p>
    <w:p>
      <w:pPr>
        <w:pStyle w:val="Heading4"/>
        <w:numPr>
          <w:ilvl w:val="3"/>
          <w:numId w:val="1"/>
        </w:numPr>
        <w:rPr/>
      </w:pPr>
      <w:bookmarkStart w:id="185" w:name="__RefHeading___Toc2958350_372815092"/>
      <w:bookmarkStart w:id="186" w:name="_Toc61"/>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على الضرورة الشعرية فيما اعتوَرَهُ الحذف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على الضرورة الشعرية في مسائل أُخر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187" w:name="pg7031_80983"/>
    </w:p>
    <w:p>
      <w:pPr>
        <w:pStyle w:val="Heading4"/>
        <w:numPr>
          <w:ilvl w:val="3"/>
          <w:numId w:val="1"/>
        </w:numPr>
        <w:rPr/>
      </w:pPr>
      <w:bookmarkStart w:id="188" w:name="__RefHeading___Toc2958352_372815092"/>
      <w:bookmarkStart w:id="189" w:name="_Toc62"/>
      <w:bookmarkEnd w:id="187"/>
      <w:bookmarkEnd w:id="188"/>
      <w:r>
        <w:rPr>
          <w:rtl w:val="true"/>
        </w:rPr>
        <w:t>المسألة الرابعة</w:t>
      </w:r>
      <w:r>
        <w:rPr>
          <w:rtl w:val="true"/>
        </w:rPr>
        <w:t xml:space="preserve">: </w:t>
      </w:r>
      <w:r>
        <w:rPr>
          <w:rtl w:val="true"/>
        </w:rPr>
        <w:t xml:space="preserve">جواز اقتران خبر </w:t>
      </w:r>
      <w:r>
        <w:rPr>
          <w:rtl w:val="true"/>
        </w:rPr>
        <w:t>(</w:t>
      </w:r>
      <w:r>
        <w:rPr>
          <w:rtl w:val="true"/>
        </w:rPr>
        <w:t>لعلَّ</w:t>
      </w:r>
      <w:r>
        <w:rPr>
          <w:rtl w:val="true"/>
        </w:rPr>
        <w:t xml:space="preserve">) </w:t>
      </w:r>
      <w:r>
        <w:rPr>
          <w:rtl w:val="true"/>
        </w:rPr>
        <w:t xml:space="preserve">ب </w:t>
      </w:r>
      <w:r>
        <w:rPr>
          <w:rtl w:val="true"/>
        </w:rPr>
        <w:t>(</w:t>
      </w:r>
      <w:r>
        <w:rPr>
          <w:rtl w:val="true"/>
        </w:rPr>
        <w:t>أنْ</w:t>
      </w:r>
      <w:r>
        <w:rPr>
          <w:rtl w:val="true"/>
        </w:rPr>
        <w:t xml:space="preserve">) </w:t>
      </w:r>
      <w:r>
        <w:rPr>
          <w:rtl w:val="true"/>
        </w:rPr>
        <w:t>أو وقوعه فعلا ماضيًا</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من النواسخ الحرفية المشبَّهة بالفعل يعمل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اختلف اللغويون والنحويون فيه من حيث البساطةُ والتركيبُ، فرى البصريون أنَّه حرف مركَّب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زائدة</w:t>
      </w:r>
      <w:r>
        <w:rPr>
          <w:rStyle w:val="FootnoteAnchor"/>
          <w:rtl w:val="true"/>
        </w:rPr>
        <w:footnoteReference w:id="860"/>
      </w:r>
      <w:r>
        <w:rPr>
          <w:rFonts w:ascii="IRNazanin" w:hAnsi="IRNazanin" w:eastAsia="IRNazanin"/>
          <w:color w:val="111111"/>
          <w:sz w:val="28"/>
          <w:sz w:val="28"/>
          <w:szCs w:val="28"/>
          <w:rtl w:val="true"/>
          <w:lang w:bidi="fa-IR"/>
        </w:rPr>
        <w:t>، على حین ذهب الكوفيون إلى بساطته</w:t>
      </w:r>
      <w:r>
        <w:rPr>
          <w:rStyle w:val="FootnoteAnchor"/>
          <w:rtl w:val="true"/>
        </w:rPr>
        <w:footnoteReference w:id="86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والجنى الداني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IRNazanin" w:hAnsi="IRNazanin" w:eastAsia="IRNazanin"/>
          <w:color w:val="111111"/>
          <w:sz w:val="28"/>
          <w:sz w:val="28"/>
          <w:szCs w:val="28"/>
          <w:rtl w:val="true"/>
          <w:lang w:bidi="fa-IR"/>
        </w:rPr>
        <w:t>، وهو ما نُسب إلى أكثر النحويین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 والخوف، والتوقع، والتعليل، والتمني والطمع، والإشفاق، والشك، والتحقيق</w:t>
      </w:r>
      <w:r>
        <w:rPr>
          <w:rStyle w:val="FootnoteAnchor"/>
          <w:rtl w:val="true"/>
        </w:rPr>
        <w:footnoteReference w:id="862"/>
      </w:r>
      <w:r>
        <w:rPr>
          <w:rFonts w:ascii="Amiri" w:hAnsi="Amiri" w:eastAsia="Amiri" w:cs="Amiri"/>
          <w:color w:val="111111"/>
          <w:sz w:val="28"/>
          <w:sz w:val="28"/>
          <w:szCs w:val="28"/>
          <w:rtl w:val="true"/>
          <w:lang w:bidi="ar-SA"/>
        </w:rPr>
        <w:t>، وهو في تلك المعاني إنما يدخل على المُمْكِن القابل للتحقّق</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والبصريون يُرجعون هذه المعاني كلَّها إلى</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الترجّي والإشفاق</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حرف ينصب الاسم ويرفع الخبر، ويشرط النحويون في خبره أنْ يكون فعلاً مضارعًا مجرَّدًا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في سعة الكلام، أما في الضرورة الشعرية فيجوز هذا الاقتران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يجوز في الشعر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أنْ أفعل، 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عسيت أنْ أفعل</w:t>
      </w:r>
      <w:r>
        <w:rPr>
          <w:rFonts w:eastAsia="Amiri" w:cs="Amiri" w:ascii="Amiri" w:hAnsi="Amiri"/>
          <w:color w:val="111111"/>
          <w:sz w:val="28"/>
          <w:szCs w:val="28"/>
          <w:rtl w:val="true"/>
          <w:lang w:bidi="ar-SA"/>
        </w:rPr>
        <w:t>))</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على هذا جمع من العلماء منهم المبرد</w:t>
      </w:r>
      <w:r>
        <w:rPr>
          <w:rStyle w:val="FootnoteAnchor"/>
          <w:rtl w:val="true"/>
        </w:rPr>
        <w:footnoteReference w:id="866"/>
      </w:r>
      <w:r>
        <w:rPr>
          <w:rFonts w:ascii="IRNazanin" w:hAnsi="IRNazanin" w:eastAsia="IRNazanin"/>
          <w:color w:val="111111"/>
          <w:sz w:val="28"/>
          <w:sz w:val="28"/>
          <w:szCs w:val="28"/>
          <w:rtl w:val="true"/>
          <w:lang w:bidi="fa-IR"/>
        </w:rPr>
        <w:t>، وابن السراج</w:t>
      </w:r>
      <w:r>
        <w:rPr>
          <w:rStyle w:val="FootnoteAnchor"/>
          <w:rtl w:val="true"/>
        </w:rPr>
        <w:footnoteReference w:id="867"/>
      </w:r>
      <w:r>
        <w:rPr>
          <w:rFonts w:ascii="Amiri" w:hAnsi="Amiri" w:eastAsia="Amiri" w:cs="Amiri"/>
          <w:color w:val="111111"/>
          <w:sz w:val="28"/>
          <w:sz w:val="28"/>
          <w:szCs w:val="28"/>
          <w:rtl w:val="true"/>
          <w:lang w:bidi="ar-SA"/>
        </w:rPr>
        <w:t>، والزمخشري</w:t>
      </w:r>
      <w:r>
        <w:rPr>
          <w:rStyle w:val="FootnoteAnchor"/>
          <w:rtl w:val="true"/>
        </w:rPr>
        <w:footnoteReference w:id="868"/>
      </w:r>
      <w:r>
        <w:rPr>
          <w:rFonts w:ascii="IRNazanin" w:hAnsi="IRNazanin" w:eastAsia="IRNazanin"/>
          <w:color w:val="111111"/>
          <w:sz w:val="28"/>
          <w:sz w:val="28"/>
          <w:szCs w:val="28"/>
          <w:rtl w:val="true"/>
          <w:lang w:bidi="fa-IR"/>
        </w:rPr>
        <w:t xml:space="preserve">، وابن الصائغ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علّل النحويون هذا الاقتران بالحمل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للترجي والإشفاق، فحُمِلَت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جواز اقتران خبرها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الأصل في خبرها إما أنْ يكون اسماً صريحًا أو فعلاً مضارعًا غیرَ مقترنٍ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حُملت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العمل، وبها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خرجت عن عمل الرفع والنصب على الترتيب إلى عمل النصب والرفع،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عسايَ وعساك وعساه، مقترضة عمل النصب والرفع على الترتيب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Style w:val="FootnoteAnchor"/>
          <w:rtl w:val="true"/>
        </w:rPr>
        <w:footnoteReference w:id="870"/>
      </w:r>
      <w:r>
        <w:rPr>
          <w:rFonts w:ascii="Amiri" w:hAnsi="Amiri" w:eastAsia="Amiri" w:cs="Amiri"/>
          <w:color w:val="111111"/>
          <w:sz w:val="28"/>
          <w:sz w:val="28"/>
          <w:szCs w:val="28"/>
          <w:rtl w:val="true"/>
          <w:lang w:bidi="ar-SA"/>
        </w:rPr>
        <w:t>، وهذا من قبيل التقارض في اللغة</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ينقض توجيه هذا الاقتران على الضرورة الشعرية وروده في مواطن كثیرة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السُّنة النبوية الشريفة، من ذلك قول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 أنْ تخلفَ حتى ينتفعَ بك أقوام، ويضر بك آخرون</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بشرٌ، وإنكم تختصمون إلي، ولعل بعضكم أنْ يكونَ ألحن بِحجتِه مِن بعض</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 xml:space="preserve">، كما جاء في مواضع متعددة من مرويات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 فضلاً عن وروده كثیرًا في كلام العرب أيضًا</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شواهد هذا الاقتران في الكلام العَلَوي المبارَك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الخوارج حین أنكروا تحكيمَ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قَوْلُكُمْ لِمَ جَعَلْتَ بَيْنَكَ وَ بَيْنَهُمْ أَجَلًا فِی اَلتَّحْكيِمِ فَإِنَّمَا فَعَلْتُ ذَلِكَ لِيَتَبَّنَ اَلْجَاهِلُ وَ يَتَثَبَّتَ اَلْعَالِمُ وَ لَعَلَّ اَللَّهَ أَنْ يُصْلِحَ فِی هَذِهِ اَلْهُدْنَةِ أَمْرَ هَذِهِ اَلْأُمَّةِ وَ لاَ تُؤْخَذَ بِأَكْظَامِهَا فَتَعْجَلَ عَنْ تَبَیُّنِ اَلْحَقِّ وَ تَنْقَادَ لِأَوَّلِ اَلْغَيِّ</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يُشر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قضية التحكيم والمدة التي اشرطها أجلاً لها، وهو جواب للخوارج الذين سألوا عن الهدف من وراء تعيین هذه المدة، فالإمام إنما أراد بيان ذلك بأنَّه يرجو الله سبحانه وتعالى أنْ تصلحَ هذه الأمة في هذه الهدنة التي يتوقف فيها القتال فيُرك لها الخيار في النظر فيما يُصلحها، ولا يُؤخذ عليها الطريق إلى الهدى والرجوع إلى الحق، فإذا لم تقبلْ تلك المدة أو الأجل نكون قد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منعنا بعض الناس من العودة إلى الحق</w:t>
      </w:r>
      <w:r>
        <w:rPr>
          <w:rStyle w:val="FootnoteAnchor"/>
          <w:rtl w:val="true"/>
        </w:rPr>
        <w:footnoteReference w:id="877"/>
      </w:r>
      <w:r>
        <w:rPr>
          <w:rFonts w:ascii="IRNazanin" w:hAnsi="IRNazanin" w:eastAsia="IRNazanin"/>
          <w:color w:val="111111"/>
          <w:sz w:val="28"/>
          <w:sz w:val="28"/>
          <w:szCs w:val="28"/>
          <w:rtl w:val="true"/>
          <w:lang w:bidi="fa-IR"/>
        </w:rPr>
        <w:t xml:space="preserve">، فاستعمال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جاء متساوقًا مع تعليل النحويین، بأنَّ ذلك محمول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الإمام في معرض رجاء الله عزَّ وجلَّ، على أنه بالإمكان الاستناد إلى هذا الشاهد في الاستدلال على مجيء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للتعليل وهو ما ذهب إليه الأخفش والكسائي</w:t>
      </w:r>
      <w:r>
        <w:rPr>
          <w:rStyle w:val="FootnoteAnchor"/>
          <w:rtl w:val="true"/>
        </w:rPr>
        <w:footnoteReference w:id="878"/>
      </w:r>
      <w:r>
        <w:rPr>
          <w:rFonts w:ascii="IRNazanin" w:hAnsi="IRNazanin" w:eastAsia="IRNazanin"/>
          <w:color w:val="111111"/>
          <w:sz w:val="28"/>
          <w:sz w:val="28"/>
          <w:szCs w:val="28"/>
          <w:rtl w:val="true"/>
          <w:lang w:bidi="fa-IR"/>
        </w:rPr>
        <w:t xml:space="preserve">، فسياق النص كفيل بتأكيد ذلك المعنى،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سياق بيان الأسباب التي أدّت إلى اشتراط تلك الهدنة، وبهذا يكون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بین معنَي الرجاء والتعليل في سياق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 هذا الاقتران في موضع آخر من نهج البلاغة أيضًا في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عامله على أذربيجان،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وَلَعَلِّي أَلاَّ أَكُونَ شَرَّ وُلاَتِكَ لَكَ، وَالسَّلاَمُ</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اقتران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مواضع كثیرة من الشعر والنثر يُبعد القول بحمل المسألة على الضرورة الشعرية؛ لهذا قرَّر عدد من النحويین تجويز هذا الاقتران في الشعر والنثر، فقد عدَّه الرضي كثیرًا في الشعر قليلاً في النثر</w:t>
      </w:r>
      <w:r>
        <w:rPr>
          <w:rStyle w:val="FootnoteAnchor"/>
          <w:rtl w:val="true"/>
        </w:rPr>
        <w:footnoteReference w:id="880"/>
      </w:r>
      <w:r>
        <w:rPr>
          <w:rFonts w:ascii="IRNazanin" w:hAnsi="IRNazanin" w:eastAsia="IRNazanin"/>
          <w:color w:val="111111"/>
          <w:sz w:val="28"/>
          <w:sz w:val="28"/>
          <w:szCs w:val="28"/>
          <w:rtl w:val="true"/>
          <w:lang w:bidi="fa-IR"/>
        </w:rPr>
        <w:t>، وذهب ابن هشام إلى وروده كثیرًا ولم يخصّه في الشعر،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ويقترن خبرها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كثیرًا حملاً لها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 على حین جوزه آخرون مطلقًا من غیر بيان حكم الكثرة أو القلة</w:t>
      </w:r>
      <w:r>
        <w:rPr>
          <w:rStyle w:val="FootnoteAnchor"/>
          <w:rtl w:val="true"/>
        </w:rPr>
        <w:footnoteReference w:id="882"/>
      </w:r>
      <w:r>
        <w:rPr>
          <w:rFonts w:ascii="Amiri" w:hAnsi="Amiri" w:eastAsia="Amiri" w:cs="Amiri"/>
          <w:color w:val="111111"/>
          <w:sz w:val="28"/>
          <w:sz w:val="28"/>
          <w:szCs w:val="28"/>
          <w:rtl w:val="true"/>
          <w:lang w:bidi="ar-SA"/>
        </w:rPr>
        <w:t xml:space="preserve">، وهذا منهج سليم؛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فشا الشيء في الاستعمال وقوي في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القياس فذلك ما لا غاية وراءه</w:t>
      </w:r>
      <w:r>
        <w:rPr>
          <w:rFonts w:eastAsia="Amiri" w:cs="Amiri" w:ascii="Amiri" w:hAnsi="Amiri"/>
          <w:color w:val="111111"/>
          <w:sz w:val="28"/>
          <w:szCs w:val="28"/>
          <w:rtl w:val="true"/>
          <w:lang w:bidi="ar-SA"/>
        </w:rPr>
        <w:t>))</w:t>
      </w:r>
      <w:r>
        <w:rPr>
          <w:rStyle w:val="FootnoteAnchor"/>
          <w:rtl w:val="true"/>
        </w:rPr>
        <w:footnoteReference w:id="883"/>
      </w:r>
      <w:r>
        <w:rPr>
          <w:rFonts w:ascii="IRNazanin" w:hAnsi="IRNazanin" w:eastAsia="IRNazanin"/>
          <w:color w:val="111111"/>
          <w:sz w:val="28"/>
          <w:sz w:val="28"/>
          <w:szCs w:val="28"/>
          <w:rtl w:val="true"/>
          <w:lang w:bidi="fa-IR"/>
        </w:rPr>
        <w:t>، ولا شك في أنَّه استعمال شائع كما اتّضح في عدد من الشواهد، فضلاً عن أنّه جارٍ على وفق أقيسة النحويین وضوابطهم؛ لذا فالقياس عليه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يجدر ذكره أنَّ للنحويین آراءً مختلفة في التوجيه الإعرابي للمصدر المؤوَّل الواقع خبرًا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على التشبيه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نصب، كأنك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قاربت أنْ تفعل</w:t>
      </w:r>
      <w:r>
        <w:rPr>
          <w:rStyle w:val="FootnoteAnchor"/>
          <w:rtl w:val="true"/>
        </w:rPr>
        <w:footnoteReference w:id="88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الإخبار بالمصدر للمبالغة</w:t>
      </w:r>
      <w:r>
        <w:rPr>
          <w:rStyle w:val="FootnoteAnchor"/>
          <w:rtl w:val="true"/>
        </w:rPr>
        <w:footnoteReference w:id="88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الكلام محذوف، فقولنا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أنْ يحفظ العراق، 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صاحب حفظ العراق</w:t>
      </w:r>
      <w:r>
        <w:rPr>
          <w:rStyle w:val="FootnoteAnchor"/>
          <w:rtl w:val="true"/>
        </w:rPr>
        <w:footnoteReference w:id="886"/>
      </w:r>
      <w:r>
        <w:rPr>
          <w:rFonts w:ascii="Amiri" w:hAnsi="Amiri" w:eastAsia="Amiri" w:cs="Amiri"/>
          <w:color w:val="111111"/>
          <w:sz w:val="28"/>
          <w:sz w:val="28"/>
          <w:szCs w:val="28"/>
          <w:rtl w:val="true"/>
          <w:lang w:bidi="ar-SA"/>
        </w:rPr>
        <w:t>، وقيل نُصِبَ بإسقاط الجار</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يرتضِ قسم من العلماء تلك التقديرات لكثرة الشواهد الواردة في هذا الاقتران</w:t>
      </w:r>
      <w:r>
        <w:rPr>
          <w:rStyle w:val="FootnoteAnchor"/>
          <w:rtl w:val="true"/>
        </w:rPr>
        <w:footnoteReference w:id="888"/>
      </w:r>
      <w:r>
        <w:rPr>
          <w:rFonts w:ascii="IRNazanin" w:hAnsi="IRNazanin" w:eastAsia="IRNazanin"/>
          <w:color w:val="111111"/>
          <w:sz w:val="28"/>
          <w:sz w:val="28"/>
          <w:szCs w:val="28"/>
          <w:rtl w:val="true"/>
          <w:lang w:bidi="fa-IR"/>
        </w:rPr>
        <w:t xml:space="preserve">، وعدَّ الدكتور فاضل السامرائي هذا الاقتران من قبيل التعبیرات الفصيحة على غیر القياس، فلم يقبل عدّها على إسقاط حرف الجر؛ لأنه لو كان كذلك لجاز إظهاره، كما أنّ تأويله على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يصح فيما لا مقاربة فيه</w:t>
      </w:r>
      <w:r>
        <w:rPr>
          <w:rStyle w:val="FootnoteAnchor"/>
          <w:rtl w:val="true"/>
        </w:rPr>
        <w:footnoteReference w:id="889"/>
      </w:r>
      <w:r>
        <w:rPr>
          <w:rFonts w:ascii="Amiri" w:hAnsi="Amiri" w:eastAsia="Amiri" w:cs="Amiri"/>
          <w:color w:val="111111"/>
          <w:sz w:val="28"/>
          <w:sz w:val="28"/>
          <w:szCs w:val="28"/>
          <w:rtl w:val="true"/>
          <w:lang w:bidi="ar-SA"/>
        </w:rPr>
        <w:t>، على أنه ليس كلُّ ما يصح تقديره في الإعراب تصح دلالته ومعناه، إذ ثمة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فرق بین تقدير الإعراب وتفسیر المعنى</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يتصل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النحویين نسبوا لمبَرْمان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توفي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إنباه الرواة على أنباه النحاة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والأعلام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منعه وقوع الفعل الماضي خبرًا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لأنَّه يدل على الرجاء وهو مستقبل، ونُقل عن الرماني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بهذا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وهو ما أكده الحريري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ندم ولعله قدم، فيلفظون بما يشتمل على المناقضة وينبئ عن المعارضة، ووجه الكلام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يفعل أو لعله لا يفعل؛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التوقع لمرجو أو لمخوف، والتوقع إنما يكون لمِا يتجدَّد ويتولّد لا لمِا انقضى وتصرم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اعترض على هذا أبو حيان، فرأى جوازه على حكاية الحال الماضية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كما اعترض ابن هشام على رأي الحريري مستدلًا على مجيء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ماضيًا بشاهدٍ من السُّنة النبوية وبشواهد شعرية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ذهب إليه مبرمان ومن تابعه منتقضٌ بما ورد على لسان أمیر المؤمنین، إذ سأله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مسیرنا إلى الشام بقضاء من الله وقدره؟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لعلّكَ ظَنَنْتَ قضاءً لازمًا، وقَدَرًا حاتِمًا، لو كان كذلك لبَطَلَ الثوابُ والعقابُ،</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وسَقَط الوعدُ والوعيد</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يذكرُ العلماء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عودته من صفّین سأله رجل 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أمیر هل كان مسیرنا إلى حرب أهل الشام بقضاء الله تعالى وقدره؟، يريد السائل من هذا أنّه إذا كان مسیرنا بقضاء الله تعالى وقدره لم يكن في تعبنا وجهدنا ثواب، فلا اختيار لنا فيه ولا ثواب لنا على فعله؛ لذا جاء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لعلك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رفعًا للوهم الذي يتصوره السائل بأنَّ ما يحصل من قضاء الله وقدره ينبغي ألا يكون مدعاة إلى تصوّر سلب حرية اختيار العبد؛ لأن ذلك سيؤدي إلى بطان مبدإِ الثواب والعقاب</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فاستعمال الفعل الماضي خبرًا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 العَلَوي إنما جاء لبيان ما استفهم عنه السائل عن حالة حدثت في الماضي، فهو يريد أنْ يستوضحَ من الإمام ما حدث في صِفّین بعد مدةٍ من عودتهم منها؛ لهذا دلَّ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حكاية الحال الماضية، وبهذا يكون النص ناقضًا لما ذهب إليه مبرمان، ومتفقًا مع مارآه أبو حيان، على أنَّ ذلك لا يمنع من ورود الفعل الماضي في الدلالة على الاستقبال في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لورود شواهد نحوية تؤيد هذا المعنى</w:t>
      </w:r>
      <w:r>
        <w:rPr>
          <w:rStyle w:val="FootnoteAnchor"/>
          <w:rtl w:val="true"/>
        </w:rPr>
        <w:footnoteReference w:id="894"/>
      </w:r>
      <w:r>
        <w:rPr>
          <w:rFonts w:ascii="Amiri" w:hAnsi="Amiri" w:eastAsia="Amiri" w:cs="Amiri"/>
          <w:color w:val="111111"/>
          <w:sz w:val="28"/>
          <w:sz w:val="28"/>
          <w:szCs w:val="28"/>
          <w:rtl w:val="true"/>
          <w:lang w:bidi="ar-SA"/>
        </w:rPr>
        <w:t xml:space="preserve">، زيادةً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ثبوت ذلك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يقوّي جواز وقوع الفعل الماضي خبرًا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العربية قول الشاعر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هانئ الأندلسي</w:t>
      </w:r>
      <w:r>
        <w:rPr>
          <w:rStyle w:val="FootnoteAnchor"/>
          <w:rtl w:val="true"/>
        </w:rPr>
        <w:footnoteReference w:id="8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هجراني بديلَ النوى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منايانا تحولنَ أبؤسا في ضوء ما تقدَّم لابد من تعديل القاعدة النحوية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اقتران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السعة والاختيار حملاً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أيضًا وقوعه فعلاً ماضيًا خلافا لمبرمان ومن تابعه لورود ذلك في نهج البلاغة، وفي كلام العرب نظماً ونثرًا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190" w:name="pg7031_80991"/>
    </w:p>
    <w:p>
      <w:pPr>
        <w:pStyle w:val="Heading4"/>
        <w:numPr>
          <w:ilvl w:val="3"/>
          <w:numId w:val="1"/>
        </w:numPr>
        <w:rPr/>
      </w:pPr>
      <w:bookmarkStart w:id="191" w:name="__RefHeading___Toc2958354_372815092"/>
      <w:bookmarkStart w:id="192" w:name="_Toc63"/>
      <w:bookmarkEnd w:id="190"/>
      <w:bookmarkEnd w:id="191"/>
      <w:r>
        <w:rPr>
          <w:rtl w:val="true"/>
        </w:rPr>
        <w:t>المبحث الأول ما حُمِلَ على الضرورة الشعرية فيما اعتوَرَهُ الحذف</w:t>
      </w:r>
      <w:r>
        <w:rPr>
          <w:rtl w:val="true"/>
        </w:rPr>
        <w:t>:</w:t>
      </w:r>
      <w:bookmarkEnd w:id="192"/>
    </w:p>
    <w:p>
      <w:pPr>
        <w:pStyle w:val="Heading5"/>
        <w:numPr>
          <w:ilvl w:val="4"/>
          <w:numId w:val="1"/>
        </w:numPr>
        <w:rPr/>
      </w:pPr>
      <w:bookmarkStart w:id="193" w:name="__RefHeading___Toc2958356_372815092"/>
      <w:bookmarkStart w:id="194" w:name="_Toc64"/>
      <w:bookmarkEnd w:id="193"/>
      <w:r>
        <w:rPr>
          <w:rtl w:val="true"/>
        </w:rPr>
        <w:t>المسألة الأولى</w:t>
      </w:r>
      <w:r>
        <w:rPr>
          <w:rtl w:val="true"/>
        </w:rPr>
        <w:t xml:space="preserve">: </w:t>
      </w:r>
      <w:r>
        <w:rPr>
          <w:rtl w:val="true"/>
        </w:rPr>
        <w:t>جواز حذف همزة الاستفهام</w:t>
      </w:r>
      <w:r>
        <w:rPr>
          <w:rtl w:val="true"/>
        </w:rPr>
        <w:t>:</w:t>
      </w:r>
      <w:bookmarkEnd w:id="194"/>
    </w:p>
    <w:p>
      <w:pPr>
        <w:pStyle w:val="BookText"/>
        <w:rPr/>
      </w:pPr>
      <w:r>
        <w:rPr>
          <w:rFonts w:ascii="IRNazanin" w:hAnsi="IRNazanin" w:eastAsia="IRNazanin"/>
          <w:color w:val="111111"/>
          <w:sz w:val="28"/>
          <w:sz w:val="28"/>
          <w:szCs w:val="28"/>
          <w:rtl w:val="true"/>
          <w:lang w:bidi="fa-IR"/>
        </w:rPr>
        <w:t xml:space="preserve">الهمزة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تعبیرات بعض النحويین</w:t>
      </w:r>
      <w:r>
        <w:rPr>
          <w:rStyle w:val="FootnoteAnchor"/>
          <w:rtl w:val="true"/>
        </w:rPr>
        <w:footnoteReference w:id="897"/>
      </w:r>
      <w:r>
        <w:rPr>
          <w:rFonts w:ascii="Amiri" w:hAnsi="Amiri" w:eastAsia="Amiri" w:cs="Amiri"/>
          <w:color w:val="111111"/>
          <w:sz w:val="28"/>
          <w:sz w:val="28"/>
          <w:szCs w:val="28"/>
          <w:rtl w:val="true"/>
          <w:lang w:bidi="ar-SA"/>
        </w:rPr>
        <w:t>حرف من حروف المعاني الدالة على الاستفهام، وهي أكثر أدوات الاستفهام شيوعًا وأوسعها استعمالًا، لذلك عُدَّتْ أم باب الاستفهام</w:t>
      </w:r>
      <w:r>
        <w:rPr>
          <w:rStyle w:val="FootnoteAnchor"/>
          <w:rtl w:val="true"/>
        </w:rPr>
        <w:footnoteReference w:id="898"/>
      </w:r>
      <w:r>
        <w:rPr>
          <w:rFonts w:ascii="IRNazanin" w:hAnsi="IRNazanin" w:eastAsia="IRNazanin"/>
          <w:color w:val="111111"/>
          <w:sz w:val="28"/>
          <w:sz w:val="28"/>
          <w:szCs w:val="28"/>
          <w:rtl w:val="true"/>
          <w:lang w:bidi="fa-IR"/>
        </w:rPr>
        <w:t xml:space="preserve">، وأصله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يزول عنه إلى غیره، وليس للاستفهام في الأصل غیره</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 ولهذا انمازت بخصائص وسمات</w:t>
      </w:r>
      <w:r>
        <w:rPr>
          <w:rStyle w:val="FootnoteAnchor"/>
          <w:rtl w:val="true"/>
        </w:rPr>
        <w:footnoteReference w:id="900"/>
      </w:r>
      <w:r>
        <w:rPr>
          <w:rFonts w:ascii="IRNazanin" w:hAnsi="IRNazanin" w:eastAsia="IRNazanin"/>
          <w:color w:val="111111"/>
          <w:sz w:val="28"/>
          <w:sz w:val="28"/>
          <w:szCs w:val="28"/>
          <w:rtl w:val="true"/>
          <w:lang w:bidi="fa-IR"/>
        </w:rPr>
        <w:t>، من ذلك جواز حذفها تخفيفًا وإنْ كان حذف الحرف ليس بقياس عند النحويین</w:t>
      </w:r>
      <w:r>
        <w:rPr>
          <w:rStyle w:val="FootnoteAnchor"/>
          <w:rtl w:val="true"/>
        </w:rPr>
        <w:footnoteReference w:id="90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وفي النحو العربي نقد وتوجيه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وأساليب الطلب عند النحويین والبلاغيین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لكنَّه أُجيز أحيانًا لقوة الدلالة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كثرة حذف الحروف في الواقع اللغوي</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مما له الصدر في 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ابن جني على أنْ يحتكم إلى ما سُمِعَ في اللغة ويقول بجوازه،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القياس ألا يجوز حذف الحروف ولا زيادتها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حُذِفَتْ تارة وزِيدَتْ أُخرى</w:t>
      </w:r>
      <w:r>
        <w:rPr>
          <w:rFonts w:eastAsia="Amiri" w:cs="Amiri" w:ascii="Amiri" w:hAnsi="Amiri"/>
          <w:color w:val="111111"/>
          <w:sz w:val="28"/>
          <w:szCs w:val="28"/>
          <w:rtl w:val="true"/>
          <w:lang w:bidi="ar-SA"/>
        </w:rPr>
        <w:t>))</w:t>
      </w:r>
      <w:r>
        <w:rPr>
          <w:rStyle w:val="FootnoteAnchor"/>
          <w:rtl w:val="true"/>
        </w:rPr>
        <w:footnoteReference w:id="903"/>
      </w:r>
      <w:r>
        <w:rPr>
          <w:rFonts w:ascii="IRNazanin" w:hAnsi="IRNazanin" w:eastAsia="IRNazanin"/>
          <w:color w:val="111111"/>
          <w:sz w:val="28"/>
          <w:sz w:val="28"/>
          <w:szCs w:val="28"/>
          <w:rtl w:val="true"/>
          <w:lang w:bidi="fa-IR"/>
        </w:rPr>
        <w:t>، وهذا منطق صائب وسليم يفرضه الواقع اللغوي الزاخر بكثرة حذف الحروف حتى أصبح حذف قسم منها حذفًا مطّردًا لا يمكن رفضه أو تأويله، غیر أنَّ ابن الحاجب لم يأبه بهذا وبقي عند رأيه فلم يجوِّز حذف الحرف معللاً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الحروف التي تدل على الإنشاء لها صدر الكلام فلو جاز حذفه لجاز تأخيرها ولم يجز تأخيرها فلم يجُز حذفها</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ويبدو أنَّ تعليل ابن الحاجب تنقضه الكثیر من المسائل التي حُذِفَ فيها ما له الصدارة في الكلام، من ذلك حذف أمِّ باب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 وهي مما لها التصدّر عند جمهور البصریين</w:t>
      </w:r>
      <w:r>
        <w:rPr>
          <w:rStyle w:val="FootnoteAnchor"/>
          <w:rtl w:val="true"/>
        </w:rPr>
        <w:footnoteReference w:id="906"/>
      </w:r>
      <w:r>
        <w:rPr>
          <w:rFonts w:ascii="Amiri" w:hAnsi="Amiri" w:eastAsia="Amiri" w:cs="Amiri"/>
          <w:color w:val="111111"/>
          <w:sz w:val="28"/>
          <w:sz w:val="28"/>
          <w:szCs w:val="28"/>
          <w:rtl w:val="true"/>
          <w:lang w:bidi="ar-SA"/>
        </w:rPr>
        <w:t>، فقد جوّز حذفها أبو علي الفارسي مستدلًا بقولهم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لأضربنه ذهب أو مكث</w:t>
      </w:r>
      <w:r>
        <w:rPr>
          <w:rFonts w:eastAsia="Amiri" w:cs="Amiri" w:ascii="Amiri" w:hAnsi="Amiri"/>
          <w:color w:val="111111"/>
          <w:sz w:val="28"/>
          <w:szCs w:val="28"/>
          <w:rtl w:val="true"/>
          <w:lang w:bidi="ar-SA"/>
        </w:rPr>
        <w:t>)</w:t>
      </w:r>
      <w:r>
        <w:rPr>
          <w:rStyle w:val="FootnoteAnchor"/>
          <w:rtl w:val="true"/>
        </w:rPr>
        <w:footnoteReference w:id="907"/>
      </w:r>
      <w:r>
        <w:rPr>
          <w:rFonts w:ascii="IRNazanin" w:hAnsi="IRNazanin" w:eastAsia="IRNazanin"/>
          <w:color w:val="111111"/>
          <w:sz w:val="28"/>
          <w:sz w:val="28"/>
          <w:szCs w:val="28"/>
          <w:rtl w:val="true"/>
          <w:lang w:bidi="fa-IR"/>
        </w:rPr>
        <w:t>ونقل أبو حيان والسيوطي عن بعض النحويین جواز حذفها أيضًا</w:t>
      </w:r>
      <w:r>
        <w:rPr>
          <w:rStyle w:val="FootnoteAnchor"/>
          <w:rtl w:val="true"/>
        </w:rPr>
        <w:footnoteReference w:id="908"/>
      </w:r>
      <w:r>
        <w:rPr>
          <w:rFonts w:ascii="Amiri" w:hAnsi="Amiri" w:eastAsia="Amiri" w:cs="Amiri"/>
          <w:color w:val="111111"/>
          <w:sz w:val="28"/>
          <w:sz w:val="28"/>
          <w:szCs w:val="28"/>
          <w:rtl w:val="true"/>
          <w:lang w:bidi="ar-SA"/>
        </w:rPr>
        <w:t>، ومثل هذا الحذف قد نطق به القرآن الكريم في أكثر من موطن وشاهد، وجاء منه في نهج البلاغة أيضًا</w:t>
      </w:r>
      <w:r>
        <w:rPr>
          <w:rStyle w:val="FootnoteAnchor"/>
          <w:rtl w:val="true"/>
        </w:rPr>
        <w:footnoteReference w:id="909"/>
      </w:r>
      <w:r>
        <w:rPr>
          <w:rFonts w:ascii="IRNazanin" w:hAnsi="IRNazanin" w:eastAsia="IRNazanin"/>
          <w:color w:val="111111"/>
          <w:sz w:val="28"/>
          <w:sz w:val="28"/>
          <w:szCs w:val="28"/>
          <w:rtl w:val="true"/>
          <w:lang w:bidi="fa-IR"/>
        </w:rPr>
        <w:t xml:space="preserve">، وهذا ما دعا ابن هشام إلى عدِّه </w:t>
      </w:r>
    </w:p>
    <w:p>
      <w:pPr>
        <w:pStyle w:val="BookText"/>
        <w:rPr/>
      </w:pPr>
      <w:r>
        <w:rPr>
          <w:rFonts w:ascii="Amiri" w:hAnsi="Amiri" w:eastAsia="Amiri" w:cs="Amiri"/>
          <w:color w:val="111111"/>
          <w:sz w:val="28"/>
          <w:sz w:val="28"/>
          <w:szCs w:val="28"/>
          <w:rtl w:val="true"/>
          <w:lang w:bidi="ar-SA"/>
        </w:rPr>
        <w:t>حذفًا مطّردًا</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نصَّ النحويون على جواز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الواقعتین في جواب القسم وهما مما يتصدّران أيضًا</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ينتقض ما ذهب إليه ابن الحاجب، ويترجّح لديَّ أن حذف ماله الصدارة في الكلام لا يمكن دفعه لكثرة الشواهد،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والكثرة تخول القياس عليها</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 فصدارة الحرف في جملته لا تمنع من حذفه ولاسيما إذا دلَّتْ القرائن على هذا الحذف</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اختلفت كلمة علماء العربية فيما يخص جواز حذف همزة الاستفهام، فمنهم من قصرَ حذفها على الضرورة الشعرية إنْ دلَّ عليها دليل، فسيبويه قد أورد قول الأخطل</w:t>
      </w:r>
      <w:r>
        <w:rPr>
          <w:rStyle w:val="FootnoteAnchor"/>
          <w:rtl w:val="true"/>
        </w:rPr>
        <w:footnoteReference w:id="9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كذبتك عينُك أم رأيتَ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غَلَسَ الظّلامِ من الرَّباب خَيالاَ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في الشعر أن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بكذبتك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ويحذف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 فهو لم يشترط الدليل لحذفها في الضرورة وإن لم يُصرِّح بذلك إلا أنَّ الأبيات التي استشهد بها كاشفةٌ عن رأيه، منها بيت عمر بن أبي ربيعة</w:t>
      </w:r>
      <w:r>
        <w:rPr>
          <w:rStyle w:val="FootnoteAnchor"/>
          <w:rtl w:val="true"/>
        </w:rPr>
        <w:footnoteReference w:id="9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لَعَمْرُك ما أدَرِي وإنْ كنتُ 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رَمَيْنَ الجَمْرَ أم بَثمانِ إلاّ أن المرّد قال بالضرورة ههنا لكنّه صرَّح باشتراط الدليل؛ إذ قال في بيت عمر بن ابي ربيعة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بسبع؟ فاضطر، 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إِرادته إِيَّاه</w:t>
      </w:r>
      <w:r>
        <w:rPr>
          <w:rFonts w:eastAsia="Amiri" w:cs="Amiri" w:ascii="Amiri" w:hAnsi="Amiri"/>
          <w:color w:val="111111"/>
          <w:sz w:val="28"/>
          <w:szCs w:val="28"/>
          <w:rtl w:val="true"/>
          <w:lang w:bidi="ar-SA"/>
        </w:rPr>
        <w:t>))</w:t>
      </w:r>
      <w:r>
        <w:rPr>
          <w:rStyle w:val="FootnoteAnchor"/>
          <w:rtl w:val="true"/>
        </w:rPr>
        <w:footnoteReference w:id="916"/>
      </w:r>
      <w:r>
        <w:rPr>
          <w:rFonts w:ascii="IRNazanin" w:hAnsi="IRNazanin" w:eastAsia="IRNazanin"/>
          <w:color w:val="111111"/>
          <w:sz w:val="28"/>
          <w:sz w:val="28"/>
          <w:szCs w:val="28"/>
          <w:rtl w:val="true"/>
          <w:lang w:bidi="fa-IR"/>
        </w:rPr>
        <w:t xml:space="preserve">ثم استشهد ببيتین آخَرينِ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دليلاً على حذف الهمزة،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نص المبرد تدلُّ على أنَّه ذهب في هذا الحذف مذهب الضرورة بشرط الدليل، ولعل رأيه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صراحةً في التعبیر عن مذهبه، فقد عدّ حذف همزة الاستفهام من غیر دليل يدلُّ عليها خطأً فاحشًا</w:t>
      </w:r>
      <w:r>
        <w:rPr>
          <w:rStyle w:val="FootnoteAnchor"/>
          <w:rtl w:val="true"/>
        </w:rPr>
        <w:footnoteReference w:id="917"/>
      </w:r>
      <w:r>
        <w:rPr>
          <w:rFonts w:ascii="IRNazanin" w:hAnsi="IRNazanin" w:eastAsia="IRNazanin"/>
          <w:color w:val="111111"/>
          <w:sz w:val="28"/>
          <w:sz w:val="28"/>
          <w:szCs w:val="28"/>
          <w:rtl w:val="true"/>
          <w:lang w:bidi="fa-IR"/>
        </w:rPr>
        <w:t>، وممن سار على هذا المذهب عدد من العلماء منهم النحاس</w:t>
      </w:r>
      <w:r>
        <w:rPr>
          <w:rStyle w:val="FootnoteAnchor"/>
          <w:rtl w:val="true"/>
        </w:rPr>
        <w:footnoteReference w:id="918"/>
      </w:r>
      <w:r>
        <w:rPr>
          <w:rFonts w:ascii="IRNazanin" w:hAnsi="IRNazanin" w:eastAsia="IRNazanin"/>
          <w:color w:val="111111"/>
          <w:sz w:val="28"/>
          <w:sz w:val="28"/>
          <w:szCs w:val="28"/>
          <w:rtl w:val="true"/>
          <w:lang w:bidi="fa-IR"/>
        </w:rPr>
        <w:t>، والسیرافي</w:t>
      </w:r>
      <w:r>
        <w:rPr>
          <w:rStyle w:val="FootnoteAnchor"/>
          <w:rtl w:val="true"/>
        </w:rPr>
        <w:footnoteReference w:id="919"/>
      </w:r>
      <w:r>
        <w:rPr>
          <w:rFonts w:ascii="Amiri" w:hAnsi="Amiri" w:eastAsia="Amiri" w:cs="Amiri"/>
          <w:color w:val="111111"/>
          <w:sz w:val="28"/>
          <w:sz w:val="28"/>
          <w:szCs w:val="28"/>
          <w:rtl w:val="true"/>
          <w:lang w:bidi="ar-SA"/>
        </w:rPr>
        <w:t>، وابن خالويه</w:t>
      </w:r>
      <w:r>
        <w:rPr>
          <w:rStyle w:val="FootnoteAnchor"/>
          <w:rtl w:val="true"/>
        </w:rPr>
        <w:footnoteReference w:id="920"/>
      </w:r>
      <w:r>
        <w:rPr>
          <w:rFonts w:ascii="Amiri" w:hAnsi="Amiri" w:eastAsia="Amiri" w:cs="Amiri"/>
          <w:color w:val="111111"/>
          <w:sz w:val="28"/>
          <w:sz w:val="28"/>
          <w:szCs w:val="28"/>
          <w:rtl w:val="true"/>
          <w:lang w:bidi="ar-SA"/>
        </w:rPr>
        <w:t>، وقد اختار هذا المذهبَ ابنُ يعيش</w:t>
      </w:r>
      <w:r>
        <w:rPr>
          <w:rStyle w:val="FootnoteAnchor"/>
          <w:rtl w:val="true"/>
        </w:rPr>
        <w:footnoteReference w:id="921"/>
      </w:r>
      <w:r>
        <w:rPr>
          <w:rFonts w:ascii="IRNazanin" w:hAnsi="IRNazanin" w:eastAsia="IRNazanin"/>
          <w:color w:val="111111"/>
          <w:sz w:val="28"/>
          <w:sz w:val="28"/>
          <w:szCs w:val="28"/>
          <w:rtl w:val="true"/>
          <w:lang w:bidi="fa-IR"/>
        </w:rPr>
        <w:t xml:space="preserve">، ومّمن عدّها من ضرائر الشعر ابن عصفور فرأى أنَّ حذفها جائز عند أمن اللبس، وأما عند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كثیر</w:t>
      </w:r>
      <w:r>
        <w:rPr>
          <w:rStyle w:val="FootnoteAnchor"/>
          <w:rtl w:val="true"/>
        </w:rPr>
        <w:footnoteReference w:id="922"/>
      </w:r>
      <w:r>
        <w:rPr>
          <w:rFonts w:ascii="Amiri" w:hAnsi="Amiri" w:eastAsia="Amiri" w:cs="Amiri"/>
          <w:color w:val="111111"/>
          <w:sz w:val="28"/>
          <w:sz w:val="28"/>
          <w:szCs w:val="28"/>
          <w:rtl w:val="true"/>
          <w:lang w:bidi="ar-SA"/>
        </w:rPr>
        <w:t>، وأكد الرضي الاسترابادي حذفها بالشعر بقلة</w:t>
      </w:r>
      <w:r>
        <w:rPr>
          <w:rStyle w:val="FootnoteAnchor"/>
          <w:rtl w:val="true"/>
        </w:rPr>
        <w:footnoteReference w:id="923"/>
      </w:r>
      <w:r>
        <w:rPr>
          <w:rFonts w:ascii="Amiri" w:hAnsi="Amiri" w:eastAsia="Amiri" w:cs="Amiri"/>
          <w:color w:val="111111"/>
          <w:sz w:val="28"/>
          <w:sz w:val="28"/>
          <w:szCs w:val="28"/>
          <w:rtl w:val="true"/>
          <w:lang w:bidi="ar-SA"/>
        </w:rPr>
        <w:t>، وممن أيَّد سيبويه على هذا ابنُ الحاجب، وابنُ أبي الربيع، والبغدادي</w:t>
      </w:r>
      <w:r>
        <w:rPr>
          <w:rStyle w:val="FootnoteAnchor"/>
          <w:rtl w:val="true"/>
        </w:rPr>
        <w:footnoteReference w:id="924"/>
      </w:r>
      <w:r>
        <w:rPr>
          <w:rFonts w:ascii="Amiri" w:hAnsi="Amiri" w:eastAsia="Amiri" w:cs="Amiri"/>
          <w:color w:val="111111"/>
          <w:sz w:val="28"/>
          <w:sz w:val="28"/>
          <w:szCs w:val="28"/>
          <w:rtl w:val="true"/>
          <w:lang w:bidi="ar-SA"/>
        </w:rPr>
        <w:t xml:space="preserve">، إلا أنَّ ابن ابي الربيع جزم بأنَّ </w:t>
      </w:r>
    </w:p>
    <w:p>
      <w:pPr>
        <w:pStyle w:val="BookText"/>
        <w:rPr/>
      </w:pPr>
      <w:r>
        <w:rPr>
          <w:rFonts w:ascii="IRNazanin" w:hAnsi="IRNazanin" w:eastAsia="IRNazanin"/>
          <w:color w:val="111111"/>
          <w:sz w:val="28"/>
          <w:sz w:val="28"/>
          <w:szCs w:val="28"/>
          <w:rtl w:val="true"/>
          <w:lang w:bidi="fa-IR"/>
        </w:rPr>
        <w:t xml:space="preserve">حذفها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يوجد في الكلام، على حین عدّ البغدادي هذا الحذف قبيحًا</w:t>
      </w:r>
      <w:r>
        <w:rPr>
          <w:rStyle w:val="FootnoteAnchor"/>
          <w:rtl w:val="true"/>
        </w:rPr>
        <w:footnoteReference w:id="925"/>
      </w:r>
      <w:r>
        <w:rPr>
          <w:rFonts w:ascii="IRNazanin" w:hAnsi="IRNazanin" w:eastAsia="IRNazanin"/>
          <w:color w:val="111111"/>
          <w:sz w:val="28"/>
          <w:sz w:val="28"/>
          <w:szCs w:val="28"/>
          <w:rtl w:val="true"/>
          <w:lang w:bidi="fa-IR"/>
        </w:rPr>
        <w:t>، وممّن ذكره من المحدثین الدكتور محمد حماسة</w:t>
      </w:r>
      <w:r>
        <w:rPr>
          <w:rStyle w:val="FootnoteAnchor"/>
          <w:rtl w:val="true"/>
        </w:rPr>
        <w:footnoteReference w:id="926"/>
      </w:r>
      <w:r>
        <w:rPr>
          <w:rFonts w:ascii="IRNazanin" w:hAnsi="IRNazanin" w:eastAsia="IRNazanin"/>
          <w:color w:val="111111"/>
          <w:sz w:val="28"/>
          <w:sz w:val="28"/>
          <w:szCs w:val="28"/>
          <w:rtl w:val="true"/>
          <w:lang w:bidi="fa-IR"/>
        </w:rPr>
        <w:t>، ونُسب القول بهذا المذهب إلى عامة البصريین</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وثمة عدد آخر من النحويین أجاز حذفها بدليل، ولم يقيِّد ذلك بالضرورة الشعرية، ومن بن هؤلاء العلماء الباقولي</w:t>
      </w:r>
      <w:r>
        <w:rPr>
          <w:rStyle w:val="FootnoteAnchor"/>
          <w:rtl w:val="true"/>
        </w:rPr>
        <w:footnoteReference w:id="928"/>
      </w:r>
      <w:r>
        <w:rPr>
          <w:rFonts w:ascii="Amiri" w:hAnsi="Amiri" w:eastAsia="Amiri" w:cs="Amiri"/>
          <w:color w:val="111111"/>
          <w:sz w:val="28"/>
          <w:sz w:val="28"/>
          <w:szCs w:val="28"/>
          <w:rtl w:val="true"/>
          <w:lang w:bidi="ar-SA"/>
        </w:rPr>
        <w:t>، والزمخشري</w:t>
      </w:r>
      <w:r>
        <w:rPr>
          <w:rStyle w:val="FootnoteAnchor"/>
          <w:rtl w:val="true"/>
        </w:rPr>
        <w:footnoteReference w:id="929"/>
      </w:r>
      <w:r>
        <w:rPr>
          <w:rFonts w:ascii="Amiri" w:hAnsi="Amiri" w:eastAsia="Amiri" w:cs="Amiri"/>
          <w:color w:val="111111"/>
          <w:sz w:val="28"/>
          <w:sz w:val="28"/>
          <w:szCs w:val="28"/>
          <w:rtl w:val="true"/>
          <w:lang w:bidi="ar-SA"/>
        </w:rPr>
        <w:t xml:space="preserve">، إلا أنَّ ابن يعيش قيَّد بالضرورة الشعرية ما أطلقه الزمخشري، على أنَّ المرادي يرى أنَّ حذفها مطردٌ إذا كان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المتصلة لكثرته نظماً ونثرًا</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 على هذا السمين الحلبي، وابن عادل الدمشقي</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وترى طائفة أُخرى من النحويین أنَّ حذف الهمزة جائز في السَّعة والاختيار وإن لم يدل على حذفها دليل، ولعل الأخفش خیر مَن يمثل هذا المذهب، فقد أورد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نِعْمَةٌ تَمُنُّهَا عَلَيَّ أَنْ عَبَّدْتَ بَنِي إِسْرَائِيلَ</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استفهام، 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تلك نعمة تمنها</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 xml:space="preserve">، ولم يرتضِ النحاس </w:t>
      </w:r>
    </w:p>
    <w:p>
      <w:pPr>
        <w:pStyle w:val="BookText"/>
        <w:rPr/>
      </w:pPr>
      <w:r>
        <w:rPr>
          <w:rFonts w:ascii="IRNazanin" w:hAnsi="IRNazanin" w:eastAsia="IRNazanin"/>
          <w:color w:val="111111"/>
          <w:sz w:val="28"/>
          <w:sz w:val="28"/>
          <w:szCs w:val="28"/>
          <w:rtl w:val="true"/>
          <w:lang w:bidi="fa-IR"/>
        </w:rPr>
        <w:t>هذا</w:t>
      </w:r>
      <w:r>
        <w:rPr>
          <w:rStyle w:val="FootnoteAnchor"/>
          <w:rtl w:val="true"/>
        </w:rPr>
        <w:footnoteReference w:id="934"/>
      </w:r>
      <w:r>
        <w:rPr>
          <w:rFonts w:ascii="Amiri" w:hAnsi="Amiri" w:eastAsia="Amiri" w:cs="Amiri"/>
          <w:color w:val="111111"/>
          <w:sz w:val="28"/>
          <w:sz w:val="28"/>
          <w:szCs w:val="28"/>
          <w:rtl w:val="true"/>
          <w:lang w:bidi="ar-SA"/>
        </w:rPr>
        <w:t xml:space="preserve">، وارتضاه ابن جني في ترجيحه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بهمزة واحدة</w:t>
      </w:r>
      <w:r>
        <w:rPr>
          <w:rStyle w:val="FootnoteAnchor"/>
          <w:rtl w:val="true"/>
        </w:rPr>
        <w:footnoteReference w:id="935"/>
      </w:r>
      <w:r>
        <w:rPr>
          <w:rFonts w:ascii="Amiri" w:hAnsi="Amiri" w:eastAsia="Amiri" w:cs="Amiri"/>
          <w:color w:val="111111"/>
          <w:sz w:val="28"/>
          <w:sz w:val="28"/>
          <w:szCs w:val="28"/>
          <w:rtl w:val="true"/>
          <w:lang w:bidi="ar-SA"/>
        </w:rPr>
        <w:t>محتجًا لرأيه بعدد من الشواهد</w:t>
      </w:r>
      <w:r>
        <w:rPr>
          <w:rStyle w:val="FootnoteAnchor"/>
          <w:rtl w:val="true"/>
        </w:rPr>
        <w:footnoteReference w:id="936"/>
      </w:r>
      <w:r>
        <w:rPr>
          <w:rFonts w:ascii="Amiri" w:hAnsi="Amiri" w:eastAsia="Amiri" w:cs="Amiri"/>
          <w:color w:val="111111"/>
          <w:sz w:val="28"/>
          <w:sz w:val="28"/>
          <w:szCs w:val="28"/>
          <w:rtl w:val="true"/>
          <w:lang w:bidi="ar-SA"/>
        </w:rPr>
        <w:t>، وقد رجّح ما رآه الأخفش جملةٌ من المفسِّرين أيضًا</w:t>
      </w:r>
      <w:r>
        <w:rPr>
          <w:rStyle w:val="FootnoteAnchor"/>
          <w:rtl w:val="true"/>
        </w:rPr>
        <w:footnoteReference w:id="937"/>
      </w:r>
      <w:r>
        <w:rPr>
          <w:rFonts w:ascii="Amiri" w:hAnsi="Amiri" w:eastAsia="Amiri" w:cs="Amiri"/>
          <w:color w:val="111111"/>
          <w:sz w:val="28"/>
          <w:sz w:val="28"/>
          <w:szCs w:val="28"/>
          <w:rtl w:val="true"/>
          <w:lang w:bidi="ar-SA"/>
        </w:rPr>
        <w:t>، واختار هذا الرأي ابنُ مالك ورجّحه أيضًا</w:t>
      </w:r>
      <w:r>
        <w:rPr>
          <w:rStyle w:val="FootnoteAnchor"/>
          <w:rtl w:val="true"/>
        </w:rPr>
        <w:footnoteReference w:id="938"/>
      </w:r>
      <w:r>
        <w:rPr>
          <w:rFonts w:ascii="Amiri" w:hAnsi="Amiri" w:eastAsia="Amiri" w:cs="Amiri"/>
          <w:color w:val="111111"/>
          <w:sz w:val="28"/>
          <w:sz w:val="28"/>
          <w:szCs w:val="28"/>
          <w:rtl w:val="true"/>
          <w:lang w:bidi="ar-SA"/>
        </w:rPr>
        <w:t>محتجًا له بنصوص من القرآن الكريم والشعر العربي فضلاً عن احتجاجه بأحاديث نبوية شريفة</w:t>
      </w:r>
      <w:r>
        <w:rPr>
          <w:rStyle w:val="FootnoteAnchor"/>
          <w:rtl w:val="true"/>
        </w:rPr>
        <w:footnoteReference w:id="939"/>
      </w:r>
      <w:r>
        <w:rPr>
          <w:rFonts w:ascii="Amiri" w:hAnsi="Amiri" w:eastAsia="Amiri" w:cs="Amiri"/>
          <w:color w:val="111111"/>
          <w:sz w:val="28"/>
          <w:sz w:val="28"/>
          <w:szCs w:val="28"/>
          <w:rtl w:val="true"/>
          <w:lang w:bidi="ar-SA"/>
        </w:rPr>
        <w:t xml:space="preserve">، وقال بهذا الرأي ابنُ هشام أيضًا، فصرّح بأنّ حذف الهمزة جائز سواء تقدَّمت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تتقدمها</w:t>
      </w:r>
      <w:r>
        <w:rPr>
          <w:rStyle w:val="FootnoteAnchor"/>
          <w:rtl w:val="true"/>
        </w:rPr>
        <w:footnoteReference w:id="940"/>
      </w:r>
      <w:r>
        <w:rPr>
          <w:rFonts w:ascii="IRNazanin" w:hAnsi="IRNazanin" w:eastAsia="IRNazanin"/>
          <w:color w:val="111111"/>
          <w:sz w:val="28"/>
          <w:sz w:val="28"/>
          <w:szCs w:val="28"/>
          <w:rtl w:val="true"/>
          <w:lang w:bidi="fa-IR"/>
        </w:rPr>
        <w:t>، والظاهر أنَّه يؤيد ابن مالك في هذه المسألة، ونُسب هذا المذهب إلى عموم الكوفيین</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كثرة حذف الهمزة 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شواهد نثرية من القرآن الكريم وكلام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تُرجّح ما ذهب إليه الأخفش ومن تابعه؛ فحذفها ليس ضرورةً شعريةً كما ذهب إليه فريق من النحویين، وليس قليلًا أو قبيحًا كما ذهب قسم آخر منهم، فقد ورد حذفها في عدد من الشواهد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احتج به الأخفش وابن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xml:space="preserve">، فذهب المفسرون إلى أنَّ </w:t>
      </w:r>
    </w:p>
    <w:p>
      <w:pPr>
        <w:pStyle w:val="BookText"/>
        <w:rPr/>
      </w:pPr>
      <w:r>
        <w:rPr>
          <w:rFonts w:ascii="Amiri" w:hAnsi="Amiri" w:eastAsia="Amiri" w:cs="Amiri"/>
          <w:color w:val="111111"/>
          <w:sz w:val="28"/>
          <w:sz w:val="28"/>
          <w:szCs w:val="28"/>
          <w:rtl w:val="true"/>
          <w:lang w:bidi="ar-SA"/>
        </w:rPr>
        <w:t xml:space="preserve">همزة الاستفهام محذوفة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نفسك</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مِتَّ فَهُم الْخَالِدُونَ</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 فقرَّر عدد من المفسرين أنَّ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 الخالدون</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هذا الحذف في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مشاجرة بينه وبین عثمان، قال المغیرة بن الأخنس</w:t>
      </w:r>
      <w:r>
        <w:rPr>
          <w:rStyle w:val="FootnoteAnchor"/>
          <w:rtl w:val="true"/>
        </w:rPr>
        <w:footnoteReference w:id="9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والاعلام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للمغرة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اللَّعِيِن الْاَبْتَرِ، وَالشَّجَرَةِ الَّتي لاَ أَصْلَ لَهَا وَلاَ فَرْعَ، أَنْتَ تَكْفِينِي؟، فَوَاللهِ مَاأَعَزَّ اللهُ مَنْ أَنْتَ نَاصِرُهُ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تكفيني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استفهامية محذوفة الأداة</w:t>
      </w:r>
      <w:r>
        <w:rPr>
          <w:rStyle w:val="FootnoteAnchor"/>
          <w:rtl w:val="true"/>
        </w:rPr>
        <w:footnoteReference w:id="947"/>
      </w:r>
      <w:r>
        <w:rPr>
          <w:rFonts w:ascii="IRNazanin" w:hAnsi="IRNazanin" w:eastAsia="IRNazanin"/>
          <w:color w:val="111111"/>
          <w:sz w:val="28"/>
          <w:sz w:val="28"/>
          <w:szCs w:val="28"/>
          <w:rtl w:val="true"/>
          <w:lang w:bidi="fa-IR"/>
        </w:rPr>
        <w:t xml:space="preserve">، ولا يمكن جعل التركيب على الخبر لفساد المعنى؛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معرض توبيخ المغیرة وذمّه؛ لأنَّه كان رجلاً سيئًا منافقًا، والسياق كاشف عن ذلك</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يؤكِّد أنَّ حذفَ الهمزة ليس ضرورة شعرية ورود شواهد في كلام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أكثر من موضع أيضًا</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bookmarkStart w:id="195" w:name="pg7031_80998"/>
    </w:p>
    <w:p>
      <w:pPr>
        <w:pStyle w:val="BookText"/>
        <w:rPr/>
      </w:pPr>
      <w:bookmarkEnd w:id="195"/>
      <w:r>
        <w:rPr>
          <w:rFonts w:ascii="IRNazanin" w:hAnsi="IRNazanin" w:eastAsia="IRNazanin"/>
          <w:color w:val="111111"/>
          <w:sz w:val="28"/>
          <w:sz w:val="28"/>
          <w:szCs w:val="28"/>
          <w:rtl w:val="true"/>
          <w:lang w:bidi="fa-IR"/>
        </w:rPr>
        <w:t xml:space="preserve">نخلص مما تقدَّم إلى أنَّ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لحذف الهمزة ليس سليمًا، ولا أدري لماذا أغفل النحويون في هذه المسألة أهمية السياق في الدلالة على المحذوف؟ فالقرائن اللفظية خیر معین في الدلالة عليه، من ذلك حروف الجواب، فهي أفضل قرينة على حذف الهمزة، زيادة على هذا يمكن الإفادة من ظاهرة التنغيم في الاستغناء عن الهمزة المحذوفة، وإن كان الجانب الصوتي يخدم المتلّقي الحاضر وقت قول الكلام أو إنشائه بخلاف اللغة المكتوبة</w:t>
      </w:r>
      <w:r>
        <w:rPr>
          <w:rStyle w:val="FootnoteAnchor"/>
          <w:rtl w:val="true"/>
        </w:rPr>
        <w:footnoteReference w:id="949"/>
      </w:r>
      <w:r>
        <w:rPr>
          <w:rFonts w:ascii="IRNazanin" w:hAnsi="IRNazanin" w:eastAsia="IRNazanin"/>
          <w:color w:val="111111"/>
          <w:sz w:val="28"/>
          <w:sz w:val="28"/>
          <w:szCs w:val="28"/>
          <w:rtl w:val="true"/>
          <w:lang w:bidi="fa-IR"/>
        </w:rPr>
        <w:t xml:space="preserve">، ولذلك تحتمل الكثیر من تلك النصوص المكتوبة إلى تقدير وهذا ما حصل، وهو مما لا بد منه في الغالب، هذا فضلاً عن أنَّ حصر هذا الحذف بالشعر ليس دقيقًا يرفضه الواقع اللغوي، وما اشتمل عليه الكلام النثري في القرآن الكريم، وفي كلام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أُمَراء الفصاحة والبيان وفي شواهد كثیرة يصعب إحصاؤها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واستنادًا إلى كلِّ ما تقدَّم يمكن إعادة صوغ القاعدة بالآتي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حذف همزة الاستفهام في السَّعة والاختيار سواء دلَّت على حذفها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تدلُّ بشرط أمن اللبس، لورود ذلك في نهج البلاغة فضلاً عن القرآن الكريم</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2958358_372815092"/>
      <w:bookmarkStart w:id="197" w:name="_Toc65"/>
      <w:bookmarkEnd w:id="196"/>
      <w:r>
        <w:rPr>
          <w:rtl w:val="true"/>
        </w:rPr>
        <w:t>المسألة الثانية</w:t>
      </w:r>
      <w:r>
        <w:rPr>
          <w:rtl w:val="true"/>
        </w:rPr>
        <w:t xml:space="preserve">: </w:t>
      </w:r>
      <w:r>
        <w:rPr>
          <w:rtl w:val="true"/>
        </w:rPr>
        <w:t xml:space="preserve">جواز حذف حرف العطف </w:t>
      </w:r>
      <w:r>
        <w:rPr>
          <w:rtl w:val="true"/>
        </w:rPr>
        <w:t>(</w:t>
      </w:r>
      <w:r>
        <w:rPr>
          <w:rtl w:val="true"/>
        </w:rPr>
        <w:t>الواو</w:t>
      </w:r>
      <w:r>
        <w:rPr>
          <w:rtl w:val="true"/>
        </w:rPr>
        <w:t>):</w:t>
      </w:r>
      <w:bookmarkEnd w:id="19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العطف في العربية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نسق وعطف بيان، وهذه المسألة تخص الأول منهما؛ لأنَّه هو الذي يستلزم وجود حرف العطف؛ إذ عرَّفه الرضي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 يتوسط بينه وبن متبوعه أحدُ الحروف العشرة</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 xml:space="preserve">، وهي الحروف التي يشترك بوساطتها ما يقع بعدها في إعراب ما قبلها، ولذلك سُمِيتْ عاطفة، ومنها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 باب حروف العطف وأصله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 النحويون في جواز حذف 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مع بقاء المعطوف، فقد ذهب ابن جنّي إلى عدم جواز ذلك وعدَّ ما جاء منه في كلام العرب شاذًا</w:t>
      </w:r>
      <w:r>
        <w:rPr>
          <w:rStyle w:val="FootnoteAnchor"/>
          <w:rtl w:val="true"/>
        </w:rPr>
        <w:footnoteReference w:id="952"/>
      </w:r>
      <w:r>
        <w:rPr>
          <w:rFonts w:ascii="Amiri" w:hAnsi="Amiri" w:eastAsia="Amiri" w:cs="Amiri"/>
          <w:color w:val="111111"/>
          <w:sz w:val="28"/>
          <w:sz w:val="28"/>
          <w:szCs w:val="28"/>
          <w:rtl w:val="true"/>
          <w:lang w:bidi="ar-SA"/>
        </w:rPr>
        <w:t>، و قد أكد ذلك في موضع آخر عادًّا ذلك ضعيفًا في القياس معدومًا في الاستعمال</w:t>
      </w:r>
      <w:r>
        <w:rPr>
          <w:rStyle w:val="FootnoteAnchor"/>
          <w:rtl w:val="true"/>
        </w:rPr>
        <w:footnoteReference w:id="953"/>
      </w:r>
      <w:r>
        <w:rPr>
          <w:rFonts w:ascii="Amiri" w:hAnsi="Amiri" w:eastAsia="Amiri" w:cs="Amiri"/>
          <w:color w:val="111111"/>
          <w:sz w:val="28"/>
          <w:sz w:val="28"/>
          <w:szCs w:val="28"/>
          <w:rtl w:val="true"/>
          <w:lang w:bidi="ar-SA"/>
        </w:rPr>
        <w:t xml:space="preserve">، وتابعه على هذا 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 وتعليل هذا أنَّ الحروف دالة على معانٍ في نفس المتكلم، وإضمارها لا يفيد معناها</w:t>
      </w:r>
      <w:r>
        <w:rPr>
          <w:rStyle w:val="FootnoteAnchor"/>
          <w:rtl w:val="true"/>
        </w:rPr>
        <w:footnoteReference w:id="955"/>
      </w:r>
      <w:r>
        <w:rPr>
          <w:rFonts w:ascii="Amiri" w:hAnsi="Amiri" w:eastAsia="Amiri" w:cs="Amiri"/>
          <w:color w:val="111111"/>
          <w:sz w:val="28"/>
          <w:sz w:val="28"/>
          <w:szCs w:val="28"/>
          <w:rtl w:val="true"/>
          <w:lang w:bidi="ar-SA"/>
        </w:rPr>
        <w:t xml:space="preserve">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للعطف والتشريك، فإنْ حُذِفَتْ زالَ هذا المعنى وزالت فائدتها</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ورأى فريق آخر من النحويین أنَّ هذا الحذف محمولٌ على الضرورة الشعرية وفي ذلك قال القزّاز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ومما يجوز له عند بعض النحويین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 فأجاز أن يقول الشاعر إذا 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زيد عمرًا على غیر البدل، ولكن على 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زيدًا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Style w:val="FootnoteAnchor"/>
          <w:rtl w:val="true"/>
        </w:rPr>
        <w:footnoteReference w:id="957"/>
      </w:r>
      <w:r>
        <w:rPr>
          <w:rFonts w:ascii="Amiri" w:hAnsi="Amiri" w:eastAsia="Amiri" w:cs="Amiri"/>
          <w:color w:val="111111"/>
          <w:sz w:val="28"/>
          <w:sz w:val="28"/>
          <w:szCs w:val="28"/>
          <w:rtl w:val="true"/>
          <w:lang w:bidi="ar-SA"/>
        </w:rPr>
        <w:t>، وأكد القول بهذا ابنُ عصفور أيضًا</w:t>
      </w:r>
      <w:r>
        <w:rPr>
          <w:rStyle w:val="FootnoteAnchor"/>
          <w:rtl w:val="true"/>
        </w:rPr>
        <w:footnoteReference w:id="958"/>
      </w:r>
      <w:r>
        <w:rPr>
          <w:rFonts w:ascii="Amiri" w:hAnsi="Amiri" w:eastAsia="Amiri" w:cs="Amiri"/>
          <w:color w:val="111111"/>
          <w:sz w:val="28"/>
          <w:sz w:val="28"/>
          <w:szCs w:val="28"/>
          <w:rtl w:val="true"/>
          <w:lang w:bidi="ar-SA"/>
        </w:rPr>
        <w:t>، وقطع ابن أبي الربيع بأنَّ حذف حرف العطف لا يكون في المفردات إلا في الشعر</w:t>
      </w:r>
      <w:r>
        <w:rPr>
          <w:rStyle w:val="FootnoteAnchor"/>
          <w:rtl w:val="true"/>
        </w:rPr>
        <w:footnoteReference w:id="959"/>
      </w:r>
      <w:r>
        <w:rPr>
          <w:rFonts w:ascii="Amiri" w:hAnsi="Amiri" w:eastAsia="Amiri" w:cs="Amiri"/>
          <w:color w:val="111111"/>
          <w:sz w:val="28"/>
          <w:sz w:val="28"/>
          <w:szCs w:val="28"/>
          <w:rtl w:val="true"/>
          <w:lang w:bidi="ar-SA"/>
        </w:rPr>
        <w:t xml:space="preserve">، وارتضى ذلك المالقي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موصلة </w:t>
      </w:r>
    </w:p>
    <w:p>
      <w:pPr>
        <w:pStyle w:val="BookText"/>
        <w:rPr/>
      </w:pPr>
      <w:r>
        <w:rPr>
          <w:rFonts w:ascii="Amiri" w:hAnsi="Amiri" w:eastAsia="Amiri" w:cs="Amiri"/>
          <w:color w:val="111111"/>
          <w:sz w:val="28"/>
          <w:sz w:val="28"/>
          <w:szCs w:val="28"/>
          <w:rtl w:val="true"/>
          <w:lang w:bidi="ar-SA"/>
        </w:rPr>
        <w:t>لمعنى العطف والتشريك، فإذا حُذِفَتْ زال هذا المعنى، فزالت فائدتها، فإن جاء من ذلك شيء فضرورة</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 وهو ما رآه ابن هشام أيضًا</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الخلاف بین ما ذهب إليه ابن جني ومتابعوه وما رآه القزّاز ومؤيدوه خلاف بین الضرورة والشاذ الذي يعود مؤدّاه أساسًا إلى نقص الاستقراء، وإيضاح هذا أنَّ النحويین يحملون الشاهد الشعري على الضرورة إنْ لم يكن ثمة شاهدٌ نثري للمسالة نفسِها، فإنْ ورد الشاهد النثري فهو شاذ، هذا ما أدلى به البغدادي في تعليقه على قول الرضي الذي حكم بالشذوذ على بيت ذكره المبرد، فقال البغدادي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والأحسَن أَن يقول ضرورة فإِنّه لم يرد في كلام منثور</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هذا أنَّ الخروج عن القياس في ميدان الشعر وحده يُعدُّ ضرورة شعرية، فإنْ كان في الشعر والنثر سُمِيَ شذوذًا؛ ولهذا حكم ابن جني على حذف 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بالشذوذ؛ لأنه قد أورد مع الشاهد الشعري شاهدًا نثريًا فيما حكاه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عثمان عن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لحماً سمكًا تمرًا</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 xml:space="preserve">، وهو ما أكَّده السهيلي فعلل حكمه بالشذوذ وموافقته ابن جني بأنَّ الذين أجازوه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احتجوا لمذهبهم بآيٍ من كتاب الله تعالى، وأشياء من كلام العرب</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ورود هذا الحذف في المسموع العربي المحتج به جعل بعض النحويین يجيزونه، فقد ذهب أبو علي الفارسي، وابن مالك إلى جواز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w:t>
      </w:r>
    </w:p>
    <w:p>
      <w:pPr>
        <w:pStyle w:val="BookText"/>
        <w:rPr/>
      </w:pPr>
      <w:r>
        <w:rPr>
          <w:rFonts w:ascii="IRNazanin" w:hAnsi="IRNazanin" w:eastAsia="IRNazanin"/>
          <w:color w:val="111111"/>
          <w:sz w:val="28"/>
          <w:sz w:val="28"/>
          <w:szCs w:val="28"/>
          <w:rtl w:val="true"/>
          <w:lang w:bidi="fa-IR"/>
        </w:rPr>
        <w:t>إذا صحَّ المعنى بحذف العاطف</w:t>
      </w:r>
      <w:r>
        <w:rPr>
          <w:rStyle w:val="FootnoteAnchor"/>
          <w:rtl w:val="true"/>
        </w:rPr>
        <w:footnoteReference w:id="965"/>
      </w:r>
      <w:r>
        <w:rPr>
          <w:rFonts w:ascii="Amiri" w:hAnsi="Amiri" w:eastAsia="Amiri" w:cs="Amiri"/>
          <w:color w:val="111111"/>
          <w:sz w:val="28"/>
          <w:sz w:val="28"/>
          <w:szCs w:val="28"/>
          <w:rtl w:val="true"/>
          <w:lang w:bidi="ar-SA"/>
        </w:rPr>
        <w:t>، وقال بهذا أبو حيان الأندلسي</w:t>
      </w:r>
      <w:r>
        <w:rPr>
          <w:rStyle w:val="FootnoteAnchor"/>
          <w:rtl w:val="true"/>
        </w:rPr>
        <w:footnoteReference w:id="966"/>
      </w:r>
      <w:r>
        <w:rPr>
          <w:rFonts w:ascii="Amiri" w:hAnsi="Amiri" w:eastAsia="Amiri" w:cs="Amiri"/>
          <w:color w:val="111111"/>
          <w:sz w:val="28"/>
          <w:sz w:val="28"/>
          <w:szCs w:val="28"/>
          <w:rtl w:val="true"/>
          <w:lang w:bidi="ar-SA"/>
        </w:rPr>
        <w:t>، وناظر الجيش الذي ردَّ على من لم يجوِّز ذلك</w:t>
      </w:r>
      <w:r>
        <w:rPr>
          <w:rStyle w:val="FootnoteAnchor"/>
          <w:rtl w:val="true"/>
        </w:rPr>
        <w:footnoteReference w:id="967"/>
      </w:r>
      <w:r>
        <w:rPr>
          <w:rFonts w:ascii="Amiri" w:hAnsi="Amiri" w:eastAsia="Amiri" w:cs="Amiri"/>
          <w:color w:val="111111"/>
          <w:sz w:val="28"/>
          <w:sz w:val="28"/>
          <w:szCs w:val="28"/>
          <w:rtl w:val="true"/>
          <w:lang w:bidi="ar-SA"/>
        </w:rPr>
        <w:t xml:space="preserve">ثم استدلَّ لحُكمِه هذا بعدد من الشواهد منها قول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رجلٌ من دينارِه، مِن درهمِه، من ثوبِه، من صاع بُرِّه، من صاع تَمرِه</w:t>
      </w:r>
      <w:r>
        <w:rPr>
          <w:rFonts w:eastAsia="Amiri" w:cs="Amiri" w:ascii="Amiri" w:hAnsi="Amiri"/>
          <w:color w:val="111111"/>
          <w:sz w:val="28"/>
          <w:szCs w:val="28"/>
          <w:rtl w:val="true"/>
          <w:lang w:bidi="ar-SA"/>
        </w:rPr>
        <w:t>))</w:t>
      </w:r>
      <w:r>
        <w:rPr>
          <w:rStyle w:val="FootnoteAnchor"/>
          <w:rtl w:val="true"/>
        </w:rPr>
        <w:footnoteReference w:id="968"/>
      </w:r>
      <w:r>
        <w:rPr>
          <w:rFonts w:ascii="IRNazanin" w:hAnsi="IRNazanin" w:eastAsia="IRNazanin"/>
          <w:color w:val="111111"/>
          <w:sz w:val="28"/>
          <w:sz w:val="28"/>
          <w:szCs w:val="28"/>
          <w:rtl w:val="true"/>
          <w:lang w:bidi="fa-IR"/>
        </w:rPr>
        <w:t>، فضلاً عماّ سُمِعَ عن العرب، كما أكد ورود هذا الحذف في كلام العرب من المحدَثین الأُستاذ عباس حسن فأجازه عند أمن اللبس</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تأوّل المانعون هذه الشواهد على إرادة البدل، أو صفة ثانية</w:t>
      </w:r>
      <w:r>
        <w:rPr>
          <w:rStyle w:val="FootnoteAnchor"/>
          <w:rtl w:val="true"/>
        </w:rPr>
        <w:footnoteReference w:id="970"/>
      </w:r>
      <w:r>
        <w:rPr>
          <w:rFonts w:ascii="Amiri" w:hAnsi="Amiri" w:eastAsia="Amiri" w:cs="Amiri"/>
          <w:color w:val="111111"/>
          <w:sz w:val="28"/>
          <w:sz w:val="28"/>
          <w:szCs w:val="28"/>
          <w:rtl w:val="true"/>
          <w:lang w:bidi="ar-SA"/>
        </w:rPr>
        <w:t>، بحجة أنَّ حذف الحرف يؤدي إلى الإجحاف</w:t>
      </w:r>
      <w:r>
        <w:rPr>
          <w:rStyle w:val="FootnoteAnchor"/>
          <w:rtl w:val="true"/>
        </w:rPr>
        <w:footnoteReference w:id="971"/>
      </w:r>
      <w:r>
        <w:rPr>
          <w:rFonts w:ascii="IRNazanin" w:hAnsi="IRNazanin" w:eastAsia="IRNazanin"/>
          <w:color w:val="111111"/>
          <w:sz w:val="28"/>
          <w:sz w:val="28"/>
          <w:szCs w:val="28"/>
          <w:rtl w:val="true"/>
          <w:lang w:bidi="fa-IR"/>
        </w:rPr>
        <w:t>، غیر أنَّ ما لا يجوِّزه القياس جاء به السماع لذا ذهب بعض مَن منعَ هذا الحذف إلى جوازه إنِ اتضح المعنى بوجود الدليل</w:t>
      </w:r>
      <w:r>
        <w:rPr>
          <w:rStyle w:val="FootnoteAnchor"/>
          <w:rtl w:val="true"/>
        </w:rPr>
        <w:footnoteReference w:id="972"/>
      </w:r>
      <w:r>
        <w:rPr>
          <w:rFonts w:ascii="Amiri" w:hAnsi="Amiri" w:eastAsia="Amiri" w:cs="Amiri"/>
          <w:color w:val="111111"/>
          <w:sz w:val="28"/>
          <w:sz w:val="28"/>
          <w:szCs w:val="28"/>
          <w:rtl w:val="true"/>
          <w:lang w:bidi="ar-SA"/>
        </w:rPr>
        <w:t xml:space="preserve">، ولا شك في أنَّ حذف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إنما جاء في نصوصٍ أسهمَ السياق في الدلالة على المحذوف؛ لذا فمحاولة تأويل تلك النصوص التي اشتملت على حذف العاطف فيه من التكلّف والبعد مما يبعد المعنى</w:t>
      </w:r>
      <w:r>
        <w:rPr>
          <w:rStyle w:val="FootnoteAnchor"/>
          <w:rtl w:val="true"/>
        </w:rPr>
        <w:footnoteReference w:id="973"/>
      </w:r>
      <w:r>
        <w:rPr>
          <w:rFonts w:ascii="Amiri" w:hAnsi="Amiri" w:eastAsia="Amiri" w:cs="Amiri"/>
          <w:color w:val="111111"/>
          <w:sz w:val="28"/>
          <w:sz w:val="28"/>
          <w:szCs w:val="28"/>
          <w:rtl w:val="true"/>
          <w:lang w:bidi="ar-SA"/>
        </w:rPr>
        <w:t xml:space="preserve">لأنَّ في تلك النصوص </w:t>
      </w:r>
    </w:p>
    <w:p>
      <w:pPr>
        <w:pStyle w:val="BookText"/>
        <w:rPr/>
      </w:pPr>
      <w:r>
        <w:rPr>
          <w:rFonts w:ascii="Amiri" w:hAnsi="Amiri" w:eastAsia="Amiri" w:cs="Amiri"/>
          <w:color w:val="111111"/>
          <w:sz w:val="28"/>
          <w:sz w:val="28"/>
          <w:szCs w:val="28"/>
          <w:rtl w:val="true"/>
          <w:lang w:bidi="ar-SA"/>
        </w:rPr>
        <w:t>ما يدلُّ على المحذوف ويبيِّنه، فليس ثمة ما يوقِع في الإلباس والإشكال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زيدًا وعمرًا فيمكن استثناؤه ويُكم بجواز الحذف بدليل وإلا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 الرأي يطابق الأُصول اللغوية العامة التي تقضي بجواز الحذف عند قيام قرينة جلية تدل على المحذوف، وتمنع خفاء المعنى</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إجازة هذا الحذف تعضده جملة من الشواهد القرآنية الكريمة أيضًا، منها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أَحْيَاكُمْ ثُمَّ يُمِيتُكُمْ ثُمَّ يُحْيِيكُمْ إِنَّ الْإِنْسَانَ لَكَفُورٌ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جَعَلْنَا مَنْسَكًا هُمْ نَاسِكُوهُ فَلاَ يُنَازِعُنَّكَ فِی الْأَمْرِ وَادْعُ إِلَی رَبِّكَ إِنَّكَ لَعَلىَ هُدًى مُسْتَقِيمٍ</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 فقد نصَّ الرازي على حذف العاطف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امة</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الشواهد القرآنية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الَّذِينَ إِذَا مَا أَتَوْكَ لِتَحْمِلَهُمْ قُلْتَ لَا أَجِدُ مَا أَحْمِلُكُمْ عَلَيْهِ تَوَلَّوْا وَأَعْيُنُهُمْ تَفِيضُ مِنَ الدَّمْعِ حَزَنًا أَلَّا يَجِدُوا مَا يُنْفِقُونَ</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 أتوك لتحملهم وقلت</w:t>
      </w:r>
      <w:r>
        <w:rPr>
          <w:rFonts w:eastAsia="Amiri" w:cs="Amiri" w:ascii="Amiri" w:hAnsi="Amiri"/>
          <w:color w:val="111111"/>
          <w:sz w:val="28"/>
          <w:szCs w:val="28"/>
          <w:rtl w:val="true"/>
          <w:lang w:bidi="ar-SA"/>
        </w:rPr>
        <w:t>)</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حُذِفتْ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الجمل المتعاطفة كثیرًا في القرآن الكريم على تقدير السؤال</w:t>
      </w:r>
      <w:r>
        <w:rPr>
          <w:rStyle w:val="FootnoteAnchor"/>
          <w:rtl w:val="true"/>
        </w:rPr>
        <w:footnoteReference w:id="979"/>
      </w:r>
      <w:r>
        <w:rPr>
          <w:rFonts w:ascii="IRNazanin" w:hAnsi="IRNazanin" w:eastAsia="IRNazanin"/>
          <w:color w:val="111111"/>
          <w:sz w:val="28"/>
          <w:sz w:val="28"/>
          <w:szCs w:val="28"/>
          <w:rtl w:val="true"/>
          <w:lang w:bidi="fa-IR"/>
        </w:rPr>
        <w:t>، هذا فضلاً عن جواز هذا الحذف بین الجمل المتعاطفة إرادةً للتوكيد</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شواهد هذا الحذف في الكلام العلَوي المبارك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للأشعث </w:t>
      </w:r>
    </w:p>
    <w:p>
      <w:pPr>
        <w:pStyle w:val="BookText"/>
        <w:rPr/>
      </w:pPr>
      <w:r>
        <w:rPr>
          <w:rFonts w:ascii="Amiri" w:hAnsi="Amiri" w:eastAsia="Amiri" w:cs="Amiri"/>
          <w:color w:val="111111"/>
          <w:sz w:val="28"/>
          <w:sz w:val="28"/>
          <w:szCs w:val="28"/>
          <w:rtl w:val="true"/>
          <w:lang w:bidi="ar-SA"/>
        </w:rPr>
        <w:t>بن قيس</w:t>
      </w:r>
      <w:r>
        <w:rPr>
          <w:rStyle w:val="FootnoteAnchor"/>
          <w:rtl w:val="true"/>
        </w:rPr>
        <w:footnoteReference w:id="981"/>
      </w:r>
      <w:r>
        <w:rPr>
          <w:rFonts w:ascii="Amiri" w:hAnsi="Amiri" w:eastAsia="Amiri" w:cs="Amiri"/>
          <w:color w:val="111111"/>
          <w:sz w:val="28"/>
          <w:sz w:val="28"/>
          <w:szCs w:val="28"/>
          <w:rtl w:val="true"/>
          <w:lang w:bidi="ar-SA"/>
        </w:rPr>
        <w:t>وقد اعترضه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يُدْرِيكَ مَا عَليََّ مَّمِا لِی؟ عَلَيْكَ لَعْنَةُ اللهِ وَلَعْنَةُ اللاَّعِنِینَ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حَائِكٌ ابْنُ 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 ابْنُ كُافِر</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محل الشاهد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حَائِكٌ ابْنُ 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 ابْنُ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الحياكة والنفاق، ولعلَّ في ذلك دلالةً على التوكيد في ذمِّ الأشعث وتوبيخه؛ لأنَّ الجامع بین هاتین الصفتین هو سوء الخلق من الكذب ومجانبة الصواب في القول والفعل،، فقد رُويَ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تستشیروا المعلَّمین ولا الحَوَكة فإنّ اللَّ تعالى قد سلبهم عقولهم</w:t>
      </w:r>
      <w:r>
        <w:rPr>
          <w:rFonts w:eastAsia="Amiri" w:cs="Amiri" w:ascii="Amiri" w:hAnsi="Amiri"/>
          <w:color w:val="111111"/>
          <w:sz w:val="28"/>
          <w:szCs w:val="28"/>
          <w:rtl w:val="true"/>
          <w:lang w:bidi="ar-SA"/>
        </w:rPr>
        <w:t>))</w:t>
      </w:r>
      <w:r>
        <w:rPr>
          <w:rStyle w:val="FootnoteAnchor"/>
          <w:rtl w:val="true"/>
        </w:rPr>
        <w:footnoteReference w:id="983"/>
      </w:r>
      <w:r>
        <w:rPr>
          <w:rFonts w:ascii="IRNazanin" w:hAnsi="IRNazanin" w:eastAsia="IRNazanin"/>
          <w:color w:val="111111"/>
          <w:sz w:val="28"/>
          <w:sz w:val="28"/>
          <w:szCs w:val="28"/>
          <w:rtl w:val="true"/>
          <w:lang w:bidi="fa-IR"/>
        </w:rPr>
        <w:t xml:space="preserve">، كلُّ ذلك للمبالغة في بيان نقصان عقولهم، ومما يؤكد أنَّ النفاق والحياكة نظیران في سوء الخلق قول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والحاكة أقل وأسقط من أنْ يُقال لها حمقى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الغزالون؛ لأنَّ الأحمق هو الذي يتكلم بالصواب الجيد ثم يجيء بخطإ فاحش والحائك ليس عنده صواب جيد في فعال ولا مقال</w:t>
      </w:r>
      <w:r>
        <w:rPr>
          <w:rFonts w:eastAsia="IRNazanin" w:cs="IRNazanin"/>
          <w:color w:val="111111"/>
          <w:sz w:val="28"/>
          <w:szCs w:val="28"/>
          <w:rtl w:val="true"/>
          <w:lang w:bidi="fa-IR"/>
        </w:rPr>
        <w:t>))</w:t>
      </w:r>
      <w:r>
        <w:rPr>
          <w:rStyle w:val="FootnoteAnchor"/>
          <w:rtl w:val="true"/>
        </w:rPr>
        <w:footnoteReference w:id="984"/>
      </w:r>
      <w:r>
        <w:rPr>
          <w:rFonts w:ascii="Amiri" w:hAnsi="Amiri" w:eastAsia="Amiri" w:cs="Amiri"/>
          <w:color w:val="111111"/>
          <w:sz w:val="28"/>
          <w:sz w:val="28"/>
          <w:szCs w:val="28"/>
          <w:rtl w:val="true"/>
          <w:lang w:bidi="ar-SA"/>
        </w:rPr>
        <w:t>، لهذا عُدَّتْ الحياكة من المكاسب المكروهة</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الحائك كاذب، والكذب رأس النفاق</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يبدو أنَّ في 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يقتضي تغاير المتعاطفین، فإذا حُذفت دلَّ الكلام على أنَّ الكل كالواحد وكأن الصفتین صفة واحدة قد كُرّرت للتوكيد، </w:t>
      </w:r>
    </w:p>
    <w:p>
      <w:pPr>
        <w:pStyle w:val="BookText"/>
        <w:rPr/>
      </w:pPr>
      <w:r>
        <w:rPr>
          <w:rFonts w:ascii="Amiri" w:hAnsi="Amiri" w:eastAsia="Amiri" w:cs="Amiri"/>
          <w:color w:val="111111"/>
          <w:sz w:val="28"/>
          <w:sz w:val="28"/>
          <w:szCs w:val="28"/>
          <w:rtl w:val="true"/>
          <w:lang w:bidi="ar-SA"/>
        </w:rPr>
        <w:t>على أنَّه يمكن أنْ نلمح بُعدًا دلاليًا آخر، وهو إرادة السبب والنتيجة، أي إنَّ مهنة الحياكة تؤثر في عقلِ مَن يقوم بها ويمتهنها، ما ينتج عن ذلك سلوك نفاقي واضح، فضلاً عن عدم معرفة ودراية في مكامن الأمور ونتائجها، قال البحراني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عیرَّه بهذه الصنعة؛ لأنّها صنعة دنية تستلزم صغر الهمة وخستها وتشتمل على رذائل الاخلاق، فإنها مظنة الكذب و الخيانة</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 xml:space="preserve">، وكان هذا التعبیر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استعارة أشار بها إلى نقصان عقله و قلة استعداده لوضع الأشياء في مواضعها و تأكيد لعدم أهليته للاعتراض عليه؛ إذ الحياكة مظنّة نقصان العقل؛ وذلك لأنَّ ذهن الحائك عامة وقتِه متوجه إلى جهة صنعته مصبوب الفكر إلى أوضاع الخيوط المتفرقة و ترتيبها ونظامها يحتاج إلى حركة رجليه و يديه</w:t>
      </w:r>
      <w:r>
        <w:rPr>
          <w:rFonts w:eastAsia="IRNazanin" w:cs="IRNazanin"/>
          <w:color w:val="111111"/>
          <w:sz w:val="28"/>
          <w:szCs w:val="28"/>
          <w:rtl w:val="true"/>
          <w:lang w:bidi="fa-IR"/>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الشواهد العلوية أيضًا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في ضرورة استماع الموعظة والنصيحة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امْرَأً سَمِعَ حُكْماً فَوَعَى،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 رَبَهُ وَخَافَ ذَنْبَهُ، قَدَّمَ خَالِصًا وَعَمِلَ صَالِحًا، اكْتَسَبَ مَذْخُورًا، وَاجْتَنَبَ مَحْذُورًا</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النص العلوي حرف عطف محذوف فطن له ابن أبي الحديد المعتزلي،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اللفظات الأُخر فلم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راقب ربه و لا و قدم خالصًا وكذلك إلى آخر اللفظات و هذا نوع من الفصاحة كثیر في استعمالهم</w:t>
      </w:r>
      <w:r>
        <w:rPr>
          <w:rFonts w:eastAsia="IRNazanin" w:cs="IRNazanin"/>
          <w:color w:val="111111"/>
          <w:sz w:val="28"/>
          <w:szCs w:val="28"/>
          <w:rtl w:val="true"/>
          <w:lang w:bidi="fa-IR"/>
        </w:rPr>
        <w:t>))</w:t>
      </w:r>
      <w:r>
        <w:rPr>
          <w:rStyle w:val="FootnoteAnchor"/>
          <w:rtl w:val="true"/>
        </w:rPr>
        <w:footnoteReference w:id="989"/>
      </w:r>
      <w:r>
        <w:rPr>
          <w:rFonts w:ascii="IRNazanin" w:hAnsi="IRNazanin" w:eastAsia="IRNazanin"/>
          <w:color w:val="111111"/>
          <w:sz w:val="28"/>
          <w:sz w:val="28"/>
          <w:szCs w:val="28"/>
          <w:rtl w:val="true"/>
          <w:lang w:bidi="fa-IR"/>
        </w:rPr>
        <w:t>، كما أشار إليه البحراني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مرتبتین من هذا الكلام السجع المتوازي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وعطف كل قرينة على مشاركتها في الحرف الأخیر منها، وحذف حرف العطف من الباقي ليتميز ما يتناسب منها عن </w:t>
      </w:r>
      <w:bookmarkStart w:id="198" w:name="pg7031_81005"/>
    </w:p>
    <w:p>
      <w:pPr>
        <w:pStyle w:val="BookText"/>
        <w:rPr/>
      </w:pPr>
      <w:bookmarkEnd w:id="198"/>
      <w:r>
        <w:rPr>
          <w:rFonts w:ascii="IRNazanin" w:hAnsi="IRNazanin" w:eastAsia="IRNazanin"/>
          <w:color w:val="111111"/>
          <w:sz w:val="28"/>
          <w:sz w:val="28"/>
          <w:szCs w:val="28"/>
          <w:rtl w:val="true"/>
          <w:lang w:bidi="fa-IR"/>
        </w:rPr>
        <w:t>غیره وكل ذلك بلاغة</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ما ذكره المعتزلي والبحراني في توجيه النص العلَوي متأتٍ من أنَّ البلاغة كلّ البلاغة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الفصل من الوصل</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 ولهذا قال عبد القاهر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العطف فيها والمجيء بها منثورة، تستأنف واحدة منها بعد أُخرى من أسرار البلاغة، ومما لا يتأتّى لتمام الصواب فيه إلا الأعراب الخُلَّص، وإلّ قوم طُبِعوا على البلاغة، وأُوتوا فنًا من المعرفة في ذوق الكلام هم بها أفراد</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واستنادًا إلى كلِّ ما تقدم نخلص إلى أنَّ حذف 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يشيع في اللغة، ولا موجب لردَّه أو إنكاره، لهذا يمكن تعديل القاعدة النحوية وصوغها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حذف 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المعطوف عليه في اللفظ في الشعر والنثر، اذا اتضح المعنى وبان المراد لورود ذلك في نهج البلاغة فضلاً عن القرآن الكريم</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2958360_372815092"/>
      <w:bookmarkStart w:id="200" w:name="_Toc66"/>
      <w:bookmarkEnd w:id="199"/>
      <w:r>
        <w:rPr>
          <w:rtl w:val="true"/>
        </w:rPr>
        <w:t>المسألة الثالثة</w:t>
      </w:r>
      <w:r>
        <w:rPr>
          <w:rtl w:val="true"/>
        </w:rPr>
        <w:t xml:space="preserve">: </w:t>
      </w:r>
      <w:r>
        <w:rPr>
          <w:rtl w:val="true"/>
        </w:rPr>
        <w:t xml:space="preserve">جواز بقاء الشرط مسبوقًا ب </w:t>
      </w:r>
      <w:r>
        <w:rPr>
          <w:rtl w:val="true"/>
        </w:rPr>
        <w:t>(</w:t>
      </w:r>
      <w:r>
        <w:rPr>
          <w:rtl w:val="true"/>
        </w:rPr>
        <w:t>إنَّ</w:t>
      </w:r>
      <w:r>
        <w:rPr>
          <w:rtl w:val="true"/>
        </w:rPr>
        <w:t xml:space="preserve">) </w:t>
      </w:r>
      <w:r>
        <w:rPr>
          <w:rtl w:val="true"/>
        </w:rPr>
        <w:t>بلا تقدير ضمير شأن بعدها</w:t>
      </w:r>
      <w:r>
        <w:rPr>
          <w:rtl w:val="true"/>
        </w:rPr>
        <w:t>:</w:t>
      </w:r>
      <w:bookmarkEnd w:id="20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يكاد يتفق أغلب النحويین على أنَّ الترتيب في الجملة الشرطية يتكون من أداة الشرط وفعل الشرط وجواب الشرط، وأداة الشرط في هذا التركيب لها الصدارة في الكلام، قال ابن السراج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الأسماء إذا كانت جزاء أو استفهامًا فلها صدور الكلام، كما كان للحروف التي وقعت مواقعها</w:t>
      </w:r>
      <w:r>
        <w:rPr>
          <w:rFonts w:eastAsia="IRNazanin" w:cs="IRNazanin"/>
          <w:color w:val="111111"/>
          <w:sz w:val="28"/>
          <w:szCs w:val="28"/>
          <w:rtl w:val="true"/>
          <w:lang w:bidi="fa-IR"/>
        </w:rPr>
        <w:t>))</w:t>
      </w:r>
      <w:r>
        <w:rPr>
          <w:rStyle w:val="FootnoteAnchor"/>
          <w:rtl w:val="true"/>
        </w:rPr>
        <w:footnoteReference w:id="993"/>
      </w:r>
      <w:r>
        <w:rPr>
          <w:rFonts w:ascii="Amiri" w:hAnsi="Amiri" w:eastAsia="Amiri" w:cs="Amiri"/>
          <w:color w:val="111111"/>
          <w:sz w:val="28"/>
          <w:sz w:val="28"/>
          <w:szCs w:val="28"/>
          <w:rtl w:val="true"/>
          <w:lang w:bidi="ar-SA"/>
        </w:rPr>
        <w:t>، وعلى هذا سار عبد القاهر الجرجاني،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الأسماء لا يعمل فيها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وتلزمها </w:t>
      </w:r>
    </w:p>
    <w:p>
      <w:pPr>
        <w:pStyle w:val="BookText"/>
        <w:rPr/>
      </w:pPr>
      <w:r>
        <w:rPr>
          <w:rFonts w:ascii="Amiri" w:hAnsi="Amiri" w:eastAsia="Amiri" w:cs="Amiri"/>
          <w:color w:val="111111"/>
          <w:sz w:val="28"/>
          <w:sz w:val="28"/>
          <w:szCs w:val="28"/>
          <w:rtl w:val="true"/>
          <w:lang w:bidi="ar-SA"/>
        </w:rPr>
        <w:t>صدر الكلام</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قرر النحويون أنَّه إذا تقدَّم اسمَ الشرط أحدُ العوامل اللفظية كالنواسخ مثلاً أحالَ اسمَ الشرط إلى اسمٍ موصول وأفقدَهُ شرطيته إلا في ضرورة الشعر،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يأتيني آتيه، والذي أذهبَ الجزاء هو إعمال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لا يجوز إلا في الشعر، نحو قول الأعشى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بن قيس</w:t>
      </w:r>
      <w:r>
        <w:rPr>
          <w:rFonts w:eastAsia="Amiri" w:cs="Amiri" w:ascii="Amiri" w:hAnsi="Amiri"/>
          <w:color w:val="111111"/>
          <w:sz w:val="28"/>
          <w:szCs w:val="28"/>
          <w:rtl w:val="true"/>
          <w:lang w:bidi="ar-SA"/>
        </w:rPr>
        <w:t>)</w:t>
      </w:r>
      <w:r>
        <w:rPr>
          <w:rStyle w:val="FootnoteAnchor"/>
          <w:rtl w:val="true"/>
        </w:rPr>
        <w:footnoteReference w:id="9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لامَ في بني بِنْت 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ألمْه وأعْصِه في الخُطوبِ 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حذف ضمیر الشأن، فإن 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ضمیر الشأن تعینّ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الشرطية،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يَتَّقِ وَيَصْبِرْ 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هذا ما نصَّ عليه سيبويه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يأتيني آتيه، وكان من يأتيني آتيه، وليس من يأتيني آتيه، وإنما أذهبت الجزاء من هاهنا؛ لأنك أعملت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يسغ لك أنْ 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 معلَّقة لا تعملها في شيء فلما أعملتهن ذهب الجزاء ولم يكن من مواضعه</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أيّد هذا المذهبَ جمعٌ من النحويین منهم ابن السرّاج</w:t>
      </w:r>
      <w:r>
        <w:rPr>
          <w:rStyle w:val="FootnoteAnchor"/>
          <w:rtl w:val="true"/>
        </w:rPr>
        <w:footnoteReference w:id="998"/>
      </w:r>
      <w:r>
        <w:rPr>
          <w:rFonts w:ascii="Amiri" w:hAnsi="Amiri" w:eastAsia="Amiri" w:cs="Amiri"/>
          <w:color w:val="111111"/>
          <w:sz w:val="28"/>
          <w:sz w:val="28"/>
          <w:szCs w:val="28"/>
          <w:rtl w:val="true"/>
          <w:lang w:bidi="ar-SA"/>
        </w:rPr>
        <w:t>، والفارسي</w:t>
      </w:r>
      <w:r>
        <w:rPr>
          <w:rStyle w:val="FootnoteAnchor"/>
          <w:rtl w:val="true"/>
        </w:rPr>
        <w:footnoteReference w:id="99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والقزّاز</w:t>
      </w:r>
      <w:r>
        <w:rPr>
          <w:rStyle w:val="FootnoteAnchor"/>
          <w:rtl w:val="true"/>
        </w:rPr>
        <w:footnoteReference w:id="1000"/>
      </w:r>
      <w:r>
        <w:rPr>
          <w:rFonts w:ascii="Amiri" w:hAnsi="Amiri" w:eastAsia="Amiri" w:cs="Amiri"/>
          <w:color w:val="111111"/>
          <w:sz w:val="28"/>
          <w:sz w:val="28"/>
          <w:szCs w:val="28"/>
          <w:rtl w:val="true"/>
          <w:lang w:bidi="ar-SA"/>
        </w:rPr>
        <w:t>، وأبو البركات الأنباري</w:t>
      </w:r>
      <w:r>
        <w:rPr>
          <w:rStyle w:val="FootnoteAnchor"/>
          <w:rtl w:val="true"/>
        </w:rPr>
        <w:footnoteReference w:id="1001"/>
      </w:r>
      <w:r>
        <w:rPr>
          <w:rFonts w:ascii="Amiri" w:hAnsi="Amiri" w:eastAsia="Amiri" w:cs="Amiri"/>
          <w:color w:val="111111"/>
          <w:sz w:val="28"/>
          <w:sz w:val="28"/>
          <w:szCs w:val="28"/>
          <w:rtl w:val="true"/>
          <w:lang w:bidi="ar-SA"/>
        </w:rPr>
        <w:t xml:space="preserve">، وابن 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02"/>
      </w:r>
      <w:r>
        <w:rPr>
          <w:rFonts w:ascii="Amiri" w:hAnsi="Amiri" w:eastAsia="Amiri" w:cs="Amiri"/>
          <w:color w:val="111111"/>
          <w:sz w:val="28"/>
          <w:sz w:val="28"/>
          <w:szCs w:val="28"/>
          <w:rtl w:val="true"/>
          <w:lang w:bidi="ar-SA"/>
        </w:rPr>
        <w:t>، وابن يعيش</w:t>
      </w:r>
      <w:r>
        <w:rPr>
          <w:rStyle w:val="FootnoteAnchor"/>
          <w:rtl w:val="true"/>
        </w:rPr>
        <w:footnoteReference w:id="1003"/>
      </w:r>
      <w:r>
        <w:rPr>
          <w:rFonts w:ascii="IRNazanin" w:hAnsi="IRNazanin" w:eastAsia="IRNazanin"/>
          <w:color w:val="111111"/>
          <w:sz w:val="28"/>
          <w:sz w:val="28"/>
          <w:szCs w:val="28"/>
          <w:rtl w:val="true"/>
          <w:lang w:bidi="fa-IR"/>
        </w:rPr>
        <w:t>، وابن عصفور</w:t>
      </w:r>
      <w:r>
        <w:rPr>
          <w:rStyle w:val="FootnoteAnchor"/>
          <w:rtl w:val="true"/>
        </w:rPr>
        <w:footnoteReference w:id="1004"/>
      </w:r>
      <w:r>
        <w:rPr>
          <w:rFonts w:ascii="IRNazanin" w:hAnsi="IRNazanin" w:eastAsia="IRNazanin"/>
          <w:color w:val="111111"/>
          <w:sz w:val="28"/>
          <w:sz w:val="28"/>
          <w:szCs w:val="28"/>
          <w:rtl w:val="true"/>
          <w:lang w:bidi="fa-IR"/>
        </w:rPr>
        <w:t>، وآخرون</w:t>
      </w:r>
      <w:r>
        <w:rPr>
          <w:rStyle w:val="FootnoteAnchor"/>
          <w:rtl w:val="true"/>
        </w:rPr>
        <w:footnoteReference w:id="1005"/>
      </w:r>
    </w:p>
    <w:p>
      <w:pPr>
        <w:pStyle w:val="BookText"/>
        <w:rPr/>
      </w:pP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 والضرائر وما يسوغ للشاعر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مالك رأيان في هذه المسألة ذهب في الأول منهما إلى القول بالضرورة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وأشار في الآخر منهما إلى جوازه في النثر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ويجوز حذفه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ولا يخص ذلك بالضرورة وعليه يُحمَل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أشد الناس عذابًا يوم القيامة المصوّرون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والعلة في منع تجويز هذا النمط تكمن في الحفاظ على الرتبة المحفوظة للتركيب الشرطي، وحتى لا تخرج أداة الشرط من صدارتها في ذلك التركيب، جاء ذلك فيما ذكره الفراء مفسِّرًا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وَلَكِنْ تَعْمَى الْقُلُوبُ الَّتِي فِی الصُّدُورِ</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 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xml:space="preserve">، وهذا ما ذكره </w:t>
      </w:r>
    </w:p>
    <w:p>
      <w:pPr>
        <w:pStyle w:val="BookText"/>
        <w:rPr/>
      </w:pPr>
      <w:r>
        <w:rPr>
          <w:rFonts w:ascii="IRNazanin" w:hAnsi="IRNazanin" w:eastAsia="IRNazanin"/>
          <w:color w:val="111111"/>
          <w:sz w:val="28"/>
          <w:sz w:val="28"/>
          <w:szCs w:val="28"/>
          <w:rtl w:val="true"/>
          <w:lang w:bidi="fa-IR"/>
        </w:rPr>
        <w:t>الرضي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كلمات الشرط الجازمة الثابتة الإقدام في الشرطية فلا يدخلها من نواسخ الابتداء إلا في الضرورة، فيُضمَر مع ذلك بعدها ضمیر الشأن حتى لا تخرج كلمات الشرط في التقدير عن التصدير في جملتها</w:t>
      </w:r>
      <w:r>
        <w:rPr>
          <w:rFonts w:eastAsia="IRNazanin" w:cs="IRNazanin"/>
          <w:color w:val="111111"/>
          <w:sz w:val="28"/>
          <w:szCs w:val="28"/>
          <w:rtl w:val="true"/>
          <w:lang w:bidi="fa-IR"/>
        </w:rPr>
        <w:t>))</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وظيفة ضمیر الشأن هنا ليست صناعية يُراد منها فك التنازع بین الصدارتین فحسب، بل وظيفتُه معنوية تدل على القوة والتعظيم أيضًا</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الشواهد العَلَوية على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الشرط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توحيد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 مَنْ ساَوَاكَ بِشَيْءٍ مِنْ خَلْقِكَ فَقَدْ عَدَلَ بِكَ وَاَلْعَادِلُ بِكَ كَافِرٌ بِمَا تَنَزَّلَتْ بِهِ مُحْكَاَتُ آيَاتِكَ</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يشیر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صنف من أصناف الكفر بالله تعالى أداته التشبيه والمساواة بخَلقه؛ إذ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شبه الله بخلقه فقد ساواه بغیره، ومن ساواه بغیره جعل له شريكًا وهو كفر صريح</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 xml:space="preserve">، والسبب في حمل تلك المساواة على الكفر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لما شبَّهوه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بخلقه وسووه به حيث اعتقدوا أنَّ خالقهم وصانعهم هو ما توهموه بأوهامهم الفاسدة ووصفوه بعقولهم الكاسدة مع عدم كونه خالقهم بل هو مخلوق لهم مصنوع مثلهم لا جرم كانوا بذلك متخذين غیر الخالق خالقا جاعلین لله سبحانه نِدًّا وعديلاً وهو الكفر والضلال</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 xml:space="preserve">، فالملازمة واضحة بین الشرط وجوابه؛ لذا تعیّن اقتران الجواب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التي تحدِّد دلالة الشرط في مثل هذا الموضع تحديدًا شكليًا، فضلاً عن دلالة المعنى القائم على التعليق </w:t>
      </w:r>
    </w:p>
    <w:p>
      <w:pPr>
        <w:pStyle w:val="BookText"/>
        <w:rPr/>
      </w:pPr>
      <w:r>
        <w:rPr>
          <w:rFonts w:ascii="IRNazanin" w:hAnsi="IRNazanin" w:eastAsia="IRNazanin"/>
          <w:color w:val="111111"/>
          <w:sz w:val="28"/>
          <w:sz w:val="28"/>
          <w:szCs w:val="28"/>
          <w:rtl w:val="true"/>
          <w:lang w:bidi="fa-IR"/>
        </w:rPr>
        <w:t>الشرطي بین فعل الشرط وجوابه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الشواهد العَلَوية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توحيد الله تعالى ورفض تشبيهه بخلقه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فَأَشْهَدُ أَنَّ مَنْ شَبَّهَكَ بِتَبَايُنِ أَعْضَاءِ خَلْقِكَ وَ تَلاَحُمِ حِقَاقِ مَفَاصِلِهِمُ اَلْمُحْتَجِبَةِ لِتَدْبِرِ حِكْمَتِكَ لَمْ يَعْقِدْ غَيْبَ ضَمِیرِهِ عَلىَ مَعْرِفَتِكَ</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 والتعليق الشرطي واضح في العبارة، قال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المشبِّهة ضالون من جهة تشبيههم الله بخلقه وكل من كان كذلك فليس بعارف بالله</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 وهو تعليق قائم على ربط التركيب على نحو السبب والنتيجة وهو من أنماط التركيب الشرطي كما ذكر ابن هشام</w:t>
      </w:r>
      <w:r>
        <w:rPr>
          <w:rStyle w:val="FootnoteAnchor"/>
          <w:rtl w:val="true"/>
        </w:rPr>
        <w:footnoteReference w:id="1016"/>
      </w:r>
      <w:r>
        <w:rPr>
          <w:rFonts w:ascii="Amiri" w:hAnsi="Amiri" w:eastAsia="Amiri" w:cs="Amiri"/>
          <w:color w:val="111111"/>
          <w:sz w:val="28"/>
          <w:sz w:val="28"/>
          <w:szCs w:val="28"/>
          <w:rtl w:val="true"/>
          <w:lang w:bidi="ar-SA"/>
        </w:rPr>
        <w:t>، أي إنّ تشبيه الله تعالى بخَلقِه ناتج عن جهل الفرد بمعرفته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مَنْ أَعْطَاهَا غَبْرَ طَيِّبِ اَلنَّفْسِ بِهَا يَرْجُو بِهَا مَا هُوَ أَفْضَلُ مِنْهَا فَهُوَ جَاهِلٌ بِالسُّنَّةِ مَغْبُونُ اَلْأَجْرِ ضَالُّ اَلْعَمَلِ طَوِيلُ اَلنَّدَمِ</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فعل الشرط في الشواهد العلَوية ماضيًا ولم يظهر عليه الأثر الإعرابي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كانت 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التعليق والاقتران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واضحًا بيِّنا لا يمكن إنكاره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مما يعضُد أنَّ الاقتران وارد في النثر وليس مقصورًا على الشعر وروده أيضًا في الصحيفة السجّادية أيضًا</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الاحتجاج بالسماع وحده وإن كان كافيًا في الاستدلال على صحة ورود </w:t>
      </w:r>
    </w:p>
    <w:p>
      <w:pPr>
        <w:pStyle w:val="BookText"/>
        <w:rPr/>
      </w:pPr>
      <w:r>
        <w:rPr>
          <w:rFonts w:ascii="Amiri" w:hAnsi="Amiri" w:eastAsia="Amiri" w:cs="Amiri"/>
          <w:color w:val="111111"/>
          <w:sz w:val="28"/>
          <w:sz w:val="28"/>
          <w:szCs w:val="28"/>
          <w:rtl w:val="true"/>
          <w:lang w:bidi="ar-SA"/>
        </w:rPr>
        <w:t>الشرط مسبوقًا بالناسخ إلا أنه يمكن الاحتكام إلى القياس لبيان اتفاق هذا التركيب مع ما قرره علماء العربية من أُصول، فالكوفيون يجوّزون تقدم معمول فعل الشرط أو جوابه على أداة الشرط، فليس لأداة الشرط الصدارة عندهم</w:t>
      </w:r>
      <w:r>
        <w:rPr>
          <w:rStyle w:val="FootnoteAnchor"/>
          <w:rtl w:val="true"/>
        </w:rPr>
        <w:footnoteReference w:id="1019"/>
      </w:r>
      <w:r>
        <w:rPr>
          <w:rFonts w:ascii="IRNazanin" w:hAnsi="IRNazanin" w:eastAsia="IRNazanin"/>
          <w:color w:val="111111"/>
          <w:sz w:val="28"/>
          <w:sz w:val="28"/>
          <w:szCs w:val="28"/>
          <w:rtl w:val="true"/>
          <w:lang w:bidi="fa-IR"/>
        </w:rPr>
        <w:t>، هذا من جهة ومن جهة أُخرى فإنَّ ضمیر الشأن موضوع للتعظيم والتفخيم</w:t>
      </w:r>
      <w:r>
        <w:rPr>
          <w:rStyle w:val="FootnoteAnchor"/>
          <w:rtl w:val="true"/>
        </w:rPr>
        <w:footnoteReference w:id="1020"/>
      </w:r>
      <w:r>
        <w:rPr>
          <w:rFonts w:ascii="Amiri" w:hAnsi="Amiri" w:eastAsia="Amiri" w:cs="Amiri"/>
          <w:color w:val="111111"/>
          <w:sz w:val="28"/>
          <w:sz w:val="28"/>
          <w:szCs w:val="28"/>
          <w:rtl w:val="true"/>
          <w:lang w:bidi="ar-SA"/>
        </w:rPr>
        <w:t>، هذا فضلاً عن أنَّ عدم التقدير أولى من التقدير ولاسيما مع كثرة النصوص الواردة في هذه المسألة</w:t>
      </w:r>
      <w:r>
        <w:rPr>
          <w:rStyle w:val="FootnoteAnchor"/>
          <w:rtl w:val="true"/>
        </w:rPr>
        <w:footnoteReference w:id="1021"/>
      </w:r>
      <w:r>
        <w:rPr>
          <w:rFonts w:ascii="Amiri" w:hAnsi="Amiri" w:eastAsia="Amiri" w:cs="Amiri"/>
          <w:color w:val="111111"/>
          <w:sz w:val="28"/>
          <w:sz w:val="28"/>
          <w:szCs w:val="28"/>
          <w:rtl w:val="true"/>
          <w:lang w:bidi="ar-SA"/>
        </w:rPr>
        <w:t xml:space="preserve">، فالتعويل على حذفه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نقض للغرض الذي وُضع من أجله</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يُستدلُّ به على تقوية عدم التقدير هنا تلاحم جملتي الشرط والجواب وعدّهما كالجملة الواحدة عند عدد من النحویين فأجازوا دخول الاستفهام على جملتي الشرط والجواب معًا</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وتعليل عدم جواز الجزم بالاسم الموصول بعد تضمّنه معنى الشرط نابع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يُوضَع على الجزاء في الأصل، وإنما سرى ذلك فيه بما تضمنه من الشياع</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 xml:space="preserve">، وهذا صحيح إلا أن الشرط باقٍ فيه يعضد هذا ما ورد في كلام الإمام 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هَيْهَاتَ إنّ مَنْ يَعْجِزُ عن صفاتِ ذي الهيأةِ والأدوات، فهو </w:t>
      </w:r>
    </w:p>
    <w:p>
      <w:pPr>
        <w:pStyle w:val="BookText"/>
        <w:rPr/>
      </w:pPr>
      <w:r>
        <w:rPr>
          <w:rFonts w:ascii="Amiri" w:hAnsi="Amiri" w:eastAsia="Amiri" w:cs="Amiri"/>
          <w:color w:val="111111"/>
          <w:sz w:val="28"/>
          <w:sz w:val="28"/>
          <w:szCs w:val="28"/>
          <w:rtl w:val="true"/>
          <w:lang w:bidi="ar-SA"/>
        </w:rPr>
        <w:t>عن صِفَاتِ خالقِهِ أعْجزُ، ومن تناوُلِهِ بحُدُودِ المخلوقِینَ أبْعَدُ</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اسم موصول أُشرِبَ معنى الشرط؛ ومع ذلك بقي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وهو خلاف ما ذكره سيبويه ومتابعوه، ولهذا بقي الشرط موجودًا في التركيب بدليل اقتران 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لامناص من عدِّ هذا التركيب شرطيًا على الرغم من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الناسخة عليه، وبهذا يصح بقاء الشرط وإنْ تقدَّم الناسخ على أداة الشرط، ودليلي على هذا ما أشار إليه سيبويه سائلًا الخليل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يأتيني فله درهمان، لِمَ جاز دخول الفاء ههنا والذي يأتيني بمنزلة عبد الله، وأنت لا يجوز لك أن تقول عبد الله فله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جعل الآخر جوابا لأول، وجعل الأول به يجب له الدرهمان، فدخلت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كما دخلت في الجزاء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يأتني فله درهمان</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فسيبويه بحسب هذا النص يرى أنَّ الجزاء باقٍ عند اقتران الموصول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 على بقائه عند خلّوه منها في نحو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يأتيني فله درهمان، لذا اقترن الخبر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الموضعین لوجود التعليق الشرطي، ودليله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فَتَنُوا الْمُؤْمِنِینَ وَالْمُؤْمِنَاتِ ثُمَّ لَمْ يَتُوبُوا فَلَهُمْ عَذَابُ جَهَنَّمَ وَلَهُمْ عَذَابُ الْحَرِيقِ</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 وهو مالم يؤيِّدْه قسمٌ من النحويین؛ لأنَّ الموصول الذي يتضمَّن معنى الشرط يجب أنْ يكون فيه الإبهام والعموم</w:t>
      </w:r>
      <w:r>
        <w:rPr>
          <w:rStyle w:val="FootnoteAnchor"/>
          <w:rtl w:val="true"/>
        </w:rPr>
        <w:footnoteReference w:id="1028"/>
      </w:r>
      <w:r>
        <w:rPr>
          <w:rFonts w:ascii="Amiri" w:hAnsi="Amiri" w:eastAsia="Amiri" w:cs="Amiri"/>
          <w:color w:val="111111"/>
          <w:sz w:val="28"/>
          <w:sz w:val="28"/>
          <w:szCs w:val="28"/>
          <w:rtl w:val="true"/>
          <w:lang w:bidi="ar-SA"/>
        </w:rPr>
        <w:t>، وارتضاه ابن مالك والرضي</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ابن يعيش قد أفاد من قول سيبويه في هذه المسألة بأنْ زادَ شرطًا لاقتران </w:t>
      </w:r>
    </w:p>
    <w:p>
      <w:pPr>
        <w:pStyle w:val="BookText"/>
        <w:rPr/>
      </w:pPr>
      <w:r>
        <w:rPr>
          <w:rFonts w:ascii="Amiri" w:hAnsi="Amiri" w:eastAsia="Amiri" w:cs="Amiri"/>
          <w:color w:val="111111"/>
          <w:sz w:val="28"/>
          <w:sz w:val="28"/>
          <w:szCs w:val="28"/>
          <w:rtl w:val="true"/>
          <w:lang w:bidi="ar-SA"/>
        </w:rPr>
        <w:t xml:space="preserve">خبر المبتدإ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يُخبَر عن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والعلة تكمن في الحفاظ على تمام التصدير للموصول، وإذا كان كذلك فلا يعمل فيه شيء قبله فشابه الشرط الذي له التصدر، ولهذا امتنعت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إذا نسخَ حكمَ الابتداء ناسخٌ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يأتينا فله درهم،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يأتينا فله درهم</w:t>
      </w:r>
      <w:r>
        <w:rPr>
          <w:rFonts w:eastAsia="Amiri" w:cs="Amiri" w:ascii="Amiri" w:hAnsi="Amiri"/>
          <w:color w:val="111111"/>
          <w:sz w:val="28"/>
          <w:szCs w:val="28"/>
          <w:rtl w:val="true"/>
          <w:lang w:bidi="ar-SA"/>
        </w:rPr>
        <w:t>))</w:t>
      </w:r>
      <w:r>
        <w:rPr>
          <w:rStyle w:val="FootnoteAnchor"/>
          <w:rtl w:val="true"/>
        </w:rPr>
        <w:footnoteReference w:id="1030"/>
      </w:r>
      <w:r>
        <w:rPr>
          <w:rFonts w:ascii="IRNazanin" w:hAnsi="IRNazanin" w:eastAsia="IRNazanin"/>
          <w:color w:val="111111"/>
          <w:sz w:val="28"/>
          <w:sz w:val="28"/>
          <w:szCs w:val="28"/>
          <w:rtl w:val="true"/>
          <w:lang w:bidi="fa-IR"/>
        </w:rPr>
        <w:t xml:space="preserve">، أي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دخولها كخروجها لأنها لم تغیر من المعنى شيئا إنا دخلت للتوكيد</w:t>
      </w:r>
      <w:r>
        <w:rPr>
          <w:rFonts w:eastAsia="IRNazanin" w:cs="IRNazanin"/>
          <w:color w:val="111111"/>
          <w:sz w:val="28"/>
          <w:szCs w:val="28"/>
          <w:rtl w:val="true"/>
          <w:lang w:bidi="fa-IR"/>
        </w:rPr>
        <w:t>))</w:t>
      </w:r>
      <w:r>
        <w:rPr>
          <w:rStyle w:val="FootnoteAnchor"/>
          <w:rtl w:val="true"/>
        </w:rPr>
        <w:footnoteReference w:id="1031"/>
      </w:r>
      <w:r>
        <w:rPr>
          <w:rFonts w:ascii="Amiri" w:hAnsi="Amiri" w:eastAsia="Amiri" w:cs="Amiri"/>
          <w:color w:val="111111"/>
          <w:sz w:val="28"/>
          <w:sz w:val="28"/>
          <w:szCs w:val="28"/>
          <w:rtl w:val="true"/>
          <w:lang w:bidi="ar-SA"/>
        </w:rPr>
        <w:t xml:space="preserve">، فالشرط الحاصل في جملة الابتداء 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 لما دخلته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نسب عدد من النحويین إلى الأخفش منعَه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Style w:val="FootnoteAnchor"/>
          <w:rtl w:val="true"/>
        </w:rPr>
        <w:footnoteReference w:id="1033"/>
      </w:r>
      <w:r>
        <w:rPr>
          <w:rFonts w:ascii="Amiri" w:hAnsi="Amiri" w:eastAsia="Amiri" w:cs="Amiri"/>
          <w:color w:val="111111"/>
          <w:sz w:val="28"/>
          <w:sz w:val="28"/>
          <w:szCs w:val="28"/>
          <w:rtl w:val="true"/>
          <w:lang w:bidi="ar-SA"/>
        </w:rPr>
        <w:t xml:space="preserve">، والتحقيق خلاف ذلك؛ فقد ذهب ابن مالك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هذا عن الأخفش مستبعَد</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 لأنَّ الأخفش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وَاللَّذَانِ يَأْتِيَانَهِا مِنكُمْ فَآذُوهُمَا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يجوز ان يكون هذا خبر المبتدإ؛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صلته فعل جاز أن يكون خبره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Style w:val="FootnoteAnchor"/>
          <w:rtl w:val="true"/>
        </w:rPr>
        <w:footnoteReference w:id="1035"/>
      </w:r>
      <w:r>
        <w:rPr>
          <w:rFonts w:ascii="Amiri" w:hAnsi="Amiri" w:eastAsia="Amiri" w:cs="Amiri"/>
          <w:color w:val="111111"/>
          <w:sz w:val="28"/>
          <w:sz w:val="28"/>
          <w:szCs w:val="28"/>
          <w:rtl w:val="true"/>
          <w:lang w:bidi="ar-SA"/>
        </w:rPr>
        <w:t xml:space="preserve">، والحجة في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الخبر، والشرط فيه توقف وإخراج عن صريح الخبر فلا يجتمعان</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فإنَّ التركيب الذي نحن بصدد بيانه هو تركيب شرطي مؤكَّد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الشرط وجوابه تحلُّ محلَّ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w:t>
      </w:r>
    </w:p>
    <w:p>
      <w:pPr>
        <w:pStyle w:val="BookText"/>
        <w:rPr/>
      </w:pPr>
      <w:r>
        <w:rPr>
          <w:rFonts w:ascii="IRNazanin" w:hAnsi="IRNazanin" w:eastAsia="IRNazanin"/>
          <w:color w:val="111111"/>
          <w:sz w:val="28"/>
          <w:sz w:val="28"/>
          <w:szCs w:val="28"/>
          <w:rtl w:val="true"/>
          <w:lang w:bidi="fa-IR"/>
        </w:rPr>
        <w:t>توكيد معنى الجملة الداخلة عليها من دون تغيیر معناها، بخلاف أخواتها التي إذا دخلت على جملة غیرَّت معنى الابتداء ونقلته إلى معنى آخر كالتشبيه، أو التمني، أو الترجي، وغیر ذلك</w:t>
      </w:r>
      <w:r>
        <w:rPr>
          <w:rStyle w:val="FootnoteAnchor"/>
          <w:rtl w:val="true"/>
        </w:rPr>
        <w:footnoteReference w:id="1037"/>
      </w:r>
      <w:r>
        <w:rPr>
          <w:rFonts w:ascii="Amiri" w:hAnsi="Amiri" w:eastAsia="Amiri" w:cs="Amiri"/>
          <w:color w:val="111111"/>
          <w:sz w:val="28"/>
          <w:sz w:val="28"/>
          <w:szCs w:val="28"/>
          <w:rtl w:val="true"/>
          <w:lang w:bidi="ar-SA"/>
        </w:rPr>
        <w:t xml:space="preserve">، وإنْ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تدخل للتوكيد فحسب، لأنَّ لها أثرين معنوي هو التوكيد وإعرابي يتمثل في العمل، لكن الاستغناء عن أثرها الإعرابي دون المعنوي ناتج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يؤثر في الجملة لا يدخل على جملة مصدَّرة بلازم التصدّر</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علَّل الرضي جواز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الكريم واقتران الخبر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 الاسم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راسخ العِرق في الشرطية</w:t>
      </w:r>
      <w:r>
        <w:rPr>
          <w:rFonts w:eastAsia="IRNazanin" w:cs="IRNazanin"/>
          <w:color w:val="111111"/>
          <w:sz w:val="28"/>
          <w:szCs w:val="28"/>
          <w:rtl w:val="true"/>
          <w:lang w:bidi="fa-IR"/>
        </w:rPr>
        <w:t>))</w:t>
      </w:r>
      <w:r>
        <w:rPr>
          <w:rStyle w:val="FootnoteAnchor"/>
          <w:rtl w:val="true"/>
        </w:rPr>
        <w:footnoteReference w:id="1039"/>
      </w:r>
      <w:r>
        <w:rPr>
          <w:rFonts w:ascii="Amiri" w:hAnsi="Amiri" w:eastAsia="Amiri" w:cs="Amiri"/>
          <w:color w:val="111111"/>
          <w:sz w:val="28"/>
          <w:sz w:val="28"/>
          <w:szCs w:val="28"/>
          <w:rtl w:val="true"/>
          <w:lang w:bidi="ar-SA"/>
        </w:rPr>
        <w:t xml:space="preserve">، ولستُ أدري متى يرسخ الاسم الموصول في معنى الشرط وسيبويه أجاز اقتران خبره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 له بالشرط، فضلاً عن أنَّ الموصول يسري فيه معنى الشرطية كما اتضح</w:t>
      </w:r>
      <w:r>
        <w:rPr>
          <w:rStyle w:val="FootnoteAnchor"/>
          <w:rtl w:val="true"/>
        </w:rPr>
        <w:footnoteReference w:id="1040"/>
      </w:r>
      <w:r>
        <w:rPr>
          <w:rFonts w:ascii="Amiri" w:hAnsi="Amiri" w:eastAsia="Amiri" w:cs="Amiri"/>
          <w:color w:val="111111"/>
          <w:sz w:val="28"/>
          <w:sz w:val="28"/>
          <w:szCs w:val="28"/>
          <w:rtl w:val="true"/>
          <w:lang w:bidi="ar-SA"/>
        </w:rPr>
        <w:t xml:space="preserve">، وليس من الصواب القول بعدم قبول الشرط في تلك التراكيب بحجة أنَّ حرف الجزاءِ لهُ صدر الكلامِ، فإذا عَمِلَ فيهِ عاملٌ صارَ لذلك العامل صدر الكلام، فيبطل عمل ما بعده، وصارت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يأتينا نُكرمُهُ</w:t>
      </w:r>
      <w:r>
        <w:rPr>
          <w:rStyle w:val="FootnoteAnchor"/>
          <w:rtl w:val="true"/>
        </w:rPr>
        <w:footnoteReference w:id="1041"/>
      </w:r>
      <w:r>
        <w:rPr>
          <w:rFonts w:ascii="IRNazanin" w:hAnsi="IRNazanin" w:eastAsia="IRNazanin"/>
          <w:color w:val="111111"/>
          <w:sz w:val="28"/>
          <w:sz w:val="28"/>
          <w:szCs w:val="28"/>
          <w:rtl w:val="true"/>
          <w:lang w:bidi="fa-IR"/>
        </w:rPr>
        <w:t xml:space="preserve">، فتحوّل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الشرطية إلى الموصولة لا يلغي الجزاء من التركيب كما تبیَّن ذلك في قول الإمام المذكور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يعجزُ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لهذا لا أرى مسوِّغًا لإبطال الشرط من هذا التركيب، ومن أجل هذا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التركيب يبقى متضمنًا معنى الشرط أسلم وأولى من اللجوء إلى التقدير والتأويل، كما اتضح </w:t>
      </w:r>
    </w:p>
    <w:p>
      <w:pPr>
        <w:pStyle w:val="BookText"/>
        <w:rPr/>
      </w:pPr>
      <w:r>
        <w:rPr>
          <w:rFonts w:ascii="IRNazanin" w:hAnsi="IRNazanin" w:eastAsia="IRNazanin"/>
          <w:color w:val="111111"/>
          <w:sz w:val="28"/>
          <w:sz w:val="28"/>
          <w:szCs w:val="28"/>
          <w:rtl w:val="true"/>
          <w:lang w:bidi="fa-IR"/>
        </w:rPr>
        <w:t xml:space="preserve">ذلك بالنصوص العلوية، ولهذا فإنَّ الاحتكام إلى دلالة التركيب ومعناه أوفق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هناك داعٍ إلى تقدير ضمیر شأن، وأُسلوب الشرط هنا سدَّ مسدَّ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وخبرها</w:t>
      </w:r>
      <w:r>
        <w:rPr>
          <w:rFonts w:eastAsia="IRNazanin" w:cs="IRNazanin"/>
          <w:color w:val="111111"/>
          <w:sz w:val="28"/>
          <w:szCs w:val="28"/>
          <w:rtl w:val="true"/>
          <w:lang w:bidi="fa-IR"/>
        </w:rPr>
        <w:t>))</w:t>
      </w:r>
      <w:r>
        <w:rPr>
          <w:rStyle w:val="FootnoteAnchor"/>
          <w:rtl w:val="true"/>
        </w:rPr>
        <w:footnoteReference w:id="1042"/>
      </w:r>
      <w:r>
        <w:rPr>
          <w:rFonts w:ascii="Amiri" w:hAnsi="Amiri" w:eastAsia="Amiri" w:cs="Amiri"/>
          <w:color w:val="111111"/>
          <w:sz w:val="28"/>
          <w:sz w:val="28"/>
          <w:szCs w:val="28"/>
          <w:rtl w:val="true"/>
          <w:lang w:bidi="ar-SA"/>
        </w:rPr>
        <w:t>، ومما يقوّي هذا أَنّ الدِّماذي</w:t>
      </w:r>
      <w:r>
        <w:rPr>
          <w:rStyle w:val="FootnoteAnchor"/>
          <w:rtl w:val="true"/>
        </w:rPr>
        <w:footnoteReference w:id="1043"/>
      </w:r>
      <w:r>
        <w:rPr>
          <w:rFonts w:ascii="Amiri" w:hAnsi="Amiri" w:eastAsia="Amiri" w:cs="Amiri"/>
          <w:color w:val="111111"/>
          <w:sz w:val="28"/>
          <w:sz w:val="28"/>
          <w:szCs w:val="28"/>
          <w:rtl w:val="true"/>
          <w:lang w:bidi="ar-SA"/>
        </w:rPr>
        <w:t>أجاز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يأْتِني آتِهِ</w:t>
      </w:r>
      <w:r>
        <w:rPr>
          <w:rStyle w:val="FootnoteAnchor"/>
          <w:rtl w:val="true"/>
        </w:rPr>
        <w:footnoteReference w:id="1044"/>
      </w:r>
      <w:r>
        <w:rPr>
          <w:rFonts w:ascii="Amiri" w:hAnsi="Amiri" w:eastAsia="Amiri" w:cs="Amiri"/>
          <w:color w:val="111111"/>
          <w:sz w:val="28"/>
          <w:sz w:val="28"/>
          <w:szCs w:val="28"/>
          <w:rtl w:val="true"/>
          <w:lang w:bidi="ar-SA"/>
        </w:rPr>
        <w:t xml:space="preserve">لهذا فلا داعي لتقدير ضمیر الشأن ههنا، لكثرة النصوص الواردة في تراكيب دلَّت على الشرط من دونه، من ذلك قول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طَلَبَ العبادةَ تَزَكَّى لها</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 xml:space="preserve">، وقولُ الإمام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اِلزموا مَوَدَّتنا أهلَ البيتِ؛ فإنَّ مَنْ لَقِيَ اللهَ وهُوَ يَودُّنا دَخَلَ في شفاعتِنا</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 xml:space="preserve">، يعزِّز هذا ويعضُده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فيها الشرطية والموصولة</w:t>
      </w:r>
      <w:r>
        <w:rPr>
          <w:rStyle w:val="FootnoteAnchor"/>
          <w:rtl w:val="true"/>
        </w:rPr>
        <w:footnoteReference w:id="1047"/>
      </w:r>
      <w:r>
        <w:rPr>
          <w:rFonts w:ascii="IRNazanin" w:hAnsi="IRNazanin" w:eastAsia="IRNazanin"/>
          <w:color w:val="111111"/>
          <w:sz w:val="28"/>
          <w:sz w:val="28"/>
          <w:szCs w:val="28"/>
          <w:rtl w:val="true"/>
          <w:lang w:bidi="fa-IR"/>
        </w:rPr>
        <w:t xml:space="preserve">، لكن الجمع بین الموصول المتضمِّنة لمعنى الشرط أرجح لعدم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ولبقاء دلالةِ التعليق الشرطي وشكلِه بوجود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الشرط، فالمسألة سياقية خاضعة للسياق والقرائن المحيطة بالنص</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ما تقدَّم أنّ اقتران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بالناسخ لا يُفقد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شرطيتَها بل تبقى متضمِّنةً معنى الشرط وذلك لورود نصوص فصيحة اقترن الجواب فيها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فالمسألة ليست ضرورة شعرية كما قرَّر ذلك جمع من علماء العربية، واستنادًا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ذلك يمكن صوغ القاعدة بالآتي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اقتران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الشرطية أو المحمولة على الشرطية بالناسخ من غیر الحاجة إلى تقدير ضمير الشأن في النثر لا في الشعر خاصة، لورود في نهج البلاغة فضلاً عن كلام غیره من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7031_81017"/>
      <w:bookmarkStart w:id="202" w:name="pg7031_81017"/>
      <w:bookmarkEnd w:id="202"/>
    </w:p>
    <w:p>
      <w:pPr>
        <w:pStyle w:val="Heading4"/>
        <w:numPr>
          <w:ilvl w:val="3"/>
          <w:numId w:val="1"/>
        </w:numPr>
        <w:rPr/>
      </w:pPr>
      <w:bookmarkStart w:id="203" w:name="pg7031_81017"/>
      <w:bookmarkStart w:id="204" w:name="__RefHeading___Toc2958362_372815092"/>
      <w:bookmarkStart w:id="205" w:name="_Toc67"/>
      <w:bookmarkEnd w:id="203"/>
      <w:bookmarkEnd w:id="204"/>
      <w:r>
        <w:rPr>
          <w:rtl w:val="true"/>
        </w:rPr>
        <w:t>المبحث الثاني ما حُمِلَ على الضرورة الشعرية في مسائلَ أُخر</w:t>
      </w:r>
      <w:r>
        <w:rPr>
          <w:rtl w:val="true"/>
        </w:rPr>
        <w:t>:</w:t>
      </w:r>
      <w:bookmarkEnd w:id="205"/>
    </w:p>
    <w:p>
      <w:pPr>
        <w:pStyle w:val="Heading5"/>
        <w:numPr>
          <w:ilvl w:val="4"/>
          <w:numId w:val="1"/>
        </w:numPr>
        <w:rPr/>
      </w:pPr>
      <w:bookmarkStart w:id="206" w:name="__RefHeading___Toc2958364_372815092"/>
      <w:bookmarkStart w:id="207" w:name="_Toc68"/>
      <w:bookmarkEnd w:id="206"/>
      <w:r>
        <w:rPr>
          <w:rtl w:val="true"/>
        </w:rPr>
        <w:t>المسألة الأولى</w:t>
      </w:r>
      <w:r>
        <w:rPr>
          <w:rtl w:val="true"/>
        </w:rPr>
        <w:t xml:space="preserve">: </w:t>
      </w:r>
      <w:r>
        <w:rPr>
          <w:rtl w:val="true"/>
        </w:rPr>
        <w:t>جواز دخول أداة الشرط على الأسماء</w:t>
      </w:r>
      <w:r>
        <w:rPr>
          <w:rtl w:val="true"/>
        </w:rPr>
        <w:t>:</w:t>
      </w:r>
      <w:bookmarkEnd w:id="207"/>
    </w:p>
    <w:p>
      <w:pPr>
        <w:pStyle w:val="BookText"/>
        <w:rPr/>
      </w:pPr>
      <w:r>
        <w:rPr>
          <w:rFonts w:ascii="Amiri" w:hAnsi="Amiri" w:eastAsia="Amiri" w:cs="Amiri"/>
          <w:color w:val="111111"/>
          <w:sz w:val="28"/>
          <w:sz w:val="28"/>
          <w:szCs w:val="28"/>
          <w:rtl w:val="true"/>
          <w:lang w:bidi="ar-SA"/>
        </w:rPr>
        <w:t>إنَّ الأصل في أدوات الشرط ألا يليها إلا الأفعال،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حروف الجزاء يقبح أنْ تتقدَّم الأسماء فيها قبل الأفعال، وذلك لأنهم شبهوها بما يجزم</w:t>
      </w:r>
      <w:r>
        <w:rPr>
          <w:rFonts w:eastAsia="Amiri" w:cs="Amiri" w:ascii="Amiri" w:hAnsi="Amiri"/>
          <w:color w:val="111111"/>
          <w:sz w:val="28"/>
          <w:szCs w:val="28"/>
          <w:rtl w:val="true"/>
          <w:lang w:bidi="ar-SA"/>
        </w:rPr>
        <w:t>))</w:t>
      </w:r>
      <w:r>
        <w:rPr>
          <w:rStyle w:val="FootnoteAnchor"/>
          <w:rtl w:val="true"/>
        </w:rPr>
        <w:footnoteReference w:id="1049"/>
      </w:r>
      <w:r>
        <w:rPr>
          <w:rFonts w:ascii="IRNazanin" w:hAnsi="IRNazanin" w:eastAsia="IRNazanin"/>
          <w:color w:val="111111"/>
          <w:sz w:val="28"/>
          <w:sz w:val="28"/>
          <w:szCs w:val="28"/>
          <w:rtl w:val="true"/>
          <w:lang w:bidi="fa-IR"/>
        </w:rPr>
        <w:t>، فهي تدخل على جملتین فعليتین، فتربط إحداهما بالُأخرى حتى لا تنفرد إحداهما عن الأُخرى</w:t>
      </w:r>
      <w:r>
        <w:rPr>
          <w:rStyle w:val="FootnoteAnchor"/>
          <w:rtl w:val="true"/>
        </w:rPr>
        <w:footnoteReference w:id="1050"/>
      </w:r>
      <w:r>
        <w:rPr>
          <w:rFonts w:ascii="IRNazanin" w:hAnsi="IRNazanin" w:eastAsia="IRNazanin"/>
          <w:color w:val="111111"/>
          <w:sz w:val="28"/>
          <w:sz w:val="28"/>
          <w:szCs w:val="28"/>
          <w:rtl w:val="true"/>
          <w:lang w:bidi="fa-IR"/>
        </w:rPr>
        <w:t xml:space="preserve">، وتعليل ذلك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إنما يكون بما ليس في الوجود ويحتمل أنْ يوجد وألا يوجد والأسماء ثابتة موجودة لا يصح تعليق وجود غیرها على وجودها</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استثنى النحويون من تلك القاعدة أداة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فأجازوا دخولها على الأسماء</w:t>
      </w:r>
      <w:r>
        <w:rPr>
          <w:rStyle w:val="FootnoteAnchor"/>
          <w:rtl w:val="true"/>
        </w:rPr>
        <w:footnoteReference w:id="1052"/>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باب الشرط والأصل في الجزم فهي تتصرف أكثر من </w:t>
      </w:r>
    </w:p>
    <w:p>
      <w:pPr>
        <w:pStyle w:val="BookText"/>
        <w:rPr/>
      </w:pPr>
      <w:r>
        <w:rPr>
          <w:rFonts w:ascii="Amiri" w:hAnsi="Amiri" w:eastAsia="Amiri" w:cs="Amiri"/>
          <w:color w:val="111111"/>
          <w:sz w:val="28"/>
          <w:sz w:val="28"/>
          <w:szCs w:val="28"/>
          <w:rtl w:val="true"/>
          <w:lang w:bidi="ar-SA"/>
        </w:rPr>
        <w:t>أخواتها في الشرط</w:t>
      </w:r>
      <w:r>
        <w:rPr>
          <w:rStyle w:val="FootnoteAnchor"/>
          <w:rtl w:val="true"/>
        </w:rPr>
        <w:footnoteReference w:id="1053"/>
      </w:r>
      <w:r>
        <w:rPr>
          <w:rFonts w:ascii="Amiri" w:hAnsi="Amiri" w:eastAsia="Amiri" w:cs="Amiri"/>
          <w:color w:val="111111"/>
          <w:sz w:val="28"/>
          <w:sz w:val="28"/>
          <w:szCs w:val="28"/>
          <w:rtl w:val="true"/>
          <w:lang w:bidi="ar-SA"/>
        </w:rPr>
        <w:t>، والأصل يتصرَّف ما لا يتصرَّف الفرع</w:t>
      </w:r>
      <w:r>
        <w:rPr>
          <w:rStyle w:val="FootnoteAnchor"/>
          <w:rtl w:val="true"/>
        </w:rPr>
        <w:footnoteReference w:id="1054"/>
      </w:r>
      <w:r>
        <w:rPr>
          <w:rFonts w:ascii="Amiri" w:hAnsi="Amiri" w:eastAsia="Amiri" w:cs="Amiri"/>
          <w:color w:val="111111"/>
          <w:sz w:val="28"/>
          <w:sz w:val="28"/>
          <w:szCs w:val="28"/>
          <w:rtl w:val="true"/>
          <w:lang w:bidi="ar-SA"/>
        </w:rPr>
        <w:t>، على أنَّ الواجبَ في الفعل التالي لهذا الاسم أنْ يكون ماضيًا</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أخواتها في الشرط فإنَّ النحويین عدّوا دخولها على الاسم من باب الضرورة الشعرية، قال المبرد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يكون مثل هذا في الجزاء وسائر حروف الجزاء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فيها هذا في الكلام ولا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زيدٌ يأْتِهِ يُكرِمْهُ، ولا إنْ زيدٌ يأتِني آتِهِ، ولا أين زيدٌ أتاني أتيته، ولا مَن زيدٌ أتاه أكرمه، فإن اضطر شاعر جاز فيهن الفصل جزمْنَ أو لم يجزمْنَ</w:t>
      </w:r>
      <w:r>
        <w:rPr>
          <w:rFonts w:eastAsia="Amiri" w:cs="Amiri" w:ascii="Amiri" w:hAnsi="Amiri"/>
          <w:color w:val="111111"/>
          <w:sz w:val="28"/>
          <w:szCs w:val="28"/>
          <w:rtl w:val="true"/>
          <w:lang w:bidi="ar-SA"/>
        </w:rPr>
        <w:t>))</w:t>
      </w:r>
      <w:r>
        <w:rPr>
          <w:rStyle w:val="FootnoteAnchor"/>
          <w:rtl w:val="true"/>
        </w:rPr>
        <w:footnoteReference w:id="1056"/>
      </w:r>
      <w:r>
        <w:rPr>
          <w:rFonts w:ascii="IRNazanin" w:hAnsi="IRNazanin" w:eastAsia="IRNazanin"/>
          <w:color w:val="111111"/>
          <w:sz w:val="28"/>
          <w:sz w:val="28"/>
          <w:szCs w:val="28"/>
          <w:rtl w:val="true"/>
          <w:lang w:bidi="fa-IR"/>
        </w:rPr>
        <w:t>، وأخذ بهذا المذهب ابنُ السراج</w:t>
      </w:r>
      <w:r>
        <w:rPr>
          <w:rStyle w:val="FootnoteAnchor"/>
          <w:rtl w:val="true"/>
        </w:rPr>
        <w:footnoteReference w:id="1057"/>
      </w:r>
      <w:r>
        <w:rPr>
          <w:rFonts w:ascii="Amiri" w:hAnsi="Amiri" w:eastAsia="Amiri" w:cs="Amiri"/>
          <w:color w:val="111111"/>
          <w:sz w:val="28"/>
          <w:sz w:val="28"/>
          <w:szCs w:val="28"/>
          <w:rtl w:val="true"/>
          <w:lang w:bidi="ar-SA"/>
        </w:rPr>
        <w:t>، والصَّيْمري</w:t>
      </w:r>
      <w:r>
        <w:rPr>
          <w:rStyle w:val="FootnoteAnchor"/>
          <w:rtl w:val="true"/>
        </w:rPr>
        <w:footnoteReference w:id="1058"/>
      </w:r>
      <w:r>
        <w:rPr>
          <w:rFonts w:ascii="Amiri" w:hAnsi="Amiri" w:eastAsia="Amiri" w:cs="Amiri"/>
          <w:color w:val="111111"/>
          <w:sz w:val="28"/>
          <w:sz w:val="28"/>
          <w:szCs w:val="28"/>
          <w:rtl w:val="true"/>
          <w:lang w:bidi="ar-SA"/>
        </w:rPr>
        <w:t>، والقزّاز</w:t>
      </w:r>
      <w:r>
        <w:rPr>
          <w:rStyle w:val="FootnoteAnchor"/>
          <w:rtl w:val="true"/>
        </w:rPr>
        <w:footnoteReference w:id="1059"/>
      </w:r>
      <w:r>
        <w:rPr>
          <w:rFonts w:ascii="Amiri" w:hAnsi="Amiri" w:eastAsia="Amiri" w:cs="Amiri"/>
          <w:color w:val="111111"/>
          <w:sz w:val="28"/>
          <w:sz w:val="28"/>
          <w:szCs w:val="28"/>
          <w:rtl w:val="true"/>
          <w:lang w:bidi="ar-SA"/>
        </w:rPr>
        <w:t>وأبو البركات الأنباري</w:t>
      </w:r>
      <w:r>
        <w:rPr>
          <w:rStyle w:val="FootnoteAnchor"/>
          <w:rtl w:val="true"/>
        </w:rPr>
        <w:footnoteReference w:id="1060"/>
      </w:r>
      <w:r>
        <w:rPr>
          <w:rFonts w:ascii="Amiri" w:hAnsi="Amiri" w:eastAsia="Amiri" w:cs="Amiri"/>
          <w:color w:val="111111"/>
          <w:sz w:val="28"/>
          <w:sz w:val="28"/>
          <w:szCs w:val="28"/>
          <w:rtl w:val="true"/>
          <w:lang w:bidi="ar-SA"/>
        </w:rPr>
        <w:t>، والرضي الاسترابادي</w:t>
      </w:r>
      <w:r>
        <w:rPr>
          <w:rStyle w:val="FootnoteAnchor"/>
          <w:rtl w:val="true"/>
        </w:rPr>
        <w:footnoteReference w:id="1061"/>
      </w:r>
      <w:r>
        <w:rPr>
          <w:rFonts w:ascii="IRNazanin" w:hAnsi="IRNazanin" w:eastAsia="IRNazanin"/>
          <w:color w:val="111111"/>
          <w:sz w:val="28"/>
          <w:sz w:val="28"/>
          <w:szCs w:val="28"/>
          <w:rtl w:val="true"/>
          <w:lang w:bidi="fa-IR"/>
        </w:rPr>
        <w:t>، وآخرون</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الشواهد على تلك المسألة غیر مقتصرة على الشعر فحسب، بل هي واردة في القرآن الكريم أيضًا، 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 xml:space="preserve">، فقد نصَّ </w:t>
      </w:r>
    </w:p>
    <w:p>
      <w:pPr>
        <w:pStyle w:val="BookText"/>
        <w:rPr/>
      </w:pPr>
      <w:r>
        <w:rPr>
          <w:rFonts w:ascii="Amiri" w:hAnsi="Amiri" w:eastAsia="Amiri" w:cs="Amiri"/>
          <w:color w:val="111111"/>
          <w:sz w:val="28"/>
          <w:sz w:val="28"/>
          <w:szCs w:val="28"/>
          <w:rtl w:val="true"/>
          <w:lang w:bidi="ar-SA"/>
        </w:rPr>
        <w:t>البصريون على أنَّ الاسم المتقدِّم فاعلٌ لفعل محذوف يفسرّه المذكور</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ذَهَبَ الفراء من الكوفيین إلى أنّه مرفوع بما عاد عليه من الفعل من غیر تقدير أو تأويل، أي إنّه مرفوع بالفعل نفسه</w:t>
      </w:r>
      <w:r>
        <w:rPr>
          <w:rStyle w:val="FootnoteAnchor"/>
          <w:rtl w:val="true"/>
        </w:rPr>
        <w:footnoteReference w:id="1065"/>
      </w:r>
      <w:r>
        <w:rPr>
          <w:rFonts w:ascii="IRNazanin" w:hAnsi="IRNazanin" w:eastAsia="IRNazanin"/>
          <w:color w:val="111111"/>
          <w:sz w:val="28"/>
          <w:sz w:val="28"/>
          <w:szCs w:val="28"/>
          <w:rtl w:val="true"/>
          <w:lang w:bidi="fa-IR"/>
        </w:rPr>
        <w:t>، وقد نسبَ عددٌ من النحويین القولَ إلى عامة الكوفيین وإلى الكسائي والأخفش بأنَّ الاسم مرفوع على الابتداء</w:t>
      </w:r>
      <w:r>
        <w:rPr>
          <w:rStyle w:val="FootnoteAnchor"/>
          <w:rtl w:val="true"/>
        </w:rPr>
        <w:footnoteReference w:id="1066"/>
      </w:r>
      <w:r>
        <w:rPr>
          <w:rFonts w:ascii="Amiri" w:hAnsi="Amiri" w:eastAsia="Amiri" w:cs="Amiri"/>
          <w:color w:val="111111"/>
          <w:sz w:val="28"/>
          <w:sz w:val="28"/>
          <w:szCs w:val="28"/>
          <w:rtl w:val="true"/>
          <w:lang w:bidi="ar-SA"/>
        </w:rPr>
        <w:t>، والتحقيق أنَّ الأخفش ذكر الرفع على الابتداء لكنَّه رجَّح رأيَ البصريین، فقال في تفسیره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الْمُشْرِكِینَ اسْتَجَارَكَ فَأَجِرْهُ</w:t>
      </w:r>
      <w:r>
        <w:rPr>
          <w:rFonts w:eastAsia="Amiri" w:cs="Amiri" w:ascii="Amiri" w:hAnsi="Amiri"/>
          <w:color w:val="111111"/>
          <w:sz w:val="28"/>
          <w:szCs w:val="28"/>
          <w:rtl w:val="true"/>
          <w:lang w:bidi="ar-SA"/>
        </w:rPr>
        <w:t>»</w:t>
      </w:r>
      <w:r>
        <w:rPr>
          <w:rStyle w:val="FootnoteAnchor"/>
          <w:rtl w:val="true"/>
        </w:rPr>
        <w:footnoteReference w:id="10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فابتدأ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يكون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فعل مضمَر أقيس الوجهین؛ لأن حروف المجازاة لا يُبتدَأ بعدها، إلا إنّهم قد قالوا 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لتمكّنها وحسنها إذا وليتها الأسماء</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الواضح مما تقدَّم من تعليلات أنَّها بعيدة عن روح اللغة وما ورد فيها من شواهد، وهي تعليلات لجأ إليها النحويون من أجل الحفاظ على ما وضعوه من تلك القواعد</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النمط لم يقتصر على الشعر فقط كما نص على ذلك عددٌ من النحويين، </w:t>
      </w:r>
    </w:p>
    <w:p>
      <w:pPr>
        <w:pStyle w:val="BookText"/>
        <w:rPr/>
      </w:pPr>
      <w:r>
        <w:rPr>
          <w:rFonts w:ascii="Amiri" w:hAnsi="Amiri" w:eastAsia="Amiri" w:cs="Amiri"/>
          <w:color w:val="111111"/>
          <w:sz w:val="28"/>
          <w:sz w:val="28"/>
          <w:szCs w:val="28"/>
          <w:rtl w:val="true"/>
          <w:lang w:bidi="ar-SA"/>
        </w:rPr>
        <w:t>بل هو وارد في أصح مصادر الموروث اللغوي وهو القرآن الكريم كما استشهدتُ ببعض المواضع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شاهد على تلك المسألة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 فِينَا رَايَةَ اَلْحَقِّ مَنْ تَقَدَّمَهَا مَرَقَ وَمَنْ تَخَلَّفَ عَنْهَا زَهَقَ وَ مَنْ لَزِمَهَا لِحَقَ دَلِيلُهَا مَكِيثُ اَلْكَلاَمِ بَطِيءُ اَلْقِيَامِ سَرِيعٌ إِذَا قَامَ فَإِذَا أَنْتُمْ أَلَنْتُمْ لَهُ رِقَابَكُمْ وَ أَشَرْتُمْ إِلَيْهِ بِأَصَابِعِكُمْ جَاءَهُ اَلْمَوْتُ فَذَهَبَ بِهِ فَلَبِثْتُمْ بَعْدَهُ مَا شَاءَ اَللَّهُ حَتَّى يُطْلِعَ اَللَّهُ لَكُمْ مَنْ يَجْمَعُكُمْ</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صفاتِ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إلى ما خَلّفه فيهم من راية الحق، ولعلّ في ذلك إشارة إلى نفسه الشريفة، ثم عقب ذلك بالإلماح إلى بعض صفاته،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طاعتهم له وانقيادهم، واذا حصل هذا الانقياد وتلك الطاعة وتمَّ الإسلام بوجود الإمام فإذا بالإمام قد تُوفي وتسلَّم الامامةَ إمامٌ تلوَ إمام إلى أنْ يأذنَ الله تعالى بجمع شملهم على يد خاتم الأئمة</w:t>
      </w:r>
      <w:r>
        <w:rPr>
          <w:rStyle w:val="FootnoteAnchor"/>
          <w:rtl w:val="true"/>
        </w:rPr>
        <w:footnoteReference w:id="1071"/>
      </w:r>
      <w:r>
        <w:rPr>
          <w:rFonts w:ascii="IRNazanin" w:hAnsi="IRNazanin" w:eastAsia="IRNazanin"/>
          <w:color w:val="111111"/>
          <w:sz w:val="28"/>
          <w:sz w:val="28"/>
          <w:szCs w:val="28"/>
          <w:rtl w:val="true"/>
          <w:lang w:bidi="fa-IR"/>
        </w:rPr>
        <w:t xml:space="preserve">، وفي ذلك إشارة إلى بقاء سلسلة الإمامة التي يجب على الناس استثمار وجودها بالطاعة لها والانقياد لأوامرها؛ لأن في ذلك الفوزَ المبینَ، فلمّا كان هدف الإمام بيان أهمية حالة الخضوع التي ينبغي أنْ يكون عليها الناس، فقدَّم الضمیر العائد عليهم لأنَّهم محورُ الحديث والعرب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يقدِّمون الذي بيانه أهم لهم وهم ببيانه أعنى</w:t>
      </w:r>
      <w:r>
        <w:rPr>
          <w:rFonts w:eastAsia="IRNazanin" w:cs="IRNazanin"/>
          <w:color w:val="111111"/>
          <w:sz w:val="28"/>
          <w:szCs w:val="28"/>
          <w:rtl w:val="true"/>
          <w:lang w:bidi="fa-IR"/>
        </w:rPr>
        <w:t>))</w:t>
      </w:r>
      <w:r>
        <w:rPr>
          <w:rStyle w:val="FootnoteAnchor"/>
          <w:rtl w:val="true"/>
        </w:rPr>
        <w:footnoteReference w:id="1072"/>
      </w:r>
      <w:r>
        <w:rPr>
          <w:rFonts w:ascii="Amiri" w:hAnsi="Amiri" w:eastAsia="Amiri" w:cs="Amiri"/>
          <w:color w:val="111111"/>
          <w:sz w:val="28"/>
          <w:sz w:val="28"/>
          <w:szCs w:val="28"/>
          <w:rtl w:val="true"/>
          <w:lang w:bidi="ar-SA"/>
        </w:rPr>
        <w:t xml:space="preserve">، فالباعث على هذا التقديم إذًا هو العناية بالمتقدِّم، ووجه تلك العناية هو التخصيص الذي هو غرض التقديم في الغالب، ولهذا </w:t>
      </w:r>
    </w:p>
    <w:p>
      <w:pPr>
        <w:pStyle w:val="BookText"/>
        <w:rPr/>
      </w:pPr>
      <w:r>
        <w:rPr>
          <w:rFonts w:ascii="IRNazanin" w:hAnsi="IRNazanin" w:eastAsia="IRNazanin"/>
          <w:color w:val="111111"/>
          <w:sz w:val="28"/>
          <w:sz w:val="28"/>
          <w:szCs w:val="28"/>
          <w:rtl w:val="true"/>
          <w:lang w:bidi="fa-IR"/>
        </w:rPr>
        <w:t xml:space="preserve">لم يكن سبب هذا التقديم صناعيًا، فالتأويل التي يذكره النحويون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عن المعنى مفسد لصحة الكلام، مؤد إلى رِكّة بالغة فيه؛ إذ ما الغرض من هذا الحذف والذكر مع العِلم بأنَّ المفسِّرِ والمفسَّر لفظٌ واحد بعينه، لا يزيده إيضاحًا ولا بيانًا ولا تفسیرًا؟، فلو كان المفسِّر يعطينا معنًى زائدًا على المفسَّر وإيضاحًا لم يكن فيه لكان مقبولًا، ولكن الفعل المذكور هو نفس المحذوف، فما الغرض إذًا من الذكر والحذف؟</w:t>
      </w:r>
      <w:r>
        <w:rPr>
          <w:rFonts w:eastAsia="IRNazanin" w:cs="IRNazanin"/>
          <w:color w:val="111111"/>
          <w:sz w:val="28"/>
          <w:szCs w:val="28"/>
          <w:rtl w:val="true"/>
          <w:lang w:bidi="fa-IR"/>
        </w:rPr>
        <w:t>))</w:t>
      </w:r>
      <w:r>
        <w:rPr>
          <w:rStyle w:val="FootnoteAnchor"/>
          <w:rtl w:val="true"/>
        </w:rPr>
        <w:footnoteReference w:id="1073"/>
      </w:r>
      <w:r>
        <w:rPr>
          <w:rFonts w:ascii="Amiri" w:hAnsi="Amiri" w:eastAsia="Amiri" w:cs="Amiri"/>
          <w:color w:val="111111"/>
          <w:sz w:val="28"/>
          <w:sz w:val="28"/>
          <w:szCs w:val="28"/>
          <w:rtl w:val="true"/>
          <w:lang w:bidi="ar-SA"/>
        </w:rPr>
        <w:t>سوى الدفاع عن قواعد يُراد لها الاطّراد والشيوع من دون الاستناد إلى المعنى في إيضاح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استند الزمخشري إلى المعنى، ففرَّقَ بین التقدير الذي تفرضه الصناعة النحوية والمعنى الذي يُتَحصَّل عليه من علم البيان، من ذلك دلالة التخصيص في هذه التقديم، ذكر ذلك في تفسیره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أَنْتُمْ تَمْلِكُونَ خَزَائِنَ رَحْمَةِ رَبِّی إِذًا لَأَمْسَكْتُمْ خَشْيَةَ الْإِنْفَاقِ وَكَانَ الْإِنْسَانُ قَتُورًا</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مايقتضيه علم البيان،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تملكون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الاختصاص، وأنّ الناس هم المختصون بالشُّح المتبالغ</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يوسف علي بديوي راجعه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الدِّين ديب مستو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يعضُد تلك الدلالةَ ورودُها في كلام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في كتابٍ أرسله 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أنت أبيتَ إلا التمادّي في غيِّك نهدت إليك بالمسلمين فحاكمتك حتى يحكمَ اللهُ بيننا وهو خیرُ الحاكمین</w:t>
      </w:r>
      <w:r>
        <w:rPr>
          <w:rFonts w:eastAsia="IRNazanin" w:cs="IRNazanin"/>
          <w:color w:val="111111"/>
          <w:sz w:val="28"/>
          <w:szCs w:val="28"/>
          <w:rtl w:val="true"/>
          <w:lang w:bidi="fa-IR"/>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bookmarkStart w:id="208" w:name="pg7031_81022"/>
    </w:p>
    <w:p>
      <w:pPr>
        <w:pStyle w:val="BookText"/>
        <w:rPr/>
      </w:pPr>
      <w:bookmarkEnd w:id="208"/>
      <w:r>
        <w:rPr>
          <w:rFonts w:ascii="IRNazanin" w:hAnsi="IRNazanin" w:eastAsia="IRNazanin"/>
          <w:color w:val="111111"/>
          <w:sz w:val="28"/>
          <w:sz w:val="28"/>
          <w:szCs w:val="28"/>
          <w:rtl w:val="true"/>
          <w:lang w:bidi="fa-IR"/>
        </w:rPr>
        <w:t>نخلص مما تقدَّم إلى جواز تقديم الاسم بعد أداة الشرط للدلالة على العناية بالاسم المتقدِّم، ولم تكن المسألة محصورةً على الشعر كما ذكر ذلك عددٌ من النحويین، واستنادًا إلى هذا يمكن تعديل القاعدة النحوية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دخول أدوات الشرط على الأسماء في السَّعة والاختيار لورود ذلك في نهج البلاغة فضلاً عن القرآن الكريم وكلام العرب وليس الأمر مقصورًا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w:t>
      </w:r>
      <w:r>
        <w:rPr>
          <w:rFonts w:eastAsia="IRNazanin" w:cs="IRNazanin"/>
          <w:color w:val="111111"/>
          <w:sz w:val="28"/>
          <w:szCs w:val="28"/>
          <w:rtl w:val="true"/>
          <w:lang w:bidi="fa-IR"/>
        </w:rPr>
        <w:t>.</w:t>
      </w:r>
    </w:p>
    <w:p>
      <w:pPr>
        <w:pStyle w:val="Heading5"/>
        <w:numPr>
          <w:ilvl w:val="4"/>
          <w:numId w:val="1"/>
        </w:numPr>
        <w:rPr/>
      </w:pPr>
      <w:bookmarkStart w:id="209" w:name="__RefHeading___Toc2958366_372815092"/>
      <w:bookmarkStart w:id="210" w:name="_Toc69"/>
      <w:bookmarkEnd w:id="209"/>
      <w:r>
        <w:rPr>
          <w:rtl w:val="true"/>
        </w:rPr>
        <w:t>المسألة الثانية</w:t>
      </w:r>
      <w:r>
        <w:rPr>
          <w:rtl w:val="true"/>
        </w:rPr>
        <w:t xml:space="preserve">: </w:t>
      </w:r>
      <w:r>
        <w:rPr>
          <w:rtl w:val="true"/>
        </w:rPr>
        <w:t>جواز ورود فعل الشرط مضارعًا مجزومًا والجواب ماضيًا</w:t>
      </w:r>
      <w:r>
        <w:rPr>
          <w:rtl w:val="true"/>
        </w:rPr>
        <w:t>:</w:t>
      </w:r>
      <w:bookmarkEnd w:id="210"/>
    </w:p>
    <w:p>
      <w:pPr>
        <w:pStyle w:val="BookText"/>
        <w:rPr/>
      </w:pPr>
      <w:r>
        <w:rPr>
          <w:rFonts w:ascii="IRNazanin" w:hAnsi="IRNazanin" w:eastAsia="IRNazanin"/>
          <w:color w:val="111111"/>
          <w:sz w:val="28"/>
          <w:sz w:val="28"/>
          <w:szCs w:val="28"/>
          <w:rtl w:val="true"/>
          <w:lang w:bidi="fa-IR"/>
        </w:rPr>
        <w:t>ذكر النحويون أنَّ الشرط وجوابه إذا كانا فعلینِ فإنَّ الأحسن فيهما هو التماثل بین صيغتيهما، قال سيبويه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فأحسن الكلام أنْ يكون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مجزوم بالجزاء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تفعل فأحسن الكلام أن يكون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نظیره من الفعل</w:t>
      </w:r>
      <w:r>
        <w:rPr>
          <w:rFonts w:eastAsia="IRNazanin" w:cs="IRNazanin"/>
          <w:color w:val="111111"/>
          <w:sz w:val="28"/>
          <w:szCs w:val="28"/>
          <w:rtl w:val="true"/>
          <w:lang w:bidi="fa-IR"/>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ما خرج نمطٌ شرطي عن تلك المماثلة وقف النحويون إزاءه مواقفَ مختلفة وآراء متعددة، من ذلك موقفهم من النمط الشرطي الذي يأتي فعل الشرط فيه مضارعًا مجزومًا والجواب ماضيًا فإنَّ خروجه عن هذا التماثل أفضى إلى اختاف نظرة النحويین له، فقد عدَّه سيبويه نمطًا ضعيفًا،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فكما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يفعل</w:t>
      </w:r>
      <w:r>
        <w:rPr>
          <w:rFonts w:eastAsia="IRNazanin" w:cs="IRNazanin"/>
          <w:color w:val="111111"/>
          <w:sz w:val="28"/>
          <w:szCs w:val="28"/>
          <w:rtl w:val="true"/>
          <w:lang w:bidi="fa-IR"/>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وتعليل هذا ناتج من القول بإلزام عمل أداة الشرط في فعل الشرط وجوابه، ولهذا فلا يجوز أنْ تعمل الجزم في فعل الشرط دون جوابه،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وقبح </w:t>
      </w:r>
    </w:p>
    <w:p>
      <w:pPr>
        <w:pStyle w:val="BookText"/>
        <w:rPr/>
      </w:pPr>
      <w:r>
        <w:rPr>
          <w:rFonts w:ascii="Amiri" w:hAnsi="Amiri" w:eastAsia="Amiri" w:cs="Amiri"/>
          <w:color w:val="111111"/>
          <w:sz w:val="28"/>
          <w:sz w:val="28"/>
          <w:szCs w:val="28"/>
          <w:rtl w:val="true"/>
          <w:lang w:bidi="ar-SA"/>
        </w:rPr>
        <w:t xml:space="preserve">في الكلام أن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شيء من حروف الجزاء في الأفعال حتى تجزمه في اللفظ ثم لا يكون لها جواب ينجزم بما قبله</w:t>
      </w:r>
      <w:r>
        <w:rPr>
          <w:rFonts w:eastAsia="Amiri" w:cs="Amiri" w:ascii="Amiri" w:hAnsi="Amiri"/>
          <w:color w:val="111111"/>
          <w:sz w:val="28"/>
          <w:szCs w:val="28"/>
          <w:rtl w:val="true"/>
          <w:lang w:bidi="ar-SA"/>
        </w:rPr>
        <w:t>))</w:t>
      </w:r>
      <w:r>
        <w:rPr>
          <w:rStyle w:val="FootnoteAnchor"/>
          <w:rtl w:val="true"/>
        </w:rPr>
        <w:footnoteReference w:id="1079"/>
      </w:r>
      <w:r>
        <w:rPr>
          <w:rFonts w:ascii="IRNazanin" w:hAnsi="IRNazanin" w:eastAsia="IRNazanin"/>
          <w:color w:val="111111"/>
          <w:sz w:val="28"/>
          <w:sz w:val="28"/>
          <w:szCs w:val="28"/>
          <w:rtl w:val="true"/>
          <w:lang w:bidi="fa-IR"/>
        </w:rPr>
        <w:t>، واعتل بهذه العلة أيضًا عدد آخر من النحویين</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ورأى قسم آخر من النحويین أنَّ هذا التركيب محمول على الضرورة الشعرية، من بينهم ابن عصفور</w:t>
      </w:r>
      <w:r>
        <w:rPr>
          <w:rStyle w:val="FootnoteAnchor"/>
          <w:rtl w:val="true"/>
        </w:rPr>
        <w:footnoteReference w:id="1081"/>
      </w:r>
      <w:r>
        <w:rPr>
          <w:rFonts w:ascii="Amiri" w:hAnsi="Amiri" w:eastAsia="Amiri" w:cs="Amiri"/>
          <w:color w:val="111111"/>
          <w:sz w:val="28"/>
          <w:sz w:val="28"/>
          <w:szCs w:val="28"/>
          <w:rtl w:val="true"/>
          <w:lang w:bidi="ar-SA"/>
        </w:rPr>
        <w:t>، وأبو حيان</w:t>
      </w:r>
      <w:r>
        <w:rPr>
          <w:rStyle w:val="FootnoteAnchor"/>
          <w:rtl w:val="true"/>
        </w:rPr>
        <w:footnoteReference w:id="1082"/>
      </w:r>
      <w:r>
        <w:rPr>
          <w:rFonts w:ascii="Amiri" w:hAnsi="Amiri" w:eastAsia="Amiri" w:cs="Amiri"/>
          <w:color w:val="111111"/>
          <w:sz w:val="28"/>
          <w:sz w:val="28"/>
          <w:szCs w:val="28"/>
          <w:rtl w:val="true"/>
          <w:lang w:bidi="ar-SA"/>
        </w:rPr>
        <w:t xml:space="preserve">وإنْ رأى أبو حيان جوازه إذا كانت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 كما ارتضى القول بالضرورة أيضًا المرادي</w:t>
      </w:r>
      <w:r>
        <w:rPr>
          <w:rStyle w:val="FootnoteAnchor"/>
          <w:rtl w:val="true"/>
        </w:rPr>
        <w:footnoteReference w:id="1084"/>
      </w:r>
      <w:r>
        <w:rPr>
          <w:rFonts w:ascii="Amiri" w:hAnsi="Amiri" w:eastAsia="Amiri" w:cs="Amiri"/>
          <w:color w:val="111111"/>
          <w:sz w:val="28"/>
          <w:sz w:val="28"/>
          <w:szCs w:val="28"/>
          <w:rtl w:val="true"/>
          <w:lang w:bidi="ar-SA"/>
        </w:rPr>
        <w:t>، والأزهري</w:t>
      </w:r>
      <w:r>
        <w:rPr>
          <w:rStyle w:val="FootnoteAnchor"/>
          <w:rtl w:val="true"/>
        </w:rPr>
        <w:footnoteReference w:id="1085"/>
      </w:r>
      <w:r>
        <w:rPr>
          <w:rFonts w:ascii="Amiri" w:hAnsi="Amiri" w:eastAsia="Amiri" w:cs="Amiri"/>
          <w:color w:val="111111"/>
          <w:sz w:val="28"/>
          <w:sz w:val="28"/>
          <w:szCs w:val="28"/>
          <w:rtl w:val="true"/>
          <w:lang w:bidi="ar-SA"/>
        </w:rPr>
        <w:t>، والسيوطي</w:t>
      </w:r>
      <w:r>
        <w:rPr>
          <w:rStyle w:val="FootnoteAnchor"/>
          <w:rtl w:val="true"/>
        </w:rPr>
        <w:footnoteReference w:id="1086"/>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مذهب أكثر النحويین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وقد ذهبتْ طائفة أُخرى من النحويین إلى أنَّ هذا التركيب قليل، أو نادر، أو ضعيف</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يبدو مما تقدَّم أنَّ الاحتكام إلى العامل والأثر الإعرابي واضح في تعليلات مَن منعَ هذا النمط أو وسمَهُ بالندرة، أو القلة، أو الضعف، على حین أنَّ قسماً آخر </w:t>
      </w:r>
    </w:p>
    <w:p>
      <w:pPr>
        <w:pStyle w:val="BookText"/>
        <w:rPr/>
      </w:pPr>
      <w:r>
        <w:rPr>
          <w:rFonts w:ascii="Amiri" w:hAnsi="Amiri" w:eastAsia="Amiri" w:cs="Amiri"/>
          <w:color w:val="111111"/>
          <w:sz w:val="28"/>
          <w:sz w:val="28"/>
          <w:szCs w:val="28"/>
          <w:rtl w:val="true"/>
          <w:lang w:bidi="ar-SA"/>
        </w:rPr>
        <w:t xml:space="preserve">قدِ استند في منعه إلى الدلالة الزمنية أو إلى الأثر المعنوي الذي تؤديه أداة الشرط، فعلّل ابن الخشّاب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الجزاء أقعد في الاستقبال من الشرط، فاستقبحوا أنْ يجيء الشرط على الأصل الذي يستحقه من لفظ الاستقبال ومعناه، ويجيء الجزاء على لفظ المضي، وهو أحق بالاستقبال لفظًا ومعنًى</w:t>
      </w:r>
      <w:r>
        <w:rPr>
          <w:rFonts w:eastAsia="Amiri" w:cs="Amiri" w:ascii="Amiri" w:hAnsi="Amiri"/>
          <w:color w:val="111111"/>
          <w:sz w:val="28"/>
          <w:szCs w:val="28"/>
          <w:rtl w:val="true"/>
          <w:lang w:bidi="ar-SA"/>
        </w:rPr>
        <w:t>))</w:t>
      </w:r>
      <w:r>
        <w:rPr>
          <w:rStyle w:val="FootnoteAnchor"/>
          <w:rtl w:val="true"/>
        </w:rPr>
        <w:footnoteReference w:id="1088"/>
      </w:r>
      <w:r>
        <w:rPr>
          <w:rFonts w:ascii="Amiri" w:hAnsi="Amiri" w:eastAsia="Amiri" w:cs="Amiri"/>
          <w:color w:val="111111"/>
          <w:sz w:val="28"/>
          <w:sz w:val="28"/>
          <w:szCs w:val="28"/>
          <w:rtl w:val="true"/>
          <w:lang w:bidi="ar-SA"/>
        </w:rPr>
        <w:t>، وإلى هذا المعنى ذهب الرضي أيضًا</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قصر الشرط على الاستقبال تنقضه كثرة الشواهد القرآنية التي جاء بها فعل الشرط ماضيًا بلا تأويل أو تقدير</w:t>
      </w:r>
      <w:r>
        <w:rPr>
          <w:rStyle w:val="FootnoteAnchor"/>
          <w:rtl w:val="true"/>
        </w:rPr>
        <w:footnoteReference w:id="1090"/>
      </w:r>
      <w:r>
        <w:rPr>
          <w:rFonts w:ascii="IRNazanin" w:hAnsi="IRNazanin" w:eastAsia="IRNazanin"/>
          <w:color w:val="111111"/>
          <w:sz w:val="28"/>
          <w:sz w:val="28"/>
          <w:szCs w:val="28"/>
          <w:rtl w:val="true"/>
          <w:lang w:bidi="fa-IR"/>
        </w:rPr>
        <w:t>، والحال تنطبق على جواب الرط إذ جاء ماضيًا لفظًا ومعنًى بلا تأويل في كثیر من النصوص القرآنية، وإذا كان الرضي قد جزم بعدم وقوع جواب الشرط ماضيًا في القرآن الكريم</w:t>
      </w:r>
      <w:r>
        <w:rPr>
          <w:rStyle w:val="FootnoteAnchor"/>
          <w:rtl w:val="true"/>
        </w:rPr>
        <w:footnoteReference w:id="1091"/>
      </w:r>
      <w:r>
        <w:rPr>
          <w:rFonts w:ascii="Amiri" w:hAnsi="Amiri" w:eastAsia="Amiri" w:cs="Amiri"/>
          <w:color w:val="111111"/>
          <w:sz w:val="28"/>
          <w:sz w:val="28"/>
          <w:szCs w:val="28"/>
          <w:rtl w:val="true"/>
          <w:lang w:bidi="ar-SA"/>
        </w:rPr>
        <w:t>فإنّ الشيخ محمد عبد الخالق عضيمة قد أحى أكثر من شاهد قرآني على تلك المسألة</w:t>
      </w:r>
      <w:r>
        <w:rPr>
          <w:rStyle w:val="FootnoteAnchor"/>
          <w:rtl w:val="true"/>
        </w:rPr>
        <w:footnoteReference w:id="1092"/>
      </w:r>
      <w:r>
        <w:rPr>
          <w:rFonts w:ascii="Amiri" w:hAnsi="Amiri" w:eastAsia="Amiri" w:cs="Amiri"/>
          <w:color w:val="111111"/>
          <w:sz w:val="28"/>
          <w:sz w:val="28"/>
          <w:szCs w:val="28"/>
          <w:rtl w:val="true"/>
          <w:lang w:bidi="ar-SA"/>
        </w:rPr>
        <w:t>، 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يُكَذِّبُوكَ فَقَدْ كَذَّبَتْ قَبْلَهُمْ قَوْمُ نُوحٍ وَعَادٌ وَثَمُودُ</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w:t>
      </w:r>
      <w:r>
        <w:rPr>
          <w:rFonts w:eastAsia="Amiri" w:cs="Amiri" w:ascii="Amiri" w:hAnsi="Amiri"/>
          <w:color w:val="111111"/>
          <w:sz w:val="28"/>
          <w:szCs w:val="28"/>
          <w:rtl w:val="true"/>
          <w:lang w:bidi="ar-SA"/>
        </w:rPr>
        <w:t>»</w:t>
      </w:r>
      <w:r>
        <w:rPr>
          <w:rStyle w:val="FootnoteAnchor"/>
          <w:rtl w:val="true"/>
        </w:rPr>
        <w:footnoteReference w:id="1094"/>
      </w:r>
      <w:r>
        <w:rPr>
          <w:rFonts w:ascii="IRNazanin" w:hAnsi="IRNazanin" w:eastAsia="IRNazanin"/>
          <w:color w:val="111111"/>
          <w:sz w:val="28"/>
          <w:sz w:val="28"/>
          <w:szCs w:val="28"/>
          <w:rtl w:val="true"/>
          <w:lang w:bidi="fa-IR"/>
        </w:rPr>
        <w:t xml:space="preserve">، ومما يعضُد شيوع هذا الاستعمال في الموروث اللغوي الفصيح وروده في السنة النبوية المطهَّرة أيضًا من ذلك قول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يقُمْ ليلة القدر، إيمانًا واحتسابًا، غُفر له ما تقدَّم من ذنبه</w:t>
      </w:r>
      <w:r>
        <w:rPr>
          <w:rFonts w:eastAsia="IRNazanin" w:cs="IRNazanin"/>
          <w:color w:val="111111"/>
          <w:sz w:val="28"/>
          <w:szCs w:val="28"/>
          <w:rtl w:val="true"/>
          <w:lang w:bidi="fa-IR"/>
        </w:rPr>
        <w:t>))</w:t>
      </w:r>
      <w:r>
        <w:rPr>
          <w:rStyle w:val="FootnoteAnchor"/>
          <w:rtl w:val="true"/>
        </w:rPr>
        <w:footnoteReference w:id="1095"/>
      </w:r>
      <w:r>
        <w:rPr>
          <w:rFonts w:ascii="Amiri" w:hAnsi="Amiri" w:eastAsia="Amiri" w:cs="Amiri"/>
          <w:color w:val="111111"/>
          <w:sz w:val="28"/>
          <w:sz w:val="28"/>
          <w:szCs w:val="28"/>
          <w:rtl w:val="true"/>
          <w:lang w:bidi="ar-SA"/>
        </w:rPr>
        <w:t>، ومنه ما روي عن السيدة عائشة في الخليفة أبي بكر، إذ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رجلٌ أسيف، متى يقمْ مقامك رق</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يرتضِ أغلب المفسرين ظاهر النصوص القرآنية الشواهد على تلك المسألة فحاولوا تأويلها بما ينسجم مع ما قرروا، فذهبوا إلى أنَّ المذكور ليس جوابًا بل هو دليلٌ على الجواب، والجواب محذوف</w:t>
      </w:r>
      <w:r>
        <w:rPr>
          <w:rStyle w:val="FootnoteAnchor"/>
          <w:rtl w:val="true"/>
        </w:rPr>
        <w:footnoteReference w:id="109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والتفسیر الصافي، الفيض الكاشاني،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حسین الأعلمي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وفتح القدير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والأمثل في تفسیر كتاب الله المنزل، ناصر مكارم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 وكان من جملة التعليلات تلك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إذا جزمت يجب أنْ يظهر أثرها في الجزم في فعلَي الشرط والجواب لا في فعل الشرط فقط؛ لأن في ذلك تراجعًا عما اعتزموه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المفسرين أفهمُ مما ذكره القول بجواز ذلك التركيب، فقد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تَنْصُرُوهُ فَقَدْ نَصَرَهُ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 الله به النصر حین أخرجه الكفّار من مكة</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 xml:space="preserve">، ووافقه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المعنى</w:t>
      </w:r>
      <w:r>
        <w:rPr>
          <w:rStyle w:val="FootnoteAnchor"/>
          <w:rtl w:val="true"/>
        </w:rPr>
        <w:footnoteReference w:id="1099"/>
      </w:r>
      <w:r>
        <w:rPr>
          <w:rFonts w:ascii="Amiri" w:hAnsi="Amiri" w:eastAsia="Amiri" w:cs="Amiri"/>
          <w:color w:val="111111"/>
          <w:sz w:val="28"/>
          <w:sz w:val="28"/>
          <w:szCs w:val="28"/>
          <w:rtl w:val="true"/>
          <w:lang w:bidi="ar-SA"/>
        </w:rPr>
        <w:t>، فهما بحسب هذا لا يمنعان من وقوع جواب الشرط ماضيًا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التأويل والتقدير فما قول المفسرين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يُكَذِّبُوكَ فَقَدْ كَذَّبَتْ قَبْلَهُمْ قَوْمُ نُوحٍ وَعَادٌ وَثَمُودُ</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 xml:space="preserve">، فجواب الشرط ماضٍ لفظًا ومعنًى ولا يحتمل التأويل والتقدير بالمستقبل لوجود قرائن لفظية ومعنوية تمنع ذلك، لكن مع كلِّ هذا نجد جملةً من المفسرين قد </w:t>
      </w:r>
    </w:p>
    <w:p>
      <w:pPr>
        <w:pStyle w:val="BookText"/>
        <w:rPr/>
      </w:pPr>
      <w:r>
        <w:rPr>
          <w:rFonts w:ascii="Amiri" w:hAnsi="Amiri" w:eastAsia="Amiri" w:cs="Amiri"/>
          <w:color w:val="111111"/>
          <w:sz w:val="28"/>
          <w:sz w:val="28"/>
          <w:szCs w:val="28"/>
          <w:rtl w:val="true"/>
          <w:lang w:bidi="ar-SA"/>
        </w:rPr>
        <w:t>أخضعوا الآية إلى ما قرّره النحويون</w:t>
      </w:r>
      <w:r>
        <w:rPr>
          <w:rStyle w:val="FootnoteAnchor"/>
          <w:rtl w:val="true"/>
        </w:rPr>
        <w:footnoteReference w:id="1101"/>
      </w:r>
      <w:r>
        <w:rPr>
          <w:rFonts w:ascii="IRNazanin" w:hAnsi="IRNazanin" w:eastAsia="IRNazanin"/>
          <w:color w:val="111111"/>
          <w:sz w:val="28"/>
          <w:sz w:val="28"/>
          <w:szCs w:val="28"/>
          <w:rtl w:val="true"/>
          <w:lang w:bidi="fa-IR"/>
        </w:rPr>
        <w:t>، على أنَّ وضوحها في دلالة جواب الشرط فيها على المضي لفظًا ومعنًى ربما منع الزمخشري من قبلهم من التعقيب عليها وتأويلها كما فعل في نظيراتها، إذ قال في معناها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يقول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بأوحدي في التكذيب، فقد كذَّبَ الرسلَ قبلك أقوامُهم</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موقف النحويین من قول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الشاهد فإن قضية ادّعاء روايته بالمعنى حاضرة في مسوغاتهم للمنع أو التضعيف</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شواهد هذه المسألة في الكلام العَلَوي المبارَك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استشاره الخليفة عمر بن الخطاب في الخروج إلى غزو الرُّوم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تَكُنِ الأُخرى كُنْتَ رِدْءًا للنَّاسِ وَمَثَابَةً لِلْمُسْلِمِينَ</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نصيحة للخليفة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استشاره للخروج إلى غزو الروم، ولما كان هدفُ الإمام حفظَ الأمة من المخاطر والشرور جاءت نصيحته لتحقيق هذا الهدف، فقد أشار على الخليفة عمر أنْ يُرسلَ شخصًا غیره لإدارة الحرب خوفًا على الأمة بعد ذهاب قائدها وفي ذلك مكسبان؛ إما النصر وهو المرتجَى أو حفظ البلاد من الخطر، واستنادًا إلى هذا المعنى كان ورود جواب الشرط ماضيًا في محلِّه؛ لأن الإمام أراد بيان أنَّ النصر إنْ تحقّق على يد قائد كُفء غیر الخليفة عمر ففي ذلك بقاء الخليفة عى وجوده السابق وبقاء المسلمين على مكانتهم في حصن حصین بوجود الخليفة، ولا شك في أنَّ هذا معنى يدل على </w:t>
      </w:r>
    </w:p>
    <w:p>
      <w:pPr>
        <w:pStyle w:val="BookText"/>
        <w:rPr/>
      </w:pPr>
      <w:r>
        <w:rPr>
          <w:rFonts w:ascii="Amiri" w:hAnsi="Amiri" w:eastAsia="Amiri" w:cs="Amiri"/>
          <w:color w:val="111111"/>
          <w:sz w:val="28"/>
          <w:sz w:val="28"/>
          <w:szCs w:val="28"/>
          <w:rtl w:val="true"/>
          <w:lang w:bidi="ar-SA"/>
        </w:rPr>
        <w:t>المضي</w:t>
      </w:r>
      <w:r>
        <w:rPr>
          <w:rStyle w:val="FootnoteAnchor"/>
          <w:rtl w:val="true"/>
        </w:rPr>
        <w:footnoteReference w:id="1105"/>
      </w:r>
      <w:r>
        <w:rPr>
          <w:rFonts w:ascii="IRNazanin" w:hAnsi="IRNazanin" w:eastAsia="IRNazanin"/>
          <w:color w:val="111111"/>
          <w:sz w:val="28"/>
          <w:sz w:val="28"/>
          <w:szCs w:val="28"/>
          <w:rtl w:val="true"/>
          <w:lang w:bidi="fa-IR"/>
        </w:rPr>
        <w:t xml:space="preserve">، على أنَّ في هذا الوجود السابق فائدةً في أمر مستقبلي هو حفظ الُأمة من المكاره والشرور، وبهذا دلَّ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معنین هما المضي والمستقبل، ولا شك في أنّ الإمام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تكنْ الأُخرى تكن ردءًا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يدلُّ على المستقبل لكن لا يعطي دلالة المضي؛ لأن المعنى على هذا يكون الخليفة عمر إنما أُريدَ له أنْ يصبحَ عونًا للأُمة من دون منصب سابق له، لكن الوظيفة السابقة له تستلزم التعبیر بالفعل الماضي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لا سبب يدعو هؤلاء النحويین إلى رفض هذه النصوص الفصيحة سوى ادِّعاء اطّراد القواعد أو الاحتكام إلى القياس بلا مسوِّغ، وكان عليهم أنْ يقبلوا هذه النصوص بلا تأويل أو تقدير، فمن غیر الممكن الذهاب إلى تأويل تلك النصوص الكثیرة أو تقديرها؛ ولاسيما أنَّ تقدير بعضها قد يُفقد النصوصَ فصاحتها وبلاغتها، فضلاً عن أنّ في بعضها يتعذَّر التأويل أو التقدير؛ لذا كان الاجدر بالنحويین الاحتكام إلى ما سُمِعَ والركون إليه؛ لأنَّ السماع أصل من أُصول النحو العربي وهو مقدَّم على القياس ولاسيما إذا خالف هذا القياس ما جاء عن العرب</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كثرة الشواهد النثرية من القرآن الكريم وكلام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آۀه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المؤيِّدة لهذا النمط كافية لترجيح وروده في السعة والاختيار لا في الضرورة الشعرية، وهو مذهب الفراء، فقال في تفسیره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خَاضِعِینَ</w:t>
      </w:r>
      <w:r>
        <w:rPr>
          <w:rFonts w:eastAsia="Amiri" w:cs="Amiri" w:ascii="Amiri" w:hAnsi="Amiri"/>
          <w:color w:val="111111"/>
          <w:sz w:val="28"/>
          <w:szCs w:val="28"/>
          <w:rtl w:val="true"/>
          <w:lang w:bidi="ar-SA"/>
        </w:rPr>
        <w:t>»</w:t>
      </w:r>
      <w:r>
        <w:rPr>
          <w:rStyle w:val="FootnoteAnchor"/>
          <w:rtl w:val="true"/>
        </w:rPr>
        <w:footnoteReference w:id="11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تعطف على مجزوم الجزاء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الجزاء يصلح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ترى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زرتني زرتك وإنْ تزرني أزرك والمعنى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صلح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أخذ برأي الفراء هذا جملةٌ من النحويین، منهم المبرد</w:t>
      </w:r>
      <w:r>
        <w:rPr>
          <w:rStyle w:val="FootnoteAnchor"/>
          <w:rtl w:val="true"/>
        </w:rPr>
        <w:footnoteReference w:id="1109"/>
      </w:r>
      <w:r>
        <w:rPr>
          <w:rFonts w:ascii="Amiri" w:hAnsi="Amiri" w:eastAsia="Amiri" w:cs="Amiri"/>
          <w:color w:val="111111"/>
          <w:sz w:val="28"/>
          <w:sz w:val="28"/>
          <w:szCs w:val="28"/>
          <w:rtl w:val="true"/>
          <w:lang w:bidi="ar-SA"/>
        </w:rPr>
        <w:t>، وعبد القاهر الجرجاني</w:t>
      </w:r>
      <w:r>
        <w:rPr>
          <w:rStyle w:val="FootnoteAnchor"/>
          <w:rtl w:val="true"/>
        </w:rPr>
        <w:footnoteReference w:id="1110"/>
      </w:r>
      <w:r>
        <w:rPr>
          <w:rFonts w:ascii="Amiri" w:hAnsi="Amiri" w:eastAsia="Amiri" w:cs="Amiri"/>
          <w:color w:val="111111"/>
          <w:sz w:val="28"/>
          <w:sz w:val="28"/>
          <w:szCs w:val="28"/>
          <w:rtl w:val="true"/>
          <w:lang w:bidi="ar-SA"/>
        </w:rPr>
        <w:t>، وتبنّاه ابن مالك فبسط القول فيه بعد أنِ استدلَّ له بشواهد من الحديث النبوي الشريف</w:t>
      </w:r>
      <w:r>
        <w:rPr>
          <w:rStyle w:val="FootnoteAnchor"/>
          <w:rtl w:val="true"/>
        </w:rPr>
        <w:footnoteReference w:id="1111"/>
      </w:r>
      <w:r>
        <w:rPr>
          <w:rFonts w:ascii="IRNazanin" w:hAnsi="IRNazanin" w:eastAsia="IRNazanin"/>
          <w:color w:val="111111"/>
          <w:sz w:val="28"/>
          <w:sz w:val="28"/>
          <w:szCs w:val="28"/>
          <w:rtl w:val="true"/>
          <w:lang w:bidi="fa-IR"/>
        </w:rPr>
        <w:t>، ثم عضده بالقياس أيضًا،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المضارع بعد أداة الشرط غیر مصروف عمّا وُضِعَ له، إذ هو باقٍ على الاستقبال، والماضي بعدها مصروف عمّا وضع له؛ إذ هو ماضي اللفظ مستقبل المعنى، فهو ذو تغیّر في اللفظ دون المعنى، على تقدير كونه في الأصل مضارعًا فردّته الأداة ماضي اللفظ ولم تغیر معناه وهذا مذهب المبرد، أو هو ذو تغیر في المعنى دون اللفظ على تقدير كونه في الأصل ماضي اللفظ والمعنى فغیَّرت الأداة معناه دون لفظه وهذا هو المذهب المختار، وإذا كان ذا تغیر فالتأخر أَولى به من التقدّم؛ لأنَّ تغيیر الاواخر أكثر من تغیير الاوائل</w:t>
      </w:r>
      <w:r>
        <w:rPr>
          <w:rFonts w:eastAsia="IRNazanin" w:cs="IRNazanin"/>
          <w:color w:val="111111"/>
          <w:sz w:val="28"/>
          <w:szCs w:val="28"/>
          <w:rtl w:val="true"/>
          <w:lang w:bidi="fa-IR"/>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اختار مذهبَ الفراء في إجازته هذا النمط عددٌ من النحويین إلا أنَّهم </w:t>
      </w:r>
      <w:bookmarkStart w:id="211" w:name="pg7031_81029"/>
    </w:p>
    <w:p>
      <w:pPr>
        <w:pStyle w:val="BookText"/>
        <w:rPr/>
      </w:pPr>
      <w:bookmarkEnd w:id="211"/>
      <w:r>
        <w:rPr>
          <w:rFonts w:ascii="Amiri" w:hAnsi="Amiri" w:eastAsia="Amiri" w:cs="Amiri"/>
          <w:color w:val="111111"/>
          <w:sz w:val="28"/>
          <w:sz w:val="28"/>
          <w:szCs w:val="28"/>
          <w:rtl w:val="true"/>
          <w:lang w:bidi="ar-SA"/>
        </w:rPr>
        <w:t>وصفوه بالقلة أو الندرة</w:t>
      </w:r>
      <w:r>
        <w:rPr>
          <w:rStyle w:val="FootnoteAnchor"/>
          <w:rtl w:val="true"/>
        </w:rPr>
        <w:footnoteReference w:id="1113"/>
      </w:r>
      <w:r>
        <w:rPr>
          <w:rFonts w:ascii="IRNazanin" w:hAnsi="IRNazanin" w:eastAsia="IRNazanin"/>
          <w:color w:val="111111"/>
          <w:sz w:val="28"/>
          <w:sz w:val="28"/>
          <w:szCs w:val="28"/>
          <w:rtl w:val="true"/>
          <w:lang w:bidi="fa-IR"/>
        </w:rPr>
        <w:t>، أو الضعف</w:t>
      </w:r>
      <w:r>
        <w:rPr>
          <w:rStyle w:val="FootnoteAnchor"/>
          <w:rtl w:val="true"/>
        </w:rPr>
        <w:footnoteReference w:id="1114"/>
      </w:r>
      <w:r>
        <w:rPr>
          <w:rFonts w:ascii="IRNazanin" w:hAnsi="IRNazanin" w:eastAsia="IRNazanin"/>
          <w:color w:val="111111"/>
          <w:sz w:val="28"/>
          <w:sz w:val="28"/>
          <w:szCs w:val="28"/>
          <w:rtl w:val="true"/>
          <w:lang w:bidi="fa-IR"/>
        </w:rPr>
        <w:t>، وهي أحكام تبدو متسّرعة ومخالفة لما عليه الاستعمال اللغوي الوارد في السَّعة والاختيار بكثرة، إذ جاء هذا النمط بكثرة كما شهد بذلك القرآن الكريم والحديث النبوي الشريف، ومن أجل هذا رجَّح مذهبَ الفراء الشيخُ مصطفى الغلاييني والأُستاذ عباس حسن من المحدثین</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واستنادًا إلى ما تقدَّم يمكن صوغ القاعدة بالآتي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السَّعة والاختيار وقوع الشرط مضارعًا مجزومًا والجواب ماضيًا لوروده في نهج البلاغة فضلاً عن السنة النبوية الشريفة</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2958368_372815092"/>
      <w:bookmarkStart w:id="213" w:name="_Toc70"/>
      <w:bookmarkEnd w:id="212"/>
      <w:r>
        <w:rPr>
          <w:rtl w:val="true"/>
        </w:rPr>
        <w:t>المسألة الثالثة</w:t>
      </w:r>
      <w:r>
        <w:rPr>
          <w:rtl w:val="true"/>
        </w:rPr>
        <w:t xml:space="preserve">: </w:t>
      </w:r>
      <w:r>
        <w:rPr>
          <w:rtl w:val="true"/>
        </w:rPr>
        <w:t>جواز وقوع الجواب للشرط وإنْ تقدَّم القسم عليه</w:t>
      </w:r>
      <w:r>
        <w:rPr>
          <w:rtl w:val="true"/>
        </w:rPr>
        <w:t>:</w:t>
      </w:r>
      <w:bookmarkEnd w:id="21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الخصائص الأُسلوبية في القَسَم كثرة اقترانه بأُسلوب الشرط على نحو متوالٍ في كلام العرب نظماً ونثرًا، فإنْ اجتمعا في تركيب واحد فإنَّ الثابت لدى النحویين أن يكون الجواب للسابق منها ويكون جواب الثاني محذوفًا لدلالة الأول عليه، فإنْ تقدم القسم كان الجوابُ له لتقدّمه، قال سيبويه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الجزاء إذا كان القسم في أوله وذلك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أتيتني لا أفعل، لا يكون إلا معتمدة عليه اليمین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أنك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تأتني آتك لم يجز ولو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من يأتني آته كان محالًا، واليمین لا تكون لغوًا كلا والألف؛ لأن اليمین لآخر الكلام </w:t>
      </w:r>
    </w:p>
    <w:p>
      <w:pPr>
        <w:pStyle w:val="BookText"/>
        <w:rPr/>
      </w:pPr>
      <w:r>
        <w:rPr>
          <w:rFonts w:ascii="IRNazanin" w:hAnsi="IRNazanin" w:eastAsia="IRNazanin"/>
          <w:color w:val="111111"/>
          <w:sz w:val="28"/>
          <w:sz w:val="28"/>
          <w:szCs w:val="28"/>
          <w:rtl w:val="true"/>
          <w:lang w:bidi="fa-IR"/>
        </w:rPr>
        <w:t>وما بينهما لا يمنع الآخر أن يكون على اليمین</w:t>
      </w:r>
      <w:r>
        <w:rPr>
          <w:rFonts w:eastAsia="IRNazanin" w:cs="IRNazanin"/>
          <w:color w:val="111111"/>
          <w:sz w:val="28"/>
          <w:szCs w:val="28"/>
          <w:rtl w:val="true"/>
          <w:lang w:bidi="fa-IR"/>
        </w:rPr>
        <w:t>))</w:t>
      </w:r>
      <w:r>
        <w:rPr>
          <w:rStyle w:val="FootnoteAnchor"/>
          <w:rtl w:val="true"/>
        </w:rPr>
        <w:footnoteReference w:id="1116"/>
      </w:r>
      <w:r>
        <w:rPr>
          <w:rFonts w:ascii="Amiri" w:hAnsi="Amiri" w:eastAsia="Amiri" w:cs="Amiri"/>
          <w:color w:val="111111"/>
          <w:sz w:val="28"/>
          <w:sz w:val="28"/>
          <w:szCs w:val="28"/>
          <w:rtl w:val="true"/>
          <w:lang w:bidi="ar-SA"/>
        </w:rPr>
        <w:t xml:space="preserve">وتعليل هذا أنَّ الكلام قد بُني عليه من أول مرة، ولا يجوز جعل الجواب للشرط إذا تأخر؛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يكون الكلام مبنيًا عليه،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زرتني لأكرمنك، فقد بنيت الكلام على القسم، وكان الشرط مقيِّدًا له،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زرتني والله اكرمك كنت بنيت الكلام على الشرط وجعلت القسم معترضًا</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يؤكّد تمسّك النحويین بهذا الرأي أنَّهم اشترطوا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أو مضمرةً تأكيدًا على أنّ الجواب للقسم، قال سيبويه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أتيتني لأُكرمنَّك، وإنْ لم تأتني لأغمنّك، جاز لأنه في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أتيتني لأُكرمنَّك ولئن لم تأتني لأغمنك، ولا بد من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أو مظهرة لأنها لليمین، كأنك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أتيتني لأُكرمنك</w:t>
      </w:r>
      <w:r>
        <w:rPr>
          <w:rFonts w:eastAsia="IRNazanin" w:cs="IRNazanin"/>
          <w:color w:val="111111"/>
          <w:sz w:val="28"/>
          <w:szCs w:val="28"/>
          <w:rtl w:val="true"/>
          <w:lang w:bidi="fa-IR"/>
        </w:rPr>
        <w:t>))</w:t>
      </w:r>
      <w:r>
        <w:rPr>
          <w:rStyle w:val="FootnoteAnchor"/>
          <w:rtl w:val="true"/>
        </w:rPr>
        <w:footnoteReference w:id="1118"/>
      </w:r>
      <w:r>
        <w:rPr>
          <w:rFonts w:ascii="Amiri" w:hAnsi="Amiri" w:eastAsia="Amiri" w:cs="Amiri"/>
          <w:color w:val="111111"/>
          <w:sz w:val="28"/>
          <w:sz w:val="28"/>
          <w:szCs w:val="28"/>
          <w:rtl w:val="true"/>
          <w:lang w:bidi="ar-SA"/>
        </w:rPr>
        <w:t>، هذا فيما إذا لم يتقدَّمها ما يتطلب خبرًا، فإنْ تقدَّمها ما يحتاج إلى الخبر كالمبتدإ والناسخ فكلاهما يحتاج إلى خبر أو إلى ما يسدُّ مسدَّ الخبر فلا يُنظر حينئذ إلى السابق منهما، إنما يكون الجواب للشرط مطلقًا سواء أتقدَّم الشرط أم تأخَّر</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سار على مذهب سيبويه في هذه المسألة جمعٌ من النحویين منهم المبرد</w:t>
      </w:r>
      <w:r>
        <w:rPr>
          <w:rStyle w:val="FootnoteAnchor"/>
          <w:rtl w:val="true"/>
        </w:rPr>
        <w:footnoteReference w:id="1120"/>
      </w:r>
      <w:r>
        <w:rPr>
          <w:rFonts w:ascii="Amiri" w:hAnsi="Amiri" w:eastAsia="Amiri" w:cs="Amiri"/>
          <w:color w:val="111111"/>
          <w:sz w:val="28"/>
          <w:sz w:val="28"/>
          <w:szCs w:val="28"/>
          <w:rtl w:val="true"/>
          <w:lang w:bidi="ar-SA"/>
        </w:rPr>
        <w:t>، وأبو علي الفارسي</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وللزمخشري رأيان في تلك المسألة وافق في أحدهما سيبويه، جاء ذلك تعقيبًا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بَسَطْتَ إِلَّیَ يَدَكَ لِتَقْتُلَنِي مَا أَنَا بِبَاسِطٍ يَدِيَ إِلَيْكَ لِأَقْتُلَكَ إِنِّی أَخَافُ الله رَبَّ الْعَالَمِینَ</w:t>
      </w:r>
      <w:r>
        <w:rPr>
          <w:rFonts w:eastAsia="Amiri" w:cs="Amiri" w:ascii="Amiri" w:hAnsi="Amiri"/>
          <w:color w:val="111111"/>
          <w:sz w:val="28"/>
          <w:szCs w:val="28"/>
          <w:rtl w:val="true"/>
          <w:lang w:bidi="ar-SA"/>
        </w:rPr>
        <w:t>»</w:t>
      </w:r>
      <w:r>
        <w:rPr>
          <w:rStyle w:val="FootnoteAnchor"/>
          <w:rtl w:val="true"/>
        </w:rPr>
        <w:footnoteReference w:id="112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جاء الشرط بلفظ الفعل والجزاء بلفظ اسم الفاعل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بَسَطْتَ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بِباسِطٍ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ليفيد أنَّه لا يفعل ما يكتسب به هذا الوصف الشنيع</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فالزمخشري على وفق هذا النص أجاز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للشرط على الرغم من تقدّم القسم عليه، وأيَّد مذهبَ سيبويه أيضًا ابنُ يعيش</w:t>
      </w:r>
      <w:r>
        <w:rPr>
          <w:rStyle w:val="FootnoteAnchor"/>
          <w:rtl w:val="true"/>
        </w:rPr>
        <w:footnoteReference w:id="1124"/>
      </w:r>
      <w:r>
        <w:rPr>
          <w:rFonts w:ascii="IRNazanin" w:hAnsi="IRNazanin" w:eastAsia="IRNazanin"/>
          <w:color w:val="111111"/>
          <w:sz w:val="28"/>
          <w:sz w:val="28"/>
          <w:szCs w:val="28"/>
          <w:rtl w:val="true"/>
          <w:lang w:bidi="fa-IR"/>
        </w:rPr>
        <w:t>، وابن عصفور</w:t>
      </w:r>
      <w:r>
        <w:rPr>
          <w:rStyle w:val="FootnoteAnchor"/>
          <w:rtl w:val="true"/>
        </w:rPr>
        <w:footnoteReference w:id="1125"/>
      </w:r>
      <w:r>
        <w:rPr>
          <w:rFonts w:ascii="Amiri" w:hAnsi="Amiri" w:eastAsia="Amiri" w:cs="Amiri"/>
          <w:color w:val="111111"/>
          <w:sz w:val="28"/>
          <w:sz w:val="28"/>
          <w:szCs w:val="28"/>
          <w:rtl w:val="true"/>
          <w:lang w:bidi="ar-SA"/>
        </w:rPr>
        <w:t>، وأبو حيان الاندلسي</w:t>
      </w:r>
      <w:r>
        <w:rPr>
          <w:rStyle w:val="FootnoteAnchor"/>
          <w:rtl w:val="true"/>
        </w:rPr>
        <w:footnoteReference w:id="1126"/>
      </w:r>
      <w:r>
        <w:rPr>
          <w:rFonts w:ascii="IRNazanin" w:hAnsi="IRNazanin" w:eastAsia="IRNazanin"/>
          <w:color w:val="111111"/>
          <w:sz w:val="28"/>
          <w:sz w:val="28"/>
          <w:szCs w:val="28"/>
          <w:rtl w:val="true"/>
          <w:lang w:bidi="fa-IR"/>
        </w:rPr>
        <w:t>، وآخرون</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ما قرَّره أغلب النحويین تخرقه الكثیر من الشواهد الشعرية التي جاء فيها إعطاء الجواب للشرط بالرغم من تقدّم القسم عليه إنْ لم يتقدَّم ذو خبر، منها قول الأعشى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 بن قيس</w:t>
      </w:r>
      <w:r>
        <w:rPr>
          <w:rFonts w:eastAsia="IRNazanin" w:cs="IRNazanin"/>
          <w:color w:val="111111"/>
          <w:sz w:val="28"/>
          <w:szCs w:val="28"/>
          <w:rtl w:val="true"/>
          <w:lang w:bidi="fa-IR"/>
        </w:rPr>
        <w:t>)</w:t>
      </w:r>
      <w:r>
        <w:rPr>
          <w:rStyle w:val="FootnoteAnchor"/>
          <w:rtl w:val="true"/>
        </w:rPr>
        <w:footnoteReference w:id="11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مُنِيتَ بِنا عن غِبِّ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تُلفِنا عن دماءِ القوم ننتفلُ فجاء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مجزومًا؛ لأنَّه جوابٌ للشرط مع تقدّم القسم عليه، ومثله </w:t>
      </w:r>
    </w:p>
    <w:p>
      <w:pPr>
        <w:pStyle w:val="BookText"/>
        <w:rPr/>
      </w:pPr>
      <w:r>
        <w:rPr>
          <w:rFonts w:ascii="Amiri" w:hAnsi="Amiri" w:eastAsia="Amiri" w:cs="Amiri"/>
          <w:color w:val="111111"/>
          <w:sz w:val="28"/>
          <w:sz w:val="28"/>
          <w:szCs w:val="28"/>
          <w:rtl w:val="true"/>
          <w:lang w:bidi="ar-SA"/>
        </w:rPr>
        <w:t xml:space="preserve">أيضًا قول القاسم بن مَعْنٍ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العرب</w:t>
      </w:r>
      <w:r>
        <w:rPr>
          <w:rFonts w:eastAsia="Amiri" w:cs="Amiri" w:ascii="Amiri" w:hAnsi="Amiri"/>
          <w:color w:val="111111"/>
          <w:sz w:val="28"/>
          <w:szCs w:val="28"/>
          <w:rtl w:val="true"/>
          <w:lang w:bidi="ar-SA"/>
        </w:rPr>
        <w:t>)</w:t>
      </w:r>
      <w:r>
        <w:rPr>
          <w:rStyle w:val="FootnoteAnchor"/>
          <w:rtl w:val="true"/>
        </w:rPr>
        <w:footnoteReference w:id="1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مقاييس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له إِنْ تُدْلِجِ اللَّيْلَ لا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أَمَامكَ بيتٌ مِنْ بُيوتِي سائِرُ فجزمَ الشاعرُ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وقع جوابًا لفعل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تقدّم فعل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الفرّاء استشهدَ بعدد من النصوص القرآنية وقرر استنادًا لها جواز إعطاء الجواب للشرط وإنْ تقدَّم القسم عليه حاملاً جوابَ الشرط على جواب القسم بسبب الحرف الذي يسبق الجواب،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لام اليمین؛ كان موضعها في آخر الكلام، فلمّاّ صارت في أوله صارت كاليمین، فلُقيت بما يُلْقَى به اليمین، وإنْ أظهرت الفعل بعدها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ذلك وجزمته؛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تقم لا يقم إليك</w:t>
      </w:r>
      <w:r>
        <w:rPr>
          <w:rFonts w:eastAsia="IRNazanin" w:cs="IRNazanin"/>
          <w:color w:val="111111"/>
          <w:sz w:val="28"/>
          <w:szCs w:val="28"/>
          <w:rtl w:val="true"/>
          <w:lang w:bidi="fa-IR"/>
        </w:rPr>
        <w:t>))</w:t>
      </w:r>
      <w:r>
        <w:rPr>
          <w:rStyle w:val="FootnoteAnchor"/>
          <w:rtl w:val="true"/>
        </w:rPr>
        <w:footnoteReference w:id="1130"/>
      </w:r>
      <w:r>
        <w:rPr>
          <w:rFonts w:ascii="IRNazanin" w:hAnsi="IRNazanin" w:eastAsia="IRNazanin"/>
          <w:color w:val="111111"/>
          <w:sz w:val="28"/>
          <w:sz w:val="28"/>
          <w:szCs w:val="28"/>
          <w:rtl w:val="true"/>
          <w:lang w:bidi="fa-IR"/>
        </w:rPr>
        <w:t>، وقد احتجّ الفراء بشواهد أُخر على إعطاء الجواب للشرط مع تقدّم القسم</w:t>
      </w:r>
      <w:r>
        <w:rPr>
          <w:rStyle w:val="FootnoteAnchor"/>
          <w:rtl w:val="true"/>
        </w:rPr>
        <w:footnoteReference w:id="1131"/>
      </w:r>
      <w:r>
        <w:rPr>
          <w:rFonts w:ascii="IRNazanin" w:hAnsi="IRNazanin" w:eastAsia="IRNazanin"/>
          <w:color w:val="111111"/>
          <w:sz w:val="28"/>
          <w:sz w:val="28"/>
          <w:szCs w:val="28"/>
          <w:rtl w:val="true"/>
          <w:lang w:bidi="fa-IR"/>
        </w:rPr>
        <w:t>، وقد نقل رأيَّ الفراء هذا قسمٌ من النحویين</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علَّل الفراء إجازته تلك بأنْ جعلَ الفعلَ المجزوم في جواب الشرط على إرادة توهّم وجود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ولولا تصورُه وجود الحرف السابق للفعل المجزوم لكان الفعل هذا مرفوعًا جوابًا للقسم؛ لأنه ممّن يوافق مذهب الجمهور في جعْل الجواب للقسم، لكنّه ليس على سبيل الوجوب، فهو يرى أنَّه إذا تقدَّم </w:t>
      </w:r>
    </w:p>
    <w:p>
      <w:pPr>
        <w:pStyle w:val="BookText"/>
        <w:rPr/>
      </w:pPr>
      <w:r>
        <w:rPr>
          <w:rFonts w:ascii="Amiri" w:hAnsi="Amiri" w:eastAsia="Amiri" w:cs="Amiri"/>
          <w:color w:val="111111"/>
          <w:sz w:val="28"/>
          <w:sz w:val="28"/>
          <w:szCs w:val="28"/>
          <w:rtl w:val="true"/>
          <w:lang w:bidi="ar-SA"/>
        </w:rPr>
        <w:t>القسم عند اجتماعه مع الشرط صار الجواب للقسم فيُفَع، ويُترك جواب الشرط استغناءً بجواب القسم، على أنْ يكون فعل الشرط بصيغة الماضي</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وتابع الفراءَ في إجازته وقوع الجواب للشرط وإن تقدَّم القسم عليه عددٌ من النحويین منهم ابن مالك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أخر الشرط استُغني في أكثر الكلام عن جوابه بجواب القسم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وَأَقْسَمُوا بِالله جَهْدَ أَيْمَانِهِمْ لَئِنْ أَمَرْتَهُمْ لَيَخْرُجُن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يمتنع الاستغناء بجواب الشرط مع تأخّره</w:t>
      </w:r>
      <w:r>
        <w:rPr>
          <w:rFonts w:eastAsia="Amiri" w:cs="Amiri" w:ascii="Amiri" w:hAnsi="Amiri"/>
          <w:color w:val="111111"/>
          <w:sz w:val="28"/>
          <w:szCs w:val="28"/>
          <w:rtl w:val="true"/>
          <w:lang w:bidi="ar-SA"/>
        </w:rPr>
        <w:t>))</w:t>
      </w:r>
      <w:r>
        <w:rPr>
          <w:rStyle w:val="FootnoteAnchor"/>
          <w:rtl w:val="true"/>
        </w:rPr>
        <w:footnoteReference w:id="1134"/>
      </w:r>
      <w:r>
        <w:rPr>
          <w:rFonts w:ascii="Amiri" w:hAnsi="Amiri" w:eastAsia="Amiri" w:cs="Amiri"/>
          <w:color w:val="111111"/>
          <w:sz w:val="28"/>
          <w:sz w:val="28"/>
          <w:szCs w:val="28"/>
          <w:rtl w:val="true"/>
          <w:lang w:bidi="ar-SA"/>
        </w:rPr>
        <w:t>، واتفق معه الشارحُ ابنُ عقيل فحمل المسألة على القلة</w:t>
      </w:r>
      <w:r>
        <w:rPr>
          <w:rStyle w:val="FootnoteAnchor"/>
          <w:rtl w:val="true"/>
        </w:rPr>
        <w:footnoteReference w:id="1135"/>
      </w:r>
      <w:r>
        <w:rPr>
          <w:rFonts w:ascii="Amiri" w:hAnsi="Amiri" w:eastAsia="Amiri" w:cs="Amiri"/>
          <w:color w:val="111111"/>
          <w:sz w:val="28"/>
          <w:sz w:val="28"/>
          <w:szCs w:val="28"/>
          <w:rtl w:val="true"/>
          <w:lang w:bidi="ar-SA"/>
        </w:rPr>
        <w:t>، وإلى هذا ذهب الشاطبي في شرحه</w:t>
      </w:r>
      <w:r>
        <w:rPr>
          <w:rStyle w:val="FootnoteAnchor"/>
          <w:rtl w:val="true"/>
        </w:rPr>
        <w:footnoteReference w:id="1136"/>
      </w:r>
      <w:r>
        <w:rPr>
          <w:rFonts w:ascii="Amiri" w:hAnsi="Amiri" w:eastAsia="Amiri" w:cs="Amiri"/>
          <w:color w:val="111111"/>
          <w:sz w:val="28"/>
          <w:sz w:val="28"/>
          <w:szCs w:val="28"/>
          <w:rtl w:val="true"/>
          <w:lang w:bidi="ar-SA"/>
        </w:rPr>
        <w:t>، إلا أنّه حمل المسألة على الضرورة كما سيتبين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ابنُ عصفور هذا متمسكًا بِما عليه الجمهور من إعطاء الجواب للقسم، فرأى أنَّ بعض الافعال لا يُراد بها القسم والإنشاء بل يُراد منها الإخبار، ولذا جَعل الجواب للشرط،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فبُنِيَ الجواب فيه على الشرط؛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تُضَمَّن معنى القسم، بل هي خبر محض</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أدري أ مقصد ابن عصفور من هذا أنَّ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مفرّغًا من دلالة القسم في هذا البيت أم في كلِّ ما ورد فيه؟ لأنّ الثابت في لغة العرب أنَّ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أصله اليمین الذي يأخذ بعضهم من بعض بها العهد، ثمّ عبّر به عن </w:t>
      </w:r>
    </w:p>
    <w:p>
      <w:pPr>
        <w:pStyle w:val="BookText"/>
        <w:rPr/>
      </w:pPr>
      <w:r>
        <w:rPr>
          <w:rFonts w:ascii="Amiri" w:hAnsi="Amiri" w:eastAsia="Amiri" w:cs="Amiri"/>
          <w:color w:val="111111"/>
          <w:sz w:val="28"/>
          <w:sz w:val="28"/>
          <w:szCs w:val="28"/>
          <w:rtl w:val="true"/>
          <w:lang w:bidi="ar-SA"/>
        </w:rPr>
        <w:t>كلِّ يمین</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 فهو فعلٌ صريح في القسم</w:t>
      </w:r>
      <w:r>
        <w:rPr>
          <w:rStyle w:val="FootnoteAnchor"/>
          <w:rtl w:val="true"/>
        </w:rPr>
        <w:footnoteReference w:id="1139"/>
      </w:r>
      <w:r>
        <w:rPr>
          <w:rFonts w:ascii="Amiri" w:hAnsi="Amiri" w:eastAsia="Amiri" w:cs="Amiri"/>
          <w:color w:val="111111"/>
          <w:sz w:val="28"/>
          <w:sz w:val="28"/>
          <w:szCs w:val="28"/>
          <w:rtl w:val="true"/>
          <w:lang w:bidi="ar-SA"/>
        </w:rPr>
        <w:t>، ولهذا لا أرى وجهًا من الصحة لما ذهب إليه ابن عصفور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 نحويون آخرون تلك المسألة على الضرورة الشعرية، منهم ابنُ مالك في أحد آرائه،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يُستغنى بجواب الشرط المتأخِّر عن جواب القسم المتقدِّم ولا يكون ذلك الا ضرورة</w:t>
      </w:r>
      <w:r>
        <w:rPr>
          <w:rFonts w:eastAsia="Amiri" w:cs="Amiri" w:ascii="Amiri" w:hAnsi="Amiri"/>
          <w:color w:val="111111"/>
          <w:sz w:val="28"/>
          <w:szCs w:val="28"/>
          <w:rtl w:val="true"/>
          <w:lang w:bidi="ar-SA"/>
        </w:rPr>
        <w:t>))</w:t>
      </w:r>
      <w:r>
        <w:rPr>
          <w:rStyle w:val="FootnoteAnchor"/>
          <w:rtl w:val="true"/>
        </w:rPr>
        <w:footnoteReference w:id="1140"/>
      </w:r>
      <w:r>
        <w:rPr>
          <w:rFonts w:ascii="Amiri" w:hAnsi="Amiri" w:eastAsia="Amiri" w:cs="Amiri"/>
          <w:color w:val="111111"/>
          <w:sz w:val="28"/>
          <w:sz w:val="28"/>
          <w:szCs w:val="28"/>
          <w:rtl w:val="true"/>
          <w:lang w:bidi="ar-SA"/>
        </w:rPr>
        <w:t>، وأخذ به الرضي</w:t>
      </w:r>
      <w:r>
        <w:rPr>
          <w:rStyle w:val="FootnoteAnchor"/>
          <w:rtl w:val="true"/>
        </w:rPr>
        <w:footnoteReference w:id="1141"/>
      </w:r>
      <w:r>
        <w:rPr>
          <w:rFonts w:ascii="Amiri" w:hAnsi="Amiri" w:eastAsia="Amiri" w:cs="Amiri"/>
          <w:color w:val="111111"/>
          <w:sz w:val="28"/>
          <w:sz w:val="28"/>
          <w:szCs w:val="28"/>
          <w:rtl w:val="true"/>
          <w:lang w:bidi="ar-SA"/>
        </w:rPr>
        <w:t>، واختاره الشاطبي</w:t>
      </w:r>
      <w:r>
        <w:rPr>
          <w:rStyle w:val="FootnoteAnchor"/>
          <w:rtl w:val="true"/>
        </w:rPr>
        <w:footnoteReference w:id="1142"/>
      </w:r>
      <w:r>
        <w:rPr>
          <w:rFonts w:ascii="IRNazanin" w:hAnsi="IRNazanin" w:eastAsia="IRNazanin"/>
          <w:color w:val="111111"/>
          <w:sz w:val="28"/>
          <w:sz w:val="28"/>
          <w:szCs w:val="28"/>
          <w:rtl w:val="true"/>
          <w:lang w:bidi="fa-IR"/>
        </w:rPr>
        <w:t>، ونسبه الخضري إلى جمهور النحويین</w:t>
      </w:r>
      <w:r>
        <w:rPr>
          <w:rStyle w:val="FootnoteAnchor"/>
          <w:rtl w:val="true"/>
        </w:rPr>
        <w:footnoteReference w:id="1143"/>
      </w:r>
      <w:r>
        <w:rPr>
          <w:rFonts w:ascii="IRNazanin" w:hAnsi="IRNazanin" w:eastAsia="IRNazanin"/>
          <w:color w:val="111111"/>
          <w:sz w:val="28"/>
          <w:sz w:val="28"/>
          <w:szCs w:val="28"/>
          <w:rtl w:val="true"/>
          <w:lang w:bidi="fa-IR"/>
        </w:rPr>
        <w:t>، و عزاه خالد الأزهري إلى عموم البصريین</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الأرجح مما تقدَّم هو الجواز مطلقًا وهو مذهب الفرّاء ومتابعيه؛ إذ المسألة ليست مقتصرة على الشعر بل هي واردة في النثر والشعر</w:t>
      </w:r>
      <w:r>
        <w:rPr>
          <w:rStyle w:val="FootnoteAnchor"/>
          <w:rtl w:val="true"/>
        </w:rPr>
        <w:footnoteReference w:id="1145"/>
      </w:r>
      <w:r>
        <w:rPr>
          <w:rFonts w:ascii="IRNazanin" w:hAnsi="IRNazanin" w:eastAsia="IRNazanin"/>
          <w:color w:val="111111"/>
          <w:sz w:val="28"/>
          <w:sz w:val="28"/>
          <w:szCs w:val="28"/>
          <w:rtl w:val="true"/>
          <w:lang w:bidi="fa-IR"/>
        </w:rPr>
        <w:t>، ومما يعضُد هذا الوجه أن النحویين قد رجَّحوا أن يكون الجواب للشرط دون القسم إن تقدَّم ذو خبر</w:t>
      </w:r>
      <w:r>
        <w:rPr>
          <w:rStyle w:val="FootnoteAnchor"/>
          <w:rtl w:val="true"/>
        </w:rPr>
        <w:footnoteReference w:id="1146"/>
      </w:r>
      <w:r>
        <w:rPr>
          <w:rFonts w:ascii="IRNazanin" w:hAnsi="IRNazanin" w:eastAsia="IRNazanin"/>
          <w:color w:val="111111"/>
          <w:sz w:val="28"/>
          <w:sz w:val="28"/>
          <w:szCs w:val="28"/>
          <w:rtl w:val="true"/>
          <w:lang w:bidi="fa-IR"/>
        </w:rPr>
        <w:t xml:space="preserve">، لذا فالأولى الاستغناء بجواب الشرط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تقدير سقوطه مخلٌ بمعنى الجملة التي هو منها وتقدير سقوط القسم غیر مخل؛ لأنَّه مسوق </w:t>
      </w:r>
    </w:p>
    <w:p>
      <w:pPr>
        <w:pStyle w:val="BookText"/>
        <w:rPr/>
      </w:pPr>
      <w:r>
        <w:rPr>
          <w:rFonts w:ascii="Amiri" w:hAnsi="Amiri" w:eastAsia="Amiri" w:cs="Amiri"/>
          <w:color w:val="111111"/>
          <w:sz w:val="28"/>
          <w:sz w:val="28"/>
          <w:szCs w:val="28"/>
          <w:rtl w:val="true"/>
          <w:lang w:bidi="ar-SA"/>
        </w:rPr>
        <w:t>لمجرد التوكيد، والاستغناء عن التوكيد سائغ</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 وهذا ما أكَّده الدكتور إبراهيم السامرائي أيضًا</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أمثلة لهذه المسألة في الكلام العلَوي المبارَك في أكثر من موطن، 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مقتل الخليفة عثمان بن عفّان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فَلَئِنْ كُنْتُ شَرِيكَهُمْ فِيهِ فَإِنَّ لَهُمْ لَنَصِيبَهُمْ مِنْهُ، وَلَئِنْ كَانُوا وَلُوهُ دُوني، فَمَا التَّبِعَةُ إِلاَّ عِنْدَهُمْ</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وحدائق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وشرح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وبهج الصباغة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ومنهاج البراعة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وفي ظلال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وتوضيح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الشاهد العَلَوي موضعان اقترن الرط فيها بالقسم، الأول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كنت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موطِّئة للقسم، وبحسب ما يرى أغلب النحویين فإنَّ الجواب يجب أنْ يكون للقسم، لكن الإمام جعل الجواب للشرط بدليل أنّه مقترن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مما تلزم في مثل هذا الموضع؛ إذ هو مؤكَّد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والموضع الثاني مثله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كَانُوا وَلُوهُ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اقترن جوابه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لأنّه منفي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مما يُجاب بها الرط لا القسم، وقد جاء الفعل بعد أداة الشرط في كلا الموضعین ماضيًا لفظًا ومعنًى، وهذا ما يؤكده النحويون، فقد قرّروا أنْ يكون فعل الشرط بصيغة الماضي عند اجتماع الشرط والقسم</w:t>
      </w:r>
      <w:r>
        <w:rPr>
          <w:rStyle w:val="FootnoteAnchor"/>
          <w:rtl w:val="true"/>
        </w:rPr>
        <w:footnoteReference w:id="1150"/>
      </w:r>
      <w:r>
        <w:rPr>
          <w:rFonts w:ascii="IRNazanin" w:hAnsi="IRNazanin" w:eastAsia="IRNazanin"/>
          <w:color w:val="111111"/>
          <w:sz w:val="28"/>
          <w:sz w:val="28"/>
          <w:szCs w:val="28"/>
          <w:rtl w:val="true"/>
          <w:lang w:bidi="fa-IR"/>
        </w:rPr>
        <w:t xml:space="preserve">، وإنما 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التركيب قائماً على الشرط؛ لأنه يريد بيان براءته من مقتل الخليفة عثمان بأُسلوب جَدَلي </w:t>
      </w:r>
    </w:p>
    <w:p>
      <w:pPr>
        <w:pStyle w:val="BookText"/>
        <w:rPr/>
      </w:pPr>
      <w:r>
        <w:rPr>
          <w:rFonts w:ascii="IRNazanin" w:hAnsi="IRNazanin" w:eastAsia="IRNazanin"/>
          <w:color w:val="111111"/>
          <w:sz w:val="28"/>
          <w:sz w:val="28"/>
          <w:szCs w:val="28"/>
          <w:rtl w:val="true"/>
          <w:lang w:bidi="fa-IR"/>
        </w:rPr>
        <w:t xml:space="preserve">قائم على سَرْد الحجج العقلية، الهدف من هذا وضع ضابطة لكلِّ فعل مشابه، وهو الأُسلوب نفسه الذي يستعمله القرآن الكريم في سوق الأدلة والبراهین العقلية، فالحادثة التي يشیر إليها الإمام لا تخرج عن احتمالین لا ثالث لهما؛ إما أنْ يكون دخولهم في مقتل عثمان بالشركة وإما أنْ يكون بالاستقلال، وعلى كلا الفرضین فالإمام بريء وليس لهم أنْ يطالبوه بدم عثمان، أما على الاحتمال الأول فهم لم يقولوا بأنهم شركاء؛ لأنَّ ذلك يستلزم تسليم أنفسهم إلى أولياء المقتول، ولمّا لم يكن ذلك انتفى الجواب بانتفاء شرطه، وبقي احتمال واحد وهو مباشرتهم هم بالقتل، ولهذا يتعیّن عليهم أنْ يخصّوا أنفسهم بالمطالبة لا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يتحمَّلوا كلَّ الآثار المترتبة على ما قاموا به</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اتّضح مما تقدَّم أنَّ عرض الحادثة وما فيها من إشكالات واحتمالات يتطلّب عرضها بأُسلوبٍ قائمٍ على التعليق الشرطي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احتمال يتطلب بيان عاقبته ومصیره ونتيجته، وهذا ما حدث، إلا أنَّ الإمام ابتدأ التركيب بالقسَم وهو توكيد؛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معرض اتهام، والتوكيد إنما يُراعي حال المخاطَب كما معلوم، وبهذا يكون التركيب الشرطي كلُّه مؤكَّدًا بالقسم</w:t>
      </w:r>
      <w:r>
        <w:rPr>
          <w:rStyle w:val="FootnoteAnchor"/>
          <w:rtl w:val="true"/>
        </w:rPr>
        <w:footnoteReference w:id="1152"/>
      </w:r>
      <w:r>
        <w:rPr>
          <w:rFonts w:ascii="IRNazanin" w:hAnsi="IRNazanin" w:eastAsia="IRNazanin"/>
          <w:color w:val="111111"/>
          <w:sz w:val="28"/>
          <w:sz w:val="28"/>
          <w:szCs w:val="28"/>
          <w:rtl w:val="true"/>
          <w:lang w:bidi="fa-IR"/>
        </w:rPr>
        <w:t>، وهو وجهٌ يبعدنا من الخوض في خلاف النحويین يعضُد ذلك ما ورد من شواهد فصيحة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يلفت النظر في تعبیر الإمام أنَّ فيه تقابلًا دلاليًا رائعًا بن أُسلوبي الشرط والقسم إذ ابتدأ التركيب بالتوكيد والشرط وختمه بالشرط المؤكَّد أيضًا، فابتُدئ الموضع الأول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شرط مؤكَّد بالقسَم، وأُجيبَ بالشرط المؤكَّد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الموضع الثاني فابتدأه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وختمه بأُسلوب 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مما يفيد التوكيد أيضًا، في إشارة إلى وثاقة رأيه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الشواهد العلَوية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توبيخ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أَمْهَلَ اَللَّهُ اَلظَّالِمَ فَلَنْ يَفُوتَ أَخْذُهُ وَ هُوَ لَهُ بِالْمِرْصَادِ</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في معرض التهديد لأهل الشام بأنَّ الله تعالى سيأخذهم وأنه سبحانه لهم بالمرصاد، ولذا لا يتصوَّر أحد أنَّ الله سبحانه يُمهلهم إلى أجل غیر محدَّد</w:t>
      </w:r>
      <w:r>
        <w:rPr>
          <w:rStyle w:val="FootnoteAnchor"/>
          <w:rtl w:val="true"/>
        </w:rPr>
        <w:footnoteReference w:id="1154"/>
      </w:r>
      <w:r>
        <w:rPr>
          <w:rFonts w:ascii="IRNazanin" w:hAnsi="IRNazanin" w:eastAsia="IRNazanin"/>
          <w:color w:val="111111"/>
          <w:sz w:val="28"/>
          <w:sz w:val="28"/>
          <w:szCs w:val="28"/>
          <w:rtl w:val="true"/>
          <w:lang w:bidi="fa-IR"/>
        </w:rPr>
        <w:t xml:space="preserve">، فالتعليق الشرطي قائم بین ركنَي التركيب المصدَّر بالتوكيد والمختتَم به أيضًا، فجملة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يفوت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المقترن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شجاعته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تَظَاهَرَتِ اَلْعَرَبُ عَلَى قِتَالِ لَمَا وَلَّيْتُ عَنْهَا</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حضِّ أصحابه على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وَاَيْمُ الله لَئِنْ فَرَرْتُمْ مِنْ سَيْفِ اَلْعَاجِلَةِ لاَ تَسْلَمُونَ مِنْ سَيْفِ اَلآْخِرَةِ</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واستنادًا إلى كلّ ما تقدم نخلص إلى نتيجة مفادها أنّ هذا الأُسلوب عربي فصيح وارد في الكلام العربي شعرِه ونثره كثیرًا لا قليلاً، لهذ يجب تعديل القاعدة بالآتي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اقتران القسم بالشرط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الجواب للشرط في السَّعة والاختيار خلافًا لمن منعه أو وسمه بالضرورة الشعرية لورود ذلك في نهج البلاغة</w:t>
      </w:r>
      <w:r>
        <w:rPr>
          <w:rFonts w:eastAsia="IRNazanin" w:cs="IRNazanin"/>
          <w:color w:val="111111"/>
          <w:sz w:val="28"/>
          <w:szCs w:val="28"/>
          <w:rtl w:val="true"/>
          <w:lang w:bidi="fa-IR"/>
        </w:rPr>
        <w:t xml:space="preserve">. </w:t>
      </w:r>
      <w:bookmarkStart w:id="214" w:name="pg7031_81038"/>
    </w:p>
    <w:p>
      <w:pPr>
        <w:pStyle w:val="Heading5"/>
        <w:numPr>
          <w:ilvl w:val="4"/>
          <w:numId w:val="1"/>
        </w:numPr>
        <w:rPr/>
      </w:pPr>
      <w:bookmarkStart w:id="215" w:name="__RefHeading___Toc2958370_372815092"/>
      <w:bookmarkStart w:id="216" w:name="_Toc71"/>
      <w:bookmarkEnd w:id="214"/>
      <w:bookmarkEnd w:id="215"/>
      <w:r>
        <w:rPr>
          <w:rtl w:val="true"/>
        </w:rPr>
        <w:t>المسألة الرابعة</w:t>
      </w:r>
      <w:r>
        <w:rPr>
          <w:rtl w:val="true"/>
        </w:rPr>
        <w:t xml:space="preserve">: </w:t>
      </w:r>
      <w:r>
        <w:rPr>
          <w:rtl w:val="true"/>
        </w:rPr>
        <w:t xml:space="preserve">جواز ثبوت </w:t>
      </w:r>
      <w:r>
        <w:rPr>
          <w:rtl w:val="true"/>
        </w:rPr>
        <w:t>(</w:t>
      </w:r>
      <w:r>
        <w:rPr>
          <w:rtl w:val="true"/>
        </w:rPr>
        <w:t>ميم</w:t>
      </w:r>
      <w:r>
        <w:rPr>
          <w:rtl w:val="true"/>
        </w:rPr>
        <w:t>) (</w:t>
      </w:r>
      <w:r>
        <w:rPr>
          <w:rtl w:val="true"/>
        </w:rPr>
        <w:t>فم</w:t>
      </w:r>
      <w:r>
        <w:rPr>
          <w:rtl w:val="true"/>
        </w:rPr>
        <w:t xml:space="preserve">) </w:t>
      </w:r>
      <w:r>
        <w:rPr>
          <w:rtl w:val="true"/>
        </w:rPr>
        <w:t>عند الإضافة</w:t>
      </w:r>
      <w:r>
        <w:rPr>
          <w:rtl w:val="true"/>
        </w:rPr>
        <w:t>:</w:t>
      </w:r>
      <w:bookmarkEnd w:id="216"/>
    </w:p>
    <w:p>
      <w:pPr>
        <w:pStyle w:val="BookText"/>
        <w:rPr/>
      </w:pPr>
      <w:r>
        <w:rPr>
          <w:rFonts w:ascii="Amiri" w:hAnsi="Amiri" w:eastAsia="Amiri" w:cs="Amiri"/>
          <w:color w:val="111111"/>
          <w:sz w:val="28"/>
          <w:sz w:val="28"/>
          <w:szCs w:val="28"/>
          <w:rtl w:val="true"/>
          <w:lang w:bidi="ar-SA"/>
        </w:rPr>
        <w:t>ذهب النحويون إلى أنَّ الأصل في الإعراب هو الحركات والسكون فالضمة للرفع، والفتحة للنصب، والكرة للجر، والسكون للجزم</w:t>
      </w:r>
      <w:r>
        <w:rPr>
          <w:rStyle w:val="FootnoteAnchor"/>
          <w:rtl w:val="true"/>
        </w:rPr>
        <w:footnoteReference w:id="1157"/>
      </w:r>
      <w:r>
        <w:rPr>
          <w:rFonts w:ascii="Amiri" w:hAnsi="Amiri" w:eastAsia="Amiri" w:cs="Amiri"/>
          <w:color w:val="111111"/>
          <w:sz w:val="28"/>
          <w:sz w:val="28"/>
          <w:szCs w:val="28"/>
          <w:rtl w:val="true"/>
          <w:lang w:bidi="ar-SA"/>
        </w:rPr>
        <w:t xml:space="preserve">، إلا أنَّه يُعدل عن هذا الأصل في عدد من الأبواب النحوية فتُعرب حينئذٍ بالحروف من ذلك الأسماء الستة، فتُعرب بالحروف؛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نيابة عن الحركات بشروط عامة</w:t>
      </w:r>
      <w:r>
        <w:rPr>
          <w:rStyle w:val="FootnoteAnchor"/>
          <w:rtl w:val="true"/>
        </w:rPr>
        <w:footnoteReference w:id="1158"/>
      </w:r>
      <w:r>
        <w:rPr>
          <w:rFonts w:ascii="IRNazanin" w:hAnsi="IRNazanin" w:eastAsia="IRNazanin"/>
          <w:color w:val="111111"/>
          <w:sz w:val="28"/>
          <w:sz w:val="28"/>
          <w:szCs w:val="28"/>
          <w:rtl w:val="true"/>
          <w:lang w:bidi="fa-IR"/>
        </w:rPr>
        <w:t xml:space="preserve">، وشرطین خاصین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علَّل النحويون خروج تلك الأسماء عن الأصل في الإعراب بعلل مختلفة، منها أنَّ إعرابها بالحروف جاء تمهيدًا لإعراب المثنى والجمع، وكانت الأَولى بذلك؛ لأنها لا تنفك عن الإضافة، قال ابن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جعلوا هذه الأسماء مختلفة الأواخر، توطئة لما يأتي من التثنية والجمع، وصارت هذه الأسماء أولى بالتوطئة من غيرها؛ لأنها أسماء لا تنفك من إضافة المعنى، والإضافة فرع على الأصل، كما أنَّ التثنية والجمع فرع على الواحد</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 وقد تبعَهُ في هذا قسمٌ من النحويین</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الاحتكام إلى قضية الأصل والفرع أقرب إلى الفلسفة منها إلى اللغة، فما أدرانا أنَّ العرب قد نطقوا بالمفرد أولًا ثم أرادوا به تمهيدًا للتثنية والجمع؟ ألم تنطق العرب بألفاظ مثنى ولا مفرد لها؟ لذا يبدو لي أنَّ الأقرب إلى الواقع اللغوي </w:t>
      </w:r>
    </w:p>
    <w:p>
      <w:pPr>
        <w:pStyle w:val="BookText"/>
        <w:rPr/>
      </w:pPr>
      <w:r>
        <w:rPr>
          <w:rFonts w:ascii="Amiri" w:hAnsi="Amiri" w:eastAsia="Amiri" w:cs="Amiri"/>
          <w:color w:val="111111"/>
          <w:sz w:val="28"/>
          <w:sz w:val="28"/>
          <w:szCs w:val="28"/>
          <w:rtl w:val="true"/>
          <w:lang w:bidi="ar-SA"/>
        </w:rPr>
        <w:t>أنَّ هذه الأسماء تُستعمَل مضافةً كثیرًا لهذا أُعرِبَتْ بالحروف، وهذا ما أكده ابن بابشاذ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أُعربت بالحروف وهي على هذه الحالة أعني إذا كانت مضافة؛ لأنها أسماء حُذِفتْ لاماتها، وضَمنتْ معنى الإضافة، فجُعلَ إعرابها بالحروف كالعوض من حَذفٍ لاماتها</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جزءًا من تلك التعليلات صحيح، ذلك ما يخص كثرة إضافة تلك الأسماء استنادًا إلى ما أجريتُه من إحصاء لمواضع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النبوي وفي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وكلام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تبیَّن منه كثرة الشواهد التي ورد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إلا أنه مع تلك الإضافة أُعربَ بالحركات، ولم يُعرَبْ بالحروف كما قيل، إلا في بعض الشواهد التي أُضيفَ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الضمیر، فالتعليل تنقصه الدِّقة ويفتقر إلى الاطّراد كما سيأتي</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الحديث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فإنَّ النحويین قد اشترطوا لإعرابه بالحروف خلوَّه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المبدَلة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لأن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في غیر الإضافة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فمُ، فتظهر الحركات الإعرابية على آخره؛ لأنه يشبه الأسماء المفردة في ذلك، قال سيبويه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 من أصله حرفان، لأنه كان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فأبدلوا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ليشبه الأسماء المفردة من كلامهم</w:t>
      </w:r>
      <w:r>
        <w:rPr>
          <w:rFonts w:eastAsia="IRNazanin" w:cs="IRNazanin"/>
          <w:color w:val="111111"/>
          <w:sz w:val="28"/>
          <w:szCs w:val="28"/>
          <w:rtl w:val="true"/>
          <w:lang w:bidi="fa-IR"/>
        </w:rPr>
        <w:t>))</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w:t>
      </w:r>
      <w:r>
        <w:rPr>
          <w:rStyle w:val="FootnoteAnchor"/>
          <w:rtl w:val="true"/>
        </w:rPr>
        <w:footnoteReference w:id="1164"/>
      </w:r>
      <w:r>
        <w:rPr>
          <w:rFonts w:ascii="IRNazanin" w:hAnsi="IRNazanin" w:eastAsia="IRNazanin"/>
          <w:color w:val="111111"/>
          <w:sz w:val="28"/>
          <w:sz w:val="28"/>
          <w:szCs w:val="28"/>
          <w:rtl w:val="true"/>
          <w:lang w:bidi="fa-IR"/>
        </w:rPr>
        <w:t xml:space="preserve">، وتعليل هذا الإبدال أنَّ الاسم لا يصلح أنْ يبقى على حرفٍ واحدٍ أحدهما حرف لین؛ لأنَّ حرف اللین هذا سيسقط من الكلمة إنْ تحركتْ في الإعراب وحُذفتْ بالتنوين، فلهذا كان الإبدال واجبًا </w:t>
      </w:r>
    </w:p>
    <w:p>
      <w:pPr>
        <w:pStyle w:val="BookText"/>
        <w:rPr/>
      </w:pPr>
      <w:r>
        <w:rPr>
          <w:rFonts w:ascii="IRNazanin" w:hAnsi="IRNazanin" w:eastAsia="IRNazanin"/>
          <w:color w:val="111111"/>
          <w:sz w:val="28"/>
          <w:sz w:val="28"/>
          <w:szCs w:val="28"/>
          <w:rtl w:val="true"/>
          <w:lang w:bidi="fa-IR"/>
        </w:rPr>
        <w:t>ههنا</w:t>
      </w:r>
      <w:r>
        <w:rPr>
          <w:rStyle w:val="FootnoteAnchor"/>
          <w:rtl w:val="true"/>
        </w:rPr>
        <w:footnoteReference w:id="1165"/>
      </w:r>
      <w:r>
        <w:rPr>
          <w:rFonts w:ascii="IRNazanin" w:hAnsi="IRNazanin" w:eastAsia="IRNazanin"/>
          <w:color w:val="111111"/>
          <w:sz w:val="28"/>
          <w:sz w:val="28"/>
          <w:szCs w:val="28"/>
          <w:rtl w:val="true"/>
          <w:lang w:bidi="fa-IR"/>
        </w:rPr>
        <w:t xml:space="preserve">، وقد اختِیرتْ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لأنّها هي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مخرجٍ واحد</w:t>
      </w:r>
      <w:r>
        <w:rPr>
          <w:rStyle w:val="FootnoteAnchor"/>
          <w:rtl w:val="true"/>
        </w:rPr>
        <w:footnoteReference w:id="1166"/>
      </w:r>
      <w:r>
        <w:rPr>
          <w:rFonts w:ascii="IRNazanin" w:hAnsi="IRNazanin" w:eastAsia="IRNazanin"/>
          <w:color w:val="111111"/>
          <w:sz w:val="28"/>
          <w:sz w:val="28"/>
          <w:szCs w:val="28"/>
          <w:rtl w:val="true"/>
          <w:lang w:bidi="fa-IR"/>
        </w:rPr>
        <w:t>، وإن كان ثمة خلاف بین علماء العربية في اشتراط اتحاد المخرج عند الإبدال</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فالذي جرى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بمنزلة تثقيل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ليشبه الأسماء فإذا سمَّيتَه بهذا فشبِّهْهُ بالأسماء كما شبَّهتْ العرب ولو لم يكونوا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 لأنَّه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 وأسواط</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 وقد فسرَّ ابن جني معنى هذا التثقيل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 ذلك أنَّهم ثقَّلوا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فمّ،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خالدّ، وهو يجعلّ، ثم إنهم أجروا الوصل مجرى الوقف،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فمٌّ، ورأيت فمًّا، كما أَجروا الوصل مجرى الوقف فيما حكاه سيبويه عنهم من قولهم ثلاثة أربعه</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ويبدو واضحًا مما تقدَّم أثرُ الصوت في الدرس النحوي، فعدم 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تحوّلها إلى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صائت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إظهار حركات الإعراب أفضى إلى إبدالها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صامت له القدرة على استيعاب الصوائت القصیرة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الضمة والفتحة والكسرة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حالة الإضافة فيعود ما أُبدِلَ إلى أصله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فو زيد؛ لأنَّ الإضافة ترد الأشياء إلى أصولها</w:t>
      </w:r>
      <w:r>
        <w:rPr>
          <w:rStyle w:val="FootnoteAnchor"/>
          <w:rtl w:val="true"/>
        </w:rPr>
        <w:footnoteReference w:id="1170"/>
      </w:r>
      <w:r>
        <w:rPr>
          <w:rFonts w:ascii="Amiri" w:hAnsi="Amiri" w:eastAsia="Amiri" w:cs="Amiri"/>
          <w:color w:val="111111"/>
          <w:sz w:val="28"/>
          <w:sz w:val="28"/>
          <w:szCs w:val="28"/>
          <w:rtl w:val="true"/>
          <w:lang w:bidi="ar-SA"/>
        </w:rPr>
        <w:t xml:space="preserve">، وقد ثبتت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الإضافة،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فمُكَ ورأيتُ فَمَكَ وفي فمِكَ</w:t>
      </w:r>
      <w:r>
        <w:rPr>
          <w:rStyle w:val="FootnoteAnchor"/>
          <w:rtl w:val="true"/>
        </w:rPr>
        <w:footnoteReference w:id="1171"/>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إضافته لغتین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وتُعرَبُ بالحركات وبحسب عدد من النحویين أنَّها قليلة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بصحيحٍ؛ فهي الأكثر كما سیرد فيما أحصيت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الأكثر</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رآى أبو علي الفارسي أن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الإضافة من ضرائر الشعر، إذ أورد قول رؤبة بن العجاج</w:t>
      </w:r>
      <w:r>
        <w:rPr>
          <w:rStyle w:val="FootnoteAnchor"/>
          <w:rtl w:val="true"/>
        </w:rPr>
        <w:footnoteReference w:id="11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كالحوتِ لا يَرْويهِ شيءٌ يلهمُه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ضمآن وفي البَحرِ فَمُه ثم أبدى رأيَه فيه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اضطر الشاعر فابدل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الإضافة</w:t>
      </w:r>
      <w:r>
        <w:rPr>
          <w:rFonts w:eastAsia="Amiri" w:cs="Amiri" w:ascii="Amiri" w:hAnsi="Amiri"/>
          <w:color w:val="111111"/>
          <w:sz w:val="28"/>
          <w:szCs w:val="28"/>
          <w:rtl w:val="true"/>
          <w:lang w:bidi="ar-SA"/>
        </w:rPr>
        <w:t>))</w:t>
      </w:r>
      <w:r>
        <w:rPr>
          <w:rStyle w:val="FootnoteAnchor"/>
          <w:rtl w:val="true"/>
        </w:rPr>
        <w:footnoteReference w:id="1174"/>
      </w:r>
      <w:r>
        <w:rPr>
          <w:rFonts w:ascii="IRNazanin" w:hAnsi="IRNazanin" w:eastAsia="IRNazanin"/>
          <w:color w:val="111111"/>
          <w:sz w:val="28"/>
          <w:sz w:val="28"/>
          <w:szCs w:val="28"/>
          <w:rtl w:val="true"/>
          <w:lang w:bidi="fa-IR"/>
        </w:rPr>
        <w:t xml:space="preserve">، وقد وافقه على هذا عددٌ من النحويین، منهم الحيدرة اليمني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175"/>
      </w:r>
      <w:r>
        <w:rPr>
          <w:rFonts w:ascii="IRNazanin" w:hAnsi="IRNazanin" w:eastAsia="IRNazanin"/>
          <w:color w:val="111111"/>
          <w:sz w:val="28"/>
          <w:sz w:val="28"/>
          <w:szCs w:val="28"/>
          <w:rtl w:val="true"/>
          <w:lang w:bidi="fa-IR"/>
        </w:rPr>
        <w:t>، وابن عصفور</w:t>
      </w:r>
      <w:r>
        <w:rPr>
          <w:rStyle w:val="FootnoteAnchor"/>
          <w:rtl w:val="true"/>
        </w:rPr>
        <w:footnoteReference w:id="1176"/>
      </w:r>
      <w:r>
        <w:rPr>
          <w:rFonts w:ascii="Amiri" w:hAnsi="Amiri" w:eastAsia="Amiri" w:cs="Amiri"/>
          <w:color w:val="111111"/>
          <w:sz w:val="28"/>
          <w:sz w:val="28"/>
          <w:szCs w:val="28"/>
          <w:rtl w:val="true"/>
          <w:lang w:bidi="ar-SA"/>
        </w:rPr>
        <w:t>، وعزاه السيوطي إلى المغاربة</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الاحتكام إلى الحديث النبوي الشريف في تعديل الظواهر النحوية لهو سبيل حسن وطريق سديد يحلُّ كثیرًا من مشكل العربية، ويسهم في التخلص من كثیر من الوهم الذي وقع فيه بعض علماء العربية بسبب نقص استقرائهم، فالحديث النبوي نصٌّ عربي فصيح، ودليل وافٍ من أدّلة العربية في الاحتجاج، ومن هذا فقد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استند إليه عدد من النحویين في تصويب ما وهم به الفارسي،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قصر إضافتها على الشعر قد وردت في قول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عملِ ابنِ آدم له إلا الصوم، فإنَّه لي وأنا أجزي به، ولخلوف فم الصائم أطيب عند الله من ريح المسك</w:t>
      </w:r>
      <w:r>
        <w:rPr>
          <w:rFonts w:eastAsia="IRNazanin" w:cs="IRNazanin"/>
          <w:color w:val="111111"/>
          <w:sz w:val="28"/>
          <w:szCs w:val="28"/>
          <w:rtl w:val="true"/>
          <w:lang w:bidi="fa-IR"/>
        </w:rPr>
        <w:t>))</w:t>
      </w:r>
      <w:r>
        <w:rPr>
          <w:rStyle w:val="FootnoteAnchor"/>
          <w:rtl w:val="true"/>
        </w:rPr>
        <w:footnoteReference w:id="1178"/>
      </w:r>
      <w:r>
        <w:rPr>
          <w:rFonts w:ascii="IRNazanin" w:hAnsi="IRNazanin" w:eastAsia="IRNazanin"/>
          <w:color w:val="111111"/>
          <w:sz w:val="28"/>
          <w:sz w:val="28"/>
          <w:szCs w:val="28"/>
          <w:rtl w:val="true"/>
          <w:lang w:bidi="fa-IR"/>
        </w:rPr>
        <w:t xml:space="preserve">لذا قد جوَّز عدد من النحويین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الإضافة في السَّعة والاختيار، منهم ابن مالك الذي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وزعم الفارسي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يصبح ظمآن وفي البحر فمه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الضرورات بناءً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حقها ألّ تثبتَ في غیر الشعر، وهذا من تحكماته العارية من الدليل، والصحيح أنَّ ذلك جائز في النظم والنثر</w:t>
      </w:r>
      <w:r>
        <w:rPr>
          <w:rFonts w:eastAsia="IRNazanin" w:cs="IRNazanin"/>
          <w:color w:val="111111"/>
          <w:sz w:val="28"/>
          <w:szCs w:val="28"/>
          <w:rtl w:val="true"/>
          <w:lang w:bidi="fa-IR"/>
        </w:rPr>
        <w:t>))</w:t>
      </w:r>
      <w:r>
        <w:rPr>
          <w:rStyle w:val="FootnoteAnchor"/>
          <w:rtl w:val="true"/>
        </w:rPr>
        <w:footnoteReference w:id="1179"/>
      </w:r>
      <w:r>
        <w:rPr>
          <w:rFonts w:ascii="Amiri" w:hAnsi="Amiri" w:eastAsia="Amiri" w:cs="Amiri"/>
          <w:color w:val="111111"/>
          <w:sz w:val="28"/>
          <w:sz w:val="28"/>
          <w:szCs w:val="28"/>
          <w:rtl w:val="true"/>
          <w:lang w:bidi="ar-SA"/>
        </w:rPr>
        <w:t>، لكن ابن مالك عدَّه نمطًا قليلاً في العربية</w:t>
      </w:r>
      <w:r>
        <w:rPr>
          <w:rStyle w:val="FootnoteAnchor"/>
          <w:rtl w:val="true"/>
        </w:rPr>
        <w:footnoteReference w:id="1180"/>
      </w:r>
      <w:r>
        <w:rPr>
          <w:rFonts w:ascii="Amiri" w:hAnsi="Amiri" w:eastAsia="Amiri" w:cs="Amiri"/>
          <w:color w:val="111111"/>
          <w:sz w:val="28"/>
          <w:sz w:val="28"/>
          <w:szCs w:val="28"/>
          <w:rtl w:val="true"/>
          <w:lang w:bidi="ar-SA"/>
        </w:rPr>
        <w:t>، واصفًا أبا علي الفارسي بقلّة العلم</w:t>
      </w:r>
      <w:r>
        <w:rPr>
          <w:rStyle w:val="FootnoteAnchor"/>
          <w:rtl w:val="true"/>
        </w:rPr>
        <w:footnoteReference w:id="1181"/>
      </w:r>
      <w:r>
        <w:rPr>
          <w:rFonts w:ascii="Amiri" w:hAnsi="Amiri" w:eastAsia="Amiri" w:cs="Amiri"/>
          <w:color w:val="111111"/>
          <w:sz w:val="28"/>
          <w:sz w:val="28"/>
          <w:szCs w:val="28"/>
          <w:rtl w:val="true"/>
          <w:lang w:bidi="ar-SA"/>
        </w:rPr>
        <w:t xml:space="preserve">، وقد أيّد ابنَ مالك في جواز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الإضافة في السعة والاختيار عددٌ من علماء العربية، منهم أبو حيان</w:t>
      </w:r>
      <w:r>
        <w:rPr>
          <w:rStyle w:val="FootnoteAnchor"/>
          <w:rtl w:val="true"/>
        </w:rPr>
        <w:footnoteReference w:id="1182"/>
      </w:r>
      <w:r>
        <w:rPr>
          <w:rFonts w:ascii="Amiri" w:hAnsi="Amiri" w:eastAsia="Amiri" w:cs="Amiri"/>
          <w:color w:val="111111"/>
          <w:sz w:val="28"/>
          <w:sz w:val="28"/>
          <w:szCs w:val="28"/>
          <w:rtl w:val="true"/>
          <w:lang w:bidi="ar-SA"/>
        </w:rPr>
        <w:t>، والمرادي</w:t>
      </w:r>
      <w:r>
        <w:rPr>
          <w:rStyle w:val="FootnoteAnchor"/>
          <w:rtl w:val="true"/>
        </w:rPr>
        <w:footnoteReference w:id="1183"/>
      </w:r>
      <w:r>
        <w:rPr>
          <w:rFonts w:ascii="Amiri" w:hAnsi="Amiri" w:eastAsia="Amiri" w:cs="Amiri"/>
          <w:color w:val="111111"/>
          <w:sz w:val="28"/>
          <w:sz w:val="28"/>
          <w:szCs w:val="28"/>
          <w:rtl w:val="true"/>
          <w:lang w:bidi="ar-SA"/>
        </w:rPr>
        <w:t>، وابن عقيل</w:t>
      </w:r>
      <w:r>
        <w:rPr>
          <w:rStyle w:val="FootnoteAnchor"/>
          <w:rtl w:val="true"/>
        </w:rPr>
        <w:footnoteReference w:id="1184"/>
      </w:r>
      <w:r>
        <w:rPr>
          <w:rFonts w:ascii="Amiri" w:hAnsi="Amiri" w:eastAsia="Amiri" w:cs="Amiri"/>
          <w:color w:val="111111"/>
          <w:sz w:val="28"/>
          <w:sz w:val="28"/>
          <w:szCs w:val="28"/>
          <w:rtl w:val="true"/>
          <w:lang w:bidi="ar-SA"/>
        </w:rPr>
        <w:t>، والسلسيلي</w:t>
      </w:r>
      <w:r>
        <w:rPr>
          <w:rStyle w:val="FootnoteAnchor"/>
          <w:rtl w:val="true"/>
        </w:rPr>
        <w:footnoteReference w:id="1185"/>
      </w:r>
      <w:r>
        <w:rPr>
          <w:rFonts w:ascii="Amiri" w:hAnsi="Amiri" w:eastAsia="Amiri" w:cs="Amiri"/>
          <w:color w:val="111111"/>
          <w:sz w:val="28"/>
          <w:sz w:val="28"/>
          <w:szCs w:val="28"/>
          <w:rtl w:val="true"/>
          <w:lang w:bidi="ar-SA"/>
        </w:rPr>
        <w:t>، والدماميني</w:t>
      </w:r>
      <w:r>
        <w:rPr>
          <w:rStyle w:val="FootnoteAnchor"/>
          <w:rtl w:val="true"/>
        </w:rPr>
        <w:footnoteReference w:id="1186"/>
      </w:r>
      <w:r>
        <w:rPr>
          <w:rFonts w:ascii="Amiri" w:hAnsi="Amiri" w:eastAsia="Amiri" w:cs="Amiri"/>
          <w:color w:val="111111"/>
          <w:sz w:val="28"/>
          <w:sz w:val="28"/>
          <w:szCs w:val="28"/>
          <w:rtl w:val="true"/>
          <w:lang w:bidi="ar-SA"/>
        </w:rPr>
        <w:t>، والُأشموني</w:t>
      </w:r>
      <w:r>
        <w:rPr>
          <w:rStyle w:val="FootnoteAnchor"/>
          <w:rtl w:val="true"/>
        </w:rPr>
        <w:footnoteReference w:id="1187"/>
      </w:r>
      <w:r>
        <w:rPr>
          <w:rFonts w:ascii="Amiri" w:hAnsi="Amiri" w:eastAsia="Amiri" w:cs="Amiri"/>
          <w:color w:val="111111"/>
          <w:sz w:val="28"/>
          <w:sz w:val="28"/>
          <w:szCs w:val="28"/>
          <w:rtl w:val="true"/>
          <w:lang w:bidi="ar-SA"/>
        </w:rPr>
        <w:t>، والأزهري</w:t>
      </w:r>
      <w:r>
        <w:rPr>
          <w:rStyle w:val="FootnoteAnchor"/>
          <w:rtl w:val="true"/>
        </w:rPr>
        <w:footnoteReference w:id="1188"/>
      </w:r>
      <w:r>
        <w:rPr>
          <w:rFonts w:ascii="Amiri" w:hAnsi="Amiri" w:eastAsia="Amiri" w:cs="Amiri"/>
          <w:color w:val="111111"/>
          <w:sz w:val="28"/>
          <w:sz w:val="28"/>
          <w:szCs w:val="28"/>
          <w:rtl w:val="true"/>
          <w:lang w:bidi="ar-SA"/>
        </w:rPr>
        <w:t>، والسيوطي</w:t>
      </w:r>
      <w:r>
        <w:rPr>
          <w:rStyle w:val="FootnoteAnchor"/>
          <w:rtl w:val="true"/>
        </w:rPr>
        <w:footnoteReference w:id="118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والدكتور محمود فجال من المحدثین</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ترجيح ما رآه ابنُ مالك ومؤيدوه تعضُده كثرة الشواهد الحديثية الواردة في هذا الباب، فهي ليست قليلة كما حكمَ عليها ابنُ مالك نفسُه؛ إذ قد وردت في أكثر من موطن 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لن تُنفقَ نفقةً تبتغي بها وجه الله إلا أُجِرْتَ عليها، حتى ما تجعل في فم امرأتك</w:t>
      </w:r>
      <w:r>
        <w:rPr>
          <w:rFonts w:eastAsia="IRNazanin" w:cs="IRNazanin"/>
          <w:color w:val="111111"/>
          <w:sz w:val="28"/>
          <w:szCs w:val="28"/>
          <w:rtl w:val="true"/>
          <w:lang w:bidi="fa-IR"/>
        </w:rPr>
        <w:t>))</w:t>
      </w:r>
      <w:r>
        <w:rPr>
          <w:rStyle w:val="FootnoteAnchor"/>
          <w:rtl w:val="true"/>
        </w:rPr>
        <w:footnoteReference w:id="119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اخْنِثْ فَمَ الْإِدَاوَةِ ثمَّ شَرِبَ مِنْ فِيهَا</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شواهد تلك المسألة في الكلام العلَوي المبارك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زهده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دُنْيَاكُمْ عِنْدِي لأهون مِنْ وَرَقَة فِی فَمِ جَرَادَة تَقْضَمُهَا</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زهده في هذه الدنيا الدنيّة التي طلَّقها ثلاثًا؛ ومن أجل هذا أضافها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المخاطَبین في إيحاء منه إلى تمسّكهم بها، لكنَّها عنده لا تساوي ورقة في فم جرادة تقضمها، وفي هذا منتهى الزُّهد وأقضى غايات الحرص لمن يحكم الامة ويدير شؤونها</w:t>
      </w:r>
      <w:r>
        <w:rPr>
          <w:rStyle w:val="FootnoteAnchor"/>
          <w:rtl w:val="true"/>
        </w:rPr>
        <w:footnoteReference w:id="1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 جرادة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حقارة الدنيا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يكون 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وعدم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جاء لبعدين أولها صوتي يهدف إلى التخلّص من الثقل الحاصل من التضعيف فيما لو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ورقة في فيِّ جرادة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يستثقلون في كلامهم التضعيف</w:t>
      </w:r>
      <w:r>
        <w:rPr>
          <w:rFonts w:eastAsia="Amiri" w:cs="Amiri" w:ascii="Amiri" w:hAnsi="Amiri"/>
          <w:color w:val="111111"/>
          <w:sz w:val="28"/>
          <w:szCs w:val="28"/>
          <w:rtl w:val="true"/>
          <w:lang w:bidi="ar-SA"/>
        </w:rPr>
        <w:t>))</w:t>
      </w:r>
      <w:r>
        <w:rPr>
          <w:rStyle w:val="FootnoteAnchor"/>
          <w:rtl w:val="true"/>
        </w:rPr>
        <w:footnoteReference w:id="1195"/>
      </w:r>
      <w:r>
        <w:rPr>
          <w:rFonts w:ascii="IRNazanin" w:hAnsi="IRNazanin" w:eastAsia="IRNazanin"/>
          <w:color w:val="111111"/>
          <w:sz w:val="28"/>
          <w:sz w:val="28"/>
          <w:szCs w:val="28"/>
          <w:rtl w:val="true"/>
          <w:lang w:bidi="fa-IR"/>
        </w:rPr>
        <w:t xml:space="preserve">، والسبب في هذا التضعيف هو أنَّ الكلمة ثنائية وثانيها حرف لین، لهذا يُضاعَف حرف اللین هذا، فيقال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Style w:val="FootnoteAnchor"/>
          <w:rtl w:val="true"/>
        </w:rPr>
        <w:footnoteReference w:id="1196"/>
      </w:r>
      <w:r>
        <w:rPr>
          <w:rFonts w:ascii="IRNazanin" w:hAnsi="IRNazanin" w:eastAsia="IRNazanin"/>
          <w:color w:val="111111"/>
          <w:sz w:val="28"/>
          <w:sz w:val="28"/>
          <w:szCs w:val="28"/>
          <w:rtl w:val="true"/>
          <w:lang w:bidi="fa-IR"/>
        </w:rPr>
        <w:t xml:space="preserve">، أما إذا أُريدَ التخلص من تلك الكراهة وقعنا في توالي المقاطع المتماثلة الذي تكرهه العربية أيضًا، هذا فضلاً عن أنَّ تخفيف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يتسبَّب في إسقاطها لالتقاء الساكنين، وهذا بدوره يؤدي إلى البعد الآخر المتمثل في اللَّبس والغموض في التركيب، ولعل هذا يفسِّر قلة استعمال هذا النمط مقابل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العربية موضوعة للإفهام، وهذا ما عليه نصُّ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يؤكِّد ما ذهبتُ إليه أنّ هذا الاستعمال هو الشائع في مرويات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كثیرًا، من ذلك 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الحاجة إلى من أصاب ماله حديثًا كمثل الدرهم في فم الأفعى أنت إليه مُحوِج وأنت منها على خطر</w:t>
      </w:r>
      <w:r>
        <w:rPr>
          <w:rFonts w:eastAsia="IRNazanin" w:cs="IRNazanin"/>
          <w:color w:val="111111"/>
          <w:sz w:val="28"/>
          <w:szCs w:val="28"/>
          <w:rtl w:val="true"/>
          <w:lang w:bidi="fa-IR"/>
        </w:rPr>
        <w:t>))</w:t>
      </w:r>
      <w:r>
        <w:rPr>
          <w:rStyle w:val="FootnoteAnchor"/>
          <w:rtl w:val="true"/>
        </w:rPr>
        <w:footnoteReference w:id="1197"/>
      </w:r>
      <w:r>
        <w:rPr>
          <w:rFonts w:ascii="Amiri" w:hAnsi="Amiri" w:eastAsia="Amiri" w:cs="Amiri"/>
          <w:color w:val="111111"/>
          <w:sz w:val="28"/>
          <w:sz w:val="28"/>
          <w:szCs w:val="28"/>
          <w:rtl w:val="true"/>
          <w:lang w:bidi="ar-SA"/>
        </w:rPr>
        <w:t xml:space="preserve">، وقول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تُدخِل يدَك في فمِ التنّین إلى المرفق خیرٌ لكَ من طلب الحوائج إلى مَن لم يكنْ ثمّ كان</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نخلص مما تقدَّم إلى أنَّ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في السَّعة والاختيار وليس مقتصرًا على لغة الشعر كما ذهب الفارسي ومن تبعه، هذا فضلاً عن أنَّ تلك الإضافة ليست قليلة، فالشواهد كما اتضح كثیرة؛ لهذا لا يمكن قبول التعليل الذي يذهب إلى أنها قد أُعرِبَت بالحروف بسبب إضافتها؛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ثبتت مع الإضافة إلى الظاهر خاصة، واستنادًا إلى كلِّ هذا يمكن إعادة صوغ القاعدة بالآتي</w:t>
      </w:r>
      <w:r>
        <w:rPr>
          <w:rFonts w:eastAsia="IRNazanin" w:cs="IRNazanin"/>
          <w:color w:val="111111"/>
          <w:sz w:val="28"/>
          <w:szCs w:val="28"/>
          <w:rtl w:val="true"/>
          <w:lang w:bidi="fa-IR"/>
        </w:rPr>
        <w:t xml:space="preserve">: </w:t>
      </w:r>
      <w:bookmarkStart w:id="217" w:name="pg7031_81045"/>
    </w:p>
    <w:p>
      <w:pPr>
        <w:pStyle w:val="BookText"/>
        <w:rPr/>
      </w:pPr>
      <w:bookmarkEnd w:id="217"/>
      <w:r>
        <w:rPr>
          <w:rFonts w:ascii="IRNazanin" w:hAnsi="IRNazanin" w:eastAsia="IRNazanin"/>
          <w:color w:val="111111"/>
          <w:sz w:val="28"/>
          <w:sz w:val="28"/>
          <w:szCs w:val="28"/>
          <w:rtl w:val="true"/>
          <w:lang w:bidi="fa-IR"/>
        </w:rPr>
        <w:t xml:space="preserve">يجوز في السَّعة والاختيار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كثیرًا في السَّعة والاختيار لورود ذلك في الشواهد النثرية الفصيحة من نهج البلاغة فضلاً عن السُّنة النبوية الشريفة</w:t>
      </w:r>
      <w:r>
        <w:rPr>
          <w:rFonts w:eastAsia="IRNazanin" w:cs="IRNazanin"/>
          <w:color w:val="111111"/>
          <w:sz w:val="28"/>
          <w:szCs w:val="28"/>
          <w:rtl w:val="true"/>
          <w:lang w:bidi="fa-IR"/>
        </w:rPr>
        <w:t>.</w:t>
      </w:r>
    </w:p>
    <w:p>
      <w:pPr>
        <w:pStyle w:val="Heading5"/>
        <w:numPr>
          <w:ilvl w:val="4"/>
          <w:numId w:val="1"/>
        </w:numPr>
        <w:rPr/>
      </w:pPr>
      <w:bookmarkStart w:id="218" w:name="__RefHeading___Toc2958372_372815092"/>
      <w:bookmarkStart w:id="219" w:name="_Toc72"/>
      <w:bookmarkEnd w:id="218"/>
      <w:r>
        <w:rPr>
          <w:rtl w:val="true"/>
        </w:rPr>
        <w:t>المسألة الخامسة</w:t>
      </w:r>
      <w:r>
        <w:rPr>
          <w:rtl w:val="true"/>
        </w:rPr>
        <w:t xml:space="preserve">: </w:t>
      </w:r>
      <w:r>
        <w:rPr>
          <w:rtl w:val="true"/>
        </w:rPr>
        <w:t>جواز إضافة الصفة المشبهة المجردة إلى معمولها المشتمِل</w:t>
      </w:r>
      <w:bookmarkEnd w:id="219"/>
    </w:p>
    <w:p>
      <w:pPr>
        <w:pStyle w:val="BookText"/>
        <w:rPr/>
      </w:pPr>
      <w:r>
        <w:rPr>
          <w:rFonts w:ascii="Amiri" w:hAnsi="Amiri" w:eastAsia="Amiri" w:cs="Amiri"/>
          <w:color w:val="111111"/>
          <w:sz w:val="28"/>
          <w:sz w:val="28"/>
          <w:szCs w:val="28"/>
          <w:rtl w:val="true"/>
          <w:lang w:bidi="ar-SA"/>
        </w:rPr>
        <w:t>على ضمير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المشبهة قسم من أقسام المشتقات في العربية تُشتق غالبًا من الفعل اللازم لمن يقوم به؛ لذا هي تدلُّ على الثبوت والدوام</w:t>
      </w:r>
      <w:r>
        <w:rPr>
          <w:rStyle w:val="FootnoteAnchor"/>
          <w:rtl w:val="true"/>
        </w:rPr>
        <w:footnoteReference w:id="1199"/>
      </w:r>
      <w:r>
        <w:rPr>
          <w:rFonts w:ascii="Amiri" w:hAnsi="Amiri" w:eastAsia="Amiri" w:cs="Amiri"/>
          <w:color w:val="111111"/>
          <w:sz w:val="28"/>
          <w:sz w:val="28"/>
          <w:szCs w:val="28"/>
          <w:rtl w:val="true"/>
          <w:lang w:bidi="ar-SA"/>
        </w:rPr>
        <w:t>، ولمّا كانت مشبَّهة باسم الفاعل المتعدي إلى واحد كانت فرعًا عليه في العمل، والفروع تنحطُّ عن الأُصول</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عملُها فهي لا تعمل إلا فيما إذا كان المعمول من سببها مُعرَّفًا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نكرةً</w:t>
      </w:r>
      <w:r>
        <w:rPr>
          <w:rStyle w:val="FootnoteAnchor"/>
          <w:rtl w:val="true"/>
        </w:rPr>
        <w:footnoteReference w:id="1201"/>
      </w:r>
      <w:r>
        <w:rPr>
          <w:rFonts w:ascii="Amiri" w:hAnsi="Amiri" w:eastAsia="Amiri" w:cs="Amiri"/>
          <w:color w:val="111111"/>
          <w:sz w:val="28"/>
          <w:sz w:val="28"/>
          <w:szCs w:val="28"/>
          <w:rtl w:val="true"/>
          <w:lang w:bidi="ar-SA"/>
        </w:rPr>
        <w:t>، بشروط عمل اسم الفاعل نفسها من الاعتماد على النفي، أو الاستفهام</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وللصفة المُشَبَّهَة حالتان إما أنْ تكون مقترنةً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مجردةً منهما</w:t>
      </w:r>
      <w:r>
        <w:rPr>
          <w:rStyle w:val="FootnoteAnchor"/>
          <w:rtl w:val="true"/>
        </w:rPr>
        <w:footnoteReference w:id="1203"/>
      </w:r>
      <w:r>
        <w:rPr>
          <w:rFonts w:ascii="IRNazanin" w:hAnsi="IRNazanin" w:eastAsia="IRNazanin"/>
          <w:color w:val="111111"/>
          <w:sz w:val="28"/>
          <w:sz w:val="28"/>
          <w:szCs w:val="28"/>
          <w:rtl w:val="true"/>
          <w:lang w:bidi="fa-IR"/>
        </w:rPr>
        <w:t xml:space="preserve">، وعلى كلا التقديرين فإنَّ إعراب معمولها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على الفَاعِلية، وقال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على الإبدال من ضمیر مستتر الصِّفة، والخفض بالإضافة، والنصب على التشبيه بالمفعول به إن كان معرفةً، وعلى التمييز إن كان </w:t>
      </w:r>
    </w:p>
    <w:p>
      <w:pPr>
        <w:pStyle w:val="BookText"/>
        <w:rPr/>
      </w:pPr>
      <w:r>
        <w:rPr>
          <w:rFonts w:ascii="Amiri" w:hAnsi="Amiri" w:eastAsia="Amiri" w:cs="Amiri"/>
          <w:color w:val="111111"/>
          <w:sz w:val="28"/>
          <w:sz w:val="28"/>
          <w:szCs w:val="28"/>
          <w:rtl w:val="true"/>
          <w:lang w:bidi="ar-SA"/>
        </w:rPr>
        <w:t>نكرةً</w:t>
      </w:r>
      <w:r>
        <w:rPr>
          <w:rFonts w:eastAsia="Amiri" w:cs="Amiri" w:ascii="Amiri" w:hAnsi="Amiri"/>
          <w:color w:val="111111"/>
          <w:sz w:val="28"/>
          <w:szCs w:val="28"/>
          <w:rtl w:val="true"/>
          <w:lang w:bidi="ar-SA"/>
        </w:rPr>
        <w:t>))</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صورَ هذا المعمول كثیرةٌ جدًا يصعب الإحاطة بها، فقد أوصلها بعض النحويین إلى أربعة عشر ألفًا ومائتین وست وخمسین صورة</w:t>
      </w:r>
      <w:r>
        <w:rPr>
          <w:rStyle w:val="FootnoteAnchor"/>
          <w:rtl w:val="true"/>
        </w:rPr>
        <w:footnoteReference w:id="1205"/>
      </w:r>
      <w:r>
        <w:rPr>
          <w:rFonts w:ascii="Amiri" w:hAnsi="Amiri" w:eastAsia="Amiri" w:cs="Amiri"/>
          <w:color w:val="111111"/>
          <w:sz w:val="28"/>
          <w:sz w:val="28"/>
          <w:szCs w:val="28"/>
          <w:rtl w:val="true"/>
          <w:lang w:bidi="ar-SA"/>
        </w:rPr>
        <w:t>، وفيها من الصور الحسنة، والقبيحة، والممتَنِعَة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تلك الصور إضافة الصفة المشبهة المجرَّدة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معمولها المشتمل على ضمیر الموصوف،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بامرأة حسنةِ وجهِها، وهو وجهٌ قد اختلف النحويون فيه على مذاهبَ وآراء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ذهب فريق من النحويین إلى أنه لم يرد في منثور العرب وإنما بابه الشعر من ذلك قول الشماخ بن ضرار الذبياني</w:t>
      </w:r>
      <w:r>
        <w:rPr>
          <w:rStyle w:val="FootnoteAnchor"/>
          <w:rtl w:val="true"/>
        </w:rPr>
        <w:footnoteReference w:id="12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أقامتْ على رَبْعَيهما جارتَا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كُمَيْتَا الأعالي جَوْنَتا مُصْطلاهُما فقد عدَّه سيبويه وجهًا قبيحًا،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جاء في الشعر حسنة وجهها، شبَّهوه بحسنة الوجه، وذلك رديء؛ لأنه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كما كان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سبب الأول كما أنَّه من سببه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للام</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وافق سيبويه على هذا جمعٌ من العلماء منهم ابن السراج</w:t>
      </w:r>
      <w:r>
        <w:rPr>
          <w:rStyle w:val="FootnoteAnchor"/>
          <w:rtl w:val="true"/>
        </w:rPr>
        <w:footnoteReference w:id="1208"/>
      </w:r>
      <w:r>
        <w:rPr>
          <w:rFonts w:ascii="Amiri" w:hAnsi="Amiri" w:eastAsia="Amiri" w:cs="Amiri"/>
          <w:color w:val="111111"/>
          <w:sz w:val="28"/>
          <w:sz w:val="28"/>
          <w:szCs w:val="28"/>
          <w:rtl w:val="true"/>
          <w:lang w:bidi="ar-SA"/>
        </w:rPr>
        <w:t xml:space="preserve">، وأبو علي </w:t>
      </w:r>
    </w:p>
    <w:p>
      <w:pPr>
        <w:pStyle w:val="BookText"/>
        <w:rPr/>
      </w:pPr>
      <w:r>
        <w:rPr>
          <w:rFonts w:ascii="Amiri" w:hAnsi="Amiri" w:eastAsia="Amiri" w:cs="Amiri"/>
          <w:color w:val="111111"/>
          <w:sz w:val="28"/>
          <w:sz w:val="28"/>
          <w:szCs w:val="28"/>
          <w:rtl w:val="true"/>
          <w:lang w:bidi="ar-SA"/>
        </w:rPr>
        <w:t>الفارسي</w:t>
      </w:r>
      <w:r>
        <w:rPr>
          <w:rStyle w:val="FootnoteAnchor"/>
          <w:rtl w:val="true"/>
        </w:rPr>
        <w:footnoteReference w:id="1209"/>
      </w:r>
      <w:r>
        <w:rPr>
          <w:rFonts w:ascii="Amiri" w:hAnsi="Amiri" w:eastAsia="Amiri" w:cs="Amiri"/>
          <w:color w:val="111111"/>
          <w:sz w:val="28"/>
          <w:sz w:val="28"/>
          <w:szCs w:val="28"/>
          <w:rtl w:val="true"/>
          <w:lang w:bidi="ar-SA"/>
        </w:rPr>
        <w:t>، وأكَّده تلميذه ابن جني</w:t>
      </w:r>
      <w:r>
        <w:rPr>
          <w:rStyle w:val="FootnoteAnchor"/>
          <w:rtl w:val="true"/>
        </w:rPr>
        <w:footnoteReference w:id="1210"/>
      </w:r>
      <w:r>
        <w:rPr>
          <w:rFonts w:ascii="Amiri" w:hAnsi="Amiri" w:eastAsia="Amiri" w:cs="Amiri"/>
          <w:color w:val="111111"/>
          <w:sz w:val="28"/>
          <w:sz w:val="28"/>
          <w:szCs w:val="28"/>
          <w:rtl w:val="true"/>
          <w:lang w:bidi="ar-SA"/>
        </w:rPr>
        <w:t>، كما سار على ذلك كلٌّ من الأعلم</w:t>
      </w:r>
      <w:r>
        <w:rPr>
          <w:rStyle w:val="FootnoteAnchor"/>
          <w:rtl w:val="true"/>
        </w:rPr>
        <w:footnoteReference w:id="1211"/>
      </w:r>
      <w:r>
        <w:rPr>
          <w:rFonts w:ascii="Amiri" w:hAnsi="Amiri" w:eastAsia="Amiri" w:cs="Amiri"/>
          <w:color w:val="111111"/>
          <w:sz w:val="28"/>
          <w:sz w:val="28"/>
          <w:szCs w:val="28"/>
          <w:rtl w:val="true"/>
          <w:lang w:bidi="ar-SA"/>
        </w:rPr>
        <w:t>، والصّيْمري</w:t>
      </w:r>
      <w:r>
        <w:rPr>
          <w:rStyle w:val="FootnoteAnchor"/>
          <w:rtl w:val="true"/>
        </w:rPr>
        <w:footnoteReference w:id="1212"/>
      </w:r>
      <w:r>
        <w:rPr>
          <w:rFonts w:ascii="Amiri" w:hAnsi="Amiri" w:eastAsia="Amiri" w:cs="Amiri"/>
          <w:color w:val="111111"/>
          <w:sz w:val="28"/>
          <w:sz w:val="28"/>
          <w:szCs w:val="28"/>
          <w:rtl w:val="true"/>
          <w:lang w:bidi="ar-SA"/>
        </w:rPr>
        <w:t>، والزمخشري</w:t>
      </w:r>
      <w:r>
        <w:rPr>
          <w:rStyle w:val="FootnoteAnchor"/>
          <w:rtl w:val="true"/>
        </w:rPr>
        <w:footnoteReference w:id="1213"/>
      </w:r>
      <w:r>
        <w:rPr>
          <w:rFonts w:ascii="Amiri" w:hAnsi="Amiri" w:eastAsia="Amiri" w:cs="Amiri"/>
          <w:color w:val="111111"/>
          <w:sz w:val="28"/>
          <w:sz w:val="28"/>
          <w:szCs w:val="28"/>
          <w:rtl w:val="true"/>
          <w:lang w:bidi="ar-SA"/>
        </w:rPr>
        <w:t>، واختاره ابن يعيش</w:t>
      </w:r>
      <w:r>
        <w:rPr>
          <w:rStyle w:val="FootnoteAnchor"/>
          <w:rtl w:val="true"/>
        </w:rPr>
        <w:footnoteReference w:id="1214"/>
      </w:r>
      <w:r>
        <w:rPr>
          <w:rFonts w:ascii="Amiri" w:hAnsi="Amiri" w:eastAsia="Amiri" w:cs="Amiri"/>
          <w:color w:val="111111"/>
          <w:sz w:val="28"/>
          <w:sz w:val="28"/>
          <w:szCs w:val="28"/>
          <w:rtl w:val="true"/>
          <w:lang w:bidi="ar-SA"/>
        </w:rPr>
        <w:t>، وابن ابي الربيع</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كان المعنى سبيلًا مهماً في فهم التوجيه النحوي كان لا بد من الوقوف بإيجاز على معنى بيت الشماخ، ولعلَّ ما فسر به السیرافي يغني القول بذلك،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جارتا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الأثافي،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الجبل، وإنما يُبنى في أصل الجبل في موضعین ما يوضع عليه القدر ويكون الجبل هو الثالث، فالبناء في الموضعین هما جارتا صفا،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كميتا الأعالي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موضع الاثافي لم تَسْوَد؛ لأنَّ الدخان لم يصل إليها فهي على لون الجبل، وجعل ما علا من الجبل أعالي الجارتین،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وجونتا مصطلاهما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مسودتا المصطلى، يعني الجارتین مسودتا المصطلى، وهو موضع الوقود</w:t>
      </w:r>
      <w:r>
        <w:rPr>
          <w:rFonts w:eastAsia="IRNazanin" w:cs="IRNazanin"/>
          <w:color w:val="111111"/>
          <w:sz w:val="28"/>
          <w:szCs w:val="28"/>
          <w:rtl w:val="true"/>
          <w:lang w:bidi="fa-IR"/>
        </w:rPr>
        <w:t>))</w:t>
      </w:r>
      <w:r>
        <w:rPr>
          <w:rStyle w:val="FootnoteAnchor"/>
          <w:rtl w:val="true"/>
        </w:rPr>
        <w:footnoteReference w:id="1216"/>
      </w:r>
      <w:r>
        <w:rPr>
          <w:rFonts w:ascii="IRNazanin" w:hAnsi="IRNazanin" w:eastAsia="IRNazanin"/>
          <w:color w:val="111111"/>
          <w:sz w:val="28"/>
          <w:sz w:val="28"/>
          <w:szCs w:val="28"/>
          <w:rtl w:val="true"/>
          <w:lang w:bidi="fa-IR"/>
        </w:rPr>
        <w:t xml:space="preserve">، وعلى هذا يكون محل الشاهد فيه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جونتا مصطلاهما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فجونتا مثنى، وهو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أضيفتا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مصطلاهما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ومصطلاهما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حسنتا وجوههما، والضمیر الذي في مصطلاهما يعود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جارتا صفا</w:t>
      </w:r>
      <w:r>
        <w:rPr>
          <w:rFonts w:eastAsia="IRNazanin" w:cs="IRNazanin"/>
          <w:color w:val="111111"/>
          <w:sz w:val="28"/>
          <w:szCs w:val="28"/>
          <w:rtl w:val="true"/>
          <w:lang w:bidi="fa-IR"/>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ولبيان علّة وصف هذه الوجه من الإضافة بالقبح أو الرداءة لا بد من الوقوف على أصل المسألة، فالأصل في الصفة المشبّهة أنْ تعمل الرفع فيما هو سببها، على أنْ يشتمل هذا المعمول على ضمیرٍ يعود على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 قولنا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حسنٍ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رَفعتْ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ضمیرٌ يعود على الصفة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 حَذفِ هذا العائد للعِلم به يصیرُ في الصفة؛ لأنَّه لابد من اشتمال الصفة على رابط، والدليل على استكان هذا الضمیر في الصفة هو تأنيث الصفة بسببه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بامرأة حسن وجهها،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للوجه، والضمیر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واستنادًا إلى ما تقدَّم 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بامرأة حسنة وجهها، عاد على المرأة ضمیران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خطأ؛ لإضافة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والشيء لا يُضاف إلى نفسه عند البصريین</w:t>
      </w:r>
      <w:r>
        <w:rPr>
          <w:rStyle w:val="FootnoteAnchor"/>
          <w:rtl w:val="true"/>
        </w:rPr>
        <w:footnoteReference w:id="1219"/>
      </w:r>
      <w:r>
        <w:rPr>
          <w:rFonts w:ascii="IRNazanin" w:hAnsi="IRNazanin" w:eastAsia="IRNazanin"/>
          <w:color w:val="111111"/>
          <w:sz w:val="28"/>
          <w:sz w:val="28"/>
          <w:szCs w:val="28"/>
          <w:rtl w:val="true"/>
          <w:lang w:bidi="fa-IR"/>
        </w:rPr>
        <w:t>، على أنَّ الرضي زاد على ذلك تعليلاً آخر، فرأى أنَّ الإضافة موضوعة من أجل التخفيف، فقبيح أنْ يجري التخفيف من وجه وهو حذف التنوين من الصفة ويُترَك الوجه الأهم وهو بقاء الضمیر في معمول الصفة</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ذهبت طائفة أُخرى من النحويین إلى منع هذه الاضافة مطلقًا في الشعر والنثر، وقد نُسِبَ القول بهذا الرأي إلى المبرد</w:t>
      </w:r>
      <w:r>
        <w:rPr>
          <w:rStyle w:val="FootnoteAnchor"/>
          <w:rtl w:val="true"/>
        </w:rPr>
        <w:footnoteReference w:id="1221"/>
      </w:r>
      <w:r>
        <w:rPr>
          <w:rFonts w:ascii="Amiri" w:hAnsi="Amiri" w:eastAsia="Amiri" w:cs="Amiri"/>
          <w:color w:val="111111"/>
          <w:sz w:val="28"/>
          <w:sz w:val="28"/>
          <w:szCs w:val="28"/>
          <w:rtl w:val="true"/>
          <w:lang w:bidi="ar-SA"/>
        </w:rPr>
        <w:t xml:space="preserve">، وهو ما اختاره الزجّاجي ناسبًا </w:t>
      </w:r>
    </w:p>
    <w:p>
      <w:pPr>
        <w:pStyle w:val="BookText"/>
        <w:rPr/>
      </w:pPr>
      <w:r>
        <w:rPr>
          <w:rFonts w:ascii="IRNazanin" w:hAnsi="IRNazanin" w:eastAsia="IRNazanin"/>
          <w:color w:val="111111"/>
          <w:sz w:val="28"/>
          <w:sz w:val="28"/>
          <w:szCs w:val="28"/>
          <w:rtl w:val="true"/>
          <w:lang w:bidi="fa-IR"/>
        </w:rPr>
        <w:t>القول به إلى جميع النحويین</w:t>
      </w:r>
      <w:r>
        <w:rPr>
          <w:rStyle w:val="FootnoteAnchor"/>
          <w:rtl w:val="true"/>
        </w:rPr>
        <w:footnoteReference w:id="1222"/>
      </w:r>
      <w:r>
        <w:rPr>
          <w:rFonts w:ascii="IRNazanin" w:hAnsi="IRNazanin" w:eastAsia="IRNazanin"/>
          <w:color w:val="111111"/>
          <w:sz w:val="28"/>
          <w:sz w:val="28"/>
          <w:szCs w:val="28"/>
          <w:rtl w:val="true"/>
          <w:lang w:bidi="fa-IR"/>
        </w:rPr>
        <w:t xml:space="preserve">، وقد أجابوا عماّ استشهد به سيبويه بأنَّ الضمیر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عائدًا على الموصوف، وانما هو عائد على سببه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ثُني الضمیر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لفظًا مثنى معنًى</w:t>
      </w:r>
      <w:r>
        <w:rPr>
          <w:rStyle w:val="FootnoteAnchor"/>
          <w:rtl w:val="true"/>
        </w:rPr>
        <w:footnoteReference w:id="1223"/>
      </w:r>
      <w:r>
        <w:rPr>
          <w:rFonts w:ascii="Amiri" w:hAnsi="Amiri" w:eastAsia="Amiri" w:cs="Amiri"/>
          <w:color w:val="111111"/>
          <w:sz w:val="28"/>
          <w:sz w:val="28"/>
          <w:szCs w:val="28"/>
          <w:rtl w:val="true"/>
          <w:lang w:bidi="ar-SA"/>
        </w:rPr>
        <w:t xml:space="preserve">، وقد رُدَّ هذا التوجيه لفساد المعنى؛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كميتا الأعالي جونتا مصطلاهما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اسودّت الجارتان واصطلى أعاليهما، وهذا لا يستقيم ودلالة البيت؛ لأن الأعالي لم تَسودّ لعدم وصول الدخان إليها</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ويبدو أنَّ السماع يقف بالضد من أقيسة النحويین، فقد وردت شواهد نحوية من النثر الفصيح كانت فيها إضافة الصفة المشبهة المجردة إلى معمولها المضاف واضحة لا يمكن تأويلها، من ذلك قول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الدجّال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لَمْ يَكُنْ نَبِيٌّ قَبْلِي إِلَّا حَذَّرَ الدَّجَّالَ أُمَّتَهُ، وَهُوَ أَعْوَرُ عَيْنِهِ الْيُسْرَى</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شواهد هذه الإضافة في كلام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وصف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الْهَامَةِ، كَثِیرَ شَعَرِ الرَّأْسِ رَجِلا، أَبْيَضَ مُشْرَبًا حُمْرَةً، طَوِيلَ الْمَسْرُبَةِ، شَثْنَ الْكَفَّیْنِ وَالْقَدَمَیْنِ، طَوِيلَ أَصَابِعِهَا</w:t>
      </w:r>
      <w:r>
        <w:rPr>
          <w:rFonts w:eastAsia="Amiri" w:cs="Amiri" w:ascii="Amiri" w:hAnsi="Amiri"/>
          <w:color w:val="111111"/>
          <w:sz w:val="28"/>
          <w:szCs w:val="28"/>
          <w:rtl w:val="true"/>
          <w:lang w:bidi="ar-SA"/>
        </w:rPr>
        <w:t>))</w:t>
      </w:r>
      <w:r>
        <w:rPr>
          <w:rStyle w:val="FootnoteAnchor"/>
          <w:rtl w:val="true"/>
        </w:rPr>
        <w:footnoteReference w:id="1226"/>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وشرح التسهيل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وشرح الكافية الشافية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نظر جمع من النحويین في هذه النصوص وسواها فقرّروا أنّ تلك </w:t>
      </w:r>
    </w:p>
    <w:p>
      <w:pPr>
        <w:pStyle w:val="BookText"/>
        <w:rPr/>
      </w:pPr>
      <w:r>
        <w:rPr>
          <w:rFonts w:ascii="IRNazanin" w:hAnsi="IRNazanin" w:eastAsia="IRNazanin"/>
          <w:color w:val="111111"/>
          <w:sz w:val="28"/>
          <w:sz w:val="28"/>
          <w:szCs w:val="28"/>
          <w:rtl w:val="true"/>
          <w:lang w:bidi="fa-IR"/>
        </w:rPr>
        <w:t>الإضافة واردة في السَّعة والاختيار، وهو المذهب الذي نُسب إلى الكوفيین</w:t>
      </w:r>
      <w:r>
        <w:rPr>
          <w:rStyle w:val="FootnoteAnchor"/>
          <w:rtl w:val="true"/>
        </w:rPr>
        <w:footnoteReference w:id="1227"/>
      </w:r>
      <w:r>
        <w:rPr>
          <w:rFonts w:ascii="Amiri" w:hAnsi="Amiri" w:eastAsia="Amiri" w:cs="Amiri"/>
          <w:color w:val="111111"/>
          <w:sz w:val="28"/>
          <w:sz w:val="28"/>
          <w:szCs w:val="28"/>
          <w:rtl w:val="true"/>
          <w:lang w:bidi="ar-SA"/>
        </w:rPr>
        <w:t>، واختاره السهيلي</w:t>
      </w:r>
      <w:r>
        <w:rPr>
          <w:rStyle w:val="FootnoteAnchor"/>
          <w:rtl w:val="true"/>
        </w:rPr>
        <w:footnoteReference w:id="1228"/>
      </w:r>
      <w:r>
        <w:rPr>
          <w:rFonts w:ascii="Amiri" w:hAnsi="Amiri" w:eastAsia="Amiri" w:cs="Amiri"/>
          <w:color w:val="111111"/>
          <w:sz w:val="28"/>
          <w:sz w:val="28"/>
          <w:szCs w:val="28"/>
          <w:rtl w:val="true"/>
          <w:lang w:bidi="ar-SA"/>
        </w:rPr>
        <w:t>، على أنَّ ابن مالك أجازه على ضعف مستندًا في ذلك إلى عدد من الشواهد النثرية</w:t>
      </w:r>
      <w:r>
        <w:rPr>
          <w:rStyle w:val="FootnoteAnchor"/>
          <w:rtl w:val="true"/>
        </w:rPr>
        <w:footnoteReference w:id="1229"/>
      </w:r>
      <w:r>
        <w:rPr>
          <w:rFonts w:ascii="Amiri" w:hAnsi="Amiri" w:eastAsia="Amiri" w:cs="Amiri"/>
          <w:color w:val="111111"/>
          <w:sz w:val="28"/>
          <w:sz w:val="28"/>
          <w:szCs w:val="28"/>
          <w:rtl w:val="true"/>
          <w:lang w:bidi="ar-SA"/>
        </w:rPr>
        <w:t xml:space="preserve">، معترضًا على مَن ذهب إلى تأويل بيت الشماخ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 اللفظ مثنى في المعنى،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صحيح في الاستعمال منافر للمعنى؛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مصطلى الأثفية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أسفلها، فإضافته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وأسفل الشيء لا يُضاف إلى أعلاه، ولا أعلاه إلى أسفله، بل يُضافان إلى ما هما له من أسفل وأعلى</w:t>
      </w:r>
      <w:r>
        <w:rPr>
          <w:rFonts w:eastAsia="Amiri" w:cs="Amiri" w:ascii="Amiri" w:hAnsi="Amiri"/>
          <w:color w:val="111111"/>
          <w:sz w:val="28"/>
          <w:szCs w:val="28"/>
          <w:rtl w:val="true"/>
          <w:lang w:bidi="ar-SA"/>
        </w:rPr>
        <w:t>))</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أنَّ حمل التثنية على الجمع فيه بُعد؛ والمعروف حمل الجمع على التثنية</w:t>
      </w:r>
      <w:r>
        <w:rPr>
          <w:rStyle w:val="FootnoteAnchor"/>
          <w:rtl w:val="true"/>
        </w:rPr>
        <w:footnoteReference w:id="1231"/>
      </w:r>
      <w:r>
        <w:rPr>
          <w:rFonts w:ascii="Amiri" w:hAnsi="Amiri" w:eastAsia="Amiri" w:cs="Amiri"/>
          <w:color w:val="111111"/>
          <w:sz w:val="28"/>
          <w:sz w:val="28"/>
          <w:szCs w:val="28"/>
          <w:rtl w:val="true"/>
          <w:lang w:bidi="ar-SA"/>
        </w:rPr>
        <w:t>، ثم إنَّ في هذا التأويل رجوعًا إلى ما انصُرِف عنه، والعرب لا ترتضي هذا</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ادّعاء كون الإضافة تفضي إلى إضافة الشيء إلى نفسِه وهو مما يمنعه النحويون فقد تكفَّل الرضي بالردِّ عليه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قصدوا إضافة الصفة إلى مرفوعها، فجعلوه في صورة المفعول، الذي هو أجنبي من ناصبه، ثم أضيفت إليه حتى لا يستنكر في الظاهر، وإن أراد أنه أُضيفَ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 إلى ضمیر راجع إلى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فكأنَّك أضفت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ضمیر نفسه وذلك لا يجوز، فليس بشيء؛ لأن ذلك لو امتنع لامتنع في المحضة أيضا، وقد قيل فيها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واحد أمه، وعبد بطنه وصدر بلده وطبيب مصره، ونحو ذلك</w:t>
      </w:r>
      <w:r>
        <w:rPr>
          <w:rFonts w:eastAsia="Amiri" w:cs="Amiri" w:ascii="Amiri" w:hAnsi="Amiri"/>
          <w:color w:val="111111"/>
          <w:sz w:val="28"/>
          <w:szCs w:val="28"/>
          <w:rtl w:val="true"/>
          <w:lang w:bidi="ar-SA"/>
        </w:rPr>
        <w:t>))</w:t>
      </w:r>
      <w:r>
        <w:rPr>
          <w:rStyle w:val="FootnoteAnchor"/>
          <w:rtl w:val="true"/>
        </w:rPr>
        <w:footnoteReference w:id="1233"/>
      </w:r>
      <w:r>
        <w:rPr>
          <w:rFonts w:ascii="IRNazanin" w:hAnsi="IRNazanin" w:eastAsia="IRNazanin"/>
          <w:color w:val="111111"/>
          <w:sz w:val="28"/>
          <w:sz w:val="28"/>
          <w:szCs w:val="28"/>
          <w:rtl w:val="true"/>
          <w:lang w:bidi="fa-IR"/>
        </w:rPr>
        <w:t xml:space="preserve">، ومما يعضد إضافة الشيء إلى نفسه أيضًا ورودها في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أكثر من موضع</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واستنادًا إلى كلِّ ما تقدم يترجَّح لديَّ مذهبُ من أجاز تلك الإضافة لورودها في أصح أدلّة السماع العربي من الحديث النبوي الشريف وكلام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نخلص إلى تعديل القاعدة النحوية بالآتي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في السعة والاختيار إضافة الصفة المشبهة المجردة إلى معمولها المضاف إلى ضمیر الموصوف لورود السماع بذلك في نهج البلاغة فضلاً عن السنة النبوية الشريفة</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7031_81053"/>
      <w:bookmarkStart w:id="221" w:name="pg7031_81053"/>
      <w:bookmarkEnd w:id="221"/>
    </w:p>
    <w:p>
      <w:pPr>
        <w:pStyle w:val="Heading2"/>
        <w:numPr>
          <w:ilvl w:val="1"/>
          <w:numId w:val="1"/>
        </w:numPr>
        <w:rPr/>
      </w:pPr>
      <w:bookmarkStart w:id="222" w:name="pg7031_81053"/>
      <w:bookmarkStart w:id="223" w:name="__RefHeading___Toc2958374_372815092"/>
      <w:bookmarkStart w:id="224" w:name="_Toc73"/>
      <w:bookmarkEnd w:id="222"/>
      <w:bookmarkEnd w:id="223"/>
      <w:r>
        <w:rPr>
          <w:rtl w:val="true"/>
        </w:rPr>
        <w:t xml:space="preserve">الباب الثالث ما لم يذكره أغلب النحويين وورد في كلام الإمام </w:t>
      </w:r>
      <w:r>
        <w:rPr>
          <w:rtl w:val="true"/>
        </w:rPr>
        <w:t>(</w:t>
      </w:r>
      <w:r>
        <w:rPr>
          <w:rtl w:val="true"/>
        </w:rPr>
        <w:t>عليه السلام</w:t>
      </w:r>
      <w:r>
        <w:rPr>
          <w:rtl w:val="true"/>
        </w:rPr>
        <w:t>)</w:t>
      </w:r>
      <w:bookmarkEnd w:id="224"/>
    </w:p>
    <w:p>
      <w:pPr>
        <w:pStyle w:val="Heading3"/>
        <w:numPr>
          <w:ilvl w:val="2"/>
          <w:numId w:val="1"/>
        </w:numPr>
        <w:rPr/>
      </w:pPr>
      <w:bookmarkStart w:id="225" w:name="__RefHeading___Toc2958376_372815092"/>
      <w:bookmarkStart w:id="226" w:name="_Toc74"/>
      <w:bookmarkEnd w:id="225"/>
      <w:r>
        <w:rPr>
          <w:rtl w:val="true"/>
        </w:rPr>
        <w:t>اشارة</w:t>
      </w:r>
      <w:bookmarkEnd w:id="22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يَذكرْهُ أغلبُ النحويين في أُسلوبَي القسم والشرط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يَذكرْهُ أغلبُ النحويين في مسائلَ أُخر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7031_81055"/>
      <w:bookmarkStart w:id="228" w:name="pg7031_81055"/>
      <w:bookmarkEnd w:id="228"/>
    </w:p>
    <w:p>
      <w:pPr>
        <w:pStyle w:val="Heading3"/>
        <w:numPr>
          <w:ilvl w:val="2"/>
          <w:numId w:val="1"/>
        </w:numPr>
        <w:rPr/>
      </w:pPr>
      <w:bookmarkStart w:id="229" w:name="pg7031_81055"/>
      <w:bookmarkStart w:id="230" w:name="__RefHeading___Toc2958378_372815092"/>
      <w:bookmarkStart w:id="231" w:name="_Toc75"/>
      <w:bookmarkEnd w:id="229"/>
      <w:bookmarkEnd w:id="230"/>
      <w:r>
        <w:rPr>
          <w:rtl w:val="true"/>
        </w:rPr>
        <w:t>توطئة</w:t>
      </w:r>
      <w:r>
        <w:rPr>
          <w:rtl w:val="true"/>
        </w:rPr>
        <w:t>:</w:t>
      </w:r>
      <w:bookmarkEnd w:id="231"/>
    </w:p>
    <w:p>
      <w:pPr>
        <w:pStyle w:val="BookText"/>
        <w:rPr/>
      </w:pPr>
      <w:r>
        <w:rPr>
          <w:rFonts w:ascii="IRNazanin" w:hAnsi="IRNazanin" w:eastAsia="IRNazanin"/>
          <w:color w:val="111111"/>
          <w:sz w:val="28"/>
          <w:sz w:val="28"/>
          <w:szCs w:val="28"/>
          <w:rtl w:val="true"/>
          <w:lang w:bidi="fa-IR"/>
        </w:rPr>
        <w:t>من المعلوم لدى الدارسین أنّ علماء العربية الأوائل قد قاموا بجهودٍ مهمةٍ في استقراء اللغة بهدف الحفاظ عليها من اللحن والخطإِ، والوصول إلى وصف قواعدها، وتبويب مسائلها، غیر أنَّ سَعة العربية وامتدادها فضلاً عن البواعث أو الأسباب التي رافقت موقف طائفة من النحويین من أدلّة السماع العربي فمنعوا الاحتجاج ببعضها، وضعَّفوا الاستشهاد ببعضٍ آخر، كلُّ ذلك أفضى إلى إغفال جملة من الاستعمالات العربية الفصيحة التي حاول عددٌ من متأخري النحویين تسجليها أو استدراكها على من تقدَّمهم من العلماء، وقد تغيب بعض التراكيب النحوية عن علماء العربية القدماء والمتأخرين معًا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وموضوع هذا الباب هو رصد جملة من الأنماط النحوية التي لم يُشِر إليها النحويون أو أغلبهم فيما وضعوه من قواعد، إلا أنها قد وردتْ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الأمر الذي ينبغي أنْ يُصار إلى تفريع قواعد جديدة استنادًا إلى ذلك؛ لأنَّ أغلب القواعد يجب أنْ تسیرَ متَّسقةً مع الشواهد التي تستند إليها أو تؤيِّدها، قال ابن جني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أنَّك إذا أدَّاكَ القياس إلى شيءٍ ما ثم سمعتَ العرب قد نطقتْ فيه بشيءٍ آخر على قياس غیره فدعْ ما كنتَ عليه إلى ما هم عليه</w:t>
      </w:r>
      <w:r>
        <w:rPr>
          <w:rFonts w:eastAsia="IRNazanin" w:cs="IRNazanin"/>
          <w:color w:val="111111"/>
          <w:sz w:val="28"/>
          <w:szCs w:val="28"/>
          <w:rtl w:val="true"/>
          <w:lang w:bidi="fa-IR"/>
        </w:rPr>
        <w:t>))</w:t>
      </w:r>
      <w:r>
        <w:rPr>
          <w:rStyle w:val="FootnoteAnchor"/>
          <w:rtl w:val="true"/>
        </w:rPr>
        <w:footnoteReference w:id="1235"/>
      </w:r>
      <w:r>
        <w:rPr>
          <w:rFonts w:ascii="IRNazanin" w:hAnsi="IRNazanin" w:eastAsia="IRNazanin"/>
          <w:color w:val="111111"/>
          <w:sz w:val="28"/>
          <w:sz w:val="28"/>
          <w:szCs w:val="28"/>
          <w:rtl w:val="true"/>
          <w:lang w:bidi="fa-IR"/>
        </w:rPr>
        <w:t xml:space="preserve">،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أكثر النحويین يسعَون في الغالب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تكميل الثغرات بالمنطق والقياس لا بمعاودة </w:t>
      </w:r>
    </w:p>
    <w:p>
      <w:pPr>
        <w:pStyle w:val="BookText"/>
        <w:rPr/>
      </w:pPr>
      <w:r>
        <w:rPr>
          <w:rFonts w:ascii="Amiri" w:hAnsi="Amiri" w:eastAsia="Amiri" w:cs="Amiri"/>
          <w:color w:val="111111"/>
          <w:sz w:val="28"/>
          <w:sz w:val="28"/>
          <w:szCs w:val="28"/>
          <w:rtl w:val="true"/>
          <w:lang w:bidi="ar-SA"/>
        </w:rPr>
        <w:t>المشافهة</w:t>
      </w:r>
      <w:r>
        <w:rPr>
          <w:rFonts w:eastAsia="Amiri" w:cs="Amiri" w:ascii="Amiri" w:hAnsi="Amiri"/>
          <w:color w:val="111111"/>
          <w:sz w:val="28"/>
          <w:szCs w:val="28"/>
          <w:rtl w:val="true"/>
          <w:lang w:bidi="ar-SA"/>
        </w:rPr>
        <w:t>))</w:t>
      </w:r>
      <w:r>
        <w:rPr>
          <w:rStyle w:val="FootnoteAnchor"/>
          <w:rtl w:val="true"/>
        </w:rPr>
        <w:footnoteReference w:id="1236"/>
      </w:r>
      <w:r>
        <w:rPr>
          <w:rFonts w:ascii="Amiri" w:hAnsi="Amiri" w:eastAsia="Amiri" w:cs="Amiri"/>
          <w:color w:val="111111"/>
          <w:sz w:val="28"/>
          <w:sz w:val="28"/>
          <w:szCs w:val="28"/>
          <w:rtl w:val="true"/>
          <w:lang w:bidi="ar-SA"/>
        </w:rPr>
        <w:t>، زيادةً على عدم استمرار تلك المشافهة طوال مدة الدراسة</w:t>
      </w:r>
      <w:r>
        <w:rPr>
          <w:rStyle w:val="FootnoteAnchor"/>
          <w:rtl w:val="true"/>
        </w:rPr>
        <w:footnoteReference w:id="1237"/>
      </w:r>
      <w:r>
        <w:rPr>
          <w:rFonts w:ascii="IRNazanin" w:hAnsi="IRNazanin" w:eastAsia="IRNazanin"/>
          <w:color w:val="111111"/>
          <w:sz w:val="28"/>
          <w:sz w:val="28"/>
          <w:szCs w:val="28"/>
          <w:rtl w:val="true"/>
          <w:lang w:bidi="fa-IR"/>
        </w:rPr>
        <w:t xml:space="preserve">، وهذا سببٌ من أَسباب عدم الاطِّلاع على الكثیر من الاستعمالات العربية الفصيحة التي زخرتْ بها كتب التراث اللغوي ولاسيما تراث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والاحتجاج النحوي بكلامِ الفرد مذهبٌ رآه ابن جني؛ فقد أشار الى جواز الاحتكام إلى ما يَرد على لسان الفرد العربي الفصيح في تقرير القواعد وبنائها وإنْ لم يُسمعْ هذا الكلام من غیره، هذا ما عقده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الشيء يُسمعُ من العربي الفصيح، لا يُسمع من غیره</w:t>
      </w:r>
      <w:r>
        <w:rPr>
          <w:rFonts w:eastAsia="IRNazanin" w:cs="IRNazanin"/>
          <w:color w:val="111111"/>
          <w:sz w:val="28"/>
          <w:szCs w:val="28"/>
          <w:rtl w:val="true"/>
          <w:lang w:bidi="fa-IR"/>
        </w:rPr>
        <w:t>))</w:t>
      </w:r>
      <w:r>
        <w:rPr>
          <w:rStyle w:val="FootnoteAnchor"/>
          <w:rtl w:val="true"/>
        </w:rPr>
        <w:footnoteReference w:id="1238"/>
      </w:r>
      <w:r>
        <w:rPr>
          <w:rFonts w:ascii="IRNazanin" w:hAnsi="IRNazanin" w:eastAsia="IRNazanin"/>
          <w:color w:val="111111"/>
          <w:sz w:val="28"/>
          <w:sz w:val="28"/>
          <w:szCs w:val="28"/>
          <w:rtl w:val="true"/>
          <w:lang w:bidi="fa-IR"/>
        </w:rPr>
        <w:t>، مستشهدًا على ذلك بكثیر من المسائل اللغوية والنحوية التي وردتْ على لسان فُرادى من العرب منتهيًا في ضوء ذلك إلى الحكم بوجوب قبول تلك الاستعمالات والقياس عليها</w:t>
      </w:r>
      <w:r>
        <w:rPr>
          <w:rStyle w:val="FootnoteAnchor"/>
          <w:rtl w:val="true"/>
        </w:rPr>
        <w:footnoteReference w:id="1239"/>
      </w:r>
      <w:r>
        <w:rPr>
          <w:rFonts w:ascii="Amiri" w:hAnsi="Amiri" w:eastAsia="Amiri" w:cs="Amiri"/>
          <w:color w:val="111111"/>
          <w:sz w:val="28"/>
          <w:sz w:val="28"/>
          <w:szCs w:val="28"/>
          <w:rtl w:val="true"/>
          <w:lang w:bidi="ar-SA"/>
        </w:rPr>
        <w:t>، وإنْ كانتْ تلك الاستعمالاتُ مخالِفةً لمِا عليه الجمهور، فالعِبرة بفصاحة لسان العربي وقوة بيانه</w:t>
      </w:r>
      <w:r>
        <w:rPr>
          <w:rStyle w:val="FootnoteAnchor"/>
          <w:rtl w:val="true"/>
        </w:rPr>
        <w:footnoteReference w:id="1240"/>
      </w:r>
      <w:r>
        <w:rPr>
          <w:rFonts w:ascii="IRNazanin" w:hAnsi="IRNazanin" w:eastAsia="IRNazanin"/>
          <w:color w:val="111111"/>
          <w:sz w:val="28"/>
          <w:sz w:val="28"/>
          <w:szCs w:val="28"/>
          <w:rtl w:val="true"/>
          <w:lang w:bidi="fa-IR"/>
        </w:rPr>
        <w:t xml:space="preserve">، ولا أعلم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 كان أم مؤالفًا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لديه شكٌ في فصاحة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وبلاغته، ولعلّ ما ذكره الجاحظ في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قيمه كلِّ امرئ ما يحسنه</w:t>
      </w:r>
      <w:r>
        <w:rPr>
          <w:rFonts w:eastAsia="IRNazanin" w:cs="IRNazanin"/>
          <w:color w:val="111111"/>
          <w:sz w:val="28"/>
          <w:szCs w:val="28"/>
          <w:rtl w:val="true"/>
          <w:lang w:bidi="fa-IR"/>
        </w:rPr>
        <w:t>))</w:t>
      </w:r>
      <w:r>
        <w:rPr>
          <w:rStyle w:val="FootnoteAnchor"/>
          <w:rtl w:val="true"/>
        </w:rPr>
        <w:footnoteReference w:id="1241"/>
      </w:r>
      <w:r>
        <w:rPr>
          <w:rFonts w:ascii="IRNazanin" w:hAnsi="IRNazanin" w:eastAsia="IRNazanin"/>
          <w:color w:val="111111"/>
          <w:sz w:val="28"/>
          <w:sz w:val="28"/>
          <w:szCs w:val="28"/>
          <w:rtl w:val="true"/>
          <w:lang w:bidi="fa-IR"/>
        </w:rPr>
        <w:t>وافٍ في بيان ذلك،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لم نقف من هذا الكتاب إلا على هذه الكلمة لوجدناها شافيةً كافيةً، ومجزئة مغنية، بل لوجدناها فاضلة عن الكفاية، وغیر مقصرة عن الغاية</w:t>
      </w:r>
      <w:r>
        <w:rPr>
          <w:rFonts w:eastAsia="IRNazanin" w:cs="IRNazanin"/>
          <w:color w:val="111111"/>
          <w:sz w:val="28"/>
          <w:szCs w:val="28"/>
          <w:rtl w:val="true"/>
          <w:lang w:bidi="fa-IR"/>
        </w:rPr>
        <w:t>))</w:t>
      </w:r>
      <w:r>
        <w:rPr>
          <w:rStyle w:val="FootnoteAnchor"/>
          <w:rtl w:val="true"/>
        </w:rPr>
        <w:footnoteReference w:id="1242"/>
      </w:r>
      <w:r>
        <w:rPr>
          <w:rFonts w:ascii="IRNazanin" w:hAnsi="IRNazanin" w:eastAsia="IRNazanin"/>
          <w:color w:val="111111"/>
          <w:sz w:val="28"/>
          <w:sz w:val="28"/>
          <w:szCs w:val="28"/>
          <w:rtl w:val="true"/>
          <w:lang w:bidi="fa-IR"/>
        </w:rPr>
        <w:t xml:space="preserve">وليس هذا بمستغرَب عمّن نهلَ من معین القرآن الكريم والسنة النبوية </w:t>
      </w:r>
    </w:p>
    <w:p>
      <w:pPr>
        <w:pStyle w:val="BookText"/>
        <w:rPr/>
      </w:pPr>
      <w:r>
        <w:rPr>
          <w:rFonts w:ascii="IRNazanin" w:hAnsi="IRNazanin" w:eastAsia="IRNazanin"/>
          <w:color w:val="111111"/>
          <w:sz w:val="28"/>
          <w:sz w:val="28"/>
          <w:szCs w:val="28"/>
          <w:rtl w:val="true"/>
          <w:lang w:bidi="fa-IR"/>
        </w:rPr>
        <w:t>الشريفة، وهذا ما صرَّح به ابن أبي الحديد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فانظرْ القرآن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الناس قد اتفقوا على أنَّه في أعلى طبقات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وتأمله تأملاً شافيًا، وانظر إلى ما خصَّ به من مزية الفصاحة والبعد عن التقعیر والتقعيب، والكلام الوحشي الغريب، وانظر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تجده مشتقًا من ألفاظه، ومقتضبًا من معانيه ومذاهبه، ومحذوًّا به حذوه ومسلوكًا به في منهاجه، فهو وإن لم يكن نظیرًا ولا ندًّا يصلح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بعده كلام أفصح منه ولا أجزل، ولا أعلى ولا أفخم ولا أنبل، إلا أن يكون كلام ابن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تقسيمُ هذا الباب فإنه قد قام على فصلين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يَذكرْه أغلبُ النحويين في أُسلوبَی القسم والشرط</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يَذكرْه أغلبُ النحويين في مسائلَ أُخر</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7031_81059"/>
      <w:bookmarkStart w:id="233" w:name="pg7031_81059"/>
      <w:bookmarkEnd w:id="233"/>
    </w:p>
    <w:p>
      <w:pPr>
        <w:pStyle w:val="Heading3"/>
        <w:numPr>
          <w:ilvl w:val="2"/>
          <w:numId w:val="1"/>
        </w:numPr>
        <w:rPr/>
      </w:pPr>
      <w:bookmarkStart w:id="234" w:name="pg7031_81059"/>
      <w:bookmarkStart w:id="235" w:name="__RefHeading___Toc2958380_372815092"/>
      <w:bookmarkStart w:id="236" w:name="_Toc76"/>
      <w:bookmarkEnd w:id="234"/>
      <w:bookmarkEnd w:id="235"/>
      <w:r>
        <w:rPr>
          <w:rtl w:val="true"/>
        </w:rPr>
        <w:t>الفصل الأول ما لم يَذكرْه أغلبُ النحويين في أُسلوبَي القسم والشرط</w:t>
      </w:r>
      <w:bookmarkEnd w:id="236"/>
    </w:p>
    <w:p>
      <w:pPr>
        <w:pStyle w:val="Heading4"/>
        <w:numPr>
          <w:ilvl w:val="3"/>
          <w:numId w:val="1"/>
        </w:numPr>
        <w:rPr/>
      </w:pPr>
      <w:bookmarkStart w:id="237" w:name="__RefHeading___Toc2958382_372815092"/>
      <w:bookmarkStart w:id="238" w:name="_Toc77"/>
      <w:bookmarkEnd w:id="237"/>
      <w:r>
        <w:rPr>
          <w:rtl w:val="true"/>
        </w:rPr>
        <w:t>اشارة</w:t>
      </w:r>
      <w:bookmarkEnd w:id="23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يذكرْهُ أغلبُ النحويين في أُسلوب القَسَم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يَذكرْهُ أغلبُ النحويين في أُسلوب الشرط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7031_81061"/>
      <w:bookmarkStart w:id="240" w:name="pg7031_81061"/>
      <w:bookmarkEnd w:id="240"/>
    </w:p>
    <w:p>
      <w:pPr>
        <w:pStyle w:val="Heading4"/>
        <w:numPr>
          <w:ilvl w:val="3"/>
          <w:numId w:val="1"/>
        </w:numPr>
        <w:rPr/>
      </w:pPr>
      <w:bookmarkStart w:id="241" w:name="pg7031_81061"/>
      <w:bookmarkStart w:id="242" w:name="__RefHeading___Toc2958384_372815092"/>
      <w:bookmarkStart w:id="243" w:name="_Toc78"/>
      <w:bookmarkEnd w:id="241"/>
      <w:bookmarkEnd w:id="242"/>
      <w:r>
        <w:rPr>
          <w:rtl w:val="true"/>
        </w:rPr>
        <w:t>المبحث الأول ما لم يذكرْه أغلبُ النحويين في أُسلوب القسَم</w:t>
      </w:r>
      <w:bookmarkEnd w:id="243"/>
    </w:p>
    <w:p>
      <w:pPr>
        <w:pStyle w:val="Heading5"/>
        <w:numPr>
          <w:ilvl w:val="4"/>
          <w:numId w:val="1"/>
        </w:numPr>
        <w:rPr/>
      </w:pPr>
      <w:bookmarkStart w:id="244" w:name="__RefHeading___Toc2958386_372815092"/>
      <w:bookmarkStart w:id="245" w:name="_Toc79"/>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عرَّف النحويون القسمَ بأنَّه جملة تؤكَّد بها جملة أُخرى</w:t>
      </w:r>
      <w:r>
        <w:rPr>
          <w:rStyle w:val="FootnoteAnchor"/>
          <w:rtl w:val="true"/>
        </w:rPr>
        <w:footnoteReference w:id="1244"/>
      </w:r>
      <w:r>
        <w:rPr>
          <w:rFonts w:ascii="IRNazanin" w:hAnsi="IRNazanin" w:eastAsia="IRNazanin"/>
          <w:color w:val="111111"/>
          <w:sz w:val="28"/>
          <w:sz w:val="28"/>
          <w:szCs w:val="28"/>
          <w:rtl w:val="true"/>
          <w:lang w:bidi="fa-IR"/>
        </w:rPr>
        <w:t>، ومعنى هذا أنَّه يقوم على جملتین؛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القسم والأُخرى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جواب القسم، وهي الأهم؛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للقسم من جواب؛ لأنّه به تقع الفائدة ويتم الكلام، ولأنّه هو المحلوف عليه، ومُحال ذكر حلف بغیر محلوف عليه</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 xml:space="preserve">، ولمّا كان قوام القسم جملتین مختلفتین الواحدة مستقلة عن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كانتا متعلقتین إحداهما بالأُخرى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جيءَ بأحرفٍ تربط إحداهُما بالأُخرى كربطِ حَرفِ الشرطِ الشرطَ بالجزاءِ</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قسَّم علماء العربية القسَمَ من حيث جوابُه على ضربین،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جواب القسمِ الخبرية،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جواب القسم الطلبية، وهما النمطان اللذان سأَدرسهما بقاعدتین منفصلتین على النحو الآتي</w:t>
      </w:r>
      <w:r>
        <w:rPr>
          <w:rFonts w:eastAsia="IRNazanin" w:cs="IRNazanin"/>
          <w:color w:val="111111"/>
          <w:sz w:val="28"/>
          <w:szCs w:val="28"/>
          <w:rtl w:val="true"/>
          <w:lang w:bidi="fa-IR"/>
        </w:rPr>
        <w:t xml:space="preserve">: </w:t>
      </w:r>
      <w:bookmarkStart w:id="246" w:name="pg7031_81062"/>
    </w:p>
    <w:p>
      <w:pPr>
        <w:pStyle w:val="Heading5"/>
        <w:numPr>
          <w:ilvl w:val="4"/>
          <w:numId w:val="1"/>
        </w:numPr>
        <w:rPr/>
      </w:pPr>
      <w:bookmarkStart w:id="247" w:name="__RefHeading___Toc2958388_372815092"/>
      <w:bookmarkStart w:id="248" w:name="_Toc80"/>
      <w:bookmarkEnd w:id="246"/>
      <w:bookmarkEnd w:id="247"/>
      <w:r>
        <w:rPr>
          <w:rtl w:val="true"/>
        </w:rPr>
        <w:t>المسألة الأولى</w:t>
      </w:r>
      <w:r>
        <w:rPr>
          <w:rtl w:val="true"/>
        </w:rPr>
        <w:t xml:space="preserve">: </w:t>
      </w:r>
      <w:r>
        <w:rPr>
          <w:rtl w:val="true"/>
        </w:rPr>
        <w:t xml:space="preserve">جواز ورود </w:t>
      </w:r>
      <w:r>
        <w:rPr>
          <w:rtl w:val="true"/>
        </w:rPr>
        <w:t>(</w:t>
      </w:r>
      <w:r>
        <w:rPr>
          <w:rtl w:val="true"/>
        </w:rPr>
        <w:t>كأنَّ</w:t>
      </w:r>
      <w:r>
        <w:rPr>
          <w:rtl w:val="true"/>
        </w:rPr>
        <w:t xml:space="preserve">) </w:t>
      </w:r>
      <w:r>
        <w:rPr>
          <w:rtl w:val="true"/>
        </w:rPr>
        <w:t>في جواب القسَم الخبري</w:t>
      </w:r>
      <w:r>
        <w:rPr>
          <w:rtl w:val="true"/>
        </w:rPr>
        <w:t>:</w:t>
      </w:r>
      <w:bookmarkEnd w:id="248"/>
    </w:p>
    <w:p>
      <w:pPr>
        <w:pStyle w:val="BookText"/>
        <w:rPr/>
      </w:pPr>
      <w:r>
        <w:rPr>
          <w:rFonts w:ascii="Amiri" w:hAnsi="Amiri" w:eastAsia="Amiri" w:cs="Amiri"/>
          <w:color w:val="111111"/>
          <w:sz w:val="28"/>
          <w:sz w:val="28"/>
          <w:szCs w:val="28"/>
          <w:rtl w:val="true"/>
          <w:lang w:bidi="ar-SA"/>
        </w:rPr>
        <w:t xml:space="preserve">يقصد النحويون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كانت جملةُ جوابِه خبريةً، وهي إما إسمية أو فعلية، فإن كانت إسميةً فهي إمّا مثبتة أو منفية؛ فإن كانت مثبَتة أُجيبَ القَسَم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مشدّدةً أو 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كانت منفية فيُجابُ القَسَمُ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وتعليلُ وجود هذه الأحرف في الجواب هو إفادتها التوكيد الذي من أجله جاء القَسَم</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الرضي الاسترابادي فصَّلَ القولَ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القسم ومواضع دخولها وشرائط كلِّ موضع، فرأى أنَّ كلَّ موضعٍ تدخله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أنْ تدخلَه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القسم، وبهذا نفهم أنَّ موقفه هو المواءمة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المعنى؛ لأنّهما تدلان على التوكيد سواء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جواب القسم، وعلّة ذلك علة مشابهة؛ إذ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التأكيد المطلوب من القسم حاصل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جملة ما ذكرَ من تلك المواضع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شذوذًا</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وسوى ما ذكره الرضي لم يُشِرْ أَحدٌ من النحويینَ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وقفتُ عليه من 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للقَسَم فضلاً عن حذفِ جملةِ القسَم وإبقاءِ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عليها، إلاّ أبو حَيّان الأندلسي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ويجوزُ دخولُها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قولُ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القَنَمَةُ؟ واللهِ لَكَأَنَّا على حُشَشَةٍ</w:t>
      </w:r>
      <w:r>
        <w:rPr>
          <w:rFonts w:eastAsia="Amiri" w:cs="Amiri" w:ascii="Amiri" w:hAnsi="Amiri"/>
          <w:color w:val="111111"/>
          <w:sz w:val="28"/>
          <w:szCs w:val="28"/>
          <w:rtl w:val="true"/>
          <w:lang w:bidi="ar-SA"/>
        </w:rPr>
        <w:t>))</w:t>
      </w:r>
      <w:r>
        <w:rPr>
          <w:rStyle w:val="FootnoteAnchor"/>
          <w:rtl w:val="true"/>
        </w:rPr>
        <w:footnoteReference w:id="125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وهذا ما ذكره السيوطي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وأخذ به الأُستاذ عباس حسن من المحدثین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الداخلة على جواب القسم لا تدخل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المشدَّدة ولا على شيء من أخواتها،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لكأنَّ صدقة البخيل اقتطاع من جسده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أبو حيّان والسيوطي والأُستاذ عباس حسن لم يقفوا في إجازتهم هذا الاستعمالَ على شواهد معلومة القائل وغیر مصنوعة فإننا بوسعنا الاستدلال على صحته وإجازة القياس عليه بكلام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 في توبيخ أصحابه على التواطؤ عن نصرة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لَكَأَنِّی بِكُمْ فِيمَا إِخَالُكُمْ أَنْ لَوْ حَمِسَ اَلْوَغَى وَحَمِيَ اَلضِّرَابُ قَدِ اِنْفَرَجْتُمْ عَنِ اِبْنِ أَبِی طَالِبٍ اِنْفِرَاجَ اَلْمَرْأَةِ عَنْ قُبُلِهَا</w:t>
      </w:r>
      <w:r>
        <w:rPr>
          <w:rFonts w:eastAsia="Amiri" w:cs="Amiri" w:ascii="Amiri" w:hAnsi="Amiri"/>
          <w:color w:val="111111"/>
          <w:sz w:val="28"/>
          <w:szCs w:val="28"/>
          <w:rtl w:val="true"/>
          <w:lang w:bidi="ar-SA"/>
        </w:rPr>
        <w:t>))</w:t>
      </w:r>
      <w:r>
        <w:rPr>
          <w:rStyle w:val="FootnoteAnchor"/>
          <w:rtl w:val="true"/>
        </w:rPr>
        <w:footnoteReference w:id="1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أصحابه الخذلان في أكثر من موطن وموقف حكمَ على أنَّ ذلك الموقف سيستمر منهم ويتخلّون عنه في أوقات اشتداد الحرب، ولهذا كان كلامُه هذا مبنيًا على القَسَم يريد أنَّ ذلك سيحصل لا محالة، مؤكِّدًا هذا بجواب القسم المصدَّر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المتلوّة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القطع واليقین في مثل هذا الموطن وهو مذهب الكوفيین والزجّاجي</w:t>
      </w:r>
      <w:r>
        <w:rPr>
          <w:rStyle w:val="FootnoteAnchor"/>
          <w:rtl w:val="true"/>
        </w:rPr>
        <w:footnoteReference w:id="1253"/>
      </w:r>
      <w:r>
        <w:rPr>
          <w:rFonts w:ascii="Amiri" w:hAnsi="Amiri" w:eastAsia="Amiri" w:cs="Amiri"/>
          <w:color w:val="111111"/>
          <w:sz w:val="28"/>
          <w:sz w:val="28"/>
          <w:szCs w:val="28"/>
          <w:rtl w:val="true"/>
          <w:lang w:bidi="ar-SA"/>
        </w:rPr>
        <w:t xml:space="preserve">، على أنَّ سياق كلام الإمام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p>
    <w:p>
      <w:pPr>
        <w:pStyle w:val="BookText"/>
        <w:rPr/>
      </w:pPr>
      <w:r>
        <w:rPr>
          <w:rFonts w:ascii="IRNazanin" w:hAnsi="IRNazanin" w:eastAsia="IRNazanin"/>
          <w:color w:val="111111"/>
          <w:sz w:val="28"/>
          <w:sz w:val="28"/>
          <w:szCs w:val="28"/>
          <w:rtl w:val="true"/>
          <w:lang w:bidi="fa-IR"/>
        </w:rPr>
        <w:t xml:space="preserve">على 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التشبيه أيضًا، ولهذا لا معنى لحصر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في سياق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الظن؛ إذ لا مدخل لجواب القسم بعد الظّن الدال على الشك</w:t>
      </w:r>
      <w:r>
        <w:rPr>
          <w:rStyle w:val="FootnoteAnchor"/>
          <w:rtl w:val="true"/>
        </w:rPr>
        <w:footnoteReference w:id="1254"/>
      </w:r>
      <w:r>
        <w:rPr>
          <w:rFonts w:ascii="Amiri" w:hAnsi="Amiri" w:eastAsia="Amiri" w:cs="Amiri"/>
          <w:color w:val="111111"/>
          <w:sz w:val="28"/>
          <w:sz w:val="28"/>
          <w:szCs w:val="28"/>
          <w:rtl w:val="true"/>
          <w:lang w:bidi="ar-SA"/>
        </w:rPr>
        <w:t>، وبهذا يكون هذا الاستعمالُ أحدَ الصور التي يجب أنْ تأخذَ نصيبها من تبويب القواعد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الشواهد العَلَوية على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في ذكر الملاحم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لكَأَنِّی أَنْظُرُ إِلَی ضِلِّيلٍ قَدْ نَعَقَ بِالشَّامِ وَفَحَصَ بِرَايَاتِهِ فِی ضَوَاحِي كُوفَانَ</w:t>
      </w:r>
      <w:r>
        <w:rPr>
          <w:rFonts w:eastAsia="Amiri" w:cs="Amiri" w:ascii="Amiri" w:hAnsi="Amiri"/>
          <w:color w:val="111111"/>
          <w:sz w:val="28"/>
          <w:szCs w:val="28"/>
          <w:rtl w:val="true"/>
          <w:lang w:bidi="ar-SA"/>
        </w:rPr>
        <w:t>))</w:t>
      </w:r>
      <w:r>
        <w:rPr>
          <w:rStyle w:val="FootnoteAnchor"/>
          <w:rtl w:val="true"/>
        </w:rPr>
        <w:footnoteReference w:id="1255"/>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قسم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لكأنِّ أنظر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الشواهد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راهبٍ قُتِل مَعه في صِفِّین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لكأنِّی أنظر إليه وإلى زَوجتِه وإلى مَنزلتِه ودرجته التي أكرمَهُ اللهُ بها</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يؤكِّد شيوع هذا الاستعمال وروده على لسان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أكثر من شاهد من ذلك قول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لعُبيد اللهِ بن عُمَرَ بن الخطّاب</w:t>
      </w:r>
      <w:r>
        <w:rPr>
          <w:rStyle w:val="FootnoteAnchor"/>
          <w:rtl w:val="true"/>
        </w:rPr>
        <w:footnoteReference w:id="1257"/>
      </w:r>
      <w:r>
        <w:rPr>
          <w:rFonts w:ascii="Amiri" w:hAnsi="Amiri" w:eastAsia="Amiri" w:cs="Amiri"/>
          <w:color w:val="111111"/>
          <w:sz w:val="28"/>
          <w:sz w:val="28"/>
          <w:szCs w:val="28"/>
          <w:rtl w:val="true"/>
          <w:lang w:bidi="ar-SA"/>
        </w:rPr>
        <w:t>وهو يُقاتلُ إلى جانبِ معاويةَ في صفّینَ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الخطّاب، واللهِ لكأَنّی أنظرُ إليكَ مقتولاً في يومِكَ أو غدِكَ</w:t>
      </w:r>
      <w:r>
        <w:rPr>
          <w:rFonts w:eastAsia="Amiri" w:cs="Amiri" w:ascii="Amiri" w:hAnsi="Amiri"/>
          <w:color w:val="111111"/>
          <w:sz w:val="28"/>
          <w:szCs w:val="28"/>
          <w:rtl w:val="true"/>
          <w:lang w:bidi="ar-SA"/>
        </w:rPr>
        <w:t>))</w:t>
      </w:r>
      <w:r>
        <w:rPr>
          <w:rStyle w:val="FootnoteAnchor"/>
          <w:rtl w:val="true"/>
        </w:rPr>
        <w:footnoteReference w:id="1258"/>
      </w:r>
      <w:r>
        <w:rPr>
          <w:rFonts w:ascii="IRNazanin" w:hAnsi="IRNazanin" w:eastAsia="IRNazanin"/>
          <w:color w:val="111111"/>
          <w:sz w:val="28"/>
          <w:sz w:val="28"/>
          <w:szCs w:val="28"/>
          <w:rtl w:val="true"/>
          <w:lang w:bidi="fa-IR"/>
        </w:rPr>
        <w:t xml:space="preserve">، وقول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ذاكرًا الإمامَ </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لكأَنّی أنظُرُ إليهِ وَقَدْ أسْنَدَ ظهْرَهُ إلى الحَجَرِ، ثمَّ يَنْشُدُ اللهَ حَقَّهُ</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السماعُ أقوى حجةً على جواز هذا النمط إلا أنّه يمكن الاحتكام إلى القياس والصناعة النحوية لتقويته أيضًا، فالمانع من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القسم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المعنى والصناعة النحوية أيضًا،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موضوع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واقع في جواب القسم كذلك، فلا يجتمعان</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ولعل،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يمنع من وقوعها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القسم كراهة توالي الأمثال، فالسبب صوتي، وهو نفسه الذي منع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منفيًا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Style w:val="FootnoteAnchor"/>
          <w:rtl w:val="true"/>
        </w:rPr>
        <w:footnoteReference w:id="1261"/>
      </w:r>
      <w:r>
        <w:rPr>
          <w:rFonts w:ascii="IRNazanin" w:hAnsi="IRNazanin" w:eastAsia="IRNazanin"/>
          <w:color w:val="111111"/>
          <w:sz w:val="28"/>
          <w:sz w:val="28"/>
          <w:szCs w:val="28"/>
          <w:rtl w:val="true"/>
          <w:lang w:bidi="fa-IR"/>
        </w:rPr>
        <w:t xml:space="preserve">، كما يمتنع هذا الاقتران للسبب نفسِه إذا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في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لهذا يجب الفصل بينهما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كراهة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اللامین</w:t>
      </w:r>
      <w:r>
        <w:rPr>
          <w:rFonts w:eastAsia="IRNazanin" w:cs="IRNazanin"/>
          <w:color w:val="111111"/>
          <w:sz w:val="28"/>
          <w:szCs w:val="28"/>
          <w:rtl w:val="true"/>
          <w:lang w:bidi="fa-IR"/>
        </w:rPr>
        <w:t>)</w:t>
      </w:r>
      <w:r>
        <w:rPr>
          <w:rStyle w:val="FootnoteAnchor"/>
          <w:rtl w:val="true"/>
        </w:rPr>
        <w:footnoteReference w:id="1262"/>
      </w:r>
      <w:r>
        <w:rPr>
          <w:rFonts w:ascii="Amiri" w:hAnsi="Amiri" w:eastAsia="Amiri" w:cs="Amiri"/>
          <w:color w:val="111111"/>
          <w:sz w:val="28"/>
          <w:sz w:val="28"/>
          <w:szCs w:val="28"/>
          <w:rtl w:val="true"/>
          <w:lang w:bidi="ar-SA"/>
        </w:rPr>
        <w:t xml:space="preserve">، وتمتنع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جواب القسم إذا كان منفيًا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مما تقدَّم أنَّ الذي منع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القسم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الى كراهة تصدّر حرفین لمعنى واحد، على حین أنَّ كراهة اجتماع المثْلین هي سبب عدم 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للأحرف المبدوءة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 ولعل، ولكنّ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ولاشك في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فيها هذان المانعانِ، ولهذا جاز وقوعها جوابًا للقسم مسبوقة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أنّه ينبغي أنْ 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التحقيق في هذا النمط من الاستعمال، إذ إنَّ القسمَ موضوعٌ للتوكيد والتحقيق كما تبیَّن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يتصل بأُسلوب القسم أيضًا انفراد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بالجملة القَسَمية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برأ النَّسَمة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 في خطبة في ذكر الملاحم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والَّذِي فَلَقَ اَلْحَبَّةَ وَ بَرَأَ اَلنَّسَمَةَ إِنَّ اَلَّذِي أُنَبِّئُكُمْ بِهِ عَنِ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 اَلْمُبَلِّغُ وَ لاَ جَهِلَ اَلسَّامِعُ</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ابن الأنباري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برأَ الله عباده يبرؤهم برءًا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قول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يمينه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فلقَ الحبةَ وبرأَ النَّسَمَةَ</w:t>
      </w:r>
      <w:r>
        <w:rPr>
          <w:rFonts w:eastAsia="Amiri" w:cs="Amiri" w:ascii="Amiri" w:hAnsi="Amiri"/>
          <w:color w:val="111111"/>
          <w:sz w:val="28"/>
          <w:szCs w:val="28"/>
          <w:rtl w:val="true"/>
          <w:lang w:bidi="ar-SA"/>
        </w:rPr>
        <w:t>»))</w:t>
      </w:r>
      <w:r>
        <w:rPr>
          <w:rStyle w:val="FootnoteAnchor"/>
          <w:rtl w:val="true"/>
        </w:rPr>
        <w:footnoteReference w:id="1265"/>
      </w:r>
      <w:r>
        <w:rPr>
          <w:rFonts w:ascii="Amiri" w:hAnsi="Amiri" w:eastAsia="Amiri" w:cs="Amiri"/>
          <w:color w:val="111111"/>
          <w:sz w:val="28"/>
          <w:sz w:val="28"/>
          <w:szCs w:val="28"/>
          <w:rtl w:val="true"/>
          <w:lang w:bidi="ar-SA"/>
        </w:rPr>
        <w:t>، وأكد ذلك اللغويون أيضًا</w:t>
      </w:r>
      <w:r>
        <w:rPr>
          <w:rStyle w:val="FootnoteAnchor"/>
          <w:rtl w:val="true"/>
        </w:rPr>
        <w:footnoteReference w:id="126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وفطن له من شُّراح النهج ابن أبي الحديد،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القسم لا يزال أمیر المؤمنین يُقسم به، وهو من مبتكراته ومبتدعاته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نخلص مما تقدَّم إلى إعادة صوغ القاعدة بالآتي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القسم الخبري استنادًا إلى ورود ذلك في نهج البلاغة، كما يجوز استعمال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القسَم</w:t>
      </w:r>
      <w:r>
        <w:rPr>
          <w:rFonts w:eastAsia="Amiri" w:cs="Amiri" w:ascii="Amiri" w:hAnsi="Amiri"/>
          <w:color w:val="111111"/>
          <w:sz w:val="28"/>
          <w:szCs w:val="28"/>
          <w:rtl w:val="true"/>
          <w:lang w:bidi="ar-SA"/>
        </w:rPr>
        <w:t xml:space="preserve">. </w:t>
      </w:r>
      <w:bookmarkStart w:id="249" w:name="pg7031_81067"/>
    </w:p>
    <w:p>
      <w:pPr>
        <w:pStyle w:val="Heading5"/>
        <w:numPr>
          <w:ilvl w:val="4"/>
          <w:numId w:val="1"/>
        </w:numPr>
        <w:rPr/>
      </w:pPr>
      <w:bookmarkStart w:id="250" w:name="__RefHeading___Toc2958390_372815092"/>
      <w:bookmarkStart w:id="251" w:name="_Toc81"/>
      <w:bookmarkEnd w:id="249"/>
      <w:bookmarkEnd w:id="250"/>
      <w:r>
        <w:rPr>
          <w:rtl w:val="true"/>
        </w:rPr>
        <w:t>المسألة الثانية</w:t>
      </w:r>
      <w:r>
        <w:rPr>
          <w:rtl w:val="true"/>
        </w:rPr>
        <w:t xml:space="preserve">: </w:t>
      </w:r>
      <w:r>
        <w:rPr>
          <w:rtl w:val="true"/>
        </w:rPr>
        <w:t>جواز وقوع جواب القَسم الطَّلَبي مَصدرًا مُؤوَّلًا</w:t>
      </w:r>
      <w:r>
        <w:rPr>
          <w:rtl w:val="true"/>
        </w:rPr>
        <w:t>:</w:t>
      </w:r>
      <w:bookmarkEnd w:id="251"/>
    </w:p>
    <w:p>
      <w:pPr>
        <w:pStyle w:val="BookText"/>
        <w:rPr/>
      </w:pPr>
      <w:r>
        <w:rPr>
          <w:rFonts w:ascii="Amiri" w:hAnsi="Amiri" w:eastAsia="Amiri" w:cs="Amiri"/>
          <w:color w:val="111111"/>
          <w:sz w:val="28"/>
          <w:sz w:val="28"/>
          <w:szCs w:val="28"/>
          <w:rtl w:val="true"/>
          <w:lang w:bidi="ar-SA"/>
        </w:rPr>
        <w:t>قَسَم الطلب، أو قَسَم السؤال</w:t>
      </w:r>
      <w:r>
        <w:rPr>
          <w:rStyle w:val="FootnoteAnchor"/>
          <w:rtl w:val="true"/>
        </w:rPr>
        <w:footnoteReference w:id="1267"/>
      </w:r>
      <w:r>
        <w:rPr>
          <w:rFonts w:ascii="Amiri" w:hAnsi="Amiri" w:eastAsia="Amiri" w:cs="Amiri"/>
          <w:color w:val="111111"/>
          <w:sz w:val="28"/>
          <w:sz w:val="28"/>
          <w:szCs w:val="28"/>
          <w:rtl w:val="true"/>
          <w:lang w:bidi="ar-SA"/>
        </w:rPr>
        <w:t>، أو القَسَم الاستعطافي</w:t>
      </w:r>
      <w:r>
        <w:rPr>
          <w:rStyle w:val="FootnoteAnchor"/>
          <w:rtl w:val="true"/>
        </w:rPr>
        <w:footnoteReference w:id="1268"/>
      </w:r>
      <w:r>
        <w:rPr>
          <w:rFonts w:ascii="Amiri" w:hAnsi="Amiri" w:eastAsia="Amiri" w:cs="Amiri"/>
          <w:color w:val="111111"/>
          <w:sz w:val="28"/>
          <w:sz w:val="28"/>
          <w:szCs w:val="28"/>
          <w:rtl w:val="true"/>
          <w:lang w:bidi="ar-SA"/>
        </w:rPr>
        <w:t>مصطلحات يدور معناها على نمط من أنماط القسم في العربية يقصد النحويون به ما كان جوابُه جملةً طلبية</w:t>
      </w:r>
      <w:r>
        <w:rPr>
          <w:rStyle w:val="FootnoteAnchor"/>
          <w:rtl w:val="true"/>
        </w:rPr>
        <w:footnoteReference w:id="126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وتمهيد القواعد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3074</w:t>
      </w:r>
      <w:r>
        <w:rPr>
          <w:rFonts w:ascii="Amiri" w:hAnsi="Amiri" w:eastAsia="Amiri" w:cs="Amiri"/>
          <w:color w:val="111111"/>
          <w:sz w:val="28"/>
          <w:sz w:val="28"/>
          <w:szCs w:val="28"/>
          <w:rtl w:val="true"/>
          <w:lang w:bidi="ar-SA"/>
        </w:rPr>
        <w:t>، والأساليب الإنشائية في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ومعناه أنْ يكون المُقسَم عليه مطلوبًا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ويُؤدَّى هذا النوع من القَسَم بمجموعة من الأفعال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ونشد، وذكَّر، وأقسم، وشهد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سيبويه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من الأفعال أشياء فيها معنى اليمین، يجري الفعل بعدها مجراه بعد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وذلك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لأفعلنَّ، وأشهدُ لأفعلنَّ، وأقسمتُ بالله عليك لَتفعلنَّ</w:t>
      </w:r>
      <w:r>
        <w:rPr>
          <w:rFonts w:eastAsia="IRNazanin" w:cs="IRNazanin"/>
          <w:color w:val="111111"/>
          <w:sz w:val="28"/>
          <w:szCs w:val="28"/>
          <w:rtl w:val="true"/>
          <w:lang w:bidi="fa-IR"/>
        </w:rPr>
        <w:t>))</w:t>
      </w:r>
      <w:r>
        <w:rPr>
          <w:rStyle w:val="FootnoteAnchor"/>
          <w:rtl w:val="true"/>
        </w:rPr>
        <w:footnoteReference w:id="1270"/>
      </w:r>
      <w:r>
        <w:rPr>
          <w:rFonts w:ascii="Amiri" w:hAnsi="Amiri" w:eastAsia="Amiri" w:cs="Amiri"/>
          <w:color w:val="111111"/>
          <w:sz w:val="28"/>
          <w:sz w:val="28"/>
          <w:szCs w:val="28"/>
          <w:rtl w:val="true"/>
          <w:lang w:bidi="ar-SA"/>
        </w:rPr>
        <w:t>، وذكر هذا المعنى في موضع آخر، فقال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 الخليل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 فعلتَ ولمّا فعلت، لِمَ جاز هذا في هذا الموضع، وإنما أقسمت ههنا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الكلام لتفعلَنَّ، ههنا ولكنهم إنما أجازوا هذا؛ لأنهم شبَّهوه بنشدتك الله؛ إذ كان فيه معنى الطلب</w:t>
      </w:r>
      <w:r>
        <w:rPr>
          <w:rFonts w:eastAsia="Amiri" w:cs="Amiri" w:ascii="Amiri" w:hAnsi="Amiri"/>
          <w:color w:val="111111"/>
          <w:sz w:val="28"/>
          <w:szCs w:val="28"/>
          <w:rtl w:val="true"/>
          <w:lang w:bidi="ar-SA"/>
        </w:rPr>
        <w:t>))</w:t>
      </w:r>
      <w:r>
        <w:rPr>
          <w:rStyle w:val="FootnoteAnchor"/>
          <w:rtl w:val="true"/>
        </w:rPr>
        <w:footnoteReference w:id="1271"/>
      </w:r>
      <w:r>
        <w:rPr>
          <w:rFonts w:ascii="Amiri" w:hAnsi="Amiri" w:eastAsia="Amiri" w:cs="Amiri"/>
          <w:color w:val="111111"/>
          <w:sz w:val="28"/>
          <w:sz w:val="28"/>
          <w:szCs w:val="28"/>
          <w:rtl w:val="true"/>
          <w:lang w:bidi="ar-SA"/>
        </w:rPr>
        <w:t xml:space="preserve">، وليسَ النطق بهذه الأفعال مجرَّدةً دليلاً على القَسَم، وإنّما يُعلم ذلكَ بأنْ يليَها لفظُ </w:t>
      </w:r>
    </w:p>
    <w:p>
      <w:pPr>
        <w:pStyle w:val="BookText"/>
        <w:rPr/>
      </w:pPr>
      <w:r>
        <w:rPr>
          <w:rFonts w:ascii="Amiri" w:hAnsi="Amiri" w:eastAsia="Amiri" w:cs="Amiri"/>
          <w:color w:val="111111"/>
          <w:sz w:val="28"/>
          <w:sz w:val="28"/>
          <w:szCs w:val="28"/>
          <w:rtl w:val="true"/>
          <w:lang w:bidi="ar-SA"/>
        </w:rPr>
        <w:t xml:space="preserve">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 xml:space="preserve">، وقد عُرِّفَ هذا النوع من القسَم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طلبية يُراد بها توكيد معنى جملة طلبية أُخرى مشتملة على ما يُثبر الشعور والعاطفة</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اشترط أغلبُ النحويین لجواب هذا الضَّرْب من القسم أن يكون جملة طلبية، فقصروا معنى الطلب على الأساليب الإنشائية من أمر، أو نهي، أو استفهام،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Style w:val="FootnoteAnchor"/>
          <w:rtl w:val="true"/>
        </w:rPr>
        <w:footnoteReference w:id="127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والإيضاح في شرح المفصل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وشرح الكافية الشافية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 وشرح الرضي على 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ومغني اللبيب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وشرح التصريح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وحاشية الصبان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والنحو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والأساليب الإنشائية في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وإعراب القرآن وبيانه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 كما أُجيز أن يُابَ القسم أيضًا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خبرًا بمعنى الأمر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أغلب النحويین فهموا من الطلب مؤدّاه اللفظي المنحصرِ في الأساليب الإنشائية الطلبية، وهو فهم يعوزه التفسیر الدقيق لمعنى الطلب، كما يفتقر الى الاستقراء التام لشواهد العربية التي جاء فيها القسَم الاستعطافي مُجابًا بمعنى الطلب لا بصيَغِه الإنشائية التي حدّدها النحويون، فقد ورد في نهج البلاغة جوابُ القسم مُصدَّرًا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الخليفةَ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أَنْشُدُكَ اَللَّهَ أَنْ تَكُونَ إِمَامَ هَذِهِ اَلْأُمَّةِ اَلْمَقْتُولَ فَإِنَّهُ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فِی هَذِهِ اَلْأُمَّةِ إِمَامٌ يَفْتَحُ عَلَيْهَا اَلْقَتْلَ وَ اَلْقِتَالَ إِلَی يَوْمِ اَلْقِيَامَةِ</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أدرك الإمام بحسب الظروف والقرائن وما يتحرك به الناس أنَّ الخليفة عثمان سيُقتل إنْ بقيَ على موقفه يمارس هو وعشیرته المقرَّبون الظلم والعدوان على الأُمة؛ إذ الأخبار الواردة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تؤكِّد ذلك</w:t>
      </w:r>
      <w:r>
        <w:rPr>
          <w:rStyle w:val="FootnoteAnchor"/>
          <w:rtl w:val="true"/>
        </w:rPr>
        <w:footnoteReference w:id="1276"/>
      </w:r>
      <w:r>
        <w:rPr>
          <w:rFonts w:ascii="IRNazanin" w:hAnsi="IRNazanin" w:eastAsia="IRNazanin"/>
          <w:color w:val="111111"/>
          <w:sz w:val="28"/>
          <w:sz w:val="28"/>
          <w:szCs w:val="28"/>
          <w:rtl w:val="true"/>
          <w:lang w:bidi="fa-IR"/>
        </w:rPr>
        <w:t xml:space="preserve">، لذا جاء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سبيل النُّصح والتحذير مُدلًا عليه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 بالله</w:t>
      </w:r>
      <w:r>
        <w:rPr>
          <w:rStyle w:val="FootnoteAnchor"/>
          <w:rtl w:val="true"/>
        </w:rPr>
        <w:footnoteReference w:id="1277"/>
      </w:r>
      <w:r>
        <w:rPr>
          <w:rFonts w:ascii="Amiri" w:hAnsi="Amiri" w:eastAsia="Amiri" w:cs="Amiri"/>
          <w:color w:val="111111"/>
          <w:sz w:val="28"/>
          <w:sz w:val="28"/>
          <w:szCs w:val="28"/>
          <w:rtl w:val="true"/>
          <w:lang w:bidi="ar-SA"/>
        </w:rPr>
        <w:t>، وهو خطاب للخليفة عثمان وتحذير له باستعمال أُسلوب القسم بالله تعالى بأنْ لا يفعل ما يكون بسببه الإمامَ المقتولَ الذي يفتح على المسلمين القتل والقتال</w:t>
      </w:r>
      <w:r>
        <w:rPr>
          <w:rStyle w:val="FootnoteAnchor"/>
          <w:rtl w:val="true"/>
        </w:rPr>
        <w:footnoteReference w:id="1278"/>
      </w:r>
      <w:r>
        <w:rPr>
          <w:rFonts w:ascii="Amiri" w:hAnsi="Amiri" w:eastAsia="Amiri" w:cs="Amiri"/>
          <w:color w:val="111111"/>
          <w:sz w:val="28"/>
          <w:sz w:val="28"/>
          <w:szCs w:val="28"/>
          <w:rtl w:val="true"/>
          <w:lang w:bidi="ar-SA"/>
        </w:rPr>
        <w:t xml:space="preserve">، وهذا ما صرَّحت به جملة جواب القسم المصدَّرة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وهي جملة دالة على الطلب بمعناها؛ لأنها صلة الطلب، وهذا ما يُسب لابن سيده الذي 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ما يجوز أن يُجاب به القسم الاستعطافي، فقد نصَّ على ذلك وهو يذكر الألفاظ التي تستعمل في هذا النمط من القسم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الدالة على معنى الطلب والسؤال،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جوابُا كلها ما ذكرت لك؛ لأَن الأمر والنهي والاستفهام كلها بمعنى السؤال والاستدعاء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صلَة الطَّلَبِ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أَن تقوم</w:t>
      </w:r>
      <w:r>
        <w:rPr>
          <w:rFonts w:eastAsia="Amiri" w:cs="Amiri" w:ascii="Amiri" w:hAnsi="Amiri"/>
          <w:color w:val="111111"/>
          <w:sz w:val="28"/>
          <w:szCs w:val="28"/>
          <w:rtl w:val="true"/>
          <w:lang w:bidi="ar-SA"/>
        </w:rPr>
        <w:t>))</w:t>
      </w:r>
      <w:r>
        <w:rPr>
          <w:rStyle w:val="FootnoteAnchor"/>
          <w:rtl w:val="true"/>
        </w:rPr>
        <w:footnoteReference w:id="1279"/>
      </w:r>
      <w:r>
        <w:rPr>
          <w:rFonts w:ascii="Amiri" w:hAnsi="Amiri" w:eastAsia="Amiri" w:cs="Amiri"/>
          <w:color w:val="111111"/>
          <w:sz w:val="28"/>
          <w:sz w:val="28"/>
          <w:szCs w:val="28"/>
          <w:rtl w:val="true"/>
          <w:lang w:bidi="ar-SA"/>
        </w:rPr>
        <w:t>، وفطن لهذا المعنى أبو حيان وعلّل بما علّل به ابن سيده</w:t>
      </w:r>
      <w:r>
        <w:rPr>
          <w:rStyle w:val="FootnoteAnchor"/>
          <w:rtl w:val="true"/>
        </w:rPr>
        <w:footnoteReference w:id="1280"/>
      </w:r>
      <w:r>
        <w:rPr>
          <w:rFonts w:ascii="Amiri" w:hAnsi="Amiri" w:eastAsia="Amiri" w:cs="Amiri"/>
          <w:color w:val="111111"/>
          <w:sz w:val="28"/>
          <w:sz w:val="28"/>
          <w:szCs w:val="28"/>
          <w:rtl w:val="true"/>
          <w:lang w:bidi="ar-SA"/>
        </w:rPr>
        <w:t>، كما أشار إليه ناظر الجيش أيضًا</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مما تقدّم أنَّ جواب القسم الطلبي لا ينحصر بالصِّيَغ التي يذكرها </w:t>
      </w:r>
    </w:p>
    <w:p>
      <w:pPr>
        <w:pStyle w:val="BookText"/>
        <w:rPr/>
      </w:pPr>
      <w:r>
        <w:rPr>
          <w:rFonts w:ascii="Amiri" w:hAnsi="Amiri" w:eastAsia="Amiri" w:cs="Amiri"/>
          <w:color w:val="111111"/>
          <w:sz w:val="28"/>
          <w:sz w:val="28"/>
          <w:szCs w:val="28"/>
          <w:rtl w:val="true"/>
          <w:lang w:bidi="ar-SA"/>
        </w:rPr>
        <w:t>النحويون، بل المراد به أنْ يكون ذلك المذكور مطلوبًا للمتكلم</w:t>
      </w:r>
      <w:r>
        <w:rPr>
          <w:rStyle w:val="FootnoteAnchor"/>
          <w:rtl w:val="true"/>
        </w:rPr>
        <w:footnoteReference w:id="1282"/>
      </w:r>
      <w:r>
        <w:rPr>
          <w:rFonts w:ascii="Amiri" w:hAnsi="Amiri" w:eastAsia="Amiri" w:cs="Amiri"/>
          <w:color w:val="111111"/>
          <w:sz w:val="28"/>
          <w:sz w:val="28"/>
          <w:szCs w:val="28"/>
          <w:rtl w:val="true"/>
          <w:lang w:bidi="ar-SA"/>
        </w:rPr>
        <w:t>، ولا شك في أنَّ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 تقومَ، يدل على معنى الطلب بالمعنى لا بالصيغة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واستنادًا إلى ما تقدَّم بالإمكان تقديم تعديل للقاعدة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وقوع جواب القسم الطلبي مصدرًا مؤولًا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المضارع، لأنه يدل على الطلب بمعناه، لورود ذلك في نهج البلاغة وفي كلام العرب</w:t>
      </w:r>
      <w:r>
        <w:rPr>
          <w:rFonts w:eastAsia="Amiri" w:cs="Amiri" w:ascii="Amiri" w:hAnsi="Amiri"/>
          <w:color w:val="111111"/>
          <w:sz w:val="28"/>
          <w:szCs w:val="28"/>
          <w:rtl w:val="true"/>
          <w:lang w:bidi="ar-SA"/>
        </w:rPr>
        <w:t xml:space="preserve">. </w:t>
      </w:r>
      <w:bookmarkStart w:id="252" w:name="pg7031_81071"/>
    </w:p>
    <w:p>
      <w:pPr>
        <w:pStyle w:val="Heading4"/>
        <w:numPr>
          <w:ilvl w:val="3"/>
          <w:numId w:val="1"/>
        </w:numPr>
        <w:rPr/>
      </w:pPr>
      <w:bookmarkStart w:id="253" w:name="__RefHeading___Toc2958392_372815092"/>
      <w:bookmarkStart w:id="254" w:name="_Toc82"/>
      <w:bookmarkEnd w:id="252"/>
      <w:bookmarkEnd w:id="253"/>
      <w:r>
        <w:rPr>
          <w:rtl w:val="true"/>
        </w:rPr>
        <w:t>المبحث الثاني ما لم يذكرْه أغلبُ النحويين في أُسلوب الشرط</w:t>
      </w:r>
      <w:r>
        <w:rPr>
          <w:rtl w:val="true"/>
        </w:rPr>
        <w:t>:</w:t>
      </w:r>
      <w:bookmarkEnd w:id="254"/>
    </w:p>
    <w:p>
      <w:pPr>
        <w:pStyle w:val="Heading5"/>
        <w:numPr>
          <w:ilvl w:val="4"/>
          <w:numId w:val="1"/>
        </w:numPr>
        <w:rPr/>
      </w:pPr>
      <w:bookmarkStart w:id="255" w:name="__RefHeading___Toc2958394_372815092"/>
      <w:bookmarkStart w:id="256" w:name="_Toc83"/>
      <w:bookmarkEnd w:id="255"/>
      <w:r>
        <w:rPr>
          <w:rtl w:val="true"/>
        </w:rPr>
        <w:t>المسألة الأولى</w:t>
      </w:r>
      <w:r>
        <w:rPr>
          <w:rtl w:val="true"/>
        </w:rPr>
        <w:t xml:space="preserve">: </w:t>
      </w:r>
      <w:r>
        <w:rPr>
          <w:rtl w:val="true"/>
        </w:rPr>
        <w:t xml:space="preserve">ورود جواب </w:t>
      </w:r>
      <w:r>
        <w:rPr>
          <w:rtl w:val="true"/>
        </w:rPr>
        <w:t>(</w:t>
      </w:r>
      <w:r>
        <w:rPr>
          <w:rtl w:val="true"/>
        </w:rPr>
        <w:t>لو</w:t>
      </w:r>
      <w:r>
        <w:rPr>
          <w:rtl w:val="true"/>
        </w:rPr>
        <w:t xml:space="preserve">) </w:t>
      </w:r>
      <w:r>
        <w:rPr>
          <w:rtl w:val="true"/>
        </w:rPr>
        <w:t>جملة استفهامية</w:t>
      </w:r>
      <w:r>
        <w:rPr>
          <w:rtl w:val="true"/>
        </w:rPr>
        <w:t>:</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شرطيةٌ غیر جازمة، صرَّح سيبويه بوظيفتها ومعناها،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سيقع لوقوع غیره</w:t>
      </w:r>
      <w:r>
        <w:rPr>
          <w:rFonts w:eastAsia="IRNazanin" w:cs="IRNazanin"/>
          <w:color w:val="111111"/>
          <w:sz w:val="28"/>
          <w:szCs w:val="28"/>
          <w:rtl w:val="true"/>
          <w:lang w:bidi="fa-IR"/>
        </w:rPr>
        <w:t>))</w:t>
      </w:r>
      <w:r>
        <w:rPr>
          <w:rStyle w:val="FootnoteAnchor"/>
          <w:rtl w:val="true"/>
        </w:rPr>
        <w:footnoteReference w:id="1283"/>
      </w:r>
      <w:r>
        <w:rPr>
          <w:rFonts w:ascii="Amiri" w:hAnsi="Amiri" w:eastAsia="Amiri" w:cs="Amiri"/>
          <w:color w:val="111111"/>
          <w:sz w:val="28"/>
          <w:sz w:val="28"/>
          <w:szCs w:val="28"/>
          <w:rtl w:val="true"/>
          <w:lang w:bidi="ar-SA"/>
        </w:rPr>
        <w:t>وهي تدلُّ على الزمن الماضي</w:t>
      </w:r>
      <w:r>
        <w:rPr>
          <w:rStyle w:val="FootnoteAnchor"/>
          <w:rtl w:val="true"/>
        </w:rPr>
        <w:footnoteReference w:id="1284"/>
      </w:r>
      <w:r>
        <w:rPr>
          <w:rFonts w:ascii="IRNazanin" w:hAnsi="IRNazanin" w:eastAsia="IRNazanin"/>
          <w:color w:val="111111"/>
          <w:sz w:val="28"/>
          <w:sz w:val="28"/>
          <w:szCs w:val="28"/>
          <w:rtl w:val="true"/>
          <w:lang w:bidi="fa-IR"/>
        </w:rPr>
        <w:t>، وقد تردُ للمستقبل</w:t>
      </w:r>
      <w:r>
        <w:rPr>
          <w:rStyle w:val="FootnoteAnchor"/>
          <w:rtl w:val="true"/>
        </w:rPr>
        <w:footnoteReference w:id="1285"/>
      </w:r>
      <w:r>
        <w:rPr>
          <w:rFonts w:ascii="IRNazanin" w:hAnsi="IRNazanin" w:eastAsia="IRNazanin"/>
          <w:color w:val="111111"/>
          <w:sz w:val="28"/>
          <w:sz w:val="28"/>
          <w:szCs w:val="28"/>
          <w:rtl w:val="true"/>
          <w:lang w:bidi="fa-IR"/>
        </w:rPr>
        <w:t>، والمعنى الذي ذكره سيبويه أدقُّ من المعنى الشائع لدى كثیرٍ من النحويین بأنها حرف امتناع لامتناع؛ إذ إنَّ امتناع الشرط لا يستلزم امتناع الجواب؛ فقد يستلزمه أو لا يستلزمه، قال 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اتضح أنَّ أفسد تفسیر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امتناع 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العبارة الجیدة قول سیبویة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لما كان سيقع لوقوع غیره</w:t>
      </w:r>
      <w:r>
        <w:rPr>
          <w:rFonts w:eastAsia="IRNazanin" w:cs="IRNazanin"/>
          <w:color w:val="111111"/>
          <w:sz w:val="28"/>
          <w:szCs w:val="28"/>
          <w:rtl w:val="true"/>
          <w:lang w:bidi="fa-IR"/>
        </w:rPr>
        <w:t>»))</w:t>
      </w:r>
      <w:r>
        <w:rPr>
          <w:rStyle w:val="FootnoteAnchor"/>
          <w:rtl w:val="true"/>
        </w:rPr>
        <w:footnoteReference w:id="1286"/>
      </w:r>
      <w:r>
        <w:rPr>
          <w:rFonts w:ascii="Amiri" w:hAnsi="Amiri" w:eastAsia="Amiri" w:cs="Amiri"/>
          <w:color w:val="111111"/>
          <w:sz w:val="28"/>
          <w:sz w:val="28"/>
          <w:szCs w:val="28"/>
          <w:rtl w:val="true"/>
          <w:lang w:bidi="ar-SA"/>
        </w:rPr>
        <w:t xml:space="preserve">، وقد تنبَّه لهذا المعنى المحدثون أيضًا، فقد ذهب الدكتور مهدي المخزومي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أداة شرط تُستعمل فيما لا يُتوقَع حدوثه، وفيما يمتنع تحققه، أو فيما هو مُحال، أو من قبيل المحال</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ومما يؤكِّد صحة مقولة سيبويه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تُستعمل فيما كان سيقع لوقوع غیره اقترانُ فعل الشرط بعدها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أبا علي الشلوبيني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ذلك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الامتناع، بل مدلولها ما نصَّ عليه سيبويه من أنَّها تقتضي لزوم جوابها لشرطها فقط</w:t>
      </w:r>
      <w:r>
        <w:rPr>
          <w:rFonts w:eastAsia="IRNazanin" w:cs="IRNazanin"/>
          <w:color w:val="111111"/>
          <w:sz w:val="28"/>
          <w:szCs w:val="28"/>
          <w:rtl w:val="true"/>
          <w:lang w:bidi="fa-IR"/>
        </w:rPr>
        <w:t>))</w:t>
      </w:r>
      <w:r>
        <w:rPr>
          <w:rStyle w:val="FootnoteAnchor"/>
          <w:rtl w:val="true"/>
        </w:rPr>
        <w:footnoteReference w:id="1288"/>
      </w:r>
      <w:r>
        <w:rPr>
          <w:rFonts w:ascii="IRNazanin" w:hAnsi="IRNazanin" w:eastAsia="IRNazanin"/>
          <w:color w:val="111111"/>
          <w:sz w:val="28"/>
          <w:sz w:val="28"/>
          <w:szCs w:val="28"/>
          <w:rtl w:val="true"/>
          <w:lang w:bidi="fa-IR"/>
        </w:rPr>
        <w:t>، على حین أنَّ أغلب النحويین أو جميعهم يمنعون هذا الاقتران</w:t>
      </w:r>
      <w:r>
        <w:rPr>
          <w:rStyle w:val="FootnoteAnchor"/>
          <w:rtl w:val="true"/>
        </w:rPr>
        <w:footnoteReference w:id="1289"/>
      </w:r>
      <w:r>
        <w:rPr>
          <w:rFonts w:ascii="Amiri" w:hAnsi="Amiri" w:eastAsia="Amiri" w:cs="Amiri"/>
          <w:color w:val="111111"/>
          <w:sz w:val="28"/>
          <w:sz w:val="28"/>
          <w:szCs w:val="28"/>
          <w:rtl w:val="true"/>
          <w:lang w:bidi="ar-SA"/>
        </w:rPr>
        <w:t>، وقد فطن لهذا النمط النحوي أُستاذُنا الدكتور علي عبد الفتّاح في دراسته لنهج البلاغة</w:t>
      </w:r>
      <w:r>
        <w:rPr>
          <w:rStyle w:val="FootnoteAnchor"/>
          <w:rtl w:val="true"/>
        </w:rPr>
        <w:footnoteReference w:id="1290"/>
      </w:r>
      <w:r>
        <w:rPr>
          <w:rFonts w:ascii="Amiri" w:hAnsi="Amiri" w:eastAsia="Amiri" w:cs="Amiri"/>
          <w:color w:val="111111"/>
          <w:sz w:val="28"/>
          <w:sz w:val="28"/>
          <w:szCs w:val="28"/>
          <w:rtl w:val="true"/>
          <w:lang w:bidi="ar-SA"/>
        </w:rPr>
        <w:t xml:space="preserve">، مستشهدًا له بأربعة نصوص من كلام أمیر المؤمنین،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اِسْتَوَتْ قَدَمَايَ مِنْ هَذِهِ اَلْمَدَاحِضِ لَغَیَّرْتُ أَشْيَاءَ</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لي إضافة على ما ذكره الدكتور علي، فقد بسط القول في المسألة، وأشبعها بحثًا وتحليلاً، لكن أودُّ أن أذكر ههنا عددًا من الشواهد النحوية في غیر نصوص نهج البلاغة من أجل بيان مدى شيوع هذا النمط في كلام العرب من جهة، وإغفال النحويین له في التقعيد النحوي من جهةٍ أُخرى، من ذلك قولُ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دَخَلَ بَيْتَ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مُخَنَّثٌ، فَقَالَ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فَتَحْتَ الطَّائِفَ لَقَدْ أُرِيتُكَ بَادِيَةَ بِنْتَ غَيْلاَنَ، فَإِنَّهَا تُقْبِلُ بِأَرْبَعٍ، وَتُدْبِرُ بِثَماَنٍ</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 xml:space="preserve">، وقول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قد خرجَ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لنصَره الله بالملائكة المسوّمين</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ورد هذا النمط في الشعر العربي أيضًا من ذلك قول جرير</w:t>
      </w:r>
      <w:r>
        <w:rPr>
          <w:rStyle w:val="FootnoteAnchor"/>
          <w:rtl w:val="true"/>
        </w:rPr>
        <w:footnoteReference w:id="12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قدْ بايعوكَ وليَّ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لَقامَ القِسْطُ وَاعتَدَلَ البِنَاءُ وقول أبي العتاهية</w:t>
      </w:r>
      <w:r>
        <w:rPr>
          <w:rStyle w:val="FootnoteAnchor"/>
          <w:rtl w:val="true"/>
        </w:rPr>
        <w:footnoteReference w:id="12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لِنَفْسِكَ عُدّة لِلقَاءِ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أَتَاكَ رسُولُهُ لَمْ تمتَنِعْ أما فيما يخص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استقرى علماء العربية كلام العرب فانتهى إحصاؤهم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لا يأتي جوابها إلا فعلاً ماضيًا مثبتًا، أو منفيًا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مضارعًا منفيًا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ويناز جواب هذه الأداة باقترانه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الجواب مثبتًا فالغالب فيه اقترانه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إذا كان منفيًا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 يقرن بها البتّة، وإن كان منفيًا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فالغالب أنْ يتجرَّد منها</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يَرد في كتب النحويین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وقفتُ عليه من 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جملةً استفهاميةً، وإن كان الرضي صرَّح بأنّ جواب الشرط يجوز أنْ يخلو من الرابط فيما إذا كان استفهامًا، على أنه خصَّ بذلك ما يقترن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Style w:val="FootnoteAnchor"/>
          <w:rtl w:val="true"/>
        </w:rPr>
        <w:footnoteReference w:id="1297"/>
      </w:r>
      <w:r>
        <w:rPr>
          <w:rFonts w:ascii="Amiri" w:hAnsi="Amiri" w:eastAsia="Amiri" w:cs="Amiri"/>
          <w:color w:val="111111"/>
          <w:sz w:val="28"/>
          <w:sz w:val="28"/>
          <w:szCs w:val="28"/>
          <w:rtl w:val="true"/>
          <w:lang w:bidi="ar-SA"/>
        </w:rPr>
        <w:t xml:space="preserve">،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يقترن جوابها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الاستدلال بكلام أمیر المؤمنین يُثبِتُ صحة ورود الاستفهام جوابًا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قد أرسله قوم من أهل البصرة، لما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ليعلم لهم منه حقيقة حاله مع أصحاب الجمل لتزول الشبهة من نفوسهم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أَنَّ اَلَّذِينَ وَرَاءَكَ بَعَثُوكَ رَائِدًا تَبْتَغِي لَهُمْ مَسَاقِطَ اَلْغَيْثِ فَرَجَعْتَ إِلَيْهِمْ وَ أَخْبَرْتَهُمْ عَنِ اَلْكَلَإِ وَ اَلْمَاءِ فَخَالَفُوا إِلَی اَلْمَعَاطِشِ وَ اَلْمَجَادِبِ مَا كُنْتَ صَانِعًا؟ قَالَ كُنْتُ تَارِكَهُمْ وَ مُخَالِفَهُمْ إِلَی اَلْكَلَإِ وَ اَلْمَاءِ</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التمثيل على وجوب اتّباع الحق متى ظهرت معالمه لا اتّباع الباطل والإصرار عليه، وهو سؤال يريد منه الإمام بيانَ موقفِ مَن أرسله قومه ليعلم حقيقة حاله مع أصحاب الجمل فيما إذا خالفَه قومُه فيما أخبرهم به من مواضع الماء والعشب فخالفوه الى الأماكن الجرداء القاحلة ماذا كان يصنع؟ أيذهب معهم أم يتركهم إلى حيث الكلأُ والماءُ؟</w:t>
      </w:r>
      <w:r>
        <w:rPr>
          <w:rStyle w:val="FootnoteAnchor"/>
          <w:rtl w:val="true"/>
        </w:rPr>
        <w:footnoteReference w:id="1299"/>
      </w:r>
      <w:r>
        <w:rPr>
          <w:rFonts w:ascii="Amiri" w:hAnsi="Amiri" w:eastAsia="Amiri" w:cs="Amiri"/>
          <w:color w:val="111111"/>
          <w:sz w:val="28"/>
          <w:sz w:val="28"/>
          <w:szCs w:val="28"/>
          <w:rtl w:val="true"/>
          <w:lang w:bidi="ar-SA"/>
        </w:rPr>
        <w:t xml:space="preserve">وهو ما أعربتْ عنه جملة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صانعًا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w:t>
      </w:r>
      <w:r>
        <w:rPr>
          <w:rStyle w:val="FootnoteAnchor"/>
          <w:rtl w:val="true"/>
        </w:rPr>
        <w:footnoteReference w:id="1300"/>
      </w:r>
      <w:r>
        <w:rPr>
          <w:rFonts w:ascii="Amiri" w:hAnsi="Amiri" w:eastAsia="Amiri" w:cs="Amiri"/>
          <w:color w:val="111111"/>
          <w:sz w:val="28"/>
          <w:sz w:val="28"/>
          <w:szCs w:val="28"/>
          <w:rtl w:val="true"/>
          <w:lang w:bidi="ar-SA"/>
        </w:rPr>
        <w:t xml:space="preserve">، وهذا من بديع القول وفصيحه، فابتدأ الكلام بالاستفهام متبوعًا بالشرط ثم اختتمه بالاستفهام أيضًا، والكلامُ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نُقِلَ من أُسلوبٍ إلى أُسلوب، كان ذلك أحسن تطريةً لنشاط السامع، وإيقاظًا للإصغاء إليه من إجرائِهِ على أُسلوبٍ واحد</w:t>
      </w:r>
      <w:r>
        <w:rPr>
          <w:rFonts w:eastAsia="Amiri" w:cs="Amiri" w:ascii="Amiri" w:hAnsi="Amiri"/>
          <w:color w:val="111111"/>
          <w:sz w:val="28"/>
          <w:szCs w:val="28"/>
          <w:rtl w:val="true"/>
          <w:lang w:bidi="ar-SA"/>
        </w:rPr>
        <w:t>))</w:t>
      </w:r>
      <w:r>
        <w:rPr>
          <w:rStyle w:val="FootnoteAnchor"/>
          <w:rtl w:val="true"/>
        </w:rPr>
        <w:footnoteReference w:id="1301"/>
      </w:r>
      <w:r>
        <w:rPr>
          <w:rFonts w:ascii="IRNazanin" w:hAnsi="IRNazanin" w:eastAsia="IRNazanin"/>
          <w:color w:val="111111"/>
          <w:sz w:val="28"/>
          <w:sz w:val="28"/>
          <w:szCs w:val="28"/>
          <w:rtl w:val="true"/>
          <w:lang w:bidi="fa-IR"/>
        </w:rPr>
        <w:t xml:space="preserve">، لذا أجاب هذا الرجلُ عن استفهام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بالإيجاب وبايعه فيما بعد</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الذي أَسهمَ بالانتقال من الشرط إلى الاستفهام بتركيبٍ واحدٍ يخلو </w:t>
      </w:r>
    </w:p>
    <w:p>
      <w:pPr>
        <w:pStyle w:val="BookText"/>
        <w:rPr/>
      </w:pPr>
      <w:r>
        <w:rPr>
          <w:rFonts w:ascii="IRNazanin" w:hAnsi="IRNazanin" w:eastAsia="IRNazanin"/>
          <w:color w:val="111111"/>
          <w:sz w:val="28"/>
          <w:sz w:val="28"/>
          <w:szCs w:val="28"/>
          <w:rtl w:val="true"/>
          <w:lang w:bidi="fa-IR"/>
        </w:rPr>
        <w:t xml:space="preserve">من رابط يربط جملة الشرط وجوابه هو طول جملة الشرط التي تنوَّعتْ بأُسلوب العطف،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البيانيون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الكلام إذا جاء على أُسلوبٍ واحد وطال، حَسُنَ تغيیر الطريقة</w:t>
      </w:r>
      <w:r>
        <w:rPr>
          <w:rFonts w:eastAsia="IRNazanin" w:cs="IRNazanin"/>
          <w:color w:val="111111"/>
          <w:sz w:val="28"/>
          <w:szCs w:val="28"/>
          <w:rtl w:val="true"/>
          <w:lang w:bidi="fa-IR"/>
        </w:rPr>
        <w:t>))</w:t>
      </w:r>
      <w:r>
        <w:rPr>
          <w:rStyle w:val="FootnoteAnchor"/>
          <w:rtl w:val="true"/>
        </w:rPr>
        <w:footnoteReference w:id="1303"/>
      </w:r>
      <w:r>
        <w:rPr>
          <w:rFonts w:ascii="Amiri" w:hAnsi="Amiri" w:eastAsia="Amiri" w:cs="Amiri"/>
          <w:color w:val="111111"/>
          <w:sz w:val="28"/>
          <w:sz w:val="28"/>
          <w:szCs w:val="28"/>
          <w:rtl w:val="true"/>
          <w:lang w:bidi="ar-SA"/>
        </w:rPr>
        <w:t>، الغرض من هذا تحقيق عنصر التشويق والإثارة في المتلقي</w:t>
      </w:r>
      <w:r>
        <w:rPr>
          <w:rStyle w:val="FootnoteAnchor"/>
          <w:rtl w:val="true"/>
        </w:rPr>
        <w:footnoteReference w:id="1304"/>
      </w:r>
      <w:r>
        <w:rPr>
          <w:rFonts w:ascii="Amiri" w:hAnsi="Amiri" w:eastAsia="Amiri" w:cs="Amiri"/>
          <w:color w:val="111111"/>
          <w:sz w:val="28"/>
          <w:sz w:val="28"/>
          <w:szCs w:val="28"/>
          <w:rtl w:val="true"/>
          <w:lang w:bidi="ar-SA"/>
        </w:rPr>
        <w:t>، وهو ما جاء عليه النص العَلَوي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الشواهد العَلَوية أيضًا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للخليفة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لو أنَّ شاهدين من المسلمين شهدا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بفاحشةٍ ما كنتَ صانعًا؟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أقيم عليها الحد كما أقيم على نساء المسلمين،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إذًا عند الله من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كنتَ تردُّ شهادة الله وتقبل شهادة غیره</w:t>
      </w:r>
      <w:r>
        <w:rPr>
          <w:rFonts w:eastAsia="IRNazanin" w:cs="IRNazanin"/>
          <w:color w:val="111111"/>
          <w:sz w:val="28"/>
          <w:szCs w:val="28"/>
          <w:rtl w:val="true"/>
          <w:lang w:bidi="fa-IR"/>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صانعًا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الاستفهامية واقعٌ في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يعضُد جواز هذا الاستعمال وشيوعه في كلام العرب وروده في الحديث النبوي الشريف في أكثر من موضع، من ذلك قول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لك ما في الأرض من شيء أكنتَ تفتدي به؟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306"/>
      </w:r>
      <w:r>
        <w:rPr>
          <w:rFonts w:ascii="IRNazanin" w:hAnsi="IRNazanin" w:eastAsia="IRNazanin"/>
          <w:color w:val="111111"/>
          <w:sz w:val="28"/>
          <w:sz w:val="28"/>
          <w:szCs w:val="28"/>
          <w:rtl w:val="true"/>
          <w:lang w:bidi="fa-IR"/>
        </w:rPr>
        <w:t xml:space="preserve">، كما جاء هذا النمط في كلام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ذلك قول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لعمرو بن جنادة الأنصاري</w:t>
      </w:r>
      <w:r>
        <w:rPr>
          <w:rStyle w:val="FootnoteAnchor"/>
          <w:rtl w:val="true"/>
        </w:rPr>
        <w:footnoteReference w:id="1307"/>
      </w:r>
      <w:r>
        <w:rPr>
          <w:rFonts w:ascii="Amiri" w:hAnsi="Amiri" w:eastAsia="Amiri" w:cs="Amiri"/>
          <w:color w:val="111111"/>
          <w:sz w:val="28"/>
          <w:sz w:val="28"/>
          <w:szCs w:val="28"/>
          <w:rtl w:val="true"/>
          <w:lang w:bidi="ar-SA"/>
        </w:rPr>
        <w:t>وهو ابن إحدى عشرة سنة وقد قُتِلَ أبوه في واقعة الطف</w:t>
      </w:r>
      <w:r>
        <w:rPr>
          <w:rFonts w:eastAsia="Amiri" w:cs="Amiri" w:ascii="Amiri" w:hAnsi="Amiri"/>
          <w:color w:val="111111"/>
          <w:sz w:val="28"/>
          <w:szCs w:val="28"/>
          <w:rtl w:val="true"/>
          <w:lang w:bidi="ar-SA"/>
        </w:rPr>
        <w:t xml:space="preserve">: </w:t>
      </w:r>
      <w:bookmarkStart w:id="257" w:name="pg7031_81076"/>
    </w:p>
    <w:p>
      <w:pPr>
        <w:pStyle w:val="BookText"/>
        <w:rPr/>
      </w:pPr>
      <w:bookmarkEnd w:id="2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أَبُوكَ، وَلَوْ قُتِلْتَ فَإِلى مَنْ تلْتَجئ أُمُّكَ في هذَا الْقَفْرِ؟</w:t>
      </w:r>
      <w:r>
        <w:rPr>
          <w:rFonts w:eastAsia="Amiri" w:cs="Amiri" w:ascii="Amiri" w:hAnsi="Amiri"/>
          <w:color w:val="111111"/>
          <w:sz w:val="28"/>
          <w:szCs w:val="28"/>
          <w:rtl w:val="true"/>
          <w:lang w:bidi="ar-SA"/>
        </w:rPr>
        <w:t>))</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تراكيب القسم والشرط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 وقول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لسائلٍ مُلحدٍ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جُلُودًا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أن رجلاً عمد إلى لبنة فكسرها ثم صب عليها الماء وجبلها ثم ردَّها إلى هيأتها الأُولى ألم تكن هي هي وهي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أمتعَ الله 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وبهذه الشواهد وسواها نستدل على جواز هذا الاستعمال في الكلام العربي وشهرته على لسان فصحائهم وبلغائهم، وهو مما فات النحويین الذين قصروا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الجملة الفعلية، ولم يذكروا الاستفهام في جملة الأنماط التي يأتي عليها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واستنادًا إلى كلِّ ما تقدّم لابد من تعديل القاعدة النحوية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وقوع الاستفهام جوابًا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لورود ذلك في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وسواه من الكلام العربي الفصيح المُحتَج به</w:t>
      </w:r>
      <w:r>
        <w:rPr>
          <w:rFonts w:eastAsia="IRNazanin" w:cs="IRNazanin"/>
          <w:color w:val="111111"/>
          <w:sz w:val="28"/>
          <w:szCs w:val="28"/>
          <w:rtl w:val="true"/>
          <w:lang w:bidi="fa-IR"/>
        </w:rPr>
        <w:t>.</w:t>
      </w:r>
    </w:p>
    <w:p>
      <w:pPr>
        <w:pStyle w:val="Heading5"/>
        <w:numPr>
          <w:ilvl w:val="4"/>
          <w:numId w:val="1"/>
        </w:numPr>
        <w:rPr/>
      </w:pPr>
      <w:bookmarkStart w:id="258" w:name="__RefHeading___Toc2958396_372815092"/>
      <w:bookmarkStart w:id="259" w:name="_Toc84"/>
      <w:bookmarkEnd w:id="258"/>
      <w:r>
        <w:rPr>
          <w:rtl w:val="true"/>
        </w:rPr>
        <w:t>المسألة الثانية</w:t>
      </w:r>
      <w:r>
        <w:rPr>
          <w:rtl w:val="true"/>
        </w:rPr>
        <w:t xml:space="preserve">: </w:t>
      </w:r>
      <w:r>
        <w:rPr>
          <w:rtl w:val="true"/>
        </w:rPr>
        <w:t xml:space="preserve">ورود جواب </w:t>
      </w:r>
      <w:r>
        <w:rPr>
          <w:rtl w:val="true"/>
        </w:rPr>
        <w:t>(</w:t>
      </w:r>
      <w:r>
        <w:rPr>
          <w:rtl w:val="true"/>
        </w:rPr>
        <w:t>لمّا</w:t>
      </w:r>
      <w:r>
        <w:rPr>
          <w:rtl w:val="true"/>
        </w:rPr>
        <w:t xml:space="preserve">) </w:t>
      </w:r>
      <w:r>
        <w:rPr>
          <w:rtl w:val="true"/>
        </w:rPr>
        <w:t xml:space="preserve">فعلًا مضارعًا منفيًا ب </w:t>
      </w:r>
      <w:r>
        <w:rPr>
          <w:rtl w:val="true"/>
        </w:rPr>
        <w:t>(</w:t>
      </w:r>
      <w:r>
        <w:rPr>
          <w:rtl w:val="true"/>
        </w:rPr>
        <w:t>لم</w:t>
      </w:r>
      <w:r>
        <w:rPr>
          <w:rtl w:val="true"/>
        </w:rPr>
        <w:t>):</w:t>
      </w:r>
      <w:bookmarkEnd w:id="25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العرب على وجوهٍ مختلفة، منها تلك التي تؤدي وظيفةَ ربطِ جملةٍ بأُخرى</w:t>
      </w:r>
      <w:r>
        <w:rPr>
          <w:rStyle w:val="FootnoteAnchor"/>
          <w:rtl w:val="true"/>
        </w:rPr>
        <w:footnoteReference w:id="1309"/>
      </w:r>
      <w:r>
        <w:rPr>
          <w:rFonts w:ascii="Amiri" w:hAnsi="Amiri" w:eastAsia="Amiri" w:cs="Amiri"/>
          <w:color w:val="111111"/>
          <w:sz w:val="28"/>
          <w:sz w:val="28"/>
          <w:szCs w:val="28"/>
          <w:rtl w:val="true"/>
          <w:lang w:bidi="ar-SA"/>
        </w:rPr>
        <w:t>، ولها أسماء متعددة منها التعليقية</w:t>
      </w:r>
      <w:r>
        <w:rPr>
          <w:rStyle w:val="FootnoteAnchor"/>
          <w:rtl w:val="true"/>
        </w:rPr>
        <w:footnoteReference w:id="1310"/>
      </w:r>
      <w:r>
        <w:rPr>
          <w:rFonts w:ascii="IRNazanin" w:hAnsi="IRNazanin" w:eastAsia="IRNazanin"/>
          <w:color w:val="111111"/>
          <w:sz w:val="28"/>
          <w:sz w:val="28"/>
          <w:szCs w:val="28"/>
          <w:rtl w:val="true"/>
          <w:lang w:bidi="fa-IR"/>
        </w:rPr>
        <w:t xml:space="preserve">، وحرف وجود </w:t>
      </w:r>
    </w:p>
    <w:p>
      <w:pPr>
        <w:pStyle w:val="BookText"/>
        <w:rPr/>
      </w:pPr>
      <w:r>
        <w:rPr>
          <w:rFonts w:ascii="IRNazanin" w:hAnsi="IRNazanin" w:eastAsia="IRNazanin"/>
          <w:color w:val="111111"/>
          <w:sz w:val="28"/>
          <w:sz w:val="28"/>
          <w:szCs w:val="28"/>
          <w:rtl w:val="true"/>
          <w:lang w:bidi="fa-IR"/>
        </w:rPr>
        <w:t>لوجود</w:t>
      </w:r>
      <w:r>
        <w:rPr>
          <w:rStyle w:val="FootnoteAnchor"/>
          <w:rtl w:val="true"/>
        </w:rPr>
        <w:footnoteReference w:id="131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وهمع الهوامع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والتحرير والتنوير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أو رابطة لوجود الشيء بوجود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وللنحويین في حقيقتها وتصنيفها مذهبان؛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حرف وجوب لوجوب في الماضي وهو مذهب سيبويه،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للأمر الذي قد وقع لوقوع غیره، وإنما تجيء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Style w:val="FootnoteAnchor"/>
          <w:rtl w:val="true"/>
        </w:rPr>
        <w:footnoteReference w:id="1312"/>
      </w:r>
      <w:r>
        <w:rPr>
          <w:rFonts w:ascii="IRNazanin" w:hAnsi="IRNazanin" w:eastAsia="IRNazanin"/>
          <w:color w:val="111111"/>
          <w:sz w:val="28"/>
          <w:sz w:val="28"/>
          <w:szCs w:val="28"/>
          <w:rtl w:val="true"/>
          <w:lang w:bidi="fa-IR"/>
        </w:rPr>
        <w:t>، وتفسیر تلك المشابهَة أنهما حرفان شرطيان يربطان الجواب بشرطه في الزمن الماضي</w:t>
      </w:r>
      <w:r>
        <w:rPr>
          <w:rStyle w:val="FootnoteAnchor"/>
          <w:rtl w:val="true"/>
        </w:rPr>
        <w:footnoteReference w:id="1313"/>
      </w:r>
      <w:r>
        <w:rPr>
          <w:rFonts w:ascii="IRNazanin" w:hAnsi="IRNazanin" w:eastAsia="IRNazanin"/>
          <w:color w:val="111111"/>
          <w:sz w:val="28"/>
          <w:sz w:val="28"/>
          <w:szCs w:val="28"/>
          <w:rtl w:val="true"/>
          <w:lang w:bidi="fa-IR"/>
        </w:rPr>
        <w:t>، وقد تابع سيبويه في هذا عددٌ من النحويین</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ويرى أصحاب المذهب الآخر أنَّها ظرف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ابن السراج</w:t>
      </w:r>
      <w:r>
        <w:rPr>
          <w:rStyle w:val="FootnoteAnchor"/>
          <w:rtl w:val="true"/>
        </w:rPr>
        <w:footnoteReference w:id="1315"/>
      </w:r>
      <w:r>
        <w:rPr>
          <w:rFonts w:ascii="Amiri" w:hAnsi="Amiri" w:eastAsia="Amiri" w:cs="Amiri"/>
          <w:color w:val="111111"/>
          <w:sz w:val="28"/>
          <w:sz w:val="28"/>
          <w:szCs w:val="28"/>
          <w:rtl w:val="true"/>
          <w:lang w:bidi="ar-SA"/>
        </w:rPr>
        <w:t>، وأبو علي الفارسي</w:t>
      </w:r>
      <w:r>
        <w:rPr>
          <w:rStyle w:val="FootnoteAnchor"/>
          <w:rtl w:val="true"/>
        </w:rPr>
        <w:footnoteReference w:id="1316"/>
      </w:r>
      <w:r>
        <w:rPr>
          <w:rFonts w:ascii="Amiri" w:hAnsi="Amiri" w:eastAsia="Amiri" w:cs="Amiri"/>
          <w:color w:val="111111"/>
          <w:sz w:val="28"/>
          <w:sz w:val="28"/>
          <w:szCs w:val="28"/>
          <w:rtl w:val="true"/>
          <w:lang w:bidi="ar-SA"/>
        </w:rPr>
        <w:t>، وابن جني</w:t>
      </w:r>
      <w:r>
        <w:rPr>
          <w:rStyle w:val="FootnoteAnchor"/>
          <w:rtl w:val="true"/>
        </w:rPr>
        <w:footnoteReference w:id="1317"/>
      </w:r>
      <w:r>
        <w:rPr>
          <w:rFonts w:ascii="Amiri" w:hAnsi="Amiri" w:eastAsia="Amiri" w:cs="Amiri"/>
          <w:color w:val="111111"/>
          <w:sz w:val="28"/>
          <w:sz w:val="28"/>
          <w:szCs w:val="28"/>
          <w:rtl w:val="true"/>
          <w:lang w:bidi="ar-SA"/>
        </w:rPr>
        <w:t>، والهروي</w:t>
      </w:r>
      <w:r>
        <w:rPr>
          <w:rStyle w:val="FootnoteAnchor"/>
          <w:rtl w:val="true"/>
        </w:rPr>
        <w:footnoteReference w:id="1318"/>
      </w:r>
      <w:r>
        <w:rPr>
          <w:rFonts w:ascii="Amiri" w:hAnsi="Amiri" w:eastAsia="Amiri" w:cs="Amiri"/>
          <w:color w:val="111111"/>
          <w:sz w:val="28"/>
          <w:sz w:val="28"/>
          <w:szCs w:val="28"/>
          <w:rtl w:val="true"/>
          <w:lang w:bidi="ar-SA"/>
        </w:rPr>
        <w:t>وعبد القاهرالجرجاني</w:t>
      </w:r>
      <w:r>
        <w:rPr>
          <w:rStyle w:val="FootnoteAnchor"/>
          <w:rtl w:val="true"/>
        </w:rPr>
        <w:footnoteReference w:id="1319"/>
      </w:r>
      <w:r>
        <w:rPr>
          <w:rFonts w:ascii="IRNazanin" w:hAnsi="IRNazanin" w:eastAsia="IRNazanin"/>
          <w:color w:val="111111"/>
          <w:sz w:val="28"/>
          <w:sz w:val="28"/>
          <w:szCs w:val="28"/>
          <w:rtl w:val="true"/>
          <w:lang w:bidi="fa-IR"/>
        </w:rPr>
        <w:t xml:space="preserve">، وذهب آخرون إلى أنَّها ظرف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Style w:val="FootnoteAnchor"/>
          <w:rtl w:val="true"/>
        </w:rPr>
        <w:footnoteReference w:id="1320"/>
      </w:r>
      <w:r>
        <w:rPr>
          <w:rFonts w:ascii="IRNazanin" w:hAnsi="IRNazanin" w:eastAsia="IRNazanin"/>
          <w:color w:val="111111"/>
          <w:sz w:val="28"/>
          <w:sz w:val="28"/>
          <w:szCs w:val="28"/>
          <w:rtl w:val="true"/>
          <w:lang w:bidi="fa-IR"/>
        </w:rPr>
        <w:t xml:space="preserve">، وهو ما استحسنه </w:t>
      </w:r>
    </w:p>
    <w:p>
      <w:pPr>
        <w:pStyle w:val="BookText"/>
        <w:rPr/>
      </w:pPr>
      <w:r>
        <w:rPr>
          <w:rFonts w:ascii="Amiri" w:hAnsi="Amiri" w:eastAsia="Amiri" w:cs="Amiri"/>
          <w:color w:val="111111"/>
          <w:sz w:val="28"/>
          <w:sz w:val="28"/>
          <w:szCs w:val="28"/>
          <w:rtl w:val="true"/>
          <w:lang w:bidi="ar-SA"/>
        </w:rPr>
        <w:t>ابن هشام معلِّلاً ذلك باختصاصها بالماضي وإضافتها إلى الجمل،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جاءني أكرمته</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حاول ابن مالك التوفيقَ بین المذهبین،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لفظًا ومعنًى فهو ظرف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فيه معنى الشرط، أو حرف يقتضي فيما مضى وجوبًا لوجوب</w:t>
      </w:r>
      <w:r>
        <w:rPr>
          <w:rFonts w:eastAsia="IRNazanin" w:cs="IRNazanin"/>
          <w:color w:val="111111"/>
          <w:sz w:val="28"/>
          <w:szCs w:val="28"/>
          <w:rtl w:val="true"/>
          <w:lang w:bidi="fa-IR"/>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ومهما يكن من أمرٍ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شرط غیر جازم تؤدي وظيفة الربط والتعليق بین جملتین؛ جملة الشرط وجوابه</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جوابها فقد اتفق النحويون فيه على أنه ماضٍ لفظًا ومعنًى، فقد قال الفراء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ذَهَبَ عَنْ إِبْرَاهِيمَ الرَّوْعُ وَجَاءَتْهُ الْبُشْرَى يُجَادِلُنَا فِی قَوْمِ لُوطٍ</w:t>
      </w:r>
      <w:r>
        <w:rPr>
          <w:rFonts w:eastAsia="Amiri" w:cs="Amiri" w:ascii="Amiri" w:hAnsi="Amiri"/>
          <w:color w:val="111111"/>
          <w:sz w:val="28"/>
          <w:szCs w:val="28"/>
          <w:rtl w:val="true"/>
          <w:lang w:bidi="ar-SA"/>
        </w:rPr>
        <w:t>»</w:t>
      </w:r>
      <w:r>
        <w:rPr>
          <w:rStyle w:val="FootnoteAnchor"/>
          <w:rtl w:val="true"/>
        </w:rPr>
        <w:footnoteReference w:id="13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فِی الكلام لا يأتي إلا بفعلٍ ماضٍ كقولك</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أتاني 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يَجوز فلمّا أتاني أثبُ عليه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أَثِب عَليه</w:t>
      </w:r>
      <w:r>
        <w:rPr>
          <w:rFonts w:eastAsia="Amiri" w:cs="Amiri" w:ascii="Amiri" w:hAnsi="Amiri"/>
          <w:color w:val="111111"/>
          <w:sz w:val="28"/>
          <w:szCs w:val="28"/>
          <w:rtl w:val="true"/>
          <w:lang w:bidi="ar-SA"/>
        </w:rPr>
        <w:t>))</w:t>
      </w:r>
      <w:r>
        <w:rPr>
          <w:rStyle w:val="FootnoteAnchor"/>
          <w:rtl w:val="true"/>
        </w:rPr>
        <w:footnoteReference w:id="1325"/>
      </w:r>
      <w:r>
        <w:rPr>
          <w:rFonts w:ascii="Amiri" w:hAnsi="Amiri" w:eastAsia="Amiri" w:cs="Amiri"/>
          <w:color w:val="111111"/>
          <w:sz w:val="28"/>
          <w:sz w:val="28"/>
          <w:szCs w:val="28"/>
          <w:rtl w:val="true"/>
          <w:lang w:bidi="ar-SA"/>
        </w:rPr>
        <w:t>، وارتضى هذا الطبري،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والعرب لا تكاد تَتَلقَّى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وليها فعلٌ ماضٍ إلا بماضٍ،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قام قمت</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 xml:space="preserve">، وذهب ابن عصفور إلى متابعة الفراء </w:t>
      </w:r>
    </w:p>
    <w:p>
      <w:pPr>
        <w:pStyle w:val="BookText"/>
        <w:rPr/>
      </w:pPr>
      <w:r>
        <w:rPr>
          <w:rFonts w:ascii="Amiri" w:hAnsi="Amiri" w:eastAsia="Amiri" w:cs="Amiri"/>
          <w:color w:val="111111"/>
          <w:sz w:val="28"/>
          <w:sz w:val="28"/>
          <w:szCs w:val="28"/>
          <w:rtl w:val="true"/>
          <w:lang w:bidi="ar-SA"/>
        </w:rPr>
        <w:t>فأجاز مجيء جوابِا فعلاً مضارعًا محتجًا لذلك بآية سورة هود المار ذكرها</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 مالك فقد حاول التفصيل في أنماط جوابها فأجاز أنْ يكون جملةً إسميةً مسبوقةً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الفجائية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كَشَفْنَا عَنْهُمُ الرِّجْزَ إِلَی أَجَلٍ هُمْ بَالِغُوهُ إِذَا هُمْ يَنْكُثُونَ</w:t>
      </w:r>
      <w:r>
        <w:rPr>
          <w:rFonts w:eastAsia="Amiri" w:cs="Amiri" w:ascii="Amiri" w:hAnsi="Amiri"/>
          <w:color w:val="111111"/>
          <w:sz w:val="28"/>
          <w:szCs w:val="28"/>
          <w:rtl w:val="true"/>
          <w:lang w:bidi="ar-SA"/>
        </w:rPr>
        <w:t>»</w:t>
      </w:r>
      <w:r>
        <w:rPr>
          <w:rStyle w:val="FootnoteAnchor"/>
          <w:rtl w:val="true"/>
        </w:rPr>
        <w:footnoteReference w:id="1328"/>
      </w:r>
      <w:r>
        <w:rPr>
          <w:rFonts w:ascii="Amiri" w:hAnsi="Amiri" w:eastAsia="Amiri" w:cs="Amiri"/>
          <w:color w:val="111111"/>
          <w:sz w:val="28"/>
          <w:sz w:val="28"/>
          <w:szCs w:val="28"/>
          <w:rtl w:val="true"/>
          <w:lang w:bidi="ar-SA"/>
        </w:rPr>
        <w:t xml:space="preserve">، أو فعلاً مضارعًا، أو جملة إسمية مسبوقة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نَجَّاهُمْ إِلَی الْبَرِّ فَمِنْهُمْ مُقْتَصِدٌ وَمَا يَجْحَدُ بِآَيَاتِنَا إِلَّا كُلُّ خَتَّارٍ كَفُورٍ</w:t>
      </w:r>
      <w:r>
        <w:rPr>
          <w:rFonts w:eastAsia="Amiri" w:cs="Amiri" w:ascii="Amiri" w:hAnsi="Amiri"/>
          <w:color w:val="111111"/>
          <w:sz w:val="28"/>
          <w:szCs w:val="28"/>
          <w:rtl w:val="true"/>
          <w:lang w:bidi="ar-SA"/>
        </w:rPr>
        <w:t>»</w:t>
      </w:r>
      <w:r>
        <w:rPr>
          <w:rStyle w:val="FootnoteAnchor"/>
          <w:rtl w:val="true"/>
        </w:rPr>
        <w:footnoteReference w:id="1329"/>
      </w:r>
      <w:r>
        <w:rPr>
          <w:rStyle w:val="FootnoteAnchor"/>
          <w:rtl w:val="true"/>
        </w:rPr>
        <w:footnoteReference w:id="133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وأثر القرآن والقراءات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 وتأوَّل النحويون هذه الآية على حذف الجواب؛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يزد الرضي على ما أدلى به ابن مالك من قبله،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ويليه فعلٌ ماضٍ لفظًا ومعنى وجوابه أيضًا كذلك أو جملة إسمية مقرونة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المفاجأة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كان ماضيًا مقرونًا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مضارعًا</w:t>
      </w:r>
      <w:r>
        <w:rPr>
          <w:rFonts w:eastAsia="Amiri" w:cs="Amiri" w:ascii="Amiri" w:hAnsi="Amiri"/>
          <w:color w:val="111111"/>
          <w:sz w:val="28"/>
          <w:szCs w:val="28"/>
          <w:rtl w:val="true"/>
          <w:lang w:bidi="ar-SA"/>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يرتضِ النحويون هذا فعمدوا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تأويل النص الكريم على الحذف والتقدير، فحملوا الفعل المضارع على الماضي بتأويل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يكون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زائدة، أو بتقدير فعل محذوف </w:t>
      </w:r>
    </w:p>
    <w:p>
      <w:pPr>
        <w:pStyle w:val="BookText"/>
        <w:rPr/>
      </w:pPr>
      <w:r>
        <w:rPr>
          <w:rFonts w:ascii="Amiri" w:hAnsi="Amiri" w:eastAsia="Amiri" w:cs="Amiri"/>
          <w:color w:val="111111"/>
          <w:sz w:val="28"/>
          <w:sz w:val="28"/>
          <w:szCs w:val="28"/>
          <w:rtl w:val="true"/>
          <w:lang w:bidi="ar-SA"/>
        </w:rPr>
        <w:t>يكون هو الجواب، والتقدير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يجادلنا</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مما تقدَّم أنَّ أغلب النحويین لم يقفوا على ورود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ماضيًا لفظًا ومعنى في الأغلب، فلم يُشیروا بحسب ما وقفتُ عليه من مصادر إلى مجيئه مضارعًا منفيًا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 هو ماضيًا بالمعنى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 أوجبوا في الشرط المضي في اللفظ والمعنى وجعلوا الجواب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فاشتراط المضي لفظًا ومعنًى في جوابها هو ما تذكره مصادر اللغة والنحو والتفسیر</w:t>
      </w:r>
      <w:r>
        <w:rPr>
          <w:rStyle w:val="FootnoteAnchor"/>
          <w:rtl w:val="true"/>
        </w:rPr>
        <w:footnoteReference w:id="1333"/>
      </w:r>
      <w:r>
        <w:rPr>
          <w:rFonts w:ascii="Amiri" w:hAnsi="Amiri" w:eastAsia="Amiri" w:cs="Amiri"/>
          <w:color w:val="111111"/>
          <w:sz w:val="28"/>
          <w:sz w:val="28"/>
          <w:szCs w:val="28"/>
          <w:rtl w:val="true"/>
          <w:lang w:bidi="ar-SA"/>
        </w:rPr>
        <w:t xml:space="preserve">، على أن أبا حيان زاد على ذلك جواز ورود الجواب مضارعًا منفيًا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لفظًا ومعنًى، أو منفي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مضارع منفي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Style w:val="FootnoteAnchor"/>
          <w:rtl w:val="true"/>
        </w:rPr>
        <w:footnoteReference w:id="1334"/>
      </w:r>
      <w:r>
        <w:rPr>
          <w:rFonts w:ascii="Amiri" w:hAnsi="Amiri" w:eastAsia="Amiri" w:cs="Amiri"/>
          <w:color w:val="111111"/>
          <w:sz w:val="28"/>
          <w:sz w:val="28"/>
          <w:szCs w:val="28"/>
          <w:rtl w:val="true"/>
          <w:lang w:bidi="ar-SA"/>
        </w:rPr>
        <w:t>، على أنَّه لم يستشهد لهذا الضرب من الاستعمال من كلام العرب شعره أو نثره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الاستدلال بكلام أمیر المؤمنین في نهج البلاغة يؤكد ما ذكره أبو حيان،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التحكيم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دَعَانَا اَلْقَوْمُ إلَی أَنْ نُحَكِّمَ بَيْنَنَا اَلْقُرْآنَ لَمْ نَكُنِ اَلْفَرِيقَ اَلْمُتَوَلِّیَ عَنْ كِتَابِ اَللَّهِ سبحانه وتَعَالَی</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يستظهر هذا المقطع من الخطبة الشريفة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بيان أهمية الاحتكام إلى القرآن الكريم في حل الخصومات والنزاعات، على أن يُرجَعَ في ذلك إلى مَن يستنطقه ويفهم مقاصده وهو الرسول الكريم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بسنّته النبوية الشريفة فهي ترجمان كلام الله تعالى، فالإمام إنما رضي بتحكيم القرآن لهذا المعنى رافعًا بذلك شبهة من يظن أنَّه يعارض حكم القرآن الكريم</w:t>
      </w:r>
      <w:r>
        <w:rPr>
          <w:rStyle w:val="FootnoteAnchor"/>
          <w:rtl w:val="true"/>
        </w:rPr>
        <w:footnoteReference w:id="1336"/>
      </w:r>
      <w:r>
        <w:rPr>
          <w:rFonts w:ascii="IRNazanin" w:hAnsi="IRNazanin" w:eastAsia="IRNazanin"/>
          <w:color w:val="111111"/>
          <w:sz w:val="28"/>
          <w:sz w:val="28"/>
          <w:szCs w:val="28"/>
          <w:rtl w:val="true"/>
          <w:lang w:bidi="fa-IR"/>
        </w:rPr>
        <w:t xml:space="preserve">، وهذا ما أفصحتْ عنه جملة جواب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حرف نفي وجزم وقلب، وإنما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استعمال هذا الضرب من الجواب؛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النفي المستمر</w:t>
      </w:r>
      <w:r>
        <w:rPr>
          <w:rStyle w:val="FootnoteAnchor"/>
          <w:rtl w:val="true"/>
        </w:rPr>
        <w:footnoteReference w:id="1337"/>
      </w:r>
      <w:r>
        <w:rPr>
          <w:rFonts w:ascii="IRNazanin" w:hAnsi="IRNazanin" w:eastAsia="IRNazanin"/>
          <w:color w:val="111111"/>
          <w:sz w:val="28"/>
          <w:sz w:val="28"/>
          <w:szCs w:val="28"/>
          <w:rtl w:val="true"/>
          <w:lang w:bidi="fa-IR"/>
        </w:rPr>
        <w:t xml:space="preserve">فضلاً عماّ فيها من قوة وتوكيد، وهذا مناسب للمقام وما فيه من استمرار الأئمة المعصومین على نهج القرآن الكريم، ولا غرو فهم عِدلُه، ولو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كُنّا الفريق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دلَّ على هذا المعنى؛ لأنها تدلُّ على نفي الماضي القريب من الحال</w:t>
      </w:r>
      <w:r>
        <w:rPr>
          <w:rStyle w:val="FootnoteAnchor"/>
          <w:rtl w:val="true"/>
        </w:rPr>
        <w:footnoteReference w:id="1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جهة الدلالة والعدول من تعبیر إلى آخر، وأما القياس فيعضُد هذا الاستعمال أيضًا؛ إذ إن سيبويه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يجوز أن تُجاب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نخلص من هذا إلى تعديل القاعدة النحوية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أن يرد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مضارعًا منفيًا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لورود ذلك في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7031_81083"/>
      <w:bookmarkStart w:id="261" w:name="pg7031_81083"/>
      <w:bookmarkEnd w:id="261"/>
    </w:p>
    <w:p>
      <w:pPr>
        <w:pStyle w:val="Heading3"/>
        <w:numPr>
          <w:ilvl w:val="2"/>
          <w:numId w:val="1"/>
        </w:numPr>
        <w:rPr/>
      </w:pPr>
      <w:bookmarkStart w:id="262" w:name="pg7031_81083"/>
      <w:bookmarkStart w:id="263" w:name="__RefHeading___Toc2958398_372815092"/>
      <w:bookmarkStart w:id="264" w:name="_Toc85"/>
      <w:bookmarkEnd w:id="262"/>
      <w:bookmarkEnd w:id="263"/>
      <w:r>
        <w:rPr>
          <w:rtl w:val="true"/>
        </w:rPr>
        <w:t>الفصل الثاني ما لم يَذكرْهُ أغلبُ النَحْويينَ في مسائلَ أُخر</w:t>
      </w:r>
      <w:bookmarkEnd w:id="26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5" w:name="__RefHeading___Toc2958400_372815092"/>
      <w:bookmarkStart w:id="266" w:name="_Toc86"/>
      <w:bookmarkEnd w:id="265"/>
      <w:r>
        <w:rPr>
          <w:rtl w:val="true"/>
        </w:rPr>
        <w:t>اشارة</w:t>
      </w:r>
      <w:bookmarkEnd w:id="26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7031_81085"/>
      <w:bookmarkStart w:id="268" w:name="pg7031_81085"/>
      <w:bookmarkEnd w:id="268"/>
    </w:p>
    <w:p>
      <w:pPr>
        <w:pStyle w:val="Heading4"/>
        <w:numPr>
          <w:ilvl w:val="3"/>
          <w:numId w:val="1"/>
        </w:numPr>
        <w:rPr/>
      </w:pPr>
      <w:bookmarkStart w:id="269" w:name="pg7031_81085"/>
      <w:bookmarkStart w:id="270" w:name="__RefHeading___Toc2958402_372815092"/>
      <w:bookmarkStart w:id="271" w:name="_Toc87"/>
      <w:bookmarkEnd w:id="269"/>
      <w:bookmarkEnd w:id="270"/>
      <w:r>
        <w:rPr>
          <w:rtl w:val="true"/>
        </w:rPr>
        <w:t>المسألة الأولى</w:t>
      </w:r>
      <w:r>
        <w:rPr>
          <w:rtl w:val="true"/>
        </w:rPr>
        <w:t xml:space="preserve">: </w:t>
      </w:r>
      <w:r>
        <w:rPr>
          <w:rtl w:val="true"/>
        </w:rPr>
        <w:t xml:space="preserve">استعمال </w:t>
      </w:r>
      <w:r>
        <w:rPr>
          <w:rtl w:val="true"/>
        </w:rPr>
        <w:t>(</w:t>
      </w:r>
      <w:r>
        <w:rPr>
          <w:rtl w:val="true"/>
        </w:rPr>
        <w:t>أفعل</w:t>
      </w:r>
      <w:r>
        <w:rPr>
          <w:rtl w:val="true"/>
        </w:rPr>
        <w:t xml:space="preserve">) </w:t>
      </w:r>
      <w:r>
        <w:rPr>
          <w:rtl w:val="true"/>
        </w:rPr>
        <w:t>التفضيل ممّا لا تفاضلَ فيه</w:t>
      </w:r>
      <w:r>
        <w:rPr>
          <w:rtl w:val="true"/>
        </w:rPr>
        <w:t>:</w:t>
      </w:r>
      <w:bookmarkEnd w:id="271"/>
    </w:p>
    <w:p>
      <w:pPr>
        <w:pStyle w:val="BookText"/>
        <w:rPr/>
      </w:pPr>
      <w:r>
        <w:rPr>
          <w:rFonts w:ascii="IRNazanin" w:hAnsi="IRNazanin" w:eastAsia="IRNazanin"/>
          <w:color w:val="111111"/>
          <w:sz w:val="28"/>
          <w:sz w:val="28"/>
          <w:szCs w:val="28"/>
          <w:rtl w:val="true"/>
          <w:lang w:bidi="fa-IR"/>
        </w:rPr>
        <w:t xml:space="preserve">عرَّفَ النحويون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التفضيل بأنَّه وصفٌ يُصاغ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على شيئین اشتركا في صفةٍ ما وزاد أحدهما على الآخر فيها</w:t>
      </w:r>
      <w:r>
        <w:rPr>
          <w:rStyle w:val="FootnoteAnchor"/>
          <w:rtl w:val="true"/>
        </w:rPr>
        <w:footnoteReference w:id="1340"/>
      </w:r>
      <w:r>
        <w:rPr>
          <w:rFonts w:ascii="Amiri" w:hAnsi="Amiri" w:eastAsia="Amiri" w:cs="Amiri"/>
          <w:color w:val="111111"/>
          <w:sz w:val="28"/>
          <w:sz w:val="28"/>
          <w:szCs w:val="28"/>
          <w:rtl w:val="true"/>
          <w:lang w:bidi="ar-SA"/>
        </w:rPr>
        <w:t>، وقد اشترطوا فيه جملة 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الفعل ثلاثيًا مجردًا، ومتصرِّفًا قابلًا للتفاوت، ليس الوصف منه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فَعْلاء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تامّا مثبتًا مبنيًا للمعلوم، له فعل</w:t>
      </w:r>
      <w:r>
        <w:rPr>
          <w:rStyle w:val="FootnoteAnchor"/>
          <w:rtl w:val="true"/>
        </w:rPr>
        <w:footnoteReference w:id="1341"/>
      </w:r>
      <w:r>
        <w:rPr>
          <w:rFonts w:ascii="Amiri" w:hAnsi="Amiri" w:eastAsia="Amiri" w:cs="Amiri"/>
          <w:color w:val="111111"/>
          <w:sz w:val="28"/>
          <w:sz w:val="28"/>
          <w:szCs w:val="28"/>
          <w:rtl w:val="true"/>
          <w:lang w:bidi="ar-SA"/>
        </w:rPr>
        <w:t>، وهي الشروط نفسها المتعلقة بصوغ صيغَتَي التعجب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يستوفِ الفعل تلك الشروط جيء بمصدره منصوبًا على التمييز مسبوقًا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 من فعل استوفى شروط الاشتقاق</w:t>
      </w:r>
      <w:r>
        <w:rPr>
          <w:rStyle w:val="FootnoteAnchor"/>
          <w:rtl w:val="true"/>
        </w:rPr>
        <w:footnoteReference w:id="1342"/>
      </w:r>
      <w:r>
        <w:rPr>
          <w:rFonts w:ascii="Amiri" w:hAnsi="Amiri" w:eastAsia="Amiri" w:cs="Amiri"/>
          <w:color w:val="111111"/>
          <w:sz w:val="28"/>
          <w:sz w:val="28"/>
          <w:szCs w:val="28"/>
          <w:rtl w:val="true"/>
          <w:lang w:bidi="ar-SA"/>
        </w:rPr>
        <w:t>، فإنْ سُمِعَ شيء من ذلك عن العرب فإنه یُحفَظ ولا يُقاس عليه</w:t>
      </w:r>
      <w:r>
        <w:rPr>
          <w:rStyle w:val="FootnoteAnchor"/>
          <w:rtl w:val="true"/>
        </w:rPr>
        <w:footnoteReference w:id="1343"/>
      </w:r>
      <w:r>
        <w:rPr>
          <w:rFonts w:ascii="Amiri" w:hAnsi="Amiri" w:eastAsia="Amiri" w:cs="Amiri"/>
          <w:color w:val="111111"/>
          <w:sz w:val="28"/>
          <w:sz w:val="28"/>
          <w:szCs w:val="28"/>
          <w:rtl w:val="true"/>
          <w:lang w:bidi="ar-SA"/>
        </w:rPr>
        <w:t>، إلا إذا أُريدَ وصف زائد عليه، فيجوز القول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أفجعُ موتًا من زيدٍ</w:t>
      </w:r>
      <w:r>
        <w:rPr>
          <w:rStyle w:val="FootnoteAnchor"/>
          <w:rtl w:val="true"/>
        </w:rPr>
        <w:footnoteReference w:id="1344"/>
      </w:r>
      <w:r>
        <w:rPr>
          <w:rFonts w:ascii="IRNazanin" w:hAnsi="IRNazanin" w:eastAsia="IRNazanin"/>
          <w:color w:val="111111"/>
          <w:sz w:val="28"/>
          <w:sz w:val="28"/>
          <w:szCs w:val="28"/>
          <w:rtl w:val="true"/>
          <w:lang w:bidi="fa-IR"/>
        </w:rPr>
        <w:t>، أما إذا كان الفعل جامدًا أو غیر قابل للتفاضل فلم يجُز التفضيل منه قطُّ بطريق مباشر أو غیر مباشر</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قصر النحويون دلالة عدم التفاضل على الموت والفناء والهلاك، فلم يمثِّلوا لمسألة عدم التفاوت إلا بهذه المعاني</w:t>
      </w:r>
      <w:r>
        <w:rPr>
          <w:rStyle w:val="FootnoteAnchor"/>
          <w:rtl w:val="true"/>
        </w:rPr>
        <w:footnoteReference w:id="1346"/>
      </w:r>
      <w:r>
        <w:rPr>
          <w:rFonts w:ascii="Amiri" w:hAnsi="Amiri" w:eastAsia="Amiri" w:cs="Amiri"/>
          <w:color w:val="111111"/>
          <w:sz w:val="28"/>
          <w:sz w:val="28"/>
          <w:szCs w:val="28"/>
          <w:rtl w:val="true"/>
          <w:lang w:bidi="ar-SA"/>
        </w:rPr>
        <w:t>، وعلّلوا امتناع التفضيل من تلك الدلالات بأنه لا مزية فيها لبعض فاعليها على بعض</w:t>
      </w: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وبعدم قبوله المفاضلة ينتفي الأساس الذي يقوم عليه التفضيل في أغلب حالاته</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النحويین قد حملوا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التفضيل الوارد على خلاف ما وضعوا من شروط على الشذوذ</w:t>
      </w:r>
      <w:r>
        <w:rPr>
          <w:rStyle w:val="FootnoteAnchor"/>
          <w:rtl w:val="true"/>
        </w:rPr>
        <w:footnoteReference w:id="1349"/>
      </w:r>
      <w:r>
        <w:rPr>
          <w:rFonts w:ascii="IRNazanin" w:hAnsi="IRNazanin" w:eastAsia="IRNazanin"/>
          <w:color w:val="111111"/>
          <w:sz w:val="28"/>
          <w:sz w:val="28"/>
          <w:szCs w:val="28"/>
          <w:rtl w:val="true"/>
          <w:lang w:bidi="fa-IR"/>
        </w:rPr>
        <w:t xml:space="preserve">، على أنهم لم يُشیروا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حدود ما اطلعتُ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التفضيل مما لا تفاضل فيه حتى وإن كان ذلك شذوذًا، وكأنّم لم يقفوا على شواهد تؤيِّد هذا في كلام العرب نظماً أو نثرًا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النظر في نصوص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يُثبت خلاف ما ذهب إليه النحويون في هذه المسألة؛ إذ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التفضيل مما لا تفاوت فيه أو تفاضل في أكثر من موضع، 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يذكر فيها صفة من يتصدّى للحكم بین الأُمة وليس لذلك بأهلٍ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أَظْلَمَ عَلَيْهِ أَمْرٌ اِكْتَتَمَ بِهِ لِمَا يَعْلَمُ مِنْ جَهْلِ نَفْسِهِ تَصْرُخُ مِنْ جَوْرِ قَضَائِهِ اَلدِّمَاءُ وَ تَعَجُّ مِنْهُ اَلْمَوَارِيثُ إِلَی اَللَّهِ مِنْ مَعْشَرٍ يَعِيشُونَ جُهَّالاً وَ يَمُوتُونَ ضُلاَّلاً لَيْسَ فِيهِمْ سِلْعَةٌ أَبْوَرُ مِنَ اَلْكِتَابِ </w:t>
      </w:r>
    </w:p>
    <w:p>
      <w:pPr>
        <w:pStyle w:val="BookText"/>
        <w:rPr/>
      </w:pPr>
      <w:r>
        <w:rPr>
          <w:rFonts w:ascii="Amiri" w:hAnsi="Amiri" w:eastAsia="Amiri" w:cs="Amiri"/>
          <w:color w:val="111111"/>
          <w:sz w:val="28"/>
          <w:sz w:val="28"/>
          <w:szCs w:val="28"/>
          <w:rtl w:val="true"/>
          <w:lang w:bidi="ar-SA"/>
        </w:rPr>
        <w:t>إِذَا تُلِيَ حَقَّ تِلاَوَتِهِ وَ لاَ سِلْعَةٌ أَنْفَقُ بَيْعاً وَ لاَ أَغْلَى ثَمَناً مِنَ اَلْكِتَابِ إِذَا حُرِّفَ عَنْ مَوَاضِعِهِ</w:t>
      </w:r>
      <w:r>
        <w:rPr>
          <w:rFonts w:eastAsia="Amiri" w:cs="Amiri" w:ascii="Amiri" w:hAnsi="Amiri"/>
          <w:color w:val="111111"/>
          <w:sz w:val="28"/>
          <w:szCs w:val="28"/>
          <w:rtl w:val="true"/>
          <w:lang w:bidi="ar-SA"/>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أنْ صنَّف الإمام مَن يتصدَّون للحكم والقضاء بین الناس اختتم خطبته بالشكوى إلى الله تعالى من مثل هؤلاء المتشبِّهين بالعلماء، فوصفهم بالضلال في حياتِهم كلِّها، كما وصفهم أيضًا بأنهم يريدون قرآنًا ينسجم مع رغباتهم وأهوائهم، وهذا ما عبَّرت عنه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فيهم سلعة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إنَّهم يعتقدون بالكتاب الفساد والكساد فيما إذا حُمِلَ على الوجه الصحيح المنزّل عن طريق الوحي، على حین يرَون فيه السلعة الرائجة المرغوبة إذا حُرِّف عن مواضعه</w:t>
      </w:r>
      <w:r>
        <w:rPr>
          <w:rStyle w:val="FootnoteAnchor"/>
          <w:rtl w:val="true"/>
        </w:rPr>
        <w:footnoteReference w:id="1351"/>
      </w:r>
      <w:r>
        <w:rPr>
          <w:rFonts w:ascii="Amiri" w:hAnsi="Amiri" w:eastAsia="Amiri" w:cs="Amiri"/>
          <w:color w:val="111111"/>
          <w:sz w:val="28"/>
          <w:sz w:val="28"/>
          <w:szCs w:val="28"/>
          <w:rtl w:val="true"/>
          <w:lang w:bidi="ar-SA"/>
        </w:rPr>
        <w:t xml:space="preserve">، دالًا على ذلك بلفظتَي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كلمتان تدلان على التفضيل لأنهما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اشتُقت الأُولى منهما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الشيء يبور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واشتُقت الثانية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أجل التدليل على أنَّ الكلمتین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تنتميان إلى جذرين لغويین يدلان على عدم التفاضل والتفاوت لابدَّ من الوقوف على حقيقتهما بالعودة إلى ما قاله أرباب اللغة والمعجمات فيهما، فقد ذهب اللغويون إلى أنَّ الأصل في الجذر اللغوي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الهلاك والكساد والفساد</w:t>
      </w:r>
      <w:r>
        <w:rPr>
          <w:rStyle w:val="FootnoteAnchor"/>
          <w:rtl w:val="true"/>
        </w:rPr>
        <w:footnoteReference w:id="13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ومعجم 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والمحكم والمحيط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وأساس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والنهاية في غريب الحديث والأثر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على أنهم حملوا</w:t>
      </w:r>
    </w:p>
    <w:p>
      <w:pPr>
        <w:pStyle w:val="BookText"/>
        <w:rPr/>
      </w:pPr>
      <w:r>
        <w:rPr>
          <w:rFonts w:ascii="Amiri" w:hAnsi="Amiri" w:eastAsia="Amiri" w:cs="Amiri"/>
          <w:color w:val="111111"/>
          <w:sz w:val="28"/>
          <w:sz w:val="28"/>
          <w:szCs w:val="28"/>
          <w:rtl w:val="true"/>
          <w:lang w:bidi="ar-SA"/>
        </w:rPr>
        <w:t>معنى الكساد والفساد فيه على المجاز</w:t>
      </w:r>
      <w:r>
        <w:rPr>
          <w:rStyle w:val="FootnoteAnchor"/>
          <w:rtl w:val="true"/>
        </w:rPr>
        <w:footnoteReference w:id="1353"/>
      </w:r>
      <w:r>
        <w:rPr>
          <w:rFonts w:ascii="Amiri" w:hAnsi="Amiri" w:eastAsia="Amiri" w:cs="Amiri"/>
          <w:color w:val="111111"/>
          <w:sz w:val="28"/>
          <w:sz w:val="28"/>
          <w:szCs w:val="28"/>
          <w:rtl w:val="true"/>
          <w:lang w:bidi="ar-SA"/>
        </w:rPr>
        <w:t xml:space="preserve">، ومما يؤكِّد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فضلاً عما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سِيده جعلها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الهلاك وأفعاله</w:t>
      </w:r>
      <w:r>
        <w:rPr>
          <w:rFonts w:eastAsia="Amiri" w:cs="Amiri" w:ascii="Amiri" w:hAnsi="Amiri"/>
          <w:color w:val="111111"/>
          <w:sz w:val="28"/>
          <w:szCs w:val="28"/>
          <w:rtl w:val="true"/>
          <w:lang w:bidi="ar-SA"/>
        </w:rPr>
        <w:t>)</w:t>
      </w:r>
      <w:r>
        <w:rPr>
          <w:rStyle w:val="FootnoteAnchor"/>
          <w:rtl w:val="true"/>
        </w:rPr>
        <w:footnoteReference w:id="1354"/>
      </w:r>
      <w:r>
        <w:rPr>
          <w:rFonts w:ascii="Amiri" w:hAnsi="Amiri" w:eastAsia="Amiri" w:cs="Amiri"/>
          <w:color w:val="111111"/>
          <w:sz w:val="28"/>
          <w:sz w:val="28"/>
          <w:szCs w:val="28"/>
          <w:rtl w:val="true"/>
          <w:lang w:bidi="ar-SA"/>
        </w:rPr>
        <w:t xml:space="preserve">، وعلى معنى الهلاك حمل المفسرون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يَتْلُونَ كِتَابَ الله وَأَقَامُوا الصَّلاَةَ وَأَنْفَقُوا مِمَّا رَزَقْنَاهُمْ سِرًّا وَعَلَانِيَةً يَرْجُونَ تِجَارَةً لَنْ تَبُورَ</w:t>
      </w:r>
      <w:r>
        <w:rPr>
          <w:rFonts w:eastAsia="Amiri" w:cs="Amiri" w:ascii="Amiri" w:hAnsi="Amiri"/>
          <w:color w:val="111111"/>
          <w:sz w:val="28"/>
          <w:szCs w:val="28"/>
          <w:rtl w:val="true"/>
          <w:lang w:bidi="ar-SA"/>
        </w:rPr>
        <w:t>»</w:t>
      </w:r>
      <w:r>
        <w:rPr>
          <w:rStyle w:val="FootnoteAnchor"/>
          <w:rtl w:val="true"/>
        </w:rPr>
        <w:footnoteReference w:id="1355"/>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يتحصَّل لديَّ مما تقدَّم أنَّ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يبور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الهلاك والكساد والفساد، وحاول الراغب الأصفهاني أنَّ يجد جامعًا معنويًا بین هذه الدلالات،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فرط الكساد، ولمّا كان فرط الكساد يؤدّي إلى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كسد حتى 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بالبوار عن الهاك</w:t>
      </w:r>
      <w:r>
        <w:rPr>
          <w:rFonts w:eastAsia="Amiri" w:cs="Amiri" w:ascii="Amiri" w:hAnsi="Amiri"/>
          <w:color w:val="111111"/>
          <w:sz w:val="28"/>
          <w:szCs w:val="28"/>
          <w:rtl w:val="true"/>
          <w:lang w:bidi="ar-SA"/>
        </w:rPr>
        <w:t>))</w:t>
      </w:r>
      <w:r>
        <w:rPr>
          <w:rStyle w:val="FootnoteAnchor"/>
          <w:rtl w:val="true"/>
        </w:rPr>
        <w:footnoteReference w:id="1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نستدل على أنَّ الأصل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الهلاك، وهذا المعنى مما يمنع النحويون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التفضيل منه، فالقياس منه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بوارًا، 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كنّا نلتمس عذرًا للنحويین في عدم إشارتهم لهذا المعنى وهذا الاشتقاق على فرض عدم وقوفهم علی كلام الإمام، فإن شُّراح النهج ولاسيما من عُنِيَ منهم بإيراد قضايا اللغة والنحو كان عليهم الإشارة إلى ذلك، لكنّهم لم يذكروا ذلك في حدود ما اطلعتُ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يعزّز وقوع معنى التفضيل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المفضَّل عليه </w:t>
      </w:r>
    </w:p>
    <w:p>
      <w:pPr>
        <w:pStyle w:val="BookText"/>
        <w:rPr/>
      </w:pPr>
      <w:r>
        <w:rPr>
          <w:rFonts w:ascii="Amiri" w:hAnsi="Amiri" w:eastAsia="Amiri" w:cs="Amiri"/>
          <w:color w:val="111111"/>
          <w:sz w:val="28"/>
          <w:sz w:val="28"/>
          <w:szCs w:val="28"/>
          <w:rtl w:val="true"/>
          <w:lang w:bidi="ar-SA"/>
        </w:rPr>
        <w:t xml:space="preserve">مجرورًا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زيادةً على استعارة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شك في أنَّ السلع تتفاضل فيما بينها في الكساد والفساد، ولهذا ذهب الشُّرّاح الى أنَّ المعنى المراد في النص العَلَوي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أكسد</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 xml:space="preserve">، ولهذا فإنَّ كلَّ هذه القرائن تدلُّ على إرادة معنى التفضيل، ولو لم يكن معنى التفضيل جائزًا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لجأ النحويون واللغويون إلى تقدير مصدر يُنصب على التمييز يأتي مسبوقًا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 من فعل استوفى الشروط، فيما إذا أرادوا وصفًا زائدًا عليه كما مرَّ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المتقدِّم ينطبق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فإنَّ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انقطاع الشيء وذهابِه، ومنه نَفِقَ الطعام نِفاقاً فَهُوَ نَافق، إِذا نَفِدَ وأَنفَقَ الرجل،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 وذهب ماله، ونفقت الدابة نفوقًا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ونفق السعر نفاقًا، وذلك أنَّه يمضي فلا يكسد ولا يقف</w:t>
      </w:r>
      <w:r>
        <w:rPr>
          <w:rStyle w:val="FootnoteAnchor"/>
          <w:rtl w:val="true"/>
        </w:rPr>
        <w:footnoteReference w:id="1359"/>
      </w:r>
      <w:r>
        <w:rPr>
          <w:rFonts w:ascii="Amiri" w:hAnsi="Amiri" w:eastAsia="Amiri" w:cs="Amiri"/>
          <w:color w:val="111111"/>
          <w:sz w:val="28"/>
          <w:sz w:val="28"/>
          <w:szCs w:val="28"/>
          <w:rtl w:val="true"/>
          <w:lang w:bidi="ar-SA"/>
        </w:rPr>
        <w:t xml:space="preserve">، وبهذا يتضح أنَّها ترجع الى معاني الموت والنفاد والانقطاع، ولا شك في أنَّها معانٍ منع النحويون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 منها بحجّة عدم وقوع التفاضل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استطاع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يمتلكه من إتقان للغة ومعانيها، وعِلم واسع بأسرارها وبلاغتها وفصاحتها التعبیرَ عن التفاضل فيها وهو ما أغفلَه النحويون ولم ينصّوا عليه في حدود ما تتبعتُ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واستنادًا إلى كلِّ ما تقدم لابد من تقديم تعديل للقاعدة النحوية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 من أفعال الموت والفناء لورود ذلك في نهج البلاغة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معانٍ لا تفاضل فيها على وفق مقولة النحويین</w:t>
      </w:r>
      <w:r>
        <w:rPr>
          <w:rFonts w:eastAsia="IRNazanin" w:cs="IRNazanin"/>
          <w:color w:val="111111"/>
          <w:sz w:val="28"/>
          <w:szCs w:val="28"/>
          <w:rtl w:val="true"/>
          <w:lang w:bidi="fa-IR"/>
        </w:rPr>
        <w:t xml:space="preserve">. </w:t>
      </w:r>
      <w:bookmarkStart w:id="272" w:name="pg7031_81090"/>
    </w:p>
    <w:p>
      <w:pPr>
        <w:pStyle w:val="Heading4"/>
        <w:numPr>
          <w:ilvl w:val="3"/>
          <w:numId w:val="1"/>
        </w:numPr>
        <w:rPr/>
      </w:pPr>
      <w:bookmarkStart w:id="273" w:name="__RefHeading___Toc2958404_372815092"/>
      <w:bookmarkStart w:id="274" w:name="_Toc88"/>
      <w:bookmarkEnd w:id="272"/>
      <w:bookmarkEnd w:id="273"/>
      <w:r>
        <w:rPr>
          <w:rtl w:val="true"/>
        </w:rPr>
        <w:t>المسألة الثانية</w:t>
      </w:r>
      <w:r>
        <w:rPr>
          <w:rtl w:val="true"/>
        </w:rPr>
        <w:t xml:space="preserve">: </w:t>
      </w:r>
      <w:r>
        <w:rPr>
          <w:rtl w:val="true"/>
        </w:rPr>
        <w:t xml:space="preserve">ورود الفعل </w:t>
      </w:r>
      <w:r>
        <w:rPr>
          <w:rtl w:val="true"/>
        </w:rPr>
        <w:t>(</w:t>
      </w:r>
      <w:r>
        <w:rPr>
          <w:rtl w:val="true"/>
        </w:rPr>
        <w:t>صار</w:t>
      </w:r>
      <w:r>
        <w:rPr>
          <w:rtl w:val="true"/>
        </w:rPr>
        <w:t xml:space="preserve">) </w:t>
      </w:r>
      <w:r>
        <w:rPr>
          <w:rtl w:val="true"/>
        </w:rPr>
        <w:t>بمعنى الردِّ والتقسيم</w:t>
      </w:r>
      <w:r>
        <w:rPr>
          <w:rtl w:val="true"/>
        </w:rPr>
        <w:t>:</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النَّواسخ الفعلية يدخل على الجمل الإسمية ذكرَه سيبويه في جملة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ومادام، 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تستغني عن الخبر</w:t>
      </w:r>
      <w:r>
        <w:rPr>
          <w:rStyle w:val="FootnoteAnchor"/>
          <w:rtl w:val="true"/>
        </w:rPr>
        <w:footnoteReference w:id="1360"/>
      </w:r>
      <w:r>
        <w:rPr>
          <w:rFonts w:ascii="Amiri" w:hAnsi="Amiri" w:eastAsia="Amiri" w:cs="Amiri"/>
          <w:color w:val="111111"/>
          <w:sz w:val="28"/>
          <w:sz w:val="28"/>
          <w:szCs w:val="28"/>
          <w:rtl w:val="true"/>
          <w:lang w:bidi="ar-SA"/>
        </w:rPr>
        <w:t>، قد اتفق النحويون على أنَّ معناه الانتقال والتحوّل من حال إلى حال</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يأتي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وانتقل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تامًا، قال ابن يعيش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تُستعمل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فتتعدى بحرف الجر، وتفيد معنى الانتقال أيضًا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زيد إلى عمرو، وكلُّ حي صائر للزوال، فهذه ليست داخلة على جملة، ألا تراك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إلى عمرو، لم يكن كلامًا وإنما استعمالها 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ماجاءت حاجتك،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ماصارت</w:t>
      </w:r>
      <w:r>
        <w:rPr>
          <w:rFonts w:eastAsia="Amiri" w:cs="Amiri" w:ascii="Amiri" w:hAnsi="Amiri"/>
          <w:color w:val="111111"/>
          <w:sz w:val="28"/>
          <w:szCs w:val="28"/>
          <w:rtl w:val="true"/>
          <w:lang w:bidi="ar-SA"/>
        </w:rPr>
        <w:t>))</w:t>
      </w:r>
      <w:r>
        <w:rPr>
          <w:rStyle w:val="FootnoteAnchor"/>
          <w:rtl w:val="true"/>
        </w:rPr>
        <w:footnoteReference w:id="1362"/>
      </w:r>
      <w:r>
        <w:rPr>
          <w:rFonts w:ascii="IRNazanin" w:hAnsi="IRNazanin" w:eastAsia="IRNazanin"/>
          <w:color w:val="111111"/>
          <w:sz w:val="28"/>
          <w:sz w:val="28"/>
          <w:szCs w:val="28"/>
          <w:rtl w:val="true"/>
          <w:lang w:bidi="fa-IR"/>
        </w:rPr>
        <w:t>، وأكد هذا المعنى أيضًا الرضي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وصار للانتقال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معناها إذا كانت تامّة كما تقدم، ومعناها إذا كانت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بعد أنْ لم يكن، فتفيد ثبوت مضمون خبرها، بعد أنْ لم يثبت، ومعنى يصیر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بعد أن لم يكن</w:t>
      </w:r>
      <w:r>
        <w:rPr>
          <w:rFonts w:eastAsia="IRNazanin" w:cs="IRNazanin"/>
          <w:color w:val="111111"/>
          <w:sz w:val="28"/>
          <w:szCs w:val="28"/>
          <w:rtl w:val="true"/>
          <w:lang w:bidi="fa-IR"/>
        </w:rPr>
        <w:t>))</w:t>
      </w:r>
      <w:r>
        <w:rPr>
          <w:rStyle w:val="FootnoteAnchor"/>
          <w:rtl w:val="true"/>
        </w:rPr>
        <w:footnoteReference w:id="1363"/>
      </w:r>
      <w:r>
        <w:rPr>
          <w:rFonts w:ascii="Amiri" w:hAnsi="Amiri" w:eastAsia="Amiri" w:cs="Amiri"/>
          <w:color w:val="111111"/>
          <w:sz w:val="28"/>
          <w:sz w:val="28"/>
          <w:szCs w:val="28"/>
          <w:rtl w:val="true"/>
          <w:lang w:bidi="ar-SA"/>
        </w:rPr>
        <w:t>،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إِلَی الله تَصِیرُ الْأُمُورُ</w:t>
      </w:r>
      <w:r>
        <w:rPr>
          <w:rFonts w:eastAsia="Amiri" w:cs="Amiri" w:ascii="Amiri" w:hAnsi="Amiri"/>
          <w:color w:val="111111"/>
          <w:sz w:val="28"/>
          <w:szCs w:val="28"/>
          <w:rtl w:val="true"/>
          <w:lang w:bidi="ar-SA"/>
        </w:rPr>
        <w:t>»</w:t>
      </w:r>
      <w:r>
        <w:rPr>
          <w:rStyle w:val="FootnoteAnchor"/>
          <w:rtl w:val="true"/>
        </w:rPr>
        <w:footnoteReference w:id="1364"/>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ولم يذكر النحويون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حدود ما اطلعتُ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إذا جاء ناقصًا غیر معنى التحوّل والانتقال من حال إلى حال، ولما تحصَّل هذا فإنَّهم جعلوا هذا المعنى حاكماً في إرادة معنى النقص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وأخواتها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خلاف في أنَّ المعنى الرئيس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الانتقال والتحوّل من حال إلى حال على أن التتبّع والاستقراء لهذا الفعل في نهج البلاغة يرفد الاستعمال اللغوي بمعنى جديد غیر الانتقال والتحوّل، جاء ذلك في ضوء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صفة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نَصَبَ نَفْسَهُ لِلَّهِ سُبْحَانَهُ فِی أَرْفَعِ اَلْأُمُورِ مِنْ إِصْدَارِ كُلِّ وَارِدٍ عَلَيْهِ وَ تَصْيِیرِ كُلِّ فَرْعٍ إِلَی أَصْلِهِ</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أنْ 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من صفات المتقین شرَعَ بذكر نتائج ذلك وثماره، فقد أفاد شُّراح النهج من هذا المقطع من الخطبة معنى الاجتهاد، فالمجتهد هو مَن يقوم باستنباط الأحكام الشرعية من أُصولها أو أَدلتها التفصيلية، فالمراد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التصيیر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هو ردُّ كلِّ فرعٍ من فروع العِلم ومسائله إلى أصله المتشعِّب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إشعارٌ بضرورة الاجتهاد</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يكون هذا النصُّ شاهدًا لغويًا على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الرد، وهذا ما صرَّح به ابن ابي الحديد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يحتج بهذا من قال بالقياس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يُرِد ذلك بل أراد تخريج الفروع العقلية وردها إلى أصولها</w:t>
      </w:r>
      <w:r>
        <w:rPr>
          <w:rFonts w:eastAsia="Amiri" w:cs="Amiri" w:ascii="Amiri" w:hAnsi="Amiri"/>
          <w:color w:val="111111"/>
          <w:sz w:val="28"/>
          <w:szCs w:val="28"/>
          <w:rtl w:val="true"/>
          <w:lang w:bidi="ar-SA"/>
        </w:rPr>
        <w:t>))</w:t>
      </w:r>
      <w:r>
        <w:rPr>
          <w:rStyle w:val="FootnoteAnchor"/>
          <w:rtl w:val="true"/>
        </w:rPr>
        <w:footnoteReference w:id="1368"/>
      </w:r>
      <w:r>
        <w:rPr>
          <w:rFonts w:ascii="IRNazanin" w:hAnsi="IRNazanin" w:eastAsia="IRNazanin"/>
          <w:color w:val="111111"/>
          <w:sz w:val="28"/>
          <w:sz w:val="28"/>
          <w:szCs w:val="28"/>
          <w:rtl w:val="true"/>
          <w:lang w:bidi="fa-IR"/>
        </w:rPr>
        <w:t xml:space="preserve">، أي إنّ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جاء مخالفًا لقياس النحويین الذين قصروا استعماله على معنى </w:t>
      </w:r>
    </w:p>
    <w:p>
      <w:pPr>
        <w:pStyle w:val="BookText"/>
        <w:rPr/>
      </w:pPr>
      <w:r>
        <w:rPr>
          <w:rFonts w:ascii="Amiri" w:hAnsi="Amiri" w:eastAsia="Amiri" w:cs="Amiri"/>
          <w:color w:val="111111"/>
          <w:sz w:val="28"/>
          <w:sz w:val="28"/>
          <w:szCs w:val="28"/>
          <w:rtl w:val="true"/>
          <w:lang w:bidi="ar-SA"/>
        </w:rPr>
        <w:t>التحوّل والانتقال من حالٍ إلى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ما يعضُد دلالة الرد والتقسيم في النص العَلَوي ما ورد في الدلالة المعجمية للجذر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يعني المآل والمرجع</w:t>
      </w:r>
      <w:r>
        <w:rPr>
          <w:rStyle w:val="FootnoteAnchor"/>
          <w:rtl w:val="true"/>
        </w:rPr>
        <w:footnoteReference w:id="1369"/>
      </w:r>
      <w:r>
        <w:rPr>
          <w:rFonts w:ascii="Amiri" w:hAnsi="Amiri" w:eastAsia="Amiri" w:cs="Amiri"/>
          <w:color w:val="111111"/>
          <w:sz w:val="28"/>
          <w:sz w:val="28"/>
          <w:szCs w:val="28"/>
          <w:rtl w:val="true"/>
          <w:lang w:bidi="ar-SA"/>
        </w:rPr>
        <w:t xml:space="preserve">، على أنَّ الذي ينبغي أنْ يُذكرَ ههنا أنَّ الذي أسهم في إيجاد هذا المعنى ليس الفعل وحدَه، بل السياق الذي ورد فيه، فذِكرُ 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 الإمام هما من ساعدا على تحصيل معنى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الشواهد العَلَوية على ذلك ما جاء في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يستعمله على الصدقات،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اُحْدُرْ إِلَيْنَا مَا اِجْتَمَعَ عِنْدَكَ نُصَیِّرهُ حَيْثُ أَمَرَ الله</w:t>
      </w:r>
      <w:r>
        <w:rPr>
          <w:rFonts w:eastAsia="Amiri" w:cs="Amiri" w:ascii="Amiri" w:hAnsi="Amiri"/>
          <w:color w:val="111111"/>
          <w:sz w:val="28"/>
          <w:szCs w:val="28"/>
          <w:rtl w:val="true"/>
          <w:lang w:bidi="ar-SA"/>
        </w:rPr>
        <w:t>))</w:t>
      </w:r>
      <w:r>
        <w:rPr>
          <w:rStyle w:val="FootnoteAnchor"/>
          <w:rtl w:val="true"/>
        </w:rPr>
        <w:footnoteReference w:id="1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استعمله الإمام استعمالًا مُخالفًا للمعنى الأصي للفعل وهو الانتقال والتحوّل من حال إلى حال، فقد أشار شُّراح النهج إلى أنَّ مراد الإمام من التصيیر هنا هو التقسيم</w:t>
      </w:r>
      <w:r>
        <w:rPr>
          <w:rStyle w:val="FootnoteAnchor"/>
          <w:rtl w:val="true"/>
        </w:rPr>
        <w:footnoteReference w:id="1371"/>
      </w:r>
      <w:r>
        <w:rPr>
          <w:rFonts w:ascii="Amiri" w:hAnsi="Amiri" w:eastAsia="Amiri" w:cs="Amiri"/>
          <w:color w:val="111111"/>
          <w:sz w:val="28"/>
          <w:sz w:val="28"/>
          <w:szCs w:val="28"/>
          <w:rtl w:val="true"/>
          <w:lang w:bidi="ar-SA"/>
        </w:rPr>
        <w:t>، أي تقسيم ما يجتمع لدى العامل وتوزيعه على مستحقيه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يؤكِّد دلالةَ التقسيم في شاهد الإمام السياق والقرائن المحيطة بالنص، إذ أردفه بذكر معنى التقسيم،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لِنَقْسِمَهَا عَلَى كِتَابِ اَللَّهِ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Style w:val="FootnoteAnchor"/>
          <w:rtl w:val="true"/>
        </w:rPr>
        <w:footnoteReference w:id="1372"/>
      </w:r>
      <w:r>
        <w:rPr>
          <w:rFonts w:ascii="IRNazanin" w:hAnsi="IRNazanin" w:eastAsia="IRNazanin"/>
          <w:color w:val="111111"/>
          <w:sz w:val="28"/>
          <w:sz w:val="28"/>
          <w:szCs w:val="28"/>
          <w:rtl w:val="true"/>
          <w:lang w:bidi="fa-IR"/>
        </w:rPr>
        <w:t>، وهذا ما لمحَهُ عدد من شُّراح النهج ذاهبین إلى أنَّ هدف الإمام من تكرار معنى التقسيم والتوزيع دفع الظِّنة عن نفسه وعمّن يمثله؛ فإنّ الزمان كان في عهده قد فسد وساءت ظنون الناس بسبب تصرّفات من سبقه واستئثارهم بأموال الفَيْء</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 xml:space="preserve">. </w:t>
      </w:r>
      <w:bookmarkStart w:id="275" w:name="pg7031_81093"/>
    </w:p>
    <w:p>
      <w:pPr>
        <w:pStyle w:val="BookText"/>
        <w:rPr/>
      </w:pPr>
      <w:bookmarkEnd w:id="275"/>
      <w:r>
        <w:rPr>
          <w:rFonts w:ascii="Amiri" w:hAnsi="Amiri" w:eastAsia="Amiri" w:cs="Amiri"/>
          <w:color w:val="111111"/>
          <w:sz w:val="28"/>
          <w:sz w:val="28"/>
          <w:szCs w:val="28"/>
          <w:rtl w:val="true"/>
          <w:lang w:bidi="ar-SA"/>
        </w:rPr>
        <w:t xml:space="preserve">وحَمَلَ الشارح البحراني الفعل هنا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نَصْرِفُهُ</w:t>
      </w:r>
      <w:r>
        <w:rPr>
          <w:rFonts w:eastAsia="Amiri" w:cs="Amiri" w:ascii="Amiri" w:hAnsi="Amiri"/>
          <w:color w:val="111111"/>
          <w:sz w:val="28"/>
          <w:szCs w:val="28"/>
          <w:rtl w:val="true"/>
          <w:lang w:bidi="ar-SA"/>
        </w:rPr>
        <w:t>)</w:t>
      </w:r>
      <w:r>
        <w:rPr>
          <w:rStyle w:val="FootnoteAnchor"/>
          <w:rtl w:val="true"/>
        </w:rPr>
        <w:footnoteReference w:id="1374"/>
      </w:r>
      <w:r>
        <w:rPr>
          <w:rFonts w:ascii="IRNazanin" w:hAnsi="IRNazanin" w:eastAsia="IRNazanin"/>
          <w:color w:val="111111"/>
          <w:sz w:val="28"/>
          <w:sz w:val="28"/>
          <w:szCs w:val="28"/>
          <w:rtl w:val="true"/>
          <w:lang w:bidi="fa-IR"/>
        </w:rPr>
        <w:t>، أي أنْ يُصَرْفَ في مصارفه التي أمرنا الله بها، على حین ذهب السيد عباس الموسوي الى أنَّ التصيیر في النص جارٍ على وفق ما يراه النحويون فهو يدل على التحوّل والانتقال، والمعنى تحويل ما اجتمع لدى العامل إلى أهله</w:t>
      </w:r>
      <w:r>
        <w:rPr>
          <w:rStyle w:val="FootnoteAnchor"/>
          <w:rtl w:val="true"/>
        </w:rPr>
        <w:footnoteReference w:id="1375"/>
      </w:r>
      <w:r>
        <w:rPr>
          <w:rFonts w:ascii="IRNazanin" w:hAnsi="IRNazanin" w:eastAsia="IRNazanin"/>
          <w:color w:val="111111"/>
          <w:sz w:val="28"/>
          <w:sz w:val="28"/>
          <w:szCs w:val="28"/>
          <w:rtl w:val="true"/>
          <w:lang w:bidi="fa-IR"/>
        </w:rPr>
        <w:t>، على أنّ الذي ذكره النحويون هو تحويل الشيء من حالٍ إلى حالٍ أُخرى غیر الأُولى والحال مختلف في أمر الإمام، فالتقسيم حاصل لِما اجتمع بلا تغیير أو تبديل وفي المسألة خلاف فقهي</w:t>
      </w:r>
      <w:r>
        <w:rPr>
          <w:rStyle w:val="FootnoteAnchor"/>
          <w:rtl w:val="true"/>
        </w:rPr>
        <w:footnoteReference w:id="1376"/>
      </w:r>
      <w:r>
        <w:rPr>
          <w:rFonts w:ascii="Amiri" w:hAnsi="Amiri" w:eastAsia="Amiri" w:cs="Amiri"/>
          <w:color w:val="111111"/>
          <w:sz w:val="28"/>
          <w:sz w:val="28"/>
          <w:szCs w:val="28"/>
          <w:rtl w:val="true"/>
          <w:lang w:bidi="ar-SA"/>
        </w:rPr>
        <w:t>، أي تحويل ما يُجمع ثم يوزَّع على مستحقيه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نخلص مما تقدم ذكره إلى تعديل القاعدة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ورود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الرد والتقسيم استنادًا الى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محصورًا على الانتقال والتحوّل من حالٍ إلى حالٍ وإن كان ذلك أصل معناه</w:t>
      </w:r>
      <w:r>
        <w:rPr>
          <w:rFonts w:eastAsia="IRNazanin" w:cs="IRNazanin"/>
          <w:color w:val="111111"/>
          <w:sz w:val="28"/>
          <w:szCs w:val="28"/>
          <w:rtl w:val="true"/>
          <w:lang w:bidi="fa-IR"/>
        </w:rPr>
        <w:t>.</w:t>
      </w:r>
    </w:p>
    <w:p>
      <w:pPr>
        <w:pStyle w:val="Heading4"/>
        <w:numPr>
          <w:ilvl w:val="3"/>
          <w:numId w:val="1"/>
        </w:numPr>
        <w:rPr/>
      </w:pPr>
      <w:bookmarkStart w:id="276" w:name="__RefHeading___Toc2958406_372815092"/>
      <w:bookmarkStart w:id="277" w:name="_Toc89"/>
      <w:bookmarkEnd w:id="276"/>
      <w:r>
        <w:rPr>
          <w:rtl w:val="true"/>
        </w:rPr>
        <w:t>المسألة الثالثة</w:t>
      </w:r>
      <w:r>
        <w:rPr>
          <w:rtl w:val="true"/>
        </w:rPr>
        <w:t xml:space="preserve">: </w:t>
      </w:r>
      <w:r>
        <w:rPr>
          <w:rtl w:val="true"/>
        </w:rPr>
        <w:t xml:space="preserve">جواز جر </w:t>
      </w:r>
      <w:r>
        <w:rPr>
          <w:rtl w:val="true"/>
        </w:rPr>
        <w:t>(</w:t>
      </w:r>
      <w:r>
        <w:rPr>
          <w:rtl w:val="true"/>
        </w:rPr>
        <w:t>حيثُ</w:t>
      </w:r>
      <w:r>
        <w:rPr>
          <w:rtl w:val="true"/>
        </w:rPr>
        <w:t xml:space="preserve">) </w:t>
      </w:r>
      <w:r>
        <w:rPr>
          <w:rtl w:val="true"/>
        </w:rPr>
        <w:t xml:space="preserve">ب </w:t>
      </w:r>
      <w:r>
        <w:rPr>
          <w:rtl w:val="true"/>
        </w:rPr>
        <w:t>(</w:t>
      </w:r>
      <w:r>
        <w:rPr>
          <w:rtl w:val="true"/>
        </w:rPr>
        <w:t>على</w:t>
      </w:r>
      <w:r>
        <w:rPr>
          <w:rtl w:val="true"/>
        </w:rPr>
        <w:t>):</w:t>
      </w:r>
      <w:bookmarkEnd w:id="27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مبني على الضم في أكثر الكلام</w:t>
      </w:r>
      <w:r>
        <w:rPr>
          <w:rStyle w:val="FootnoteAnchor"/>
          <w:rtl w:val="true"/>
        </w:rPr>
        <w:footnoteReference w:id="1377"/>
      </w:r>
      <w:r>
        <w:rPr>
          <w:rFonts w:ascii="Amiri" w:hAnsi="Amiri" w:eastAsia="Amiri" w:cs="Amiri"/>
          <w:color w:val="111111"/>
          <w:sz w:val="28"/>
          <w:sz w:val="28"/>
          <w:szCs w:val="28"/>
          <w:rtl w:val="true"/>
          <w:lang w:bidi="ar-SA"/>
        </w:rPr>
        <w:t>، وقد يرد للزمان أيضًا</w:t>
      </w:r>
      <w:r>
        <w:rPr>
          <w:rStyle w:val="FootnoteAnchor"/>
          <w:rtl w:val="true"/>
        </w:rPr>
        <w:footnoteReference w:id="1378"/>
      </w:r>
      <w:r>
        <w:rPr>
          <w:rFonts w:ascii="Amiri" w:hAnsi="Amiri" w:eastAsia="Amiri" w:cs="Amiri"/>
          <w:color w:val="111111"/>
          <w:sz w:val="28"/>
          <w:sz w:val="28"/>
          <w:szCs w:val="28"/>
          <w:rtl w:val="true"/>
          <w:lang w:bidi="ar-SA"/>
        </w:rPr>
        <w:t>، وهو ملازم للإضافة إلى الجمل سواء أكانت إسميةً أم فعليةً</w:t>
      </w:r>
      <w:r>
        <w:rPr>
          <w:rStyle w:val="FootnoteAnchor"/>
          <w:rtl w:val="true"/>
        </w:rPr>
        <w:footnoteReference w:id="1379"/>
      </w:r>
      <w:r>
        <w:rPr>
          <w:rFonts w:ascii="IRNazanin" w:hAnsi="IRNazanin" w:eastAsia="IRNazanin"/>
          <w:color w:val="111111"/>
          <w:sz w:val="28"/>
          <w:sz w:val="28"/>
          <w:szCs w:val="28"/>
          <w:rtl w:val="true"/>
          <w:lang w:bidi="fa-IR"/>
        </w:rPr>
        <w:t xml:space="preserve">، وإضافته </w:t>
      </w:r>
    </w:p>
    <w:p>
      <w:pPr>
        <w:pStyle w:val="BookText"/>
        <w:rPr/>
      </w:pPr>
      <w:r>
        <w:rPr>
          <w:rFonts w:ascii="Amiri" w:hAnsi="Amiri" w:eastAsia="Amiri" w:cs="Amiri"/>
          <w:color w:val="111111"/>
          <w:sz w:val="28"/>
          <w:sz w:val="28"/>
          <w:szCs w:val="28"/>
          <w:rtl w:val="true"/>
          <w:lang w:bidi="ar-SA"/>
        </w:rPr>
        <w:t>إلى الفعلية أكثر</w:t>
      </w:r>
      <w:r>
        <w:rPr>
          <w:rStyle w:val="FootnoteAnchor"/>
          <w:rtl w:val="true"/>
        </w:rPr>
        <w:footnoteReference w:id="1380"/>
      </w:r>
      <w:r>
        <w:rPr>
          <w:rFonts w:ascii="Amiri" w:hAnsi="Amiri" w:eastAsia="Amiri" w:cs="Amiri"/>
          <w:color w:val="111111"/>
          <w:sz w:val="28"/>
          <w:sz w:val="28"/>
          <w:szCs w:val="28"/>
          <w:rtl w:val="true"/>
          <w:lang w:bidi="ar-SA"/>
        </w:rPr>
        <w:t>، وهو في تلك الإضافة مخالف لِما يماثله لهذا بُني لخروجه عن بابه،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أوجب بناءه وقوعُه على الجهات الست وعلى كلِّ مكانٍ فأُبهمَ فضارعَ بإبهامه في الأمكنة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المبهَمة في الدلالة على الأزمنة الماضية كلِّها</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والنحويون مختلفون في مسألة لزومه النصبَ على الظرفية أو تجرّده منها الى الجر بحرف الجر، فاكتفى سيبويه بالإشارة إلى ظرفيته وإضافته ذاكرًا بعضَ المسائل المتعلقة ببنائها ولغات العرب فيها دونما ذكرٍ لتجرّده من الظرفية إلى الجر بحرف الجر</w:t>
      </w:r>
      <w:r>
        <w:rPr>
          <w:rStyle w:val="FootnoteAnchor"/>
          <w:rtl w:val="true"/>
        </w:rPr>
        <w:footnoteReference w:id="1382"/>
      </w:r>
      <w:r>
        <w:rPr>
          <w:rFonts w:ascii="IRNazanin" w:hAnsi="IRNazanin" w:eastAsia="IRNazanin"/>
          <w:color w:val="111111"/>
          <w:sz w:val="28"/>
          <w:sz w:val="28"/>
          <w:szCs w:val="28"/>
          <w:rtl w:val="true"/>
          <w:lang w:bidi="fa-IR"/>
        </w:rPr>
        <w:t xml:space="preserve">على الرغم من استشهاده ببيت الفرزدق في باب البدل، فقد وردت في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الفرزدق</w:t>
      </w:r>
      <w:r>
        <w:rPr>
          <w:rStyle w:val="FootnoteAnchor"/>
          <w:rtl w:val="true"/>
        </w:rPr>
        <w:footnoteReference w:id="13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في حَيثُ التَقَيْنا شَرِيدُهُمْ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طَلِيقٌ وَمَكتوفُ اليَدَينِ وَمُزْعَفُ ونصَّ المبرّد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الظرفية وقد يُجَر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384"/>
      </w:r>
      <w:r>
        <w:rPr>
          <w:rFonts w:ascii="IRNazanin" w:hAnsi="IRNazanin" w:eastAsia="IRNazanin"/>
          <w:color w:val="111111"/>
          <w:sz w:val="28"/>
          <w:sz w:val="28"/>
          <w:szCs w:val="28"/>
          <w:rtl w:val="true"/>
          <w:lang w:bidi="fa-IR"/>
        </w:rPr>
        <w:t>، وتابعه ابن هشام</w:t>
      </w:r>
      <w:r>
        <w:rPr>
          <w:rStyle w:val="FootnoteAnchor"/>
          <w:rtl w:val="true"/>
        </w:rPr>
        <w:footnoteReference w:id="1385"/>
      </w:r>
      <w:r>
        <w:rPr>
          <w:rFonts w:ascii="Amiri" w:hAnsi="Amiri" w:eastAsia="Amiri" w:cs="Amiri"/>
          <w:color w:val="111111"/>
          <w:sz w:val="28"/>
          <w:sz w:val="28"/>
          <w:szCs w:val="28"/>
          <w:rtl w:val="true"/>
          <w:lang w:bidi="ar-SA"/>
        </w:rPr>
        <w:t>، وقطع ابن مالك بأنَّه نادر التجرّد من الظرفية</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الرضي الاسترابادي فقد ذهب إلى أنَّ ظرفيته غالبة لا لازمة</w:t>
      </w:r>
      <w:r>
        <w:rPr>
          <w:rStyle w:val="FootnoteAnchor"/>
          <w:rtl w:val="true"/>
        </w:rPr>
        <w:footnoteReference w:id="1387"/>
      </w:r>
      <w:r>
        <w:rPr>
          <w:rFonts w:ascii="IRNazanin" w:hAnsi="IRNazanin" w:eastAsia="IRNazanin"/>
          <w:color w:val="111111"/>
          <w:sz w:val="28"/>
          <w:sz w:val="28"/>
          <w:szCs w:val="28"/>
          <w:rtl w:val="true"/>
          <w:lang w:bidi="fa-IR"/>
        </w:rPr>
        <w:t>، ولم يذكر ابن الصائغ غیرَ ظرفيته</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فريق من النحويین المتأخرين إلى جواز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الظرفية إلى الجر بالحرف، فصرَّح أبو حيان الأندلسي إلى جواز جره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كثیرًا،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شذوذًا، كا يُجر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رادًّا على ابن مالك الذي وصف تجرّده من الظرفية بالنادر</w:t>
      </w:r>
      <w:r>
        <w:rPr>
          <w:rStyle w:val="FootnoteAnchor"/>
          <w:rtl w:val="true"/>
        </w:rPr>
        <w:footnoteReference w:id="1389"/>
      </w:r>
      <w:r>
        <w:rPr>
          <w:rFonts w:ascii="Amiri" w:hAnsi="Amiri" w:eastAsia="Amiri" w:cs="Amiri"/>
          <w:color w:val="111111"/>
          <w:sz w:val="28"/>
          <w:sz w:val="28"/>
          <w:szCs w:val="28"/>
          <w:rtl w:val="true"/>
          <w:lang w:bidi="ar-SA"/>
        </w:rPr>
        <w:t xml:space="preserve">، على أنَّ الأندلسي لم يُشرِ إلى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التذييل والتكميل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فاقتصر على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وإلى، وفي</w:t>
      </w:r>
      <w:r>
        <w:rPr>
          <w:rFonts w:eastAsia="Amiri" w:cs="Amiri" w:ascii="Amiri" w:hAnsi="Amiri"/>
          <w:color w:val="111111"/>
          <w:sz w:val="28"/>
          <w:szCs w:val="28"/>
          <w:rtl w:val="true"/>
          <w:lang w:bidi="ar-SA"/>
        </w:rPr>
        <w:t>)</w:t>
      </w:r>
      <w:r>
        <w:rPr>
          <w:rStyle w:val="FootnoteAnchor"/>
          <w:rtl w:val="true"/>
        </w:rPr>
        <w:footnoteReference w:id="1390"/>
      </w:r>
      <w:r>
        <w:rPr>
          <w:rFonts w:ascii="Amiri" w:hAnsi="Amiri" w:eastAsia="Amiri" w:cs="Amiri"/>
          <w:color w:val="111111"/>
          <w:sz w:val="28"/>
          <w:sz w:val="28"/>
          <w:szCs w:val="28"/>
          <w:rtl w:val="true"/>
          <w:lang w:bidi="ar-SA"/>
        </w:rPr>
        <w:t xml:space="preserve">، وذكر ناظر الجيش والسيوطي ندرة جرِّه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وإلى، وفي</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الفيصل في مسألة قصر الظرف على الظرفية أو تجرّده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كغيرها من المسائل النحوية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السماع عن العرب، قال ابن الحاجب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ووجه الحكم عليه بأنَّه لا يُستعملُ إلا ظرفًا هو أنه كثُر في استعمالهم ولم يجئْ إلا منصوبًا على الظرفية، فدلَّ ذلك على أنه لو كان مما يقع غر ظرف لوقع في كلامٍ ما غیر ظرف</w:t>
      </w:r>
      <w:r>
        <w:rPr>
          <w:rFonts w:eastAsia="IRNazanin" w:cs="IRNazanin"/>
          <w:color w:val="111111"/>
          <w:sz w:val="28"/>
          <w:szCs w:val="28"/>
          <w:rtl w:val="true"/>
          <w:lang w:bidi="fa-IR"/>
        </w:rPr>
        <w:t>))</w:t>
      </w:r>
      <w:r>
        <w:rPr>
          <w:rStyle w:val="FootnoteAnchor"/>
          <w:rtl w:val="true"/>
        </w:rPr>
        <w:footnoteReference w:id="1392"/>
      </w:r>
      <w:r>
        <w:rPr>
          <w:rFonts w:ascii="Amiri" w:hAnsi="Amiri" w:eastAsia="Amiri" w:cs="Amiri"/>
          <w:color w:val="111111"/>
          <w:sz w:val="28"/>
          <w:sz w:val="28"/>
          <w:szCs w:val="28"/>
          <w:rtl w:val="true"/>
          <w:lang w:bidi="ar-SA"/>
        </w:rPr>
        <w:t xml:space="preserve">، وهو مبدأ عام وكلام دقيق ينبغي أنْ يُعتمد في كلِّ المسائل النحوية ولاسيما التي غاب فيها الاستقراء التام، وإذا كان مُرادُ ابن الحاجب ومن جزم بعدم تجرد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الظرفية إلى الجر بالحرف انتفاءَ ذلك فيما ورد عن العرب من شواهد يُحتَجُّ بها فإنَّ ما ورد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كلام العرب شعرًا ونثرًا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صحة </w:t>
      </w:r>
    </w:p>
    <w:p>
      <w:pPr>
        <w:pStyle w:val="BookText"/>
        <w:rPr/>
      </w:pPr>
      <w:r>
        <w:rPr>
          <w:rFonts w:ascii="Amiri" w:hAnsi="Amiri" w:eastAsia="Amiri" w:cs="Amiri"/>
          <w:color w:val="111111"/>
          <w:sz w:val="28"/>
          <w:sz w:val="28"/>
          <w:szCs w:val="28"/>
          <w:rtl w:val="true"/>
          <w:lang w:bidi="ar-SA"/>
        </w:rPr>
        <w:t xml:space="preserve">خروجه عن الظرفية إلى الجر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الأشباح في وصف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قَدْ خَرَقَتْ أَقْدَامُهُمْ تُخُومَ اَلْأَرْضِ اَلسُّفْلَی فَهِيَ كَرَايَاتٍ بِيضٍ قَدْ نَفَذَتْ فِی مَخَارِقِ اَلْهَوَاءِ وَتَحْتَهَا رِيحٌ هَفَّافَةٌ تَحْبِسُهَا عَلَى حَيْثُ اِنْتَهَتْ مِنَ اَلْحُدُودِ اَلْمُتَنَاهِيَةِ</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يستجلي هذا القِسم من الخطبة الشريفة جملةً من أوصاف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شبَّههم الإمام بتلك الهيأة الضخمة والعجيبة المتمثلة بخرق أقدامهم تخومَ الأرض السُّفلى إما حقيقة أو استعارة لعلومهم التي أحاطت بأقطار الأرض السُّفلى، ووجه المشابَهة انتهاء تلك العلوم إلى غايةٍ كانتهاء الأقدام إلى طريقها</w:t>
      </w:r>
      <w:r>
        <w:rPr>
          <w:rStyle w:val="FootnoteAnchor"/>
          <w:rtl w:val="true"/>
        </w:rPr>
        <w:footnoteReference w:id="1394"/>
      </w:r>
      <w:r>
        <w:rPr>
          <w:rFonts w:ascii="Amiri" w:hAnsi="Amiri" w:eastAsia="Amiri" w:cs="Amiri"/>
          <w:color w:val="111111"/>
          <w:sz w:val="28"/>
          <w:sz w:val="28"/>
          <w:szCs w:val="28"/>
          <w:rtl w:val="true"/>
          <w:lang w:bidi="ar-SA"/>
        </w:rPr>
        <w:t>، فلم يمنع تلك الأقدام النافذة في الهواء من التمدّد والانبساط والتعدي عن حدودها</w:t>
      </w:r>
      <w:r>
        <w:rPr>
          <w:rStyle w:val="FootnoteAnchor"/>
          <w:rtl w:val="true"/>
        </w:rPr>
        <w:footnoteReference w:id="1395"/>
      </w:r>
      <w:r>
        <w:rPr>
          <w:rFonts w:ascii="Amiri" w:hAnsi="Amiri" w:eastAsia="Amiri" w:cs="Amiri"/>
          <w:color w:val="111111"/>
          <w:sz w:val="28"/>
          <w:sz w:val="28"/>
          <w:szCs w:val="28"/>
          <w:rtl w:val="true"/>
          <w:lang w:bidi="ar-SA"/>
        </w:rPr>
        <w:t>إلا ريح سريعة قوية في هبوبها</w:t>
      </w:r>
      <w:r>
        <w:rPr>
          <w:rStyle w:val="FootnoteAnchor"/>
          <w:rtl w:val="true"/>
        </w:rPr>
        <w:footnoteReference w:id="1396"/>
      </w:r>
      <w:r>
        <w:rPr>
          <w:rFonts w:ascii="Amiri" w:hAnsi="Amiri" w:eastAsia="Amiri" w:cs="Amiri"/>
          <w:color w:val="111111"/>
          <w:sz w:val="28"/>
          <w:sz w:val="28"/>
          <w:szCs w:val="28"/>
          <w:rtl w:val="true"/>
          <w:lang w:bidi="ar-SA"/>
        </w:rPr>
        <w:t xml:space="preserve">، وهذا ما أفصحَ عنه وجود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فذكرُه قد أعطى دلالة عدم التمدّد والتوسّع، والبقاء على مكان واحد مقيَّد، ولو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تحبسها حيث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دلالةُ المكان مطلقةً مبهمةً واسعةً، يقوّي هذا المعنى أنَّ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الاستعلاء</w:t>
      </w:r>
      <w:r>
        <w:rPr>
          <w:rStyle w:val="FootnoteAnchor"/>
          <w:rtl w:val="true"/>
        </w:rPr>
        <w:footnoteReference w:id="1397"/>
      </w:r>
      <w:r>
        <w:rPr>
          <w:rFonts w:ascii="Amiri" w:hAnsi="Amiri" w:eastAsia="Amiri" w:cs="Amiri"/>
          <w:color w:val="111111"/>
          <w:sz w:val="28"/>
          <w:sz w:val="28"/>
          <w:szCs w:val="28"/>
          <w:rtl w:val="true"/>
          <w:lang w:bidi="ar-SA"/>
        </w:rPr>
        <w:t>، وهو ما يمكن أنْ يُستوحى من سياق النص أيضًا؛ إذ كأنَّ تلك الأقدام قد استعلَت على الريح واستقرت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والجدير بالذكر أن أغلب شُّراح النهج وجَّهوا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طَيّبة ساكنة</w:t>
      </w:r>
      <w:r>
        <w:rPr>
          <w:rStyle w:val="FootnoteAnchor"/>
          <w:rtl w:val="true"/>
        </w:rPr>
        <w:footnoteReference w:id="1398"/>
      </w:r>
      <w:r>
        <w:rPr>
          <w:rFonts w:ascii="Amiri" w:hAnsi="Amiri" w:eastAsia="Amiri" w:cs="Amiri"/>
          <w:color w:val="111111"/>
          <w:sz w:val="28"/>
          <w:sz w:val="28"/>
          <w:szCs w:val="28"/>
          <w:rtl w:val="true"/>
          <w:lang w:bidi="ar-SA"/>
        </w:rPr>
        <w:t xml:space="preserve">، وهو المعنى الذي لم يذكرْه من أرباب المعجمات إلا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99"/>
      </w:r>
      <w:r>
        <w:rPr>
          <w:rFonts w:ascii="Amiri" w:hAnsi="Amiri" w:eastAsia="Amiri" w:cs="Amiri"/>
          <w:color w:val="111111"/>
          <w:sz w:val="28"/>
          <w:sz w:val="28"/>
          <w:szCs w:val="28"/>
          <w:rtl w:val="true"/>
          <w:lang w:bidi="ar-SA"/>
        </w:rPr>
        <w:t xml:space="preserve">، والفيروزآبادي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400"/>
      </w:r>
      <w:r>
        <w:rPr>
          <w:rFonts w:ascii="Amiri" w:hAnsi="Amiri" w:eastAsia="Amiri" w:cs="Amiri"/>
          <w:color w:val="111111"/>
          <w:sz w:val="28"/>
          <w:sz w:val="28"/>
          <w:szCs w:val="28"/>
          <w:rtl w:val="true"/>
          <w:lang w:bidi="ar-SA"/>
        </w:rPr>
        <w:t>، والأقوى عندي والاكثر انسجامًا مع معاني النص وسياقه هو سرعة الريح؛ فشدة اختراق أقدام الملائكة بحسب المعنى الظاهر تحتاج إلى ردّة فعلٍ أقوى لإيقافها عند حدِّها وهو يلائم القوة والسرعة لا الطيب والسكون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شيوع هذا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ندرته في كلام العرب وروده على لسان عدد من الشعراء، من ذلك قول الأخطل</w:t>
      </w:r>
      <w:r>
        <w:rPr>
          <w:rStyle w:val="FootnoteAnchor"/>
          <w:rtl w:val="true"/>
        </w:rPr>
        <w:footnoteReference w:id="14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تروقُكَ عَيْناها، وأنْتَ ترى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حيثُ يُلْقى الزَّوْجُ مُنبطَحًا سَهْلا وقول الفرزدق</w:t>
      </w:r>
      <w:r>
        <w:rPr>
          <w:rStyle w:val="FootnoteAnchor"/>
          <w:rtl w:val="true"/>
        </w:rPr>
        <w:footnoteReference w:id="14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طَلِيقَ أبي الأشْبَالِ، أصْبَحَ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حَيثُ لا يدنو من الطَّوْدِ طَائِرُه وقول ذي الرمة</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وصحار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في حمرة يميل إلى 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 ولسان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bookmarkStart w:id="278" w:name="pg7031_81098"/>
    </w:p>
    <w:p>
      <w:pPr>
        <w:pStyle w:val="BookText"/>
        <w:rPr/>
      </w:pPr>
      <w:bookmarkEnd w:id="278"/>
      <w:r>
        <w:rPr>
          <w:rFonts w:ascii="IRNazanin" w:hAnsi="IRNazanin" w:eastAsia="IRNazanin"/>
          <w:color w:val="111111"/>
          <w:sz w:val="28"/>
          <w:sz w:val="28"/>
          <w:szCs w:val="28"/>
          <w:rtl w:val="true"/>
          <w:lang w:bidi="fa-IR"/>
        </w:rPr>
        <w:t xml:space="preserve">أخا شقوةٍ يَرمي على حيثُ تَلتقي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اليُسرى صُحارٌ وواضحُ هذا من جهة الاستدلال بالسماع على صحة هذا الاستعمال، وأما الاحتكام إلى القياس فيتثمل بالحمل على نظيرتها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قال المبرد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الأمكنة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الأزمنة تجري مجراها</w:t>
      </w:r>
      <w:r>
        <w:rPr>
          <w:rFonts w:eastAsia="IRNazanin" w:cs="IRNazanin"/>
          <w:color w:val="111111"/>
          <w:sz w:val="28"/>
          <w:szCs w:val="28"/>
          <w:rtl w:val="true"/>
          <w:lang w:bidi="fa-IR"/>
        </w:rPr>
        <w:t>))</w:t>
      </w:r>
      <w:r>
        <w:rPr>
          <w:rStyle w:val="FootnoteAnchor"/>
          <w:rtl w:val="true"/>
        </w:rPr>
        <w:footnoteReference w:id="1404"/>
      </w:r>
      <w:r>
        <w:rPr>
          <w:rFonts w:ascii="Amiri" w:hAnsi="Amiri" w:eastAsia="Amiri" w:cs="Amiri"/>
          <w:color w:val="111111"/>
          <w:sz w:val="28"/>
          <w:sz w:val="28"/>
          <w:szCs w:val="28"/>
          <w:rtl w:val="true"/>
          <w:lang w:bidi="ar-SA"/>
        </w:rPr>
        <w:t xml:space="preserve">، ولا شك في جواز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 الْمَدِينَةَ عَلَى حِینِ غَفْلَةٍ مِنْ أَهْلِهَا</w:t>
      </w:r>
      <w:r>
        <w:rPr>
          <w:rFonts w:eastAsia="Amiri" w:cs="Amiri" w:ascii="Amiri" w:hAnsi="Amiri"/>
          <w:color w:val="111111"/>
          <w:sz w:val="28"/>
          <w:szCs w:val="28"/>
          <w:rtl w:val="true"/>
          <w:lang w:bidi="ar-SA"/>
        </w:rPr>
        <w:t>»</w:t>
      </w:r>
      <w:r>
        <w:rPr>
          <w:rStyle w:val="FootnoteAnchor"/>
          <w:rtl w:val="true"/>
        </w:rPr>
        <w:footnoteReference w:id="1405"/>
      </w:r>
      <w:r>
        <w:rPr>
          <w:rFonts w:ascii="IRNazanin" w:hAnsi="IRNazanin" w:eastAsia="IRNazanin"/>
          <w:color w:val="111111"/>
          <w:sz w:val="28"/>
          <w:sz w:val="28"/>
          <w:szCs w:val="28"/>
          <w:rtl w:val="true"/>
          <w:lang w:bidi="fa-IR"/>
        </w:rPr>
        <w:t>، وإن اختلفت تأويلات النحويین لهذا الشاهد وسواه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نخلص مما تقدَّم إلى تعديل القاعدة النحوية بالآتي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قليلاً لورود ذلك في نهج البلاغة، وفي الشعر العربي، وبالقياس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Heading4"/>
        <w:numPr>
          <w:ilvl w:val="3"/>
          <w:numId w:val="1"/>
        </w:numPr>
        <w:rPr/>
      </w:pPr>
      <w:bookmarkStart w:id="279" w:name="__RefHeading___Toc2958408_372815092"/>
      <w:bookmarkStart w:id="280" w:name="_Toc90"/>
      <w:bookmarkEnd w:id="279"/>
      <w:r>
        <w:rPr>
          <w:rtl w:val="true"/>
        </w:rPr>
        <w:t>المسألة الرابعة</w:t>
      </w:r>
      <w:r>
        <w:rPr>
          <w:rtl w:val="true"/>
        </w:rPr>
        <w:t>:</w:t>
      </w:r>
      <w:r>
        <w:rPr>
          <w:rtl w:val="true"/>
        </w:rPr>
        <w:t xml:space="preserve">زيادة </w:t>
      </w:r>
      <w:r>
        <w:rPr>
          <w:rtl w:val="true"/>
        </w:rPr>
        <w:t>(</w:t>
      </w:r>
      <w:r>
        <w:rPr>
          <w:rtl w:val="true"/>
        </w:rPr>
        <w:t>الواو</w:t>
      </w:r>
      <w:r>
        <w:rPr>
          <w:rtl w:val="true"/>
        </w:rPr>
        <w:t xml:space="preserve">) </w:t>
      </w:r>
      <w:r>
        <w:rPr>
          <w:rtl w:val="true"/>
        </w:rPr>
        <w:t xml:space="preserve">بعد </w:t>
      </w:r>
      <w:r>
        <w:rPr>
          <w:rtl w:val="true"/>
        </w:rPr>
        <w:t>(</w:t>
      </w:r>
      <w:r>
        <w:rPr>
          <w:rtl w:val="true"/>
        </w:rPr>
        <w:t>ألا</w:t>
      </w:r>
      <w:r>
        <w:rPr>
          <w:rtl w:val="true"/>
        </w:rPr>
        <w:t xml:space="preserve">) </w:t>
      </w:r>
      <w:r>
        <w:rPr>
          <w:rtl w:val="true"/>
        </w:rPr>
        <w:t>الاستفتاحية</w:t>
      </w:r>
      <w:r>
        <w:rPr>
          <w:rtl w:val="true"/>
        </w:rPr>
        <w:t>:</w:t>
      </w:r>
      <w:bookmarkEnd w:id="280"/>
    </w:p>
    <w:p>
      <w:pPr>
        <w:pStyle w:val="BookText"/>
        <w:rPr/>
      </w:pPr>
      <w:r>
        <w:rPr>
          <w:rFonts w:ascii="IRNazanin" w:hAnsi="IRNazanin" w:eastAsia="IRNazanin"/>
          <w:color w:val="111111"/>
          <w:sz w:val="28"/>
          <w:sz w:val="28"/>
          <w:szCs w:val="28"/>
          <w:rtl w:val="true"/>
          <w:lang w:bidi="fa-IR"/>
        </w:rPr>
        <w:t>من سُنن العربية في حروف المعاني أنّها تُزاد في التركيب النحوي تارةً وتُحذف تارةً أُخرى، ولاشك في أنَّ لكلا الحالین مقاصدَ ودلالاتٍ، وشرائط ومواضع بسطتْها كتب اللغة والنحو</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النحويون في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فمنهم من أجازها، ومنهم من أنكرها، فقد ذهب الكوفيون ومن وافقهم إلى جواز زيادتها في بعض المواضع، وساقوا على ذلك عددًا من الشواهد من القرآن الكريم وكلام العرب شعره أو نثره، فرأى الفراء والطبري وأبو بكر بن الأنباري زيادتها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1406"/>
      </w:r>
      <w:r>
        <w:rPr>
          <w:rFonts w:ascii="IRNazanin" w:hAnsi="IRNazanin" w:eastAsia="IRNazanin"/>
          <w:color w:val="111111"/>
          <w:sz w:val="28"/>
          <w:sz w:val="28"/>
          <w:szCs w:val="28"/>
          <w:rtl w:val="true"/>
          <w:lang w:bidi="fa-IR"/>
        </w:rPr>
        <w:t xml:space="preserve">، كما ذهب أيضًا إلى جواز زيادتها بین المتعاطفین </w:t>
      </w:r>
    </w:p>
    <w:p>
      <w:pPr>
        <w:pStyle w:val="BookText"/>
        <w:rPr/>
      </w:pPr>
      <w:r>
        <w:rPr>
          <w:rFonts w:ascii="IRNazanin" w:hAnsi="IRNazanin" w:eastAsia="IRNazanin"/>
          <w:color w:val="111111"/>
          <w:sz w:val="28"/>
          <w:sz w:val="28"/>
          <w:szCs w:val="28"/>
          <w:rtl w:val="true"/>
          <w:lang w:bidi="fa-IR"/>
        </w:rPr>
        <w:t>المترادفین</w:t>
      </w:r>
      <w:r>
        <w:rPr>
          <w:rStyle w:val="FootnoteAnchor"/>
          <w:rtl w:val="true"/>
        </w:rPr>
        <w:footnoteReference w:id="1407"/>
      </w:r>
      <w:r>
        <w:rPr>
          <w:rFonts w:ascii="Amiri" w:hAnsi="Amiri" w:eastAsia="Amiri" w:cs="Amiri"/>
          <w:color w:val="111111"/>
          <w:sz w:val="28"/>
          <w:sz w:val="28"/>
          <w:szCs w:val="28"/>
          <w:rtl w:val="true"/>
          <w:lang w:bidi="ar-SA"/>
        </w:rPr>
        <w:t xml:space="preserve">، ونحا الأخفش هذا المنحى أيضًا فارتضى زيادتها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Style w:val="FootnoteAnchor"/>
          <w:rtl w:val="true"/>
        </w:rPr>
        <w:footnoteReference w:id="1408"/>
      </w:r>
      <w:r>
        <w:rPr>
          <w:rFonts w:ascii="IRNazanin" w:hAnsi="IRNazanin" w:eastAsia="IRNazanin"/>
          <w:color w:val="111111"/>
          <w:sz w:val="28"/>
          <w:sz w:val="28"/>
          <w:szCs w:val="28"/>
          <w:rtl w:val="true"/>
          <w:lang w:bidi="fa-IR"/>
        </w:rPr>
        <w:t>، كما أجازَ الرمّاني زيادتها وفاقًا للكوفيین فيما ورد عن العرب في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ولا شيء لك</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وتأتي زائدة أيضًا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بعدها خبرًا أو صفة لاسم نكرة قبلها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أَهْلَكْنَا مِنْ قَرْيَةٍ إِلَّا وَلَهَا كِتَابٌ مَعْلُومٌ</w:t>
      </w:r>
      <w:r>
        <w:rPr>
          <w:rFonts w:eastAsia="Amiri" w:cs="Amiri" w:ascii="Amiri" w:hAnsi="Amiri"/>
          <w:color w:val="111111"/>
          <w:sz w:val="28"/>
          <w:szCs w:val="28"/>
          <w:rtl w:val="true"/>
          <w:lang w:bidi="ar-SA"/>
        </w:rPr>
        <w:t>»</w:t>
      </w:r>
      <w:r>
        <w:rPr>
          <w:rStyle w:val="FootnoteAnchor"/>
          <w:rtl w:val="true"/>
        </w:rPr>
        <w:footnoteReference w:id="1410"/>
      </w:r>
      <w:r>
        <w:rPr>
          <w:rFonts w:ascii="Amiri" w:hAnsi="Amiri" w:eastAsia="Amiri" w:cs="Amiri"/>
          <w:color w:val="111111"/>
          <w:sz w:val="28"/>
          <w:sz w:val="28"/>
          <w:szCs w:val="28"/>
          <w:rtl w:val="true"/>
          <w:lang w:bidi="ar-SA"/>
        </w:rPr>
        <w:t>استدلالً بعدم ذكرها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أَهْلَكْنَا مِنْ قَرْيَةٍ إِلَّا لَهَا مُنْذِرُونَ</w:t>
      </w:r>
      <w:r>
        <w:rPr>
          <w:rFonts w:eastAsia="Amiri" w:cs="Amiri" w:ascii="Amiri" w:hAnsi="Amiri"/>
          <w:color w:val="111111"/>
          <w:sz w:val="28"/>
          <w:szCs w:val="28"/>
          <w:rtl w:val="true"/>
          <w:lang w:bidi="ar-SA"/>
        </w:rPr>
        <w:t>»</w:t>
      </w:r>
      <w:r>
        <w:rPr>
          <w:rStyle w:val="FootnoteAnchor"/>
          <w:rtl w:val="true"/>
        </w:rPr>
        <w:footnoteReference w:id="1411"/>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وأيَّد الهروي مذهبَ الكوفيین فاستشهد على جواز زيادتها بما استشهدوا به،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تُقحَم إلا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تُقحَم مع غيرهما إلا في الشاذ كقولهم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ولك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لك الحمد، والواو مقحمة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ومعنى المُقحَم أن يكون الحرفُ مذكورًا على نية السقوط</w:t>
      </w:r>
      <w:r>
        <w:rPr>
          <w:rFonts w:eastAsia="IRNazanin" w:cs="IRNazanin"/>
          <w:color w:val="111111"/>
          <w:sz w:val="28"/>
          <w:szCs w:val="28"/>
          <w:rtl w:val="true"/>
          <w:lang w:bidi="fa-IR"/>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أبو البركات الأنباري مذهبَ الكوفيین هذا وصرّح بوروده كثیرًا في </w:t>
      </w:r>
    </w:p>
    <w:p>
      <w:pPr>
        <w:pStyle w:val="BookText"/>
        <w:rPr/>
      </w:pPr>
      <w:r>
        <w:rPr>
          <w:rFonts w:ascii="Amiri" w:hAnsi="Amiri" w:eastAsia="Amiri" w:cs="Amiri"/>
          <w:color w:val="111111"/>
          <w:sz w:val="28"/>
          <w:sz w:val="28"/>
          <w:szCs w:val="28"/>
          <w:rtl w:val="true"/>
          <w:lang w:bidi="ar-SA"/>
        </w:rPr>
        <w:t>القرآن الكريم وكلام العرب، إلا أنَّه لم يؤيِّدْه أو يتبنّاه</w:t>
      </w:r>
      <w:r>
        <w:rPr>
          <w:rStyle w:val="FootnoteAnchor"/>
          <w:rtl w:val="true"/>
        </w:rPr>
        <w:footnoteReference w:id="1414"/>
      </w:r>
      <w:r>
        <w:rPr>
          <w:rFonts w:ascii="IRNazanin" w:hAnsi="IRNazanin" w:eastAsia="IRNazanin"/>
          <w:color w:val="111111"/>
          <w:sz w:val="28"/>
          <w:sz w:val="28"/>
          <w:szCs w:val="28"/>
          <w:rtl w:val="true"/>
          <w:lang w:bidi="fa-IR"/>
        </w:rPr>
        <w:t>، على حین تابع ابنُ مالك وابنُ هشام رأيَ الكوفيین في هذه المسألة</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تبیَّن مما تقدّم رأيُ الكوفيین ومن وافقهم، وأما البصريون فیرون أنَّ الزيادة في الحروف خلاف الأصل، فالأَولى عندهم ألّا يُصار إلى الزيادة إلا بدليل قاطع، لهذا حملوا 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ذكره الكوفيون في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حذف الجواب</w:t>
      </w:r>
      <w:r>
        <w:rPr>
          <w:rStyle w:val="FootnoteAnchor"/>
          <w:rtl w:val="true"/>
        </w:rPr>
        <w:footnoteReference w:id="141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والإنصاف في مسائل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ونتائج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ومفاتيح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والجنى الداني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وهمع الهوامع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والنحو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يَرد عن الكوفيین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تبنّى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تُزاد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الاستفتاحية، وهذا ما جزم به الهروي فأشار إلى زيادة الواو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في غیر هذين الموضعین فالزيادة شاذة لا يُقاس عليها، وإذا كان لهم العذر بأنَّهم قرّروا ذلك استنادًا إلى ما وقفوا عليه من شواهد قرآنية أو شعرية؛ فإنَّ لنا الحق أنْ نسأل عن سبب إغفال طائفة من الشواهد النثرية الكثیرة التي جاءت فيها الزيادة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الاستفتاحية، ولاسيما في نهج البلاغة في أكثر من موضع، 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في الاستسقاء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اَلْأَرْضَ اَلَّتِي تَحْمِلُكُمْ وَ اَلسَّمَاءَ اَلَّتِي تُظِلُّكُمْ مُطِيعَتَانِ لِرَبِّكُمْ</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افتتح الإمام الخطبة الشريفة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للسامعين على ضرورة الإصغاء إلى ما سيُلقى إليهم، وتعظيمًا لهذا الأمر وأهميته، ورغبةً في زيادة تمكن الحكم في </w:t>
      </w:r>
    </w:p>
    <w:p>
      <w:pPr>
        <w:pStyle w:val="BookText"/>
        <w:rPr/>
      </w:pPr>
      <w:r>
        <w:rPr>
          <w:rFonts w:ascii="IRNazanin" w:hAnsi="IRNazanin" w:eastAsia="IRNazanin"/>
          <w:color w:val="111111"/>
          <w:sz w:val="28"/>
          <w:sz w:val="28"/>
          <w:szCs w:val="28"/>
          <w:rtl w:val="true"/>
          <w:lang w:bidi="fa-IR"/>
        </w:rPr>
        <w:t xml:space="preserve">أذهانهم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الاستفتاحية تفيد الإثبات والتحقيق بطريق أبلغ من غیره</w:t>
      </w:r>
      <w:r>
        <w:rPr>
          <w:rStyle w:val="FootnoteAnchor"/>
          <w:rtl w:val="true"/>
        </w:rPr>
        <w:footnoteReference w:id="1418"/>
      </w:r>
      <w:r>
        <w:rPr>
          <w:rFonts w:ascii="IRNazanin" w:hAnsi="IRNazanin" w:eastAsia="IRNazanin"/>
          <w:color w:val="111111"/>
          <w:sz w:val="28"/>
          <w:sz w:val="28"/>
          <w:szCs w:val="28"/>
          <w:rtl w:val="true"/>
          <w:lang w:bidi="fa-IR"/>
        </w:rPr>
        <w:t xml:space="preserve">، ولا شك في أنَّ مقام النص يؤيِّد ذلك؛ فالخطبة في الاستسقاء والمتلقي في حیرة وتردد يحتاج إلى ما يرفعهما عنه، ولهذا جيء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كان المخاطَبُ شاكًا غیرَ معتقدٍ بنزول المطر بعد اليأس منه لمدة طويلة من الانقطاع جيء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في التوكيد، فإنَّ للحرف المزيد فائدةً معنويةً، وأُخرى لفظية؛ فأما المعنوية فهي التوكيد، وأما اللفظية فهي تزيین اللفظ وجعلُه أشدَّ ارتباطًا بما يسبقه</w:t>
      </w:r>
      <w:r>
        <w:rPr>
          <w:rStyle w:val="FootnoteAnchor"/>
          <w:rtl w:val="true"/>
        </w:rPr>
        <w:footnoteReference w:id="1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جاء عليه النصُّ العلَوي الذي حاول دفع هذا الشك والتردد بذكر قدرة الخالق القدير على كل شيء، من ذلك انقياد السماء والأرض لأوامره جلَّ وعلا، ولا شك في أن هذا معنى لا يتحصل لدى كلِّ المخاطَبین به، لأنِّ منهم مَن يشك فيه أو يُنكره، لهذا جيء بأكثر من مؤكِّد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يقوّي زيادتها في هذا الموضع وأمثاله إمكان إسقاطها من دون اختلال في شكل التركيب دون معناه وهذا هو الزائد في عُرف النحويین وقواعدهم، يرجِّح هذا أنّ الإمام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مواضع أُخر 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الدّنيا دارٌ لا يُسلَمُ مِنها إلّا فيها</w:t>
      </w:r>
      <w:r>
        <w:rPr>
          <w:rFonts w:eastAsia="IRNazanin" w:cs="IRNazanin"/>
          <w:color w:val="111111"/>
          <w:sz w:val="28"/>
          <w:szCs w:val="28"/>
          <w:rtl w:val="true"/>
          <w:lang w:bidi="fa-IR"/>
        </w:rPr>
        <w:t>))</w:t>
      </w:r>
      <w:r>
        <w:rPr>
          <w:rStyle w:val="FootnoteAnchor"/>
          <w:rtl w:val="true"/>
        </w:rPr>
        <w:footnoteReference w:id="142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أَسْمَعَ اَلْأَسْاَعِ مَا وَعَى اَلتَّذْكِیرَ وَ قَبِلَهُ</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فزيادة التوكيد في النص الأول المقترن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الثاني والثالث غیر المقترنین بها تعود إلى حال المخاطَب في كلِّ نص، فشِدّة إنكار الأول بسبب صعوبة </w:t>
      </w:r>
    </w:p>
    <w:p>
      <w:pPr>
        <w:pStyle w:val="BookText"/>
        <w:rPr/>
      </w:pPr>
      <w:r>
        <w:rPr>
          <w:rFonts w:ascii="IRNazanin" w:hAnsi="IRNazanin" w:eastAsia="IRNazanin"/>
          <w:color w:val="111111"/>
          <w:sz w:val="28"/>
          <w:sz w:val="28"/>
          <w:szCs w:val="28"/>
          <w:rtl w:val="true"/>
          <w:lang w:bidi="fa-IR"/>
        </w:rPr>
        <w:t xml:space="preserve">الإيمان بفكرة كون السماء والأرض مطيعتین لله سبحانه ألزمتْ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المؤكِّدة، على حین أنَّ فكرة النص الثاني عامة لا تحتاج إلى توكيدٍ ثانٍ؛ لأنّ السامة من مَحِن الدنيا لا يحدث إلا فيها وكذلك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والاستدلالُ بالنظیر في ترجيح وجه نحوي على آخر كما جرى ههنا سبيلٌ لدى كثیر من النحويین منهم الفرّاء الذي انتهج هذا في زيادتها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المتلوّة بالنكرة كما مرّ</w:t>
      </w:r>
      <w:r>
        <w:rPr>
          <w:rStyle w:val="FootnoteAnchor"/>
          <w:rtl w:val="true"/>
        </w:rPr>
        <w:footnoteReference w:id="1422"/>
      </w:r>
      <w:r>
        <w:rPr>
          <w:rFonts w:ascii="IRNazanin" w:hAnsi="IRNazanin" w:eastAsia="IRNazanin"/>
          <w:color w:val="111111"/>
          <w:sz w:val="28"/>
          <w:sz w:val="28"/>
          <w:szCs w:val="28"/>
          <w:rtl w:val="true"/>
          <w:lang w:bidi="fa-IR"/>
        </w:rPr>
        <w:t>، كما استدل بالنظیر أيضًا الزجّاج وابن هشام</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الشواهد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اَلْيَوْمَ اَلْمِضْمَارَ وَغَدًا اَلسِّبَاقَ</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الشواهد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مُعَاوِيَةَ قَادَ لَمُةً مِنَ اَلْغُوَاةِ وَ عَمَّسَ عَلَيْهِمُ اَلْخَبَرَ</w:t>
      </w:r>
      <w:r>
        <w:rPr>
          <w:rFonts w:eastAsia="Amiri" w:cs="Amiri" w:ascii="Amiri" w:hAnsi="Amiri"/>
          <w:color w:val="111111"/>
          <w:sz w:val="28"/>
          <w:szCs w:val="28"/>
          <w:rtl w:val="true"/>
          <w:lang w:bidi="ar-SA"/>
        </w:rPr>
        <w:t>))</w:t>
      </w:r>
      <w:r>
        <w:rPr>
          <w:rStyle w:val="FootnoteAnchor"/>
          <w:rtl w:val="true"/>
        </w:rPr>
        <w:footnoteReference w:id="1425"/>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عمس عليهم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عليهم الخبر،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عمس وعموس وعماس ومعمس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مظلم لا يدرى من أين يؤتى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وعمس عليه الأمر يعمسه وعمسه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 ولبسه ولم يبينه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اتضح مما مرَّ ذكرُه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زائدة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لصحة سقوطها من التركيب، وهذا هو الزائد في عُرف النحويین واللغويین، ولهذا لم يذكرْها الإمام في شواهد أُخر، إذًا فسياق كلِّ نصٍّ كفيلٌ باختيار ما يناسبه من الألفاظ والتراكيب، واستنادًا إلى كلِّ هذا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الاستفتاحية للدلالة على التوكيد لورود ذلك في نهج البلاغة</w:t>
      </w:r>
      <w:r>
        <w:rPr>
          <w:rFonts w:eastAsia="IRNazanin" w:cs="IRNazanin"/>
          <w:color w:val="111111"/>
          <w:sz w:val="28"/>
          <w:szCs w:val="28"/>
          <w:rtl w:val="true"/>
          <w:lang w:bidi="fa-IR"/>
        </w:rPr>
        <w:t xml:space="preserve">. </w:t>
      </w:r>
      <w:bookmarkStart w:id="281" w:name="pg7031_81103"/>
    </w:p>
    <w:p>
      <w:pPr>
        <w:pStyle w:val="Heading4"/>
        <w:numPr>
          <w:ilvl w:val="3"/>
          <w:numId w:val="1"/>
        </w:numPr>
        <w:rPr/>
      </w:pPr>
      <w:bookmarkStart w:id="282" w:name="__RefHeading___Toc2958410_372815092"/>
      <w:bookmarkStart w:id="283" w:name="_Toc91"/>
      <w:bookmarkEnd w:id="281"/>
      <w:bookmarkEnd w:id="282"/>
      <w:r>
        <w:rPr>
          <w:rtl w:val="true"/>
        </w:rPr>
        <w:t>المسألة الخامسة</w:t>
      </w:r>
      <w:r>
        <w:rPr>
          <w:rtl w:val="true"/>
        </w:rPr>
        <w:t xml:space="preserve">: </w:t>
      </w:r>
      <w:r>
        <w:rPr>
          <w:rtl w:val="true"/>
        </w:rPr>
        <w:t>جواز إبدال الجملة من المفرد</w:t>
      </w:r>
      <w:r>
        <w:rPr>
          <w:rtl w:val="true"/>
        </w:rPr>
        <w:t>:</w:t>
      </w:r>
      <w:bookmarkEnd w:id="283"/>
    </w:p>
    <w:p>
      <w:pPr>
        <w:pStyle w:val="BookText"/>
        <w:rPr/>
      </w:pPr>
      <w:r>
        <w:rPr>
          <w:rFonts w:ascii="Amiri" w:hAnsi="Amiri" w:eastAsia="Amiri" w:cs="Amiri"/>
          <w:color w:val="111111"/>
          <w:sz w:val="28"/>
          <w:sz w:val="28"/>
          <w:szCs w:val="28"/>
          <w:rtl w:val="true"/>
          <w:lang w:bidi="ar-SA"/>
        </w:rPr>
        <w:t>البدل من الأقسام الرئيسة للتوابع في النحو العربي، تحدث عنه سيبويه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باب من الفعل يستعمل في الاسم ثم يبدل مكان ذلك الاسم اسم آخر فيعمل فيه كما عمل في الأول وذلك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قومك أكثرهم، ورأيت بني زيد ثلثيهم، ورأيت بني عمك ناسا منهم، ورأيت عبد الله شخصه</w:t>
      </w:r>
      <w:r>
        <w:rPr>
          <w:rFonts w:eastAsia="Amiri" w:cs="Amiri" w:ascii="Amiri" w:hAnsi="Amiri"/>
          <w:color w:val="111111"/>
          <w:sz w:val="28"/>
          <w:szCs w:val="28"/>
          <w:rtl w:val="true"/>
          <w:lang w:bidi="ar-SA"/>
        </w:rPr>
        <w:t>))</w:t>
      </w:r>
      <w:r>
        <w:rPr>
          <w:rStyle w:val="FootnoteAnchor"/>
          <w:rtl w:val="true"/>
        </w:rPr>
        <w:footnoteReference w:id="1426"/>
      </w:r>
      <w:r>
        <w:rPr>
          <w:rFonts w:ascii="Amiri" w:hAnsi="Amiri" w:eastAsia="Amiri" w:cs="Amiri"/>
          <w:color w:val="111111"/>
          <w:sz w:val="28"/>
          <w:sz w:val="28"/>
          <w:szCs w:val="28"/>
          <w:rtl w:val="true"/>
          <w:lang w:bidi="ar-SA"/>
        </w:rPr>
        <w:t>، وقد عرَّفه ابن مالك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التابعُ المقصودُ بالحكمِ بِلا واسِطةٍ هو المُسمَّى بَدلًا</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هذا التعريف يكاد يكون هو الأشهر، إذ أخذ به أغلب النحويین بعد ابن مالك ليصبح تعريفًا متداوَلًا للبدل، فقد ارتضاه ابن الناظم</w:t>
      </w:r>
      <w:r>
        <w:rPr>
          <w:rStyle w:val="FootnoteAnchor"/>
          <w:rtl w:val="true"/>
        </w:rPr>
        <w:footnoteReference w:id="1428"/>
      </w:r>
      <w:r>
        <w:rPr>
          <w:rFonts w:ascii="IRNazanin" w:hAnsi="IRNazanin" w:eastAsia="IRNazanin"/>
          <w:color w:val="111111"/>
          <w:sz w:val="28"/>
          <w:sz w:val="28"/>
          <w:szCs w:val="28"/>
          <w:rtl w:val="true"/>
          <w:lang w:bidi="fa-IR"/>
        </w:rPr>
        <w:t>، وابن هشام</w:t>
      </w:r>
      <w:r>
        <w:rPr>
          <w:rStyle w:val="FootnoteAnchor"/>
          <w:rtl w:val="true"/>
        </w:rPr>
        <w:footnoteReference w:id="1429"/>
      </w:r>
      <w:r>
        <w:rPr>
          <w:rFonts w:ascii="Amiri" w:hAnsi="Amiri" w:eastAsia="Amiri" w:cs="Amiri"/>
          <w:color w:val="111111"/>
          <w:sz w:val="28"/>
          <w:sz w:val="28"/>
          <w:szCs w:val="28"/>
          <w:rtl w:val="true"/>
          <w:lang w:bidi="ar-SA"/>
        </w:rPr>
        <w:t>، وابن عقيل</w:t>
      </w:r>
      <w:r>
        <w:rPr>
          <w:rStyle w:val="FootnoteAnchor"/>
          <w:rtl w:val="true"/>
        </w:rPr>
        <w:footnoteReference w:id="1430"/>
      </w:r>
      <w:r>
        <w:rPr>
          <w:rFonts w:ascii="Amiri" w:hAnsi="Amiri" w:eastAsia="Amiri" w:cs="Amiri"/>
          <w:color w:val="111111"/>
          <w:sz w:val="28"/>
          <w:sz w:val="28"/>
          <w:szCs w:val="28"/>
          <w:rtl w:val="true"/>
          <w:lang w:bidi="ar-SA"/>
        </w:rPr>
        <w:t>، والسيوطي</w:t>
      </w:r>
      <w:r>
        <w:rPr>
          <w:rStyle w:val="FootnoteAnchor"/>
          <w:rtl w:val="true"/>
        </w:rPr>
        <w:footnoteReference w:id="1431"/>
      </w:r>
      <w:r>
        <w:rPr>
          <w:rFonts w:ascii="Amiri" w:hAnsi="Amiri" w:eastAsia="Amiri" w:cs="Amiri"/>
          <w:color w:val="111111"/>
          <w:sz w:val="28"/>
          <w:sz w:val="28"/>
          <w:szCs w:val="28"/>
          <w:rtl w:val="true"/>
          <w:lang w:bidi="ar-SA"/>
        </w:rPr>
        <w:t xml:space="preserve">، والفاكهي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432"/>
      </w:r>
      <w:r>
        <w:rPr>
          <w:rFonts w:ascii="IRNazanin" w:hAnsi="IRNazanin" w:eastAsia="IRNazanin"/>
          <w:color w:val="111111"/>
          <w:sz w:val="28"/>
          <w:sz w:val="28"/>
          <w:szCs w:val="28"/>
          <w:rtl w:val="true"/>
          <w:lang w:bidi="fa-IR"/>
        </w:rPr>
        <w:t>، والدكتور محمد حماسة من المحدثین</w:t>
      </w:r>
      <w:r>
        <w:rPr>
          <w:rStyle w:val="FootnoteAnchor"/>
          <w:rtl w:val="true"/>
        </w:rPr>
        <w:footnoteReference w:id="1433"/>
      </w:r>
      <w:r>
        <w:rPr>
          <w:rFonts w:ascii="IRNazanin" w:hAnsi="IRNazanin" w:eastAsia="IRNazanin"/>
          <w:color w:val="111111"/>
          <w:sz w:val="28"/>
          <w:sz w:val="28"/>
          <w:szCs w:val="28"/>
          <w:rtl w:val="true"/>
          <w:lang w:bidi="fa-IR"/>
        </w:rPr>
        <w:t>، وقد فصّل علماء العربية القول في تفسیر ماهيّة هذا التعريف ثم ذكروا أقسام البدل ودلالات كلِّ قسم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قرّر النحويون جواز وقوع البدل بین المفردات، فلا خلافَ لدَيهم في هذا الباب</w:t>
      </w:r>
      <w:r>
        <w:rPr>
          <w:rStyle w:val="FootnoteAnchor"/>
          <w:rtl w:val="true"/>
        </w:rPr>
        <w:footnoteReference w:id="1434"/>
      </w:r>
      <w:r>
        <w:rPr>
          <w:rFonts w:ascii="IRNazanin" w:hAnsi="IRNazanin" w:eastAsia="IRNazanin"/>
          <w:color w:val="111111"/>
          <w:sz w:val="28"/>
          <w:sz w:val="28"/>
          <w:szCs w:val="28"/>
          <w:rtl w:val="true"/>
          <w:lang w:bidi="fa-IR"/>
        </w:rPr>
        <w:t xml:space="preserve">، كما أجاز كثیرٌ منهم وقوعَه بین الجمل أيضًا، واستشهدوا لذلك </w:t>
      </w:r>
    </w:p>
    <w:p>
      <w:pPr>
        <w:pStyle w:val="BookText"/>
        <w:rPr/>
      </w:pPr>
      <w:r>
        <w:rPr>
          <w:rFonts w:ascii="Amiri" w:hAnsi="Amiri" w:eastAsia="Amiri" w:cs="Amiri"/>
          <w:color w:val="111111"/>
          <w:sz w:val="28"/>
          <w:sz w:val="28"/>
          <w:szCs w:val="28"/>
          <w:rtl w:val="true"/>
          <w:lang w:bidi="ar-SA"/>
        </w:rPr>
        <w:t>بشواهد نحوية</w:t>
      </w:r>
      <w:r>
        <w:rPr>
          <w:rStyle w:val="FootnoteAnchor"/>
          <w:rtl w:val="true"/>
        </w:rPr>
        <w:footnoteReference w:id="143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وتمهيد القواعد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3421</w:t>
      </w:r>
      <w:r>
        <w:rPr>
          <w:rFonts w:ascii="Amiri" w:hAnsi="Amiri" w:eastAsia="Amiri" w:cs="Amiri"/>
          <w:color w:val="111111"/>
          <w:sz w:val="28"/>
          <w:sz w:val="28"/>
          <w:szCs w:val="28"/>
          <w:rtl w:val="true"/>
          <w:lang w:bidi="ar-SA"/>
        </w:rPr>
        <w:t>، وحاشية الصبان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والنحو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والتوابع في النحو العربي،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سليمان ياقوت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إبدال الجملة من المفرد فهذا محلُّ خلاف بينهم، بل لم يُفرّع له أغلب النحويین قسماً كأقسام البدل وأنماطه ولم يُشیروا إليه</w:t>
      </w:r>
      <w:r>
        <w:rPr>
          <w:rStyle w:val="FootnoteAnchor"/>
          <w:rtl w:val="true"/>
        </w:rPr>
        <w:footnoteReference w:id="1436"/>
      </w:r>
      <w:r>
        <w:rPr>
          <w:rFonts w:ascii="IRNazanin" w:hAnsi="IRNazanin" w:eastAsia="IRNazanin"/>
          <w:color w:val="111111"/>
          <w:sz w:val="28"/>
          <w:sz w:val="28"/>
          <w:szCs w:val="28"/>
          <w:rtl w:val="true"/>
          <w:lang w:bidi="fa-IR"/>
        </w:rPr>
        <w:t>، على الرغم من أنّ السماع نطق به في أكثر من شاهد، الأمر الذي حدا ببعض النحويین التنبه لذلك وإجازته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ذهب ابن جني إلى جواز إبدال الجملة من المفرد، جاء ذلك في تعقيبه على قول الشاعر</w:t>
      </w:r>
      <w:r>
        <w:rPr>
          <w:rStyle w:val="FootnoteAnchor"/>
          <w:rtl w:val="true"/>
        </w:rPr>
        <w:footnoteReference w:id="14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أشكو بالمدينةِ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وبالشام أُخرى كيف يلتقيان؟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تلتقيان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في موضع نصب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الله اشكو هاتین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تعذر التقائهما</w:t>
      </w:r>
      <w:r>
        <w:rPr>
          <w:rFonts w:eastAsia="IRNazanin" w:cs="IRNazanin"/>
          <w:color w:val="111111"/>
          <w:sz w:val="28"/>
          <w:szCs w:val="28"/>
          <w:rtl w:val="true"/>
          <w:lang w:bidi="fa-IR"/>
        </w:rPr>
        <w:t>))</w:t>
      </w:r>
      <w:r>
        <w:rPr>
          <w:rStyle w:val="FootnoteAnchor"/>
          <w:rtl w:val="true"/>
        </w:rPr>
        <w:footnoteReference w:id="1438"/>
      </w:r>
      <w:r>
        <w:rPr>
          <w:rFonts w:ascii="Amiri" w:hAnsi="Amiri" w:eastAsia="Amiri" w:cs="Amiri"/>
          <w:color w:val="111111"/>
          <w:sz w:val="28"/>
          <w:sz w:val="28"/>
          <w:szCs w:val="28"/>
          <w:rtl w:val="true"/>
          <w:lang w:bidi="ar-SA"/>
        </w:rPr>
        <w:t xml:space="preserve">، وتابعه الزمخشري </w:t>
      </w:r>
    </w:p>
    <w:p>
      <w:pPr>
        <w:pStyle w:val="BookText"/>
        <w:rPr/>
      </w:pPr>
      <w:r>
        <w:rPr>
          <w:rFonts w:ascii="Amiri" w:hAnsi="Amiri" w:eastAsia="Amiri" w:cs="Amiri"/>
          <w:color w:val="111111"/>
          <w:sz w:val="28"/>
          <w:sz w:val="28"/>
          <w:szCs w:val="28"/>
          <w:rtl w:val="true"/>
          <w:lang w:bidi="ar-SA"/>
        </w:rPr>
        <w:t>على هذا فصرَّح برأيه وهو يفسر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اهِيَةً قُلُوبُهُمْ وَأَسَرُّوا النَّجْوَى الَّذِينَ ظَلَمُوا هَلْ هَذَا إِلَّا بَشَرٌ مِثْلُكُمْ أَفَتَأْتُونَ السِّحْرَ وَأَنْتُمْ تُبْصِرُونَ</w:t>
      </w:r>
      <w:r>
        <w:rPr>
          <w:rFonts w:eastAsia="Amiri" w:cs="Amiri" w:ascii="Amiri" w:hAnsi="Amiri"/>
          <w:color w:val="111111"/>
          <w:sz w:val="28"/>
          <w:szCs w:val="28"/>
          <w:rtl w:val="true"/>
          <w:lang w:bidi="ar-SA"/>
        </w:rPr>
        <w:t>»</w:t>
      </w:r>
      <w:r>
        <w:rPr>
          <w:rStyle w:val="FootnoteAnchor"/>
          <w:rtl w:val="true"/>
        </w:rPr>
        <w:footnoteReference w:id="143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هذا إِلَّا بَشَرٌ مِثْلُكُمْ أَفَتَأْتُونَ السِّحْرَ وَأَنْتُمْ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كلُّه في محل النصب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وأسرُّوا هذا الحديث</w:t>
      </w:r>
      <w:r>
        <w:rPr>
          <w:rFonts w:eastAsia="Amiri" w:cs="Amiri" w:ascii="Amiri" w:hAnsi="Amiri"/>
          <w:color w:val="111111"/>
          <w:sz w:val="28"/>
          <w:szCs w:val="28"/>
          <w:rtl w:val="true"/>
          <w:lang w:bidi="ar-SA"/>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وتبنّى هذا الرأيَ وأيده أيضًا ابنُ مالك فقد احتج له بشواهد متعددة من القرآن الكريم والشعر العربي،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وتُبدَل جملة من مفرد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زيدًا أبو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عرفت زيدًا أبوته، ومنه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أذهلتني أمُّ عَمْرٍو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أتصبرُ يومَ البينِ أمْ لسْتَ تصبرُ فالجملة الاستفهامية التي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منها؛ لأن الكلمة هنا بمعنى الكلام</w:t>
      </w:r>
      <w:r>
        <w:rPr>
          <w:rFonts w:eastAsia="Amiri" w:cs="Amiri" w:ascii="Amiri" w:hAnsi="Amiri"/>
          <w:color w:val="111111"/>
          <w:sz w:val="28"/>
          <w:szCs w:val="28"/>
          <w:rtl w:val="true"/>
          <w:lang w:bidi="ar-SA"/>
        </w:rPr>
        <w:t>))</w:t>
      </w:r>
      <w:r>
        <w:rPr>
          <w:rStyle w:val="FootnoteAnchor"/>
          <w:rtl w:val="true"/>
        </w:rPr>
        <w:footnoteReference w:id="1441"/>
      </w:r>
      <w:r>
        <w:rPr>
          <w:rFonts w:ascii="Amiri" w:hAnsi="Amiri" w:eastAsia="Amiri" w:cs="Amiri"/>
          <w:color w:val="111111"/>
          <w:sz w:val="28"/>
          <w:sz w:val="28"/>
          <w:szCs w:val="28"/>
          <w:rtl w:val="true"/>
          <w:lang w:bidi="ar-SA"/>
        </w:rPr>
        <w:t>، ثم احتجَّ بمجموعة من الشواهد،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يُقَالُ لَكَ إِلَّا مَا قَدْ قِيلَ لِلرُّسُلِ مِنْ قَبْلِكَ إِنَّ رَبَّكَ لَذُو مَغْفِرَةٍ وَذُو عِقَابٍ أَلِيمٍ</w:t>
      </w:r>
      <w:r>
        <w:rPr>
          <w:rFonts w:eastAsia="Amiri" w:cs="Amiri" w:ascii="Amiri" w:hAnsi="Amiri"/>
          <w:color w:val="111111"/>
          <w:sz w:val="28"/>
          <w:szCs w:val="28"/>
          <w:rtl w:val="true"/>
          <w:lang w:bidi="ar-SA"/>
        </w:rPr>
        <w:t>»</w:t>
      </w:r>
      <w:r>
        <w:rPr>
          <w:rStyle w:val="FootnoteAnchor"/>
          <w:rtl w:val="true"/>
        </w:rPr>
        <w:footnoteReference w:id="1442"/>
      </w:r>
      <w:r>
        <w:rPr>
          <w:rFonts w:ascii="Amiri" w:hAnsi="Amiri" w:eastAsia="Amiri" w:cs="Amiri"/>
          <w:color w:val="111111"/>
          <w:sz w:val="28"/>
          <w:sz w:val="28"/>
          <w:szCs w:val="28"/>
          <w:rtl w:val="true"/>
          <w:lang w:bidi="ar-SA"/>
        </w:rPr>
        <w:t xml:space="preserve">، فذهب إلى أنَّ الجملة الإسمية المنسوخة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وممّن أخذ بهذا المذهب عددٌ من العلماء</w:t>
      </w:r>
      <w:r>
        <w:rPr>
          <w:rStyle w:val="FootnoteAnchor"/>
          <w:rtl w:val="true"/>
        </w:rPr>
        <w:footnoteReference w:id="1444"/>
      </w:r>
      <w:r>
        <w:rPr>
          <w:rFonts w:ascii="Amiri" w:hAnsi="Amiri" w:eastAsia="Amiri" w:cs="Amiri"/>
          <w:color w:val="111111"/>
          <w:sz w:val="28"/>
          <w:sz w:val="28"/>
          <w:szCs w:val="28"/>
          <w:rtl w:val="true"/>
          <w:lang w:bidi="ar-SA"/>
        </w:rPr>
        <w:t xml:space="preserve">منهم ناظر الجيش الذي علَّل جواز </w:t>
      </w:r>
    </w:p>
    <w:p>
      <w:pPr>
        <w:pStyle w:val="BookText"/>
        <w:rPr/>
      </w:pPr>
      <w:r>
        <w:rPr>
          <w:rFonts w:ascii="Amiri" w:hAnsi="Amiri" w:eastAsia="Amiri" w:cs="Amiri"/>
          <w:color w:val="111111"/>
          <w:sz w:val="28"/>
          <w:sz w:val="28"/>
          <w:szCs w:val="28"/>
          <w:rtl w:val="true"/>
          <w:lang w:bidi="ar-SA"/>
        </w:rPr>
        <w:t>ذلك التركيب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إبدال الجملة من مفرد لا يظهر كونه ممتنعًا، وذلك أَنَّ المبدَل تابع كما أَنَّ النعت تابع، وقد ثبت النعت بالجملة فما المانع من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على نية تكرار العامل، والعوامل لا تَسَلُّطَ لها على الجمل، فالجواب أَنَّ الجملة إذا أُوِّلتْ بالمفرد أُعطيَتْ حكمه، ثم إنَّك قد عرفت أَنَّ العامل في البدل إنَّما هو العامل في المُبدَل منه على مذهب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البدل على نية تكرار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أنَّ البدل هو المستقل بمقتى العامل لا أَنَّ ثَمَّ عاملاً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يتم قول ابن جني والزمخشري والمصنف، ومن قال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تبدل من مفسر</w:t>
      </w:r>
      <w:r>
        <w:rPr>
          <w:rFonts w:eastAsia="Amiri" w:cs="Amiri" w:ascii="Amiri" w:hAnsi="Amiri"/>
          <w:color w:val="111111"/>
          <w:sz w:val="28"/>
          <w:szCs w:val="28"/>
          <w:rtl w:val="true"/>
          <w:lang w:bidi="ar-SA"/>
        </w:rPr>
        <w:t>))</w:t>
      </w:r>
      <w:r>
        <w:rPr>
          <w:rStyle w:val="FootnoteAnchor"/>
          <w:rtl w:val="true"/>
        </w:rPr>
        <w:footnoteReference w:id="1445"/>
      </w:r>
      <w:r>
        <w:rPr>
          <w:rFonts w:ascii="IRNazanin" w:hAnsi="IRNazanin" w:eastAsia="IRNazanin"/>
          <w:color w:val="111111"/>
          <w:sz w:val="28"/>
          <w:sz w:val="28"/>
          <w:szCs w:val="28"/>
          <w:rtl w:val="true"/>
          <w:lang w:bidi="fa-IR"/>
        </w:rPr>
        <w:t>، وقد صرَّح بإجازة هذا النمط من البدل قسمٌ من العلماء المحدثین</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يؤيد صحة هذا الاستعمال وروده على لسان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يذكر فيها مواقفه من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وُلِّيتُ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أَعْوَانِی فَضَجَّتِ اَلدَّارُ وَاَلْأَفْنِيَةُ مَلاٌ يَهْبِطُ وَ مَلاٌ يَعْرُجُ وَ مَا فَارَقَتْ سَمْعِي هَيْنَمَةٌ مِنْهُمْ يُصَلُّونَ عَلَيْهِ حَتَّى وَارَيْنَاهُ فِی ضَرِيحِهِ</w:t>
      </w:r>
      <w:r>
        <w:rPr>
          <w:rFonts w:eastAsia="Amiri" w:cs="Amiri" w:ascii="Amiri" w:hAnsi="Amiri"/>
          <w:color w:val="111111"/>
          <w:sz w:val="28"/>
          <w:szCs w:val="28"/>
          <w:rtl w:val="true"/>
          <w:lang w:bidi="ar-SA"/>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ينتظم هذا الجزء من الخطبة الشريفة واحدًا من المقامات الرفيعة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قربُه من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وبعد رحيله؛ إذ هو من تكفَّل بتغسيله ودفنه في مراسيم اتَّسمت بحضور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أعوانًا للإمام في أداء هذه المهمة العظيمة، من أجل بيان المقام الأسمى للنبي وللإمام؛ إذ يصوّر هذا </w:t>
      </w:r>
    </w:p>
    <w:p>
      <w:pPr>
        <w:pStyle w:val="BookText"/>
        <w:rPr/>
      </w:pPr>
      <w:r>
        <w:rPr>
          <w:rFonts w:ascii="Amiri" w:hAnsi="Amiri" w:eastAsia="Amiri" w:cs="Amiri"/>
          <w:color w:val="111111"/>
          <w:sz w:val="28"/>
          <w:sz w:val="28"/>
          <w:szCs w:val="28"/>
          <w:rtl w:val="true"/>
          <w:lang w:bidi="ar-SA"/>
        </w:rPr>
        <w:t>النص سماع الإمام الصوتَ الخفي الصادر عن الملائكة</w:t>
      </w:r>
      <w:r>
        <w:rPr>
          <w:rStyle w:val="FootnoteAnchor"/>
          <w:rtl w:val="true"/>
        </w:rPr>
        <w:footnoteReference w:id="1448"/>
      </w:r>
      <w:r>
        <w:rPr>
          <w:rFonts w:ascii="Amiri" w:hAnsi="Amiri" w:eastAsia="Amiri" w:cs="Amiri"/>
          <w:color w:val="111111"/>
          <w:sz w:val="28"/>
          <w:sz w:val="28"/>
          <w:szCs w:val="28"/>
          <w:rtl w:val="true"/>
          <w:lang w:bidi="ar-SA"/>
        </w:rPr>
        <w:t xml:space="preserve">، ولمّا كان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مُبهماً خفِيًا في معناه احتاج إلى ما يرفع هذا الإبهام ويُزيله، لهذا عمد الإمام إلى إتْباعه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الغرض من البدل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 ورفع الالتباس وإزالة التوسع والمجاز</w:t>
      </w:r>
      <w:r>
        <w:rPr>
          <w:rFonts w:eastAsia="Amiri" w:cs="Amiri" w:ascii="Amiri" w:hAnsi="Amiri"/>
          <w:color w:val="111111"/>
          <w:sz w:val="28"/>
          <w:szCs w:val="28"/>
          <w:rtl w:val="true"/>
          <w:lang w:bidi="ar-SA"/>
        </w:rPr>
        <w:t>))</w:t>
      </w:r>
      <w:r>
        <w:rPr>
          <w:rStyle w:val="FootnoteAnchor"/>
          <w:rtl w:val="true"/>
        </w:rPr>
        <w:footnoteReference w:id="1449"/>
      </w:r>
      <w:r>
        <w:rPr>
          <w:rFonts w:ascii="Amiri" w:hAnsi="Amiri" w:eastAsia="Amiri" w:cs="Amiri"/>
          <w:color w:val="111111"/>
          <w:sz w:val="28"/>
          <w:sz w:val="28"/>
          <w:szCs w:val="28"/>
          <w:rtl w:val="true"/>
          <w:lang w:bidi="ar-SA"/>
        </w:rPr>
        <w:t xml:space="preserve">، على أنَّ بعض الشّرُّاح احتمل غیر هذا المعنى، فجعل شبه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w:t>
      </w:r>
      <w:r>
        <w:rPr>
          <w:rFonts w:eastAsia="Amiri" w:cs="Amiri" w:ascii="Amiri" w:hAnsi="Amiri"/>
          <w:color w:val="111111"/>
          <w:sz w:val="28"/>
          <w:szCs w:val="28"/>
          <w:rtl w:val="true"/>
          <w:lang w:bidi="ar-SA"/>
        </w:rPr>
        <w:t>)</w:t>
      </w:r>
      <w:r>
        <w:rPr>
          <w:rStyle w:val="FootnoteAnchor"/>
          <w:rtl w:val="true"/>
        </w:rPr>
        <w:footnoteReference w:id="1450"/>
      </w:r>
      <w:r>
        <w:rPr>
          <w:rFonts w:ascii="IRNazanin" w:hAnsi="IRNazanin" w:eastAsia="IRNazanin"/>
          <w:color w:val="111111"/>
          <w:sz w:val="28"/>
          <w:sz w:val="28"/>
          <w:szCs w:val="28"/>
          <w:rtl w:val="true"/>
          <w:lang w:bidi="fa-IR"/>
        </w:rPr>
        <w:t xml:space="preserve">، وعلى هذا يكون غرض الإمام هو بيان أصناف الملائكة، والحال خلاف ذلك، فليس غرضُ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أصنافهم؛ فلو كانت الغاية هذه لذكرَ الإمامُ الصِنف الآخَر غیر الذين يُصلّون عليه، ولمَا اكتفى بهذا الصنف فقط، وبهذا يتقوّى لديَّ تعلّق شبه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شواهد هذه المسألة في الكلام العَلَوي المبارك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منزلته من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عَلِمْتُمْ مَوْضِعِي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اَلْقَرِيبَةِ وَ اَلْمَنْزِلَةِ اَلْخَصِيصَةِ وَضَعَنِي فِی حَجْرِهِ وَ أَنَا وَلِيدٌ يَضُمُّنِي إِلَی صَدْرِهِ وَ يَكْنُفُنِي فِی فِرَاشِهِ وَ يُمِسُّنِي جَسَدَهُ وَ يُشِمُّنِي عَرْفَهُ وَ كَانَ يَمْضَغُ اَلشَّيءَ ثُمَّ يُلْقِمُنِيهِ</w:t>
      </w:r>
      <w:r>
        <w:rPr>
          <w:rFonts w:eastAsia="Amiri" w:cs="Amiri" w:ascii="Amiri" w:hAnsi="Amiri"/>
          <w:color w:val="111111"/>
          <w:sz w:val="28"/>
          <w:szCs w:val="28"/>
          <w:rtl w:val="true"/>
          <w:lang w:bidi="ar-SA"/>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يستعرض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الجزء من الخطبة منزلتَه التي اختص بها من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دلّ على ذلك بإيراد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الانفراد بالشيء بما لا يشاركه فيه الجملة</w:t>
      </w:r>
      <w:r>
        <w:rPr>
          <w:rStyle w:val="FootnoteAnchor"/>
          <w:rtl w:val="true"/>
        </w:rPr>
        <w:footnoteReference w:id="1452"/>
      </w:r>
      <w:r>
        <w:rPr>
          <w:rFonts w:ascii="Amiri" w:hAnsi="Amiri" w:eastAsia="Amiri" w:cs="Amiri"/>
          <w:color w:val="111111"/>
          <w:sz w:val="28"/>
          <w:sz w:val="28"/>
          <w:szCs w:val="28"/>
          <w:rtl w:val="true"/>
          <w:lang w:bidi="ar-SA"/>
        </w:rPr>
        <w:t xml:space="preserve">وهي المُبدَل منه، ولمَّا كان هذا </w:t>
      </w:r>
    </w:p>
    <w:p>
      <w:pPr>
        <w:pStyle w:val="BookText"/>
        <w:rPr/>
      </w:pPr>
      <w:r>
        <w:rPr>
          <w:rFonts w:ascii="Amiri" w:hAnsi="Amiri" w:eastAsia="Amiri" w:cs="Amiri"/>
          <w:color w:val="111111"/>
          <w:sz w:val="28"/>
          <w:sz w:val="28"/>
          <w:szCs w:val="28"/>
          <w:rtl w:val="true"/>
          <w:lang w:bidi="ar-SA"/>
        </w:rPr>
        <w:t xml:space="preserve">الخصوص مُجمَلاً يحتاج إلى بيان وتفصيل أردَفه الإمام بما يُزيل الإبهام ويفصِّل المُجمَل وهذا ما أفصحت عنه الجمل اللاحقة التي تصدّرتها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وَضَعَنِي فِی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بدلًا مطابِقًا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هي الوظيفة الدلالية للبدل التي تكمن في الإيضاح كما تقدّم فضلاً عن التفصيل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دلالة التطابق بین المُبدَل والمُبدَل منه في النص العلَوي تأتي من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تدلُّ عليه معجميًا تعني الانفراد وعدم الاشتراك، وقد حصل هذا الانفراد بالمعنى المعجمي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وبالموقع الذي احتلته من التركيب النحوي، إذ إنَّ المعاني التي جاءت بعدها في عبارة الإِمام مما انفرد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سائر الخلق، وهذا من بديع تعانق الدلالة المعجمية والنحوية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يكون نص الإِمام قد زاد نوعًا آخر على أنواع البدل المطابق، وهو الواقع بین لفظةٍ وجملة، ساعد عليه المعنى اللغوي للمُبدَل منه ومعنى الجملة الواقعة بدلًا، على حین أن النحويین يقصرون ورود البدل المطابق بین الألفاظ</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يظهر مما تقدَّم صحة مذهب مَن أجاز هذا النوع من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يُشر إليه أغلب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السماع والقياس، أما السماع فلوروده في القرآن الكريم ونهج البلاغة وكلام العرب، وأما القياس فإنه يُحمل على النعت، ولا حاجة إلى تكلّف التأويل والتقدير في تخريج الشواهد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لم يبقَ سوى إعادة صوغ القاعدة بالآتي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وقوع بدل الجملة من المفرد استنادًا إلى ورود ذلك في نهج البلاغة فضلاً عن القرآن الكريم والشعر العربي</w:t>
      </w:r>
      <w:r>
        <w:rPr>
          <w:rFonts w:eastAsia="Amiri" w:cs="Amiri" w:ascii="Amiri" w:hAnsi="Amiri"/>
          <w:color w:val="111111"/>
          <w:sz w:val="28"/>
          <w:szCs w:val="28"/>
          <w:rtl w:val="true"/>
          <w:lang w:bidi="ar-SA"/>
        </w:rPr>
        <w:t xml:space="preserve">. </w:t>
      </w:r>
      <w:bookmarkStart w:id="284" w:name="pg7031_81109"/>
    </w:p>
    <w:p>
      <w:pPr>
        <w:pStyle w:val="Heading4"/>
        <w:numPr>
          <w:ilvl w:val="3"/>
          <w:numId w:val="1"/>
        </w:numPr>
        <w:rPr/>
      </w:pPr>
      <w:bookmarkStart w:id="285" w:name="__RefHeading___Toc2958412_372815092"/>
      <w:bookmarkStart w:id="286" w:name="_Toc92"/>
      <w:bookmarkEnd w:id="284"/>
      <w:bookmarkEnd w:id="285"/>
      <w:r>
        <w:rPr>
          <w:rtl w:val="true"/>
        </w:rPr>
        <w:t>المسألة السادسة</w:t>
      </w:r>
      <w:r>
        <w:rPr>
          <w:rtl w:val="true"/>
        </w:rPr>
        <w:t xml:space="preserve">: </w:t>
      </w:r>
      <w:r>
        <w:rPr>
          <w:rtl w:val="true"/>
        </w:rPr>
        <w:t xml:space="preserve">ورود </w:t>
      </w:r>
      <w:r>
        <w:rPr>
          <w:rtl w:val="true"/>
        </w:rPr>
        <w:t>(</w:t>
      </w:r>
      <w:r>
        <w:rPr>
          <w:rtl w:val="true"/>
        </w:rPr>
        <w:t>إذا</w:t>
      </w:r>
      <w:r>
        <w:rPr>
          <w:rtl w:val="true"/>
        </w:rPr>
        <w:t xml:space="preserve">) </w:t>
      </w:r>
      <w:r>
        <w:rPr>
          <w:rtl w:val="true"/>
        </w:rPr>
        <w:t xml:space="preserve">الفجائية متلوَّةً بجملة منسوخة ب </w:t>
      </w:r>
      <w:r>
        <w:rPr>
          <w:rtl w:val="true"/>
        </w:rPr>
        <w:t>(</w:t>
      </w:r>
      <w:r>
        <w:rPr>
          <w:rtl w:val="true"/>
        </w:rPr>
        <w:t>ليس</w:t>
      </w:r>
      <w:r>
        <w:rPr>
          <w:rtl w:val="true"/>
        </w:rPr>
        <w:t>):</w:t>
      </w:r>
      <w:bookmarkEnd w:id="286"/>
    </w:p>
    <w:p>
      <w:pPr>
        <w:pStyle w:val="BookText"/>
        <w:rPr/>
      </w:pPr>
      <w:r>
        <w:rPr>
          <w:rFonts w:ascii="Amiri" w:hAnsi="Amiri" w:eastAsia="Amiri" w:cs="Amiri"/>
          <w:color w:val="111111"/>
          <w:sz w:val="28"/>
          <w:sz w:val="28"/>
          <w:szCs w:val="28"/>
          <w:rtl w:val="true"/>
          <w:lang w:bidi="ar-SA"/>
        </w:rPr>
        <w:t xml:space="preserve">ترد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العربية على أنحاء متعددة، وقد بسطت كتب اللغة والنحو مذاهب الخلاف فيها وفي معانيها، ومن تلك المعاني ورودها في الدلالة على المفاجَأة، وهي التي تأتي في حشو الكلام للدلالة على الحال لا الاستقبال، 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وتكون للشيء توافقه في حال أنت فيها</w:t>
      </w:r>
      <w:r>
        <w:rPr>
          <w:rFonts w:eastAsia="Amiri" w:cs="Amiri" w:ascii="Amiri" w:hAnsi="Amiri"/>
          <w:color w:val="111111"/>
          <w:sz w:val="28"/>
          <w:szCs w:val="28"/>
          <w:rtl w:val="true"/>
          <w:lang w:bidi="ar-SA"/>
        </w:rPr>
        <w:t>))</w:t>
      </w:r>
      <w:r>
        <w:rPr>
          <w:rStyle w:val="FootnoteAnchor"/>
          <w:rtl w:val="true"/>
        </w:rPr>
        <w:footnoteReference w:id="1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تأتي في أوله ولا في آخره</w:t>
      </w:r>
      <w:r>
        <w:rPr>
          <w:rStyle w:val="FootnoteAnchor"/>
          <w:rtl w:val="true"/>
        </w:rPr>
        <w:footnoteReference w:id="1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الغرض من الإتيان بها الدلالة على أنَّ ما بعدها حصل بعد وجود ما قبلها على سبيل المفاجأة، فلا بد في حصول هذا الغرض من تقدّم شيء عليها فلزم أنْ لا تقع في الابتداء</w:t>
      </w:r>
      <w:r>
        <w:rPr>
          <w:rFonts w:eastAsia="Amiri" w:cs="Amiri" w:ascii="Amiri" w:hAnsi="Amiri"/>
          <w:color w:val="111111"/>
          <w:sz w:val="28"/>
          <w:szCs w:val="28"/>
          <w:rtl w:val="true"/>
          <w:lang w:bidi="ar-SA"/>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قرّر النحويون أنّها إذا دلّتْ على المفاجأة فلا يليها إلا الجملة الإسمية، تفريقًا بينها وبین الشرطية</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النحويین من أجاز وقوع الجملة الفعلية مقترنة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مستندًا في ذلك إلى ما حكاه الأخفش عن العرب في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فإذا قد قام زيد</w:t>
      </w:r>
      <w:r>
        <w:rPr>
          <w:rStyle w:val="FootnoteAnchor"/>
          <w:rtl w:val="true"/>
        </w:rPr>
        <w:footnoteReference w:id="1458"/>
      </w:r>
      <w:r>
        <w:rPr>
          <w:rFonts w:ascii="Amiri" w:hAnsi="Amiri" w:eastAsia="Amiri" w:cs="Amiri"/>
          <w:color w:val="111111"/>
          <w:sz w:val="28"/>
          <w:sz w:val="28"/>
          <w:szCs w:val="28"/>
          <w:rtl w:val="true"/>
          <w:lang w:bidi="ar-SA"/>
        </w:rPr>
        <w:t xml:space="preserve">لأنَّ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زمن الفعل الماضي من الحال</w:t>
      </w:r>
      <w:r>
        <w:rPr>
          <w:rStyle w:val="FootnoteAnchor"/>
          <w:rtl w:val="true"/>
        </w:rPr>
        <w:footnoteReference w:id="1459"/>
      </w:r>
      <w:r>
        <w:rPr>
          <w:rFonts w:ascii="Amiri" w:hAnsi="Amiri" w:eastAsia="Amiri" w:cs="Amiri"/>
          <w:color w:val="111111"/>
          <w:sz w:val="28"/>
          <w:sz w:val="28"/>
          <w:szCs w:val="28"/>
          <w:rtl w:val="true"/>
          <w:lang w:bidi="ar-SA"/>
        </w:rPr>
        <w:t xml:space="preserve">، وقد سوَّغ أبو حيان هذا المذهبَ بمعاملة العرب له معاملة الجملة الإسمية في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عليها، فكما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وهو يضحك،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وقد ضحك</w:t>
      </w:r>
      <w:r>
        <w:rPr>
          <w:rStyle w:val="FootnoteAnchor"/>
          <w:rtl w:val="true"/>
        </w:rPr>
        <w:footnoteReference w:id="1460"/>
      </w:r>
      <w:r>
        <w:rPr>
          <w:rFonts w:ascii="IRNazanin" w:hAnsi="IRNazanin" w:eastAsia="IRNazanin"/>
          <w:color w:val="111111"/>
          <w:sz w:val="28"/>
          <w:sz w:val="28"/>
          <w:szCs w:val="28"/>
          <w:rtl w:val="true"/>
          <w:lang w:bidi="fa-IR"/>
        </w:rPr>
        <w:t xml:space="preserve">، وزاد ابن هشام سببًا آخر وهو التفريق بينها وبین الشرطية المختصة بالفعلية، فإذا اقترنت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الفرق بذلك</w:t>
      </w:r>
      <w:r>
        <w:rPr>
          <w:rStyle w:val="FootnoteAnchor"/>
          <w:rtl w:val="true"/>
        </w:rPr>
        <w:footnoteReference w:id="1461"/>
      </w:r>
      <w:r>
        <w:rPr>
          <w:rFonts w:ascii="Amiri" w:hAnsi="Amiri" w:eastAsia="Amiri" w:cs="Amiri"/>
          <w:color w:val="111111"/>
          <w:sz w:val="28"/>
          <w:sz w:val="28"/>
          <w:szCs w:val="28"/>
          <w:rtl w:val="true"/>
          <w:lang w:bidi="ar-SA"/>
        </w:rPr>
        <w:t>، ومنهم مَن أجاز ذلك بلا قَيْد، فيصح أنْ نقول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فإذا قام زيد</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يرد 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تتبعتُ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يُجيز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متلوةً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قيل بحرفيتها أم بفعليتها على الخلاف الوارد في حقيقتها بین علماء العربية، وإنْ كان جمهور النحويین يرجِّح فعليتها</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الفجائية بالجمل الإسمية مدفوعٌ بما ورد في السماع استنادًا إلى ما نَقله الأخفش عن العرب، وما ورد في نهج البلاغة أيضًا، فقد جاءت متلوَّةً بجملة منسوخة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 يشكو فيها قلَّةَ الناصر والمعین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فَإِذَا لَيْسَ لِی رَافِدٌ وَ لاَ ذَابٌّ وَ لاَ مُسَاعِدٌ إِلاَّ أَهْلَ بَيْتِي فَضَنَنْتُ بِهِمْ عَنِ اَلْمَنِيَّةِ فَأَغْضَيْتُ عَلَى اَلْقَذَى</w:t>
      </w:r>
      <w:r>
        <w:rPr>
          <w:rFonts w:eastAsia="Amiri" w:cs="Amiri" w:ascii="Amiri" w:hAnsi="Amiri"/>
          <w:color w:val="111111"/>
          <w:sz w:val="28"/>
          <w:szCs w:val="28"/>
          <w:rtl w:val="true"/>
          <w:lang w:bidi="ar-SA"/>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يشرح الإِمام في هذا المقطع من الخطبة حالَه بعد وفاة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p>
    <w:p>
      <w:pPr>
        <w:pStyle w:val="BookText"/>
        <w:rPr/>
      </w:pPr>
      <w:r>
        <w:rPr>
          <w:rFonts w:ascii="IRNazanin" w:hAnsi="IRNazanin" w:eastAsia="IRNazanin"/>
          <w:color w:val="111111"/>
          <w:sz w:val="28"/>
          <w:sz w:val="28"/>
          <w:szCs w:val="28"/>
          <w:rtl w:val="true"/>
          <w:lang w:bidi="fa-IR"/>
        </w:rPr>
        <w:t>حلَّ به وبأهله وما فوجئ به من انعدام الناصر والمعین</w:t>
      </w:r>
      <w:r>
        <w:rPr>
          <w:rStyle w:val="FootnoteAnchor"/>
          <w:rtl w:val="true"/>
        </w:rPr>
        <w:footnoteReference w:id="1465"/>
      </w:r>
      <w:r>
        <w:rPr>
          <w:rFonts w:ascii="IRNazanin" w:hAnsi="IRNazanin" w:eastAsia="IRNazanin"/>
          <w:color w:val="111111"/>
          <w:sz w:val="28"/>
          <w:sz w:val="28"/>
          <w:szCs w:val="28"/>
          <w:rtl w:val="true"/>
          <w:lang w:bidi="fa-IR"/>
        </w:rPr>
        <w:t xml:space="preserve">، وانسياق الناس وراء أطماعهم وأهوائهم، وهذا ما أسهمت به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على المفاجأة، على أنها جاءت متبوعةً بجملة منسوخة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نصَّ عليه النحويون الذين قصروا ما يتلوها على الجملة الإسمية كما تقدَّم، فضلاً عن دلالتها على الماضي التي يمكن تخريجها ههنا على إرادة حكاية حال ماضية، فالإمام في معرض بيان عمّا كان هو عليه بعد ارتحال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جرى عليه من الظلم والجور في اغتصاب حقِّه</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لم تخرج في دلالتها تلك عن الحال وإن 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المضي؛ وإيضاح هذا أنّ الزمن سياقي يخضع للسياق والقرائن المحيطة بالنص هذا من جهة، ومن جهة أُخرى أنَّ المراد بالزمن الحاضر ههنا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 الذي يتحقق فيه المعنيان في وقت واحد؛ المعنى الذي بعدها والمعنى الذي قبلها؛ بحيث يقترنان معًا في زمن تحقيقها</w:t>
      </w:r>
      <w:r>
        <w:rPr>
          <w:rFonts w:eastAsia="Amiri" w:cs="Amiri" w:ascii="Amiri" w:hAnsi="Amiri"/>
          <w:color w:val="111111"/>
          <w:sz w:val="28"/>
          <w:szCs w:val="28"/>
          <w:rtl w:val="true"/>
          <w:lang w:bidi="ar-SA"/>
        </w:rPr>
        <w:t>))</w:t>
      </w:r>
      <w:r>
        <w:rPr>
          <w:rStyle w:val="FootnoteAnchor"/>
          <w:rtl w:val="true"/>
        </w:rPr>
        <w:footnoteReference w:id="1467"/>
      </w:r>
      <w:r>
        <w:rPr>
          <w:rFonts w:ascii="Amiri" w:hAnsi="Amiri" w:eastAsia="Amiri" w:cs="Amiri"/>
          <w:color w:val="111111"/>
          <w:sz w:val="28"/>
          <w:sz w:val="28"/>
          <w:szCs w:val="28"/>
          <w:rtl w:val="true"/>
          <w:lang w:bidi="ar-SA"/>
        </w:rPr>
        <w:t>، وهذا ما عليه النصُّ العَلَوي، إذ إن زمن تحقق نظرة الإمام وانعدام الناصر كان واحدًا بلا شك</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يُقوّي صحة هذا الاستعمال وشيوعه في كلام العرب وروده في كلام العرب نظماً ونثرًا، فمن النثر ما ورد في كلام أهل البيت والصحابة، ففي حديث ذكره أبو حمزة الثالي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1468"/>
      </w:r>
      <w:r>
        <w:rPr>
          <w:rFonts w:ascii="IRNazanin" w:hAnsi="IRNazanin" w:eastAsia="IRNazanin"/>
          <w:color w:val="111111"/>
          <w:sz w:val="28"/>
          <w:sz w:val="28"/>
          <w:szCs w:val="28"/>
          <w:rtl w:val="true"/>
          <w:lang w:bidi="fa-IR"/>
        </w:rPr>
        <w:t xml:space="preserve">وهو في رِفقة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الثمالي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w:t>
      </w:r>
    </w:p>
    <w:p>
      <w:pPr>
        <w:pStyle w:val="BookText"/>
        <w:rPr/>
      </w:pPr>
      <w:r>
        <w:rPr>
          <w:rFonts w:ascii="IRNazanin" w:hAnsi="IRNazanin" w:eastAsia="IRNazanin"/>
          <w:color w:val="111111"/>
          <w:sz w:val="28"/>
          <w:sz w:val="28"/>
          <w:szCs w:val="28"/>
          <w:rtl w:val="true"/>
          <w:lang w:bidi="fa-IR"/>
        </w:rPr>
        <w:t xml:space="preserve">مع علي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ظاهر المدينة، فلما وصل إلى حائط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انتهيت يومًا إلى هذا الحائط فاتكأت عليه، فإذا رجل عليه ثوبان أبيضان ينظر في وجهي،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رأيت أحدُا خاف الله فلم يُنجه؟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ليس قدامي أحد</w:t>
      </w:r>
      <w:r>
        <w:rPr>
          <w:rFonts w:eastAsia="IRNazanin" w:cs="IRNazanin"/>
          <w:color w:val="111111"/>
          <w:sz w:val="28"/>
          <w:szCs w:val="28"/>
          <w:rtl w:val="true"/>
          <w:lang w:bidi="fa-IR"/>
        </w:rPr>
        <w:t>))</w:t>
      </w:r>
      <w:r>
        <w:rPr>
          <w:rStyle w:val="FootnoteAnchor"/>
          <w:rtl w:val="true"/>
        </w:rPr>
        <w:footnoteReference w:id="1469"/>
      </w:r>
      <w:r>
        <w:rPr>
          <w:rFonts w:ascii="IRNazanin" w:hAnsi="IRNazanin" w:eastAsia="IRNazanin"/>
          <w:color w:val="111111"/>
          <w:sz w:val="28"/>
          <w:sz w:val="28"/>
          <w:szCs w:val="28"/>
          <w:rtl w:val="true"/>
          <w:lang w:bidi="fa-IR"/>
        </w:rPr>
        <w:t xml:space="preserve">، كما ورد هذا التركيب كثیرًا في مرويات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147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الشعر فمنه قول كعب بن زهير</w:t>
      </w:r>
      <w:r>
        <w:rPr>
          <w:rFonts w:eastAsia="Amiri" w:cs="Amiri" w:ascii="Amiri" w:hAnsi="Amiri"/>
          <w:color w:val="111111"/>
          <w:sz w:val="28"/>
          <w:szCs w:val="28"/>
          <w:rtl w:val="true"/>
          <w:lang w:bidi="ar-SA"/>
        </w:rPr>
        <w:t>:</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حنا ناصر الحتي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أناسيٍّ فلما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ليسَ فيه ما أَبِينُ فأَعْقِلُ إنَّ تلك الشواهد كافية للاستدلال على صحة هذا التركيب وجوازه، لهذا لابد من إعادة صوغ القاعدة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الفجائية متبوعة بجملة منسوخة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احتكامًا إلى ما ورد في نهج البلاغة وفي كلام العرب نظماً ونثرًا</w:t>
      </w:r>
      <w:r>
        <w:rPr>
          <w:rFonts w:eastAsia="Amiri" w:cs="Amiri" w:ascii="Amiri" w:hAnsi="Amiri"/>
          <w:color w:val="111111"/>
          <w:sz w:val="28"/>
          <w:szCs w:val="28"/>
          <w:rtl w:val="true"/>
          <w:lang w:bidi="ar-SA"/>
        </w:rPr>
        <w:t>.</w:t>
      </w:r>
      <w:bookmarkStart w:id="287" w:name="pg7031_81113"/>
    </w:p>
    <w:p>
      <w:pPr>
        <w:pStyle w:val="Heading3"/>
        <w:numPr>
          <w:ilvl w:val="2"/>
          <w:numId w:val="1"/>
        </w:numPr>
        <w:rPr/>
      </w:pPr>
      <w:bookmarkStart w:id="288" w:name="__RefHeading___Toc2958414_372815092"/>
      <w:bookmarkStart w:id="289" w:name="_Toc93"/>
      <w:bookmarkEnd w:id="287"/>
      <w:bookmarkEnd w:id="288"/>
      <w:r>
        <w:rPr>
          <w:rtl w:val="true"/>
        </w:rPr>
        <w:t>خاتمة بنتائج البحث</w:t>
      </w:r>
      <w:bookmarkEnd w:id="289"/>
    </w:p>
    <w:p>
      <w:pPr>
        <w:pStyle w:val="BookText"/>
        <w:rPr/>
      </w:pPr>
      <w:r>
        <w:rPr>
          <w:rFonts w:ascii="IRNazanin" w:hAnsi="IRNazanin" w:eastAsia="IRNazanin"/>
          <w:color w:val="111111"/>
          <w:sz w:val="28"/>
          <w:sz w:val="28"/>
          <w:szCs w:val="28"/>
          <w:rtl w:val="true"/>
          <w:lang w:bidi="fa-IR"/>
        </w:rPr>
        <w:t xml:space="preserve">من المعلوم أنَّ الخاتمة تُعقَد في الغالب لذكر أهم النتائج التي يتوصل إليها بحث معین، أما النتائج التي توصلتْ إليها هذه الدراسة فمهمة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الدراسات النحوية التطبيقية التي تنهل من كتب التراث اللغوي العربي لنقد القواعد النحوية، وتصحيح ما فات أعلام العربية من ضوابط وقوانین، ولاشك في أنَّ إيرادها كلِّها يبدو مكرَّرًا يُطيل بنا المقام، لهذا سأُوجز القول بملخص للمسائل التي دارت في البحث على النحو الآتي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كثرت أقوال العلماء والباحثین والدارسین في بيان أسباب عزوف طائفة ليست قليلة من النحويین عن الاحتجاج بالحديث النبوي الشريف في مسائل النحو العربي، وقد ناقش التمهيد أهمَّ تلك الأقوال وخلص إلى أنَّ الهدف السياسي والمذهبي هو الباعث الرئيس وراء كلِّ ذلك؛ فنهجُ مَن بيده أمور المسلمین بعد رحيل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تغييب الحديث النبوي من دائرة الاحتجاج النحوي والمحاسبة على روايته وإشاعته بین الناس انعكس ذلك على التفكیر النحوي لدى القدماء ولاسيما سيبويه الذي استشهد على قلة قليلة بالحديث بلا تصريح باسم النبي، وأصبح ذلك بمنزلة سُنَّة اهتدى بها عدد من المتأخرين أيضًا؛ لأنهم يعدّون كتاب سيبويه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النحو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العلماء إلى أنَّ كلام العرب لا يُحیط به إلا نبي، ولاشك في ذلك إلا أني </w:t>
      </w:r>
    </w:p>
    <w:p>
      <w:pPr>
        <w:pStyle w:val="BookText"/>
        <w:rPr/>
      </w:pPr>
      <w:r>
        <w:rPr>
          <w:rFonts w:ascii="IRNazanin" w:hAnsi="IRNazanin" w:eastAsia="IRNazanin"/>
          <w:color w:val="111111"/>
          <w:sz w:val="28"/>
          <w:sz w:val="28"/>
          <w:szCs w:val="28"/>
          <w:rtl w:val="true"/>
          <w:lang w:bidi="fa-IR"/>
        </w:rPr>
        <w:t xml:space="preserve">أرى أنْ تُزاد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يُحيط بكلام العرب؛ إذ إنّ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يُجر إحصاءً أو استقراءً توصّل في ضوئه إلى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ضمن أحرف النصب التي استقراها أبو الأسود بتوجيه من الإمام، 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استدركها على أبي الأسود في الصحيفة التي ألقاها إليه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نقص الاستقراء النحوي لشواهد العربية أسهم في منع عدد من المسائل النحوية، أثبت البحث جوازها استنادًا إلى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ورود قسم منها في القرآن الكريم والحديث النبوي الشريف وكلام العرب نظماً ونثرًا، والمسائل 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الخبر المثبَت، على حین أنَّ أغلب النحويین قصروا زيادتها على الخبر المنفي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اقتران الخبر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تضمنه معنى الشرط، فقد اشترط سيبويه ومن تابعه لذلك الاقتران أن يكون المبتدأ موصولًا أو شبهَ موصول، على حین جاء في كلام الإمام المبتدأ هو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تبیَّن في هذه المسالة أيضًا عدم صحة ما نُسِبَ إلى الأخفش بأنه يُجیيز اقتران الخبر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المبتدأ اسم شرط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جواز إظهار متعلِّق شبه الجملة الواقعة خبرًا، فالنحويون يمنعون من إظهاره فيقدِّرونه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 الذي بينهم، وقد ظهر هذا المتعلِّق في أكثر من شاهد علَوي، وبهذا يترجَّح ما ذهب إليه ابن حني ومتابعوه في هذه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على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فالبصريون لا يجيزون دخولها إلا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ما نُسِبَ إلى الكوفيین بأنهم يجيزون هذا فقد ظهر في </w:t>
      </w:r>
    </w:p>
    <w:p>
      <w:pPr>
        <w:pStyle w:val="BookText"/>
        <w:rPr/>
      </w:pPr>
      <w:r>
        <w:rPr>
          <w:rFonts w:ascii="IRNazanin" w:hAnsi="IRNazanin" w:eastAsia="IRNazanin"/>
          <w:color w:val="111111"/>
          <w:sz w:val="28"/>
          <w:sz w:val="28"/>
          <w:szCs w:val="28"/>
          <w:rtl w:val="true"/>
          <w:lang w:bidi="fa-IR"/>
        </w:rPr>
        <w:t>البحث أنَّ رأيهم ورأي البصريین سواءٌ في هذا المسألة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جواز إعمال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في المعارف، ولا موجب للتقدير الذي يفرضه النحويون للتأويل بالنكرة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الكسر عند تنكیره، على حین أنَّ جمهور النحويین يذهبون إلى إعرابه في تلك الحالة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أثبت البحث جواز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 وهو ما رجّحه ابن مالك وآخرون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اشترط النحويون المتأخرون مشاركة الفاعل للمفعول لأجله وأظهر البحث جواز عدم المشاركة تأييدًا لابن خروف والرضي وعدد من المحدثین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الإضافة عند النحويین على تقدير حرف جر محذوف بن المتضايفین لهذا قصروا الإضافة على 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أكد البحث جواز الإضافة الظرفية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تأييدًا لعدد من النحویين والمفسرين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تبیَّن في البحث جواز حذف الموصول الإسمي وهو مذهب الكوفيین وابن مالك في هذه المسألة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الصلة والموصول بمنزلة الكلمة الواحدة لدى النحویين، لذا يمنعون تقديم أحدهما على الآخر، لكن البحث أثبت جواز تقديم الصلة أو ما يتعلق بها على الموصول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أظهر البحث جواز وقوع الفعل الماضي خبرًا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داعي للتقدير والتأويل تأييدًا للبصریین ومن تابعهم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النحويون قسمًا من الأفعال على معنى الظن في المعنى والعمل، على </w:t>
      </w:r>
    </w:p>
    <w:p>
      <w:pPr>
        <w:pStyle w:val="BookText"/>
        <w:rPr/>
      </w:pPr>
      <w:r>
        <w:rPr>
          <w:rFonts w:ascii="Amiri" w:hAnsi="Amiri" w:eastAsia="Amiri" w:cs="Amiri"/>
          <w:color w:val="111111"/>
          <w:sz w:val="28"/>
          <w:sz w:val="28"/>
          <w:szCs w:val="28"/>
          <w:rtl w:val="true"/>
          <w:lang w:bidi="ar-SA"/>
        </w:rPr>
        <w:t xml:space="preserve">أنهم منعوا حمل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وهو ما أثبتته الدراسة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اشترط النحويون لورود الفعل الماضي المثبت حالًا أن يقترن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أو مضمرة وهو ما نقضه البحث بشواهد متعددة من نهج البلاغة فضلًا عن القرآن الكريم وكلام العرب نظمًا ونثرًا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قرر النحويون أن تُسبَقَ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الناصبة بأفعال اليقین وإلا عُدَّت مخفّفة من الثقيلة، وقد أثبت البحث جواز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ناصبةً مسبوقةً بأفعال التحقيق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أثبت البحث جواز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على الزمان، وزيادة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الإيجاب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تُوصف أمة العرب بأنَّها أمةٌ شعريةٌ، وقد انعكس اهتمامها بالشعر على جوانب من حياتها وتفكيرها من ذلك الاعتداد به كمصدر رئيس من مصادر الاحتجاج النحوي، مما أسهم بكثرة خروج الشعراء عن بعض الأقيسة النحوية، وسُميَ هذا الخروج بالضرورات الشعرية، فقد قصر النحويون بعض الأساليب على لغة الشعر وحده من دون النثر استطاع البحث نقض ذلك بإيراد شواهد نثرية من كلام الإمام في نهج البلاغة فضلًا عن القرآن الكريم والسنة النبوية الشريفة وكلام العرب النثري لِما عُدّ مقتصرًا على الشعر، وكانت المسائل التي عالجها البحث في هذا الباب على النحو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أظهر البحث جواز توكيد جواب الشرط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 في السَّعة والاختيار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تبیَّن في البحث جواز إبقاء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الاستفهامية عند جرها بحرف الجر </w:t>
      </w:r>
    </w:p>
    <w:p>
      <w:pPr>
        <w:pStyle w:val="BookText"/>
        <w:rPr/>
      </w:pPr>
      <w:r>
        <w:rPr>
          <w:rFonts w:ascii="Amiri" w:hAnsi="Amiri" w:eastAsia="Amiri" w:cs="Amiri"/>
          <w:color w:val="111111"/>
          <w:sz w:val="28"/>
          <w:sz w:val="28"/>
          <w:szCs w:val="28"/>
          <w:rtl w:val="true"/>
          <w:lang w:bidi="ar-SA"/>
        </w:rPr>
        <w:t>نظمًا ونثرًا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قرّر النحويون أن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يقترن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لتدافع المعنيین، فإن ورد فهو مقتصر على لغة الشعر فقط، لكن البحث نقض ذلك وأثبت جواز اقتران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دلالة تحقق الخبر في المستقبل، فضلًا عن بيان شدة قرب وقوع الفعل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جواز اقتران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لاشتراكهما في معنى الترجي والإشفاق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استطاع البحث إجازة حذف همزة الاستفهام في لغة النثر بعدما قصره النحويون على الضرورة الشعرية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تبیَّن في البحث جواز حذف حرف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مع بقاء المعطوف نظمًا ونثرًا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اقتران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الشرطية بالناسخ لا يفقدها شرطيتها، فالشرط باقٍ فيها ولا حاجة لتقدير ضمیر شأن محذوف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حمل المسألة على الضرورة الشعرية لورود ذلك نظمًا ونثرًا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الاستدلال بكلام الإمام أثبت جواز دخول أداة الشرط على الأسماء، ولا موجب للقول بالتقدير والتأويل أو حمل المسألة على الضرورة الشعرية سوى الحفاظ على أقيسة بناها النحويون على استقراء ناقص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أثبت البحث جواز ورود فعل الشرط مضارعًا مجزومًا والجواب ماضيًا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اتضح في ضوء البحث جواز وقوع الجواب للشرط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اقترانه بالقسم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السعة والاختيار خلافًا لمن منعه أو وسمه بالضرورة الشعرية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أبو علي الفارسي ومن تبعه إلى أنَّ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الإضافة مقصورٌ على لغة الشعر وحده، وأثبت البحث جواز ذلك في السَّعة والاختيار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نقض البحث ما ذهب إليه الصَّيْمري الذي حكم على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الفعل الماضي والاستغناء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القسم بالضرورة الشعرية، فقد ورد ذلك في النثر الفصيح المتمثل بنهج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ليس نصبُ اسم الفاعل مفعولَه الثاني ضرورةً شعريةً كما ذهب السیرافي بل هو استعمال فصيح جارٍ في السَّعة والاختيار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نتائج نقص الاستقراء الذي مُني به النحو العربي عدم إشارة النحويین إلى عدد من الاستعمالات والأساليب النحوية الفصيحة، استطاع البحث استدراكها استنادًا إلى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عما ناظره من كلام العرب شعرًا ونثرًا، وهي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القسم الخبري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قرر النحويون أن جواب القسم الطلبي لا بد من أن يرد جملة إنشائية من استفهام أو نهي، أو، أمر، وقد زاد البحث جواز وقوع المصدر المؤول جوابًا لهذا النمط من القسم؛ لأنه مما يعطي معنى الطلب وهو ما يُحسب لابن سيده وأبي حيان الأندلسي اللذين أشارا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أظهر البحث جواز ورود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استفهامية، 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مضارعًا منفيًا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تبیَّن في ضوء البحث استعمال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التفضيل من افعال </w:t>
      </w:r>
    </w:p>
    <w:p>
      <w:pPr>
        <w:pStyle w:val="BookText"/>
        <w:rPr/>
      </w:pPr>
      <w:r>
        <w:rPr>
          <w:rFonts w:ascii="IRNazanin" w:hAnsi="IRNazanin" w:eastAsia="IRNazanin"/>
          <w:color w:val="111111"/>
          <w:sz w:val="28"/>
          <w:sz w:val="28"/>
          <w:szCs w:val="28"/>
          <w:rtl w:val="true"/>
          <w:lang w:bidi="fa-IR"/>
        </w:rPr>
        <w:t>الموت والهلاك وهو مما لا تفاضل فيه بحسب قواعد النحويین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أشار جمهور النحويین إلى أنَّ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يدل إلا على التحول والانتقال، وقد أثبت البحث استعمالًا آخر له في الدلالة على الرد والتقسيم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 في البحث جواز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لم يُشر إليه إلا أبو حيان في حدود ما تتبعت، على الرغم من وروده كثیرًا في كلام العرب نظمًا ونثرًا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خلاف بین النحويین في إجازة إبدال المفرد من المفرد، لكن أغلب القدماء لم يفرِّعوا قاعدةً لإبدال الجملة من المفرد وهو ما ورد في كلام الإمام في أكثر من شاهد فضلًا عن وروده في شواهد من القرآن الكريم أيضًا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أسهمت الدلالة المعجمية في جواز وقوع البدل المطابق جملةً، على حین أنَّ النحويین لم يُمثِّلوا للبدل المطابق إلا بین المفردات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ورود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وهو ما خفي على سيبويه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رفد كلام الإمام علي المعجم العربي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تنص المعجمات اللغوية على ذكرها في حدود ما اطلعتُ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أظهر البحث جواز وقوع الفعل الماضي خبرًا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منعه ابن مبرمان، كما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الدلالة على التعليل والرجاء معًا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أثبت البحث جواز إضافة الشيء إلى نفسه خلافًا للبصريين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ثبتَ في البحث 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 على الظن المراد به الشك دائماً، بل يرد أحيانًا في الدلالة على التحقيق ولهذا جاء جوابًا للقسم، ومعلوم أن الشك لا يرد جوابًا للقسم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اشتراطَ ابن مالك لوقوع الماضي خبرًا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يكون اسمَها ضمیر شأن منتقضٌ بما ورد في نهج البلاغة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البحث إجازة اقتران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حین عدَّه سيبويه ضرورة شعرية، وعدّه ابن بابشاذ ممنوعًا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أظهرت الدراسة صحة استعمال اسم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مسبوقًا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للأصمعي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اجتماع فاعل فعل المدح والتمييز في تركيب واحد ليس ممنوعًا كما ذهب سيبويه ومن تبعه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دعت ضرورة البحث إلى تعضيد الشواهد العلَوية في أغلب المواضع بما ناظرها من القرآن الكريم والسُّنة النبوية الشريفة بما فيها روايات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وكلام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على كلام العرب نظمًا ونثرًا، وإنْ كان الاقتصار على الشاهد العلوي وحده كافيًا في الاستدلال والتقعيد النحوي، الهدف من هذا التأكيد على شيوع تلك الاستعمالات في اللسان العربي من جهة، وإغفال النحويین لها في التقعيد النحوي من جهة أُخرى</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ربِّ العالمین والصلاة والسلام على سيدنا محمدٍ النبيِّ الأمین، وعلى آله الطيبین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الطاهرين، وصحبه المنتجبین</w:t>
      </w:r>
      <w:r>
        <w:rPr>
          <w:rFonts w:eastAsia="IRNazanin" w:cs="IRNazanin"/>
          <w:color w:val="111111"/>
          <w:sz w:val="28"/>
          <w:szCs w:val="28"/>
          <w:rtl w:val="true"/>
          <w:lang w:bidi="fa-IR"/>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روافد البحث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7031_81123"/>
      <w:bookmarkStart w:id="291" w:name="pg7031_81123"/>
      <w:bookmarkEnd w:id="291"/>
    </w:p>
    <w:p>
      <w:pPr>
        <w:pStyle w:val="Heading2"/>
        <w:numPr>
          <w:ilvl w:val="1"/>
          <w:numId w:val="1"/>
        </w:numPr>
        <w:rPr/>
      </w:pPr>
      <w:bookmarkStart w:id="292" w:name="pg7031_81123"/>
      <w:bookmarkStart w:id="293" w:name="__RefHeading___Toc2958416_372815092"/>
      <w:bookmarkStart w:id="294" w:name="_Toc94"/>
      <w:bookmarkEnd w:id="292"/>
      <w:bookmarkEnd w:id="293"/>
      <w:r>
        <w:rPr>
          <w:rtl w:val="true"/>
        </w:rPr>
        <w:t>روافد البحث</w:t>
      </w:r>
      <w:bookmarkEnd w:id="294"/>
    </w:p>
    <w:p>
      <w:pPr>
        <w:pStyle w:val="Heading3"/>
        <w:numPr>
          <w:ilvl w:val="2"/>
          <w:numId w:val="1"/>
        </w:numPr>
        <w:rPr/>
      </w:pPr>
      <w:bookmarkStart w:id="295" w:name="__RefHeading___Toc2958418_372815092"/>
      <w:bookmarkStart w:id="296" w:name="_Toc95"/>
      <w:bookmarkEnd w:id="295"/>
      <w:r>
        <w:rPr>
          <w:rtl w:val="true"/>
        </w:rPr>
        <w:t>اشارة</w:t>
      </w:r>
      <w:bookmarkEnd w:id="2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2958420_372815092"/>
      <w:bookmarkStart w:id="298" w:name="_Toc96"/>
      <w:bookmarkEnd w:id="297"/>
      <w:r>
        <w:rPr>
          <w:rtl w:val="true"/>
        </w:rPr>
        <w:t>أولاً</w:t>
      </w:r>
      <w:r>
        <w:rPr>
          <w:rtl w:val="true"/>
        </w:rPr>
        <w:t xml:space="preserve">: </w:t>
      </w:r>
      <w:r>
        <w:rPr>
          <w:rtl w:val="true"/>
        </w:rPr>
        <w:t>الكتب المطبوعة</w:t>
      </w:r>
      <w:r>
        <w:rPr>
          <w:rtl w:val="true"/>
        </w:rPr>
        <w:t>:</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الأنباري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في كتابه الإنصاف في مسائل الخلاف بین النحويین البصريین والكوفيین،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محيي الدين توفيق إبراهيم، مطبعة دار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الموصل،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أبنية الصرف في كتاب سيبويه معجم ودراسة،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الحديثي، مكتبة لبنان ناشرون، ط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أبنية المبالغة وأنماطها في نهج البلاغة، دراسة صرفية نحوية دلالية، حيدر هادي خلخال الشيباني، العتبة الحسينية المقدسة، مؤسسة علوم 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الإتقان في علوم القرآن،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الهيأة المصرية العامة للكتاب،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أثر القراءات القرآنية في الدراسات النحوية،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العال سالم مكرم، مؤسسة علی جراح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القرآن والقراءات في النحو العربي،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سمير اللبدي، دار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أخبار النحويین البصريین، السیرافي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محمد الزيني، ومحمد عبد المنعم خفاجي، مصطفى البابي الحلبي،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الأدب المفرد بالتعليقات،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وقابله على أُصوله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سمير بن أمین الزهیري، مكتبة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ارتشاف الضرب من لسان العرب، أبو حيان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عثمان محمد،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عبد التواب،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أساس البلاغة،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باسل عيون السود،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أساليب الإنشاء في كلام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نحوية بلاغية، عامر سعيد نجم، العتبة العلويَّة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الأساليب الإنشائية في النحو العربي، عبد السام محمد هارون،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أساليب التوكيد في القرآن الكريم، عبد الرحمن المطردي، الدار الجماهرية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أساليب الطلب عند النحویین والبلاغيین،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إسماعيل الأوسي، بيت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الاستقراء الناقص وأثره في النحو العربي،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العزيز العميريني، دار المعرفة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الأزاريطة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الاستيعاب في معرفة الأصحاب، أبو عمر يوسف بن عاصم القرطبي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الأُسس المنطقية للاستقراء، السيد محمد باقر الصدر، تعليقات الأستاذ يحيى محمد، مؤسسة العارف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الأشباه والنظائر في النحو، السيوطي،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العال سالم مكرم،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الاشتقاق، ابن 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في تمييز الصحابة، ابن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وعلى محمد معوض،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إصلاح المنطق، ابن السِّكِّيت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شاكر، وعبد السلام محمد هارون،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دراسة إبستيمولوجية للفكر اللغوي عند العرب، النحو، فقه اللغة، البلاغة،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حسان،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في النحو، ابن السَّرَّاج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الفتلي،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إعراب الجمل وأشباه الجمل،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قباوة، دار القلم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إعراب القرآن، 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غازي زاهد، عالم الكتب، مكتبة النهضة العربية،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إعراب القرآن المنسوب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للزجّاج، الباقولي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ودراسة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الإبياري، دار الكتاب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إعراب القرآن وبيانه، محيي الدين درويش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الإرشاد للشؤون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إعراب ما يشكل من ألفاظ الحديث النبوي، العكیري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وخرَّج أحاديثه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الحميد هنداوي، مؤسسة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قاموس تراجم لأَشهر الرجال والنساء من العرب والمستعربين والمستشرقين ،خیرالدين الزركَلي ،دارالعلم للملايین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أعيان الشيعة، السيد محسن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الأمین، 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الأغاني، أبو الفرج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الإغراب في جدل الإعراب، أبو البركات الأنباري، قدم له وعُني بتحقيقه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الأفغاني، مطبعة الجامعة السورية،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إقبال الأعمال،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مكتبة الإعلام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الاقتراح في علم أصول النحو، السيوطي، قرأه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سليمان ياقوت، دار المعرفة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الأزاريطة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الاقتضاب في شرح أدب الكتّاب، البطليوسي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مصطفى السقا،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عبد المجيد، مطبعة 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أبو علي القالي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عُنيَ بوضعها وترتيبها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الجواد الأصمعي، دار الكتب المصرية،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ابن الشجري، ابن الشجري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w:t>
      </w:r>
    </w:p>
    <w:p>
      <w:pPr>
        <w:pStyle w:val="BookText"/>
        <w:rPr/>
      </w:pPr>
      <w:r>
        <w:rPr>
          <w:rFonts w:ascii="Amiri" w:hAnsi="Amiri" w:eastAsia="Amiri" w:cs="Amiri"/>
          <w:color w:val="111111"/>
          <w:sz w:val="28"/>
          <w:sz w:val="28"/>
          <w:szCs w:val="28"/>
          <w:rtl w:val="true"/>
          <w:lang w:bidi="ar-SA"/>
        </w:rPr>
        <w:t xml:space="preserve">محمد الطناحي،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أمالي الزجاجي، الزجاجي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هارون، 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السهيلي في النحو واللغة والحديث والفقه، 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إبراهيم البنا، 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الأمثل في تفسير كتاب الله المنزل، الشيخ ناصر مكارم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إنباه الرواة على أنباه النحاة، القفطي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المكتبة العصرية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الإنصاف في مسائل الخباف بین النحویين البصريین والكوفيین، أبو البركات الأنباري،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مطبعة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التنزيل وأسرار التأويل، البيضاوي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المرعشلي،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أوضح المسالك إلى ألفية ابن مالك،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الشيخ محمد البقاعي،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الإيضاح العضدي، أبو علي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شاذلي فرهود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الإيضاح في شرح المفصل، ابن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محمد عبد الله، دار سعد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محمد باقر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العلماء، مؤسسة الوفاء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اللغوي عند العرب،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مختار عمر، عالم الكتب، 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المحيط في التفسیر، أبو حيان الأندلسي،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صدقي محمد جميل،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البديع في علم العربية، مجد الدين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فتحي أحمد عليّ الدين،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حسین العايد، مركز إحياء التراث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المكرمة،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علوم القرآن،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البسيط في شرح جمل الزجّاجي، ابن أبي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عياد بن عيد الثبيتي، دار الغرب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بغية الوعاة في طبقات اللغويین والنحاة، السيوطي، تح محمد أبو الفضل إبراهيم، المكتبة العصرية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الجملة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حماسة عبد اللطيف، دار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 الصباغة في شرح نهج البلاغة، محمد تقي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في غريب إعراب القرآن، أبو البركات الأنباري،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عبد الحميد طه،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الهيأة المصرية العامة للكتاب،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والتبيين،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ومكتبة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من جواهر القاموس، 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من المحققین، دار الهداية،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الأدب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ضيف،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غرامة العمروي،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النقد الأدبي والبلاغة حتى نهاية القرن الرابع الهجري،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زغلول سلام،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تأويل مشكل القرآن، ابن قتيبة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شمس الدين،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التبصرة والتذكرة،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فتحي أحمد مصطفى علي الدين،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في إعراب القرآن، العكبري،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عيسى البابي وشركاه،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التبيان في تفسیر القرآن،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حبيب قصیر العاملي،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تجديد النحو،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ضيف،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التحبیر شرح التحرير في أصول الفقه، علاء الدين المرداوي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الجبرين،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القرني،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السراح، مكتبة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التحرير والتنوير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المعنى السديد وتنوير العقل الجديد من تفسیر الكتاب المجيد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 التونسية،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شعبة الحراني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أكبر الغفاري، مؤسسة النشر الإسلامي قم،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تخليص الشواهد وتلخيص الفوائد، ابن هشام، 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مصطفى الصالحي،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الحفّاظ،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التذييل والتكميل في شرح كتاب التسهيل، أبو حيان الأندلسي،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هنداوي، 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تراكيب القسم والشرط في كلام الإمامَین الحسن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دراسة نحوية بلاغية، عامر سعيد نجم، العتبة الحسينية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الإمام الحسن للدراسات التخصصية،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التراكيب اللغوية في العربية دراسة وصفية تطبيقية،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نهر، الجامعة المستنصرية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التطور اللغوي التاريخي،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معهد البحوث و الدراسات العربية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 الفرائد على تسهيل الفوائد، الدماميني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محمد المفدى،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التعليقة على كتاب سيبويه، أبو علي الفارسيّ،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بن حمد القوزي،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الصافي،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صححه وقدَّم له وعلق عليه الشيخ حسین الأعلمي، طهران،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المقرَّب، أبو حيان الأندلسي،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عفيف عبد الرحمن، دار المسیرة،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نهج البلاغة، السيد صادق الموسوي، مؤسسة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اللغة، أبو منصور الأزهري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عوض مرعب، دار 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التوابع في الجملة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حماسة عبد اللطيف، مكتبة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التوابع في النحو العربي،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سليمان ياقوت،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توجيه اللمع، ابن الخبّاز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فايز زكي محمد،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توضيح المقاصد والمسالك بشرح ألفية ابن مالك، المرادي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علي سليمان، دار الفكر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نهج البلاغة، السيد محمد الحسيني الشيرازي،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التوطئة، الشلوبيني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أحمد المطوع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تيسيرات لغوية،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ضيف،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في تأويل القرآن،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 أحمد محمد شاكر، مؤسسة الرسالة،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الدروس العربية، مصطفى الغلاييني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المكتبة العصرية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 المسند الصحيح المختصر من أمور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آۀه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وسننه وأيامه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البخاري،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البردوني، وإبراهيم أطفيش، 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في النحو، عبد 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حيدر، دمشق،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الجملة الخبرية في نهج البلاغة، دراسة نحوية،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الفتّاح محيي، دار 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الجملة الشرطية عند النحاة العرب، أبو أوس إبراهيم الشمسان،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فهمي حجازي، مطبعة الدجوي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عابدين،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الجملة العربية تأليفها وأقسامها،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السامرائي،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اللغة، ابن دريد،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رمزي منیر بعلبكي، دار العلم للملايین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الجنى الداني في حروف المعاني، المرادي،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فخر الدين قباوة، والأُستاذ محمد نديم فاضل،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الجواز النحوي ودلالة الإعراب على المعنى، مراجع عبد القادر بالقاسم الطلحي، منشورات جامعة قاريونس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حاشية الخُضري على شرح ابن عقيل على ألفية ابن مالك، محمد الخُضري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حاشية الشهاب على تفسر البيضاوي، المساّة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عناية القاضِی وكفاية الراضِی على تفسیر البيضَاوي، شهاب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حاشية الصبان على شرح الأشموني لألفية ابن مالك، الصبان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الحجة في القراءات السبع، ابن خالويه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العال سالم مكرم، دار لشروق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الحجة للقرّاء السبعة، أئمة الأمصار بالحجاز والعراق والشام الذين ذكرهم أبو بكر بن مجاهد، أبو علي الفارسي،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الدين قهوجي، وبشیر جويجاتي، راجعه ودقّقه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رباح، و أحمد يوسف الدقاق، دار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حدائق الحقائق في شرح نهج البلاغة، محمد بن الحسین المعروف بقطب الدين الكيذري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الله العطاردي،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النبوي في النحو العربي دراسة مستفيضة لظاهرة الاستشهاد بالحديث في النحو العربي، ودراسة نحوية للأحاديث الواردة في أكثر شروح ألفية ابن مالك،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فجال، أضواء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الحذف والتقدير في النحو العربي،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أبو المكارم، دار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حروف الجر دلالاتها وعلاقاتها، أبو أوس إبراهيم الشمسان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المعاني والصفات، الزجاجي،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توفيق الحمد،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الصدارة في النحو العربي بین النظرية والتطبيق،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عزمي محمد عيال، دار الحامد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الحلقة المفقودة في تاريخ النحو العربي،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العال سالم مكرم،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وطبقات الأصفياء، أبو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الحماسة، البحتري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رواية أبي العباس الأحول عن أبيه عن البحتري،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إبراهيم حور، وأحمد محمد عبيد، هيأة أبو 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العربية المتحدة،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خزانة الأدب ولب لباب لسان العرب، عبد القادر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ابن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النجّار، 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المصون في علوم الكتاب المكنون، السمين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أحمد محمد الخراط، دار القلم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في اللغة،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جامعة بغداد،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لأسلوب القرآن الكريم، محمد عبد الخالق عضيمة،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درة الغواص في أوهام الخواص، الحريري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مطرجي، مؤسسة الكتب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اللوامع على همع الهوامع شرح جمع الجوامع، الشنقيطي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حواشيه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باسل عيون السود،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دستور العلماء جامع العلوم في اصطلاحات الفنون، القاضي عبد النبي الأحمد </w:t>
      </w:r>
    </w:p>
    <w:p>
      <w:pPr>
        <w:pStyle w:val="BookText"/>
        <w:rPr/>
      </w:pPr>
      <w:r>
        <w:rPr>
          <w:rFonts w:ascii="IRNazanin" w:hAnsi="IRNazanin" w:eastAsia="IRNazanin"/>
          <w:color w:val="111111"/>
          <w:sz w:val="28"/>
          <w:sz w:val="28"/>
          <w:szCs w:val="28"/>
          <w:rtl w:val="true"/>
          <w:lang w:bidi="fa-IR"/>
        </w:rPr>
        <w:t xml:space="preserve">نكري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 عباراته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هاني فحص،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الاكتفاء في الجملة القرآنية، دراسة نقدية للقول بالحذف والتقدير،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الفتّاح محيي الشمري، ديوان الوقف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الوطني لعلوم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مطبعة النماء،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 ابن سهل الأندلسي، 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يسرى عبد الغني عبد الله،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أبي دواد الإيادي، حققه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أحمد الصالحي،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هاشم السامرائي، دار العصماء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أبي العتاهية، دار بيروت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 الأخطل، شرحه وصنَّف قوافيه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محمد ناصر الدين،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الأعشى الكبير، ميمون بن قيس،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امرئ القيس،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جرير بشرح محمد بن الحبيب،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نعان محمد أمین طه،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حسان بن ثابت،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عرفات،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ديوان ذي الرمة غيلان بن عقبة العدوي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أبي نصر الباهلی رواية ثعلب، حقَّقه وقدَّم له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القُدوس أبو صالح، مؤسسة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شعر حاتم بن عبد الله الطائي وأخباره، صنعة يحيى بن مدرك الطائي، رواية هشام الكلبي،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سليمان جمال،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الشماخ بن ضرار الذبياني، حققه وشرحه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الهادي،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الطفيل الغنوي، شرح الأصمعي،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عدي بن زيد العبادي، حققه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جبار المعيبد، شركة دار الجمهورية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 عمر بن أبي ربيعة، قدم له ووضع هوامشه وفهارسه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فايز محمد،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 كعب بن زهیر، صنعة الإمام أبي سعيد العسكري، قدم له ووضع هوامشه وفهارسه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 ناصر،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النابغة الذبياني،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النحاة، ابن مضاء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ضيف،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الشريف المرتضى،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الإفصاح ببعض ما جاء من الخطإ في الإيضاح، ابن الطراوة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صالح الضامن، عالم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رصف المباني في شرح حروف المعاني، المالقي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w:t>
      </w:r>
    </w:p>
    <w:p>
      <w:pPr>
        <w:pStyle w:val="BookText"/>
        <w:rPr/>
      </w:pPr>
      <w:r>
        <w:rPr>
          <w:rFonts w:ascii="Amiri" w:hAnsi="Amiri" w:eastAsia="Amiri" w:cs="Amiri"/>
          <w:color w:val="111111"/>
          <w:sz w:val="28"/>
          <w:sz w:val="28"/>
          <w:szCs w:val="28"/>
          <w:rtl w:val="true"/>
          <w:lang w:bidi="ar-SA"/>
        </w:rPr>
        <w:t xml:space="preserve">الخرّاط، مطبوعات المجمع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والاستشهاد باللغة، دراسة لقضايا الرواية والاستشهاد في ضوء علم اللغة الحديث،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عيد،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المعاني في تفسیر القرآن العظيم والسبع المثاني، الآلوسي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عبد الباري عطية،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السالكين في شرح صحيفة سيد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علي خان المدني الشیرازي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الإسلامي،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الزاهر في معاني كلمات الناس، أبو بكر بن الأنباري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صالح الضامن،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الزمن النحوي في اللغة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رشيد، دار عالم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الزمن واللغة،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المطلبي، الهيأة المصرية للكتاب،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صناعة الإعراب، ابن جني،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هنداوي، 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سالم القحطاني، دار ابن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أبي داود، أبو داود السِّجِسْتاني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المكتبة العصرية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السنن الكبرى،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عبد المنعم شلبي، مؤسسة </w:t>
      </w:r>
    </w:p>
    <w:p>
      <w:pPr>
        <w:pStyle w:val="BookText"/>
        <w:rPr/>
      </w:pPr>
      <w:r>
        <w:rPr>
          <w:rFonts w:ascii="IRNazanin" w:hAnsi="IRNazanin" w:eastAsia="IRNazanin"/>
          <w:color w:val="111111"/>
          <w:sz w:val="28"/>
          <w:sz w:val="28"/>
          <w:szCs w:val="28"/>
          <w:rtl w:val="true"/>
          <w:lang w:bidi="fa-IR"/>
        </w:rPr>
        <w:t xml:space="preserve">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سيبويه إمام النحاة، علي النجدي ناصف،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سيبويه والضرورة الشعرية،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حسن إبراهيم،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 الذهبي،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المحققین بإشراف الشيخ شعيب الأرناؤوط، مؤسسة الرسالة،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الشاهد وأُصول النحو في كتاب سيبويه،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الحديثي، مطبوعات جامعة الكويت،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شذا العرف في فن الصرف، أحمد الحملاوي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عبد الرحمن نصر الله، مكتبة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ابن عقيل على ألفية ابن مالك، ابن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ابن الناظم على ألفية ابن مالك، بدر الدين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باسل عيون السود، دار الكتب العلمية،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الأُشموني على ألفية ابن مالك، الأشموني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أُصول اعتقاد أهل السنة والجماعة، أبو القاسم اللالكائي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سعد بن حمدان الغامدي، دار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تسهيل الفوائد، 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السيد، ود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بدوي المختون، دار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المرادي، تحقيق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النبي </w:t>
      </w:r>
    </w:p>
    <w:p>
      <w:pPr>
        <w:pStyle w:val="BookText"/>
        <w:rPr/>
      </w:pPr>
      <w:r>
        <w:rPr>
          <w:rFonts w:ascii="Amiri" w:hAnsi="Amiri" w:eastAsia="Amiri" w:cs="Amiri"/>
          <w:color w:val="111111"/>
          <w:sz w:val="28"/>
          <w:sz w:val="28"/>
          <w:szCs w:val="28"/>
          <w:rtl w:val="true"/>
          <w:lang w:bidi="ar-SA"/>
        </w:rPr>
        <w:t xml:space="preserve">أحمد، مكتبة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التسهيل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 بشرح تسهيل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ناظر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فاخر وآخرينَ،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التصريح على التوضيح، خالد الأَزهري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باسل عيون السود،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جمل الزجاجي، ابن خروف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ودراسة من الأول حتى نهاية باب المخاطبة،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سلوى محمد عمر، جامعة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جمل الزجاجي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عصفور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أبو جناح، وزارة الأوقاف العراقية،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الدماميني على مغني اللبيب، الدماميني، صحّحه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عزو عناية، مؤسسة التاريخ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ديوان الفرزدق، ضبط معانيه وشروحه وأكملها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إيليا الحاوي، دار الكتاب اللبناني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الرضي على الكافية، الرضي الاسترابادي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حسن عمر، منشورات جامعة بنغازي،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شافية ابن الحاجب، الرضي الاسترابادي،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نور الحسن، ومحمد الزفزاف، ومحمد محيي الدين عبد الحميد،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شذور الذهب في معرفة كلام العرب، ابن هشام،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الغني الدقر، الشركة المتحدة للتوزيع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شذور الذهب في معرفة كلام العرب، محمد عبد المنعم الجوجري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نوّاف الحارثي، عادة البحث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شواهد الإيضاح لأبي علي الفارسي، ابن 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مصطفى درويش،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علام، الهيأة العامة لشؤون المطابع الأميرية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شواهد المغني، السيوطي، وقف على طبعه وعلق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ظافر كوجان، ذُيِّل بتصحيحات وتعليقات الشيخ محمد الشنقيطي، لجنة إحياء التراث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عمدة الحافظ وعدة اللافظ، ابن مالك،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عبد الرحمن الدوري، مطبعة العاني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القصائد السبع الطوال الجاهليات،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قطر الندى وبل الصدى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تح محمد محيى الدين عبد الحميد، القاهرة، ط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الكافية الشافية، ابن مالك،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أحمد هريدي، جامعة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كتاب الحدود في النحو، الفاكهي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المتولي رمضان أحمد الدمیري، مكتبة وهبة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كتاب سيبويه، السیرافي،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حسن مهدلي، علي سيد علي، دار الكتب العلمية،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اللمحة البدرية في علم اللغة العربية لابن هشام،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نهر، دار اليازوري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اللمع، الباقولي، تحقيق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أبو عباة، جامعة الإمام محمد بن سعود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المفصَّل، ابن يعيش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إدارة الطباعة المنيرية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المقدمة المحسبة، ابن بابشاذ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 الكريم، المطبعة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السيد عباس الموسوي، دار الرسول الأكرم، دار المحجة البيضاء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المقتطف من بحار الأنوار للمجلسي، علي أنصاريان،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أبي حية النمیري، حققه وجمعه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الجبوري، منشورات وزارة الثقافة والإرشاد القومي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عبد الله بن الزبیر الأسدي، جمع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الجبوري، دار الحرية للطباعة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الفند الزماني،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صالح الضامن، فرزه من مجلة المجمع العلمي العراقي، الجزء الرابع، العدد السابع والثلاثون، ربيع الأول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كانون الأول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نصيب بن رباح، جمع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سلوم، مطبعة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النعمان بن بشیر الأنصاري، حققه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الجبوري، دار القلم </w:t>
      </w:r>
    </w:p>
    <w:p>
      <w:pPr>
        <w:pStyle w:val="BookText"/>
        <w:rPr/>
      </w:pPr>
      <w:r>
        <w:rPr>
          <w:rFonts w:ascii="Amiri" w:hAnsi="Amiri" w:eastAsia="Amiri" w:cs="Amiri"/>
          <w:color w:val="111111"/>
          <w:sz w:val="28"/>
          <w:sz w:val="28"/>
          <w:szCs w:val="28"/>
          <w:rtl w:val="true"/>
          <w:lang w:bidi="ar-SA"/>
        </w:rPr>
        <w:t xml:space="preserve">الكويت،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والشعراء، ابن قتيبة،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شفاء العليل في إيضاح التسهيل، السلسيلي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 عبد الله علي الحسيني، المكتبة الفيصلية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التوضيح والتصحيح لمشكلات الجامع الصحيح، ابن مالك،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محسن، مكتبة ابن تيمية،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الشعر في كتاب سيبويه،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 الكريم جمعة، مطبعة الدار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الشواهد والاستشهاد في النحو، عبد الجبار علوان النايلة، مطبعة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الصاحبي في فقه اللغة العربية وسنن العرب في كلامها،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صقر،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تاج اللغة وصحاح العربية، إسماعيل بن حماد الجوهري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الغفور عطار، دار العلم للملايین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الصحيفة السجّادية، الإمام علي بن الحسین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الهادي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الصفوة الصفية في شرح الدرة الألفية، النيلي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السابع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سالم العمیري، جامعة أم القرى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المكرمة،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ضرار الشعر، ابن عصفور،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إبراهيم محمد، دار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الضرائر وما يسوغ للشاعر دون الناثر، محمود شكري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بهجة الأثري، المكتبة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الضرورة الشعرية دراسة أسلوبية، السيد إبراهيم محمد، دار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الضرورة الشعرية ومفهومها لدى النحویين دراسة على ألفية بن مالك، إبراهيم بن صالح الحندود، الجامعة الإسلامية بالمدينة المنورة، السنة الثالثة والثلاثون،العدد الحادي عشر بعد المائة،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ضياء السالك إلى أوضح المسالك، محمد عبد العزيز النجار، مؤسسة الرسالة،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فحول الشعراء، ابن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شاكر، دار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ظاهرة الحذف في الدرس اللغوي، طاهر سليمان حمودة، الدار الجامعية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النحو، ابن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جاسم الدرويش، مكتبة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في علم الكلام،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محمود عبد اللطيف، المجلس الأعلى للشؤون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غرائب القرآن ورغائب الفرقان،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زكريا عمیرات،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غريب نهج البلاغة، أسبابه، أنواعه، توثيق نسبته، دراسته،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حسین السعداوي، العتبة العلوية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القدير الجامع بن فنَّي الرواية والدراية من علم التفسیر، الشوكاني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فصول في فقه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عبد التواب،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المختارة،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نور الدين جعفريان، والشيخ يعقوب الجعفري، الشيخ محسن الأحمدي، دار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اللغة وسر العربية، أبو منصور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وإبراهيم الإبياري، وعبد الحفيظ شلبي، مطبعة 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رمضان،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أصول النحو، سعيد الأفغاني،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ظلال نهج البلاغة محاولة لفهم جديد، محمد جواد مغنية، دار العلم للملايین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لغة الشعر،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النحو العربي نقد وتوجيه،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المخزومي، دار الرائد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النحوية دراسة نقدية تحليلية،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العظيم عبد الغني،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قاموس الرجال، الشيخ محمد تقي التُّستُري،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المحيط، الفيروزآبادي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تحقيق التراث في مؤسسة الرسالة بإشراف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نعيم العرقسُوسي،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 وأثره في الدراسات النحوية،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العال سالم مكرم، مؤسسة علي جراح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الفقهية وتطبيقاتها في المذاهب الأربعة،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مصطفى الزحيلي،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الكامل في اللغة والأدب،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كتاب سيبويه،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الأزهية في علم الحروف، علي بن محمد النحوي الهروي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المعین الملوحي، مطبوعات مجمع اللغة العربية بدمشق،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أسرار العربية، أبو البركات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بهجة البيطار، مطبوعات المجمع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إسفار الفصيح، محمد بن علي بن محمد، أبو سهل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سعيد بن محمد قشاش، الجامعة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أمالي ابن الحاجب، ابن الحاجب، 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صالح سليمان قدارة، 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الإيضاح، أبو علي الفارسي، تحقيق ودراسة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بحر المرجان، عالم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التعريفات، الشريف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ضبطه وصححه جماعة من العلماء بإشراف الناشر،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التكملة، أبو علي الفارسي، تحقيق ودراسة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بحر المرجان، عالم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الجمل في النحو، الخليل الفراهيدي،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الدين قباوة،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وقد صُححت نسبته إلى الحسن أحمد بن شقير النحوي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المحلى، وجوه 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فائز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الجمل في النحو، الزجاجي،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توفيق الحمد، مؤسسة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روافد </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الحلل في إصلاح الخلل من كتاب الجمل، البطليوسي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عبد الكريم 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الحيوان، الجاحظ،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مطبعة مصطفى البابي الحلبي واولاده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دلائل الإعجاز، عبد القاهر الجرجاني، قرأه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فهر محمود محمد شاكر،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السبعة في القراءات، ابن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ضيف،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شرح أشعار الُهذليین، صنعة أبي سعيد السكري، رواية أبي الحسن النحوي عن أبي بكر الحلواني عن السكري،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الستار أحمد فراج،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شاكر، مطبعة المدني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الشعر أو شرح الأبيات المشكلةِ الإعراب، أبو علي الفارسي،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العین، الخليل الفراهيدي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المخزومي، 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السامرائي، وزارة الثقافة والإعلام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المصنف في الأحاديث والآثار، أبو بكر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كمال يوسف الحوت، مكتبة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المطالع السعيدة في شرح الفريدة في النحو والصرف والخط، السيوطي،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نبهان ياسین حسین، الجامعة المستنصرية،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معاني الحروف، الرماني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اسماعيل شلبي، دار الشروق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المقتصد في شرح الإيضاح، عبد القاهر الجرجاني،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كاظم بحر المرجان، دار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الكشاف عن حقائق غوامض التنزيل، الزمخشري،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المشكل في النحو، الحيدرة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عطية مطر، مطبعة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الكشف والبيان عن تفسیر القرآن، 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أبي محمد بن عاشور، مراجعة وتدقيق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نصیر الساعدي،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الكليات معجم في المصطلحات والفروق اللغوية، الكفوي،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درويش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المصري،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كناشة 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السلام هارون،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في سنن الأقوال والأفعال،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بكري حياني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مؤسسة الرسالة،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اللامات، الزجاجي،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المبارك،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اللباب في علل البناء والإعراب، العكبري،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الإله النبهان،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اللُّباب في علوم الكتاب، ابن عادل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عادل أحمد عبد الموجود، والشيخ علي محمد معوض،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بن المعيارية والوصفية،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حسان،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لغة الشعر دراسة في الضرورة الشعرية،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حماسة عبد اللطيف، دار الشروق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لغة الشعر العراقي المعاصر، عمران خليل الكبيسي، وكالة المطبوعات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العربية معناها ومبناها،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حسّان، عالم الكتب،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اللمحة في شرح الملحة، ابن الصائغ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سالم الصاعدي، الجامعة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لمع الأدلة في أصول النحو، أبو البركات الأنباري، قدم له وعُني بتحقيقه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الأفغاني، مطبعة الجامعة السورية،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 في العربية، ابن جني،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فائز فارس، دار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في كلام العرب، ابن خالويه،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مكتبة مكة المكرمة،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يجوز للشاعر في الضرورة، القزاز القیرواني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وقدَّم له ووضع فهارسه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عبد التواب،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الدين الهادي، دار العروبة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يحتمل الشعر من الضرورة، السیرافي،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بن حمد القوزي، جامعة الملك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الأمثال، الميداني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في تفسیر القرآن، الشيخ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وعلّق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لجنة من العلماء والمحققین،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أشعار العرب وهو مشتمل على ديوان رؤبة بن العجاج، وعلى أبيات مفردة منسوبة إليه، اعتنى بتصحيحه وترتيبه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 بن الورد البروسي، دار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أحمد بن محمد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المحتسب في تبيین وجوه شواذ القراءات والإيضاح عنها، ابن جني،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النجدي،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الحليم النجار،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إسماعيل، المجلس الأعلى للشؤون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المحرر الوجيز في تفسیر الكتاب العزيز، ابن عطية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السلام عبد الشافي محمد،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المحصول، 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جابر فياض العلواني، مؤسسة الرسالة،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المحكم والمحيط الأعظم، ابن 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الحميد هنداوي،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مختار تذكرة أبي علي الفارسي وتهذيبها، ابن جني،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أحمد بو عباس، مركز الملك فيصل للبحوث والدراسات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لشرح تلخيص المفتاح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المخصص، ابن سيده،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إبراهم جفال،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المدارس النحوية، شوقي ضيف،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مدارك التنزيل وحقائق التأويل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تفسر النسفي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وخرج أحاديثه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 بديوي، راجعه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محيي الدين ديب مستو، دار الكلم 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الكوفة ومنهجها في دراسة اللغة والنحو،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المخزومي، مطبعة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المرتجل في شرح الجمل، ابن الخشّاب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حيدر، دمشق،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المزهر في علوم اللغة وأنواعها، السيوطي،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علي منصور،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البصريات، أبو علي الفارسي، تحقيق ودراسة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الشاطر أحمد محمد،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الشیرازيات، أبو علي الفارسي،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محمود الهنداوي، كنوز أشبيليا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العسكريات، أبو علي الفارسي،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جابر المنصوري، مطبعة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المشكلة المعروفة بالبغداديات، أبو علي الفارسي،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عبد الله الشيكاوي، مطبعة العاني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المسائل المنثورة، أبو علي الفارسي،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عبد الكريم النجار، دار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المساعد على تسهيل الفوائد، ابن عقيل،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كامل بركات، جامعة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 میرزا حسین النوري،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أحمد بن حنبل أحمد بن محمد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 و عادل مرشد وآخرين، 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عبد الله بن عبد المحسن التركي، مؤسسة الرسالة،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مشكل إعراب القرآن، مكي بن أبي طالب القيسي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صالح الضامن،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مصادر نهج البلاغة وأسانيده، السيد عبد الزهراء الحسيني، دار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أو جنة الأمان الواقية وجنة الإيمان الباقية، الشيخ إبراهيم الكفعمي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الشيخ الطوسي، 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المنیر في غريب الشرح الكبیر، الفيومي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المكتبة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المصطلح النحوي نشأته وتطوره حتى اواخر القرن الثالث الهجري، عوض حمد القوزي، عمادة شؤون المكتبات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التنزيل في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البغوي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المهدي،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القرآن، الأخفش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الدكتورة هدى محمود قراعة،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القرآن،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يوسف النجاتي، ومحمد علي النجار، وعبد الفتاح إسماعيل، دار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معاني القرآن وإعرابه، الزجّاج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الجليل شلبي، عالم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النحو،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السامرائي،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ألفاظ الفقه الجعفري،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فتح الله، مطابع المدوخل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القراءات،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الخطيب، دار سعد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الكبیر،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حمدي بن عبد المجيد السلفي، مكتبة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المفصل في شواهد العربية،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إميل بديع يعقوب،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مقاييس اللغة، ابن فارس،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دار الفكر،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النقد العربي القديم،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مطلوب، دار الشؤون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معيار العلم في فن المنطق، أبو حامد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دنيا،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مغني اللبيب عن كتب الأعاريب، ابن هشام،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 المبارك، ومحمد علي حمد الله،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الكبیر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الفخر الرازي،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مفردات ألفاظ القرآن،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داوودي، طليعة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المفصَّل في علم العربية، الزمخشري، وبذيله المفصل في شرح أبيات المفصل، للسيد محمد بدر الدين الحلبي، 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الطالبيین، أبو الفرج الأصفهاني، تقديم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المظفر، منشورات المكتبة الحيدرية ومطبعتها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المقاصد الشافية في شرح الخلاصة الكافية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ألفية ابن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إسحاق الشاطبي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المحققین، معهد البحوث العلمية وإحياء التراث الإسلامي، جامعة أم القرى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المكرمة،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المقاصد النحوية في شرح شواهد شروح الألفية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الشواهد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فاخر،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توفيق السوداني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محمد فاخر، دار السلام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المقتضب، المبرّد،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الخالق عضيمة، القاهرة،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المقرّب، ابن عصفور،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الستار الجواري، وعبد الله الجبوري،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أسرار اللغة،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أنيس، مكتبة الأنجلو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قضايا اللغة،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النحاس، مطبوعات جامعة الكويت،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الشيخ محمد رضا المظفر، 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البراعة في شرح نهج البلاغة،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الميانجي،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البراعة في شرح نهج البلاغة،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عبد اللطيف الكوهكمري،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الموجز في قواعد اللغة العربية، سعيد الأفغاني،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كلمات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لجنة الحديث في معهد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المعروف للطباعة والنشر،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موصل الطلاب إلى قواعد الإعراب، خالد الأزهري،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الكريم مجاهد،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النحاة من الاحتجاج بالحديث الشريف،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الحديثي، دار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في تفسیر القرآن، السيد محمد حسین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جماعة المدرسین في الحوزة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نتائج الفكر في النَّحو، السُّهَيلي،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الوافي مع ربطه بالأساليب الرفيعة والحياة اللغوية المتجددة، عباس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النحويون والقرآن،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بنيان الحسون، مكتبة الرسالة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نشأة النحو وتاريخ أشهر النحاة، الشيخ محمد الطنطاوي،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المعنى في الدراسات النحوية،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حسن ناصح، دار 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الاردن،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النحو القرآني نشأتها وتطورها ومقوماتها الأساسية،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مكي الأنصاري، دار القبلة للثقافة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النكت في تفسیر كتاب سيبويه وتبيین الخفي من لفظه وشرح أبياته وغريبه، الأعلم الشنتمري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قرأه وضبط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مراد،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النهاية في غريب الحديث والأثر، مجد الدين ابن الأثیر،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الزاوي، ومحمود محمد الطناحي، المكتبة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ضبط نصه وابتكر فهارسه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دار الهجرة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فارس الحسون، مركز الأبحاث العقائدية،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مطبعة ستارة،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النواسخ في كتاب سيبويه،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سعيد النعيمي، دار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همع الهوامع في شرح جمع الجوامع، السيوطي،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هنداوي، المكتبة التوفيقية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الوافي،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الحسيني، مكتبة الامام أمیر 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99" w:name="pg7031_81157"/>
    </w:p>
    <w:p>
      <w:pPr>
        <w:pStyle w:val="Heading3"/>
        <w:numPr>
          <w:ilvl w:val="2"/>
          <w:numId w:val="1"/>
        </w:numPr>
        <w:rPr/>
      </w:pPr>
      <w:bookmarkStart w:id="300" w:name="__RefHeading___Toc2958422_372815092"/>
      <w:bookmarkStart w:id="301" w:name="_Toc97"/>
      <w:bookmarkEnd w:id="299"/>
      <w:bookmarkEnd w:id="300"/>
      <w:r>
        <w:rPr>
          <w:rtl w:val="true"/>
        </w:rPr>
        <w:t>ثانيًا</w:t>
      </w:r>
      <w:r>
        <w:rPr>
          <w:rtl w:val="true"/>
        </w:rPr>
        <w:t xml:space="preserve">: </w:t>
      </w:r>
      <w:r>
        <w:rPr>
          <w:rtl w:val="true"/>
        </w:rPr>
        <w:t>الرسائل الجامعية المخطوطة</w:t>
      </w:r>
      <w:r>
        <w:rPr>
          <w:rtl w:val="true"/>
        </w:rPr>
        <w:t>:</w:t>
      </w:r>
      <w:bookmarkEnd w:id="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الاحتكام إلى القياس وحده في النحو العربي، فاطمة ناظم مطشر،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 دكتوراه 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بإشراف الأستاذ الدكتور هاشم طه شلاش، كلية التربية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الأساليب الإنشائية غیر الطلبية في نهج البلاغة، حسین علي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ماجستير مخطوطة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بإشراف الأستاذ الدكتور صباح عباس السالم،، كلية التربية للعلوم الإنسانية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بابل،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تراكيب الأسلوب الشرطي في نهج البلاغة، كريم حمزة حميدي،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 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بإشراف الأُستاذ المساعد الدكتور علي عبد الفتاح محيي، كلية التربية للعلوم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بابل،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ظاهرة المنع في النحو العربي، مازن عبد الرسول 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 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بإشراف الأستاذة الدكتورة خديجة الحديثي،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المستنصرية،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التبيین عن مذاهب النحويین البصريین والكوفيین، العكبري، عبد الرحمن سليمان العثيمین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ماجستير 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بإشراف الأُستاذ أحمد مكي الأنصاري، كلية الشريعة والدراسات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الملك عبد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السعودية،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منصوبات الأسماء في نهج البلاغة، فلاح رسول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أُطروحة دكتوراه مخطوطة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بإشراف الأُستاذ الدكتور علي ناصر غالب، كلية التربية للعلوم الإنسانية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بابل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النَّواسخ في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نحوية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عبد الكريم شمخي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ماجستير مخطوطة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بإشراف الأُستاذ المساعد الدكتور صادق حسین كنيج، كلية التربية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المستنصرية،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02" w:name="pg7031_81158"/>
    </w:p>
    <w:p>
      <w:pPr>
        <w:pStyle w:val="Heading3"/>
        <w:numPr>
          <w:ilvl w:val="2"/>
          <w:numId w:val="1"/>
        </w:numPr>
        <w:rPr/>
      </w:pPr>
      <w:bookmarkStart w:id="303" w:name="__RefHeading___Toc2958424_372815092"/>
      <w:bookmarkStart w:id="304" w:name="_Toc98"/>
      <w:bookmarkEnd w:id="302"/>
      <w:bookmarkEnd w:id="303"/>
      <w:r>
        <w:rPr>
          <w:rtl w:val="true"/>
        </w:rPr>
        <w:t>ثالثًا</w:t>
      </w:r>
      <w:r>
        <w:rPr>
          <w:rtl w:val="true"/>
        </w:rPr>
        <w:t xml:space="preserve">: </w:t>
      </w:r>
      <w:r>
        <w:rPr>
          <w:rtl w:val="true"/>
        </w:rPr>
        <w:t>البحوث المنشورة</w:t>
      </w:r>
      <w:r>
        <w:rPr>
          <w:rtl w:val="true"/>
        </w:rPr>
        <w:t>:</w:t>
      </w:r>
      <w:bookmarkEnd w:id="3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الاستقراء في النحو،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محمد سلمان، مجلة المجمع العلمي العراقي، المجلد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أسلوب القسم في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وإحصاء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رسول حسين، بحث منشور في مجلة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الثامن، حزيزان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 بالقرآن في إعراب القرآن،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إبراهيم النملة، جامعة الإمام محمد بن سعود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وهو من ضمن البحوث المشاركة في المؤتمر القرآني الدولي السنوي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ينظمه مركز بحوث القرآن في جامعة مالايا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كوالالمبور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ماليزيا، جمادى الآخرة،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الجملة الطويلة في القرآن الكريم،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ناصر غالب، مجلة مركز دراسات الكوفة، المجلد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الإصدار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سيبويه أول من جرَّأَ النحویين على العزوف عن الاحتجاج بالحديث النبوي الشريف،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سعدون أحمد علي الرَّبَعي، بحث منشور في مجلة العميد، العدد الخامس، آذار، ربيع الثاني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ظاهرة التقارض في النحو العربي، أحمد محمد عبد الله، مجلة الجامعة الإسلامية بالمدينة المنورة، السنة الثانية عشرة، العددان الثامن والخمسون والتاسع والخمسون،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05" w:name="pg7031_81159"/>
    </w:p>
    <w:p>
      <w:pPr>
        <w:pStyle w:val="Heading2"/>
        <w:numPr>
          <w:ilvl w:val="1"/>
          <w:numId w:val="1"/>
        </w:numPr>
        <w:rPr/>
      </w:pPr>
      <w:bookmarkStart w:id="306" w:name="__RefHeading___Toc2958426_372815092"/>
      <w:bookmarkStart w:id="307" w:name="_Toc99"/>
      <w:bookmarkEnd w:id="305"/>
      <w:bookmarkEnd w:id="306"/>
      <w:r>
        <w:rPr>
          <w:rtl w:val="true"/>
        </w:rPr>
        <w:t>المحتويات</w:t>
      </w:r>
      <w:bookmarkEnd w:id="307"/>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التمهيد</w:t>
      </w:r>
    </w:p>
    <w:p>
      <w:pPr>
        <w:pStyle w:val="BookText"/>
        <w:rPr/>
      </w:pPr>
      <w:r>
        <w:rPr>
          <w:rFonts w:ascii="Amiri" w:hAnsi="Amiri" w:eastAsia="Amiri" w:cs="Amiri"/>
          <w:color w:val="111111"/>
          <w:sz w:val="28"/>
          <w:sz w:val="28"/>
          <w:szCs w:val="28"/>
          <w:rtl w:val="true"/>
          <w:lang w:bidi="ar-SA"/>
        </w:rPr>
        <w:t xml:space="preserve">الاستقراء بين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والنحويين</w:t>
      </w:r>
    </w:p>
    <w:p>
      <w:pPr>
        <w:pStyle w:val="BookText"/>
        <w:rPr/>
      </w:pPr>
      <w:r>
        <w:rPr>
          <w:rFonts w:ascii="IRNazanin" w:hAnsi="IRNazanin" w:eastAsia="IRNazanin"/>
          <w:color w:val="111111"/>
          <w:sz w:val="28"/>
          <w:sz w:val="28"/>
          <w:szCs w:val="28"/>
          <w:rtl w:val="true"/>
          <w:lang w:bidi="fa-IR"/>
        </w:rPr>
        <w:t>التمهيد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الاستقراء بین كلام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والنحويین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في اللغة والاصطلاح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الاستقراء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الاستقراء الناقص بالاستقراء التام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الاستقراء الناقص بالقياس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نقص الاستقراء</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في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نقص الاستقراء في المفردات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نقص الاستقراء في التراكيب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الشِّعر أكثر من النثر في الاستشهاد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المنهجي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مدرسَتَي البصرة والكوفة</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أهمية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معالجة نقص الاستقراء</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بالمنع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بالضرورة الشعرية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بعدم ورود السماع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بالنّدرة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IRNazanin" w:hAnsi="IRNazanin" w:eastAsia="IRNazanin"/>
          <w:color w:val="111111"/>
          <w:sz w:val="28"/>
          <w:sz w:val="28"/>
          <w:szCs w:val="28"/>
          <w:rtl w:val="true"/>
          <w:lang w:bidi="fa-IR"/>
        </w:rPr>
        <w:t xml:space="preserve">ما منعه أغلب النحويين وورد في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ما منعه أغلب النحويين في الأسماء</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اقتران الخبر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تضمّنه معنى الشرط</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إظهار متعلِّق شبه الجملة الواقعة خبرًا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علی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الكسر عند تنكیره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عدم مشاركة الفاعل للمفعول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الإضافة الظرفية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حذف الموصول الإسمي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تقديم الصلة أو ما يتعلَّق بها على الموصول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ما منعَهُ أغلبُ النحويين في الأفعال والحروف</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منعَهُ أغلبُ النحويین في الأفعال</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وقوع الفعل الماضي خبرًا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إجراء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وقوع الفعل الماضي المثبَت المجرَّد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منعَهُ أغلبُ النحويین في الحروف</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ناصبةً مسبوقةً بأفعال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التعليل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ascii="IRNazanin" w:hAnsi="IRNazanin" w:eastAsia="IRNazanin"/>
          <w:color w:val="111111"/>
          <w:sz w:val="28"/>
          <w:sz w:val="28"/>
          <w:szCs w:val="28"/>
          <w:rtl w:val="true"/>
          <w:lang w:bidi="fa-IR"/>
        </w:rPr>
        <w:t xml:space="preserve">ما حمله أغلب النحويين على الضرورة الشعرية وورد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ما حُمِل على الضرورة الشعرية فيما أُثبِتَ في الكلام</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توكيد جواب الشرط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إبقاء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عند جرها بحرف الجر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اقتران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اقتران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وقوعه فعلا ماضيًا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ما حُمِلَ على الضرورة الشعرية فيما اعتوره الحذف ومسائل أُخر</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على الضرورة الشعرية فيما اعتوَرَهُ الحذف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حذف همزة الاستفهام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حذف 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بقاء الشرط مسبوقًا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تقدير ضمیر شأن بعدها</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على الضرورة الشعرية في مسائلَ أُخر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دخول أداة الشرط علی الأسماء</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ورود فعل الشرط مضارعًا مجزومًا والجواب ماضيًا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وقوع الجواب للشرط وإنْ تقدَّم القسم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الإضافة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إضافة الصفة المشبهة المجردة إلى معمولها المشتمِل على</w:t>
      </w:r>
    </w:p>
    <w:p>
      <w:pPr>
        <w:pStyle w:val="BookText"/>
        <w:rPr/>
      </w:pPr>
      <w:r>
        <w:rPr>
          <w:rFonts w:ascii="IRNazanin" w:hAnsi="IRNazanin" w:eastAsia="IRNazanin"/>
          <w:color w:val="111111"/>
          <w:sz w:val="28"/>
          <w:sz w:val="28"/>
          <w:szCs w:val="28"/>
          <w:rtl w:val="true"/>
          <w:lang w:bidi="fa-IR"/>
        </w:rPr>
        <w:t>ضمیر الموصوف</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الباب الثالث</w:t>
      </w:r>
    </w:p>
    <w:p>
      <w:pPr>
        <w:pStyle w:val="BookText"/>
        <w:rPr/>
      </w:pPr>
      <w:r>
        <w:rPr>
          <w:rFonts w:ascii="IRNazanin" w:hAnsi="IRNazanin" w:eastAsia="IRNazanin"/>
          <w:color w:val="111111"/>
          <w:sz w:val="28"/>
          <w:sz w:val="28"/>
          <w:szCs w:val="28"/>
          <w:rtl w:val="true"/>
          <w:lang w:bidi="fa-IR"/>
        </w:rPr>
        <w:t xml:space="preserve">ما لم يذكره أغلب النحويين وورد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ما لم يَذكرْه أغلبُ النحويين في أُسلوبَی القسم والشرط</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يذكرْه أغلبُ النحويین في أُسلوب القسَم</w:t>
      </w:r>
      <w:r>
        <w:rPr>
          <w:rFonts w:eastAsia="IRNazanin" w:cs="IRNazanin"/>
          <w:color w:val="111111"/>
          <w:sz w:val="28"/>
          <w:szCs w:val="28"/>
          <w:rtl w:val="true"/>
          <w:lang w:bidi="fa-IR"/>
        </w:rPr>
        <w:t>...</w:t>
      </w:r>
      <w:r>
        <w:rPr>
          <w:rFonts w:eastAsia="IRNazanin" w:cs="IRNazanin"/>
          <w:color w:val="111111"/>
          <w:sz w:val="28"/>
          <w:szCs w:val="28"/>
          <w:lang w:bidi="fa-IR"/>
        </w:rPr>
        <w:t>282</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القسَم الخبري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وقوع جواب القَسم الطّلَبي مَصدرًا مُؤوَّلًا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يذكرْه أغلبُ النحويین في أُسلوب الشرط</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استفهامية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مضارعًا منفيًا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ما لم يَذكرْهُ أغلبُ النحويين في مسائلَ أُخر</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 ممّا لا تفاضلَ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الردِّ والتقسيم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الاستفتاحية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إبدال الجملة من المفرد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الفجائية متلوَّةً بجملة منسوخة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خاتمة بنتائج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روافد البحث</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المطبوعة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الجامعية المخطوطة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البحوث المنشورة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المعتزلي،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يحيى بن إسماعيل أبو إبراهيم المزني صاحب الإمام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مصر كان زاهدًا عالمًا مجتهدا قوي الحجة وهو إمام الشافعيين، ومن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والجامع الكبیر، والمختصر والترغيب في العلم، نسبته إلى مزينه من مضر 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 ناصر مذهبي، وقال في قوة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ناظر الشيطان لغلبه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الزركلي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الإفصاح ببعض ما جاء من الخطإ في الإيضاح لابن الطراوة النحوي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 صالح الضامن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الخلاف بین النحويین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البصریين والكوفيین، أبو البركات الأنباري،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محيي الدين عبد الحميد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دراسة ابستيمولوجية للفكر اللغوي عند العرب، النحو، فقه اللغة، البلاغة،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الزجاجي، الزجاجي، تحقيق وشرح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السام 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الشيخ المفيد،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نور الدين جعفريان الأصبهاني وآخرينِ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والأشباه والنظائر في النحو، السيوطي،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العال سالم مكرم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ونشأة النحو وتاريخ أشهر النحاة، الشيخ محمد الطنطاوي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التعريفات، ضبطه وصححه جماعة من العلماء بإشراف 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معيار العلم في فن المنطق،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جابر فياض العلواني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الاستقراء الناقص وأثره في النحو العربي،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العزيز العميريني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في علم الكلام،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محمود عبد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المنطقية للاستقراء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الاستقراء في النحو،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عدنان محمد سلمان، بحث منشور في مجلة المجمع العلمي العراقي، 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الاستقراء الناقص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والاستقراء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الحسين الفتلي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التكملة، تحقيق ودراسة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 بحر المرجان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الاقتراح في علم أُصول النحو، السيوطي، قرأه 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سليمان 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عبد الستار الجواري،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الجبوري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الأشموني على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والنحو الوافي مع ربطه بالأساليب الرفيعة، والحياة اللغوية المتجددة، عباس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الاستقراء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والاستشهاد باللغة، دراسة لقضايا الرواية والاستشهاد في ضوء علم اللغة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معيار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والتحبیر شرح التحرير في أُصول الفقه، علاء الدين أبو الحسن المرداوي،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الجبرين وآخرينِ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والمنطق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والأسس المنطقية للاستقراء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الاستقراء الناقص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والكليات، معجم في المصطلحات والفروق اللغوية، الكفوي، تح</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التحبير شرح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والصحيفة نفسها</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إنباه الرواة على أنباه النحاة، القفطي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والأشباه 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وهذا المعنى يؤكد 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كلام العرب لا يحيط به إلا نبي؛ إذ إن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يُجرِ إحصاءً أو استقراءً توصّل في ضوئه إلى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ضمن الأحرف التي استقراها أبو الأسود، إلا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أبي الأسود، ولهذا أرى أن تُزاد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إمام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 يُحيط بكلام العرب</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 في فقه اللغة العربية وسنن العرب في كلامها، ابن فارس، شرح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صقر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 الأدلة في أصول النحو، أبو البركات الأنباري،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الأفغاني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والاستقراء الناقص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المنطقية للاستقراء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والاستقراء الناقص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المنطقية للاستقراء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فحول الشعراء، ابن سلّام،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محمد شاكر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والاستقراء الناقص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والاستشهاد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والرواية والاستشهاد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الإغراب في جدل الإعراب،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الأفغاني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الشعر دراسة في الضرورة الشعرية، د محمد حماسة عبد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المنطقية للاستقراء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والاستقراء الناقص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والاستشهاد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والشواهد والاستشهاد في النحو،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علوان النايلة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بین المعيارية والوصفية،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والقاعدة النحوية، دراسة نقدية تحليلية،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عبد العظيم عبد الغني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الاستقراء الناقص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والشاهد وأصول النحو في كتاب سيبويه،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خديجة الحديثي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والاستشهاد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وفي أصول النحو، سعيد الأفغاني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رمضان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وأثر القرآن والقراءات في النحو العربي،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سمير اللبدي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والاستشهاد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الاستقراء الناقص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والشواهد والاستشهاد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 المبرد،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الخالق عضيمة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واللمع في العربية، ابن جني،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فائز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والمفصل، الزمخري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وأبنية الصرف في كتاب سيبويه، معجم ودراسة،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خديجة الحديثي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الاشتقاق، شرح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كناشة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السلام 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تسهيل الفوائد،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السيد،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بدوي المختون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عن كتب الأعاريب، ابن هشام،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مازن المبارك، ومحمد عي حمد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 في شرح جمع الجوامع،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هنداوي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ضرائر الشعر،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إبراهيم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أحمد هريدي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وارتشاف الضرب من لسان العرب، تحقيق وشرح ودراسة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عثمان محمد، ومراجعة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عبد التواب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والمساعد على تسهيل الفوائد، ابن عقيل، تحقيق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كامل بركات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النحوي ودلالة الإعراب على المعنى، مراجع عبد القادر بالقاسم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والاستشهاد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أصول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 الأشعار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القرآن الكريم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 الآيات القرآنية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الشعر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ابن جني،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اللغوي عند العرب،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مختار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والاستشهاد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وفي لغة الشعر،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السامرائي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اللغة،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السامرائي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والاستشهاد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 ابن قتيبة، تحقيق وشرح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شاكر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وخزانة الأدب ولب لباب لسان العرب، البغدادي، تحقيق وشرح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وفي أصول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وفي لغة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أسرار اللغة،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أنيس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أسرار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والرواية والاستشهاد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أسرار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ودلالة الاكتفاء في الجملة القرآنية، دراسة نقدية للقول بالحذف والتقدير،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عبد الفتّاح محيي الشمري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أسرار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والاستقراء الناقص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والاستشهاد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وموقف النحاة من الاحتجاج بالحديث الشريف، 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والاستشهاد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الكوفة ومنهجها في دراسة اللغة والنحو،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المخزومي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 الشواهد والاستشهاد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والاستشهاد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ومعاني القرآن، الفراء،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يوسف النجاتي وآخرينِ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ومعاني القرآن وإعرابه، الزجاج، شرح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الجليل شلبي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والمقرب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والدر المصون في علوم الكتاب المكنون، السمين الحلبي،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الخراط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يحيى بن يعمر،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وجامع البيان في تأويل القرآن، الطبري، تح</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النحاة من الاحتجاج بالحديث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والاستشهاد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وفي أصول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النحاة من الاحتجاج بالحديث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 طبقات اللغويين والنحاة،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والصحيفة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البحث</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المسند الصحيح المختصر من أمور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وسننه وأيامه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البخاري،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زهیر بن ناصر الناصر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حسن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 العامة،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لسيدنا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مقدمة الشريف الرضي</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الشافية في شرح الخلاصة الكافية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ألفية ابن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الشاطبي،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المحققین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النحو، ابن الورّاق،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جاسم محمد الدرويش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وشرح المفصل، 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والمقاصد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والنص وارد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 الحسون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 والتذكرة،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فتحي أحمد 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الخبرية في نهج البلاغة،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عبد الفتاح محيي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والأساليب الإنشائية غیر الطلبية في نهج البلاغة، حسین علي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96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ابن كثیر ونافع وأبي عمرو وابن عامر،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السبعة في القراءات، ابن مجاهد،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شوقي ضيف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النحويون والقرآن،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بنيان الحسون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هدى محمود قراعة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 الأزهري،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عوض مرعب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هجج</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 ابن الاثیر،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أحمد الزاوي، ومحمود محمد الطناحي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أبنية المبالغة وأنماطها في نهج البلاغة، دراسة صرفية نحوية دلالية، حيدر هادي خلخال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والخطيب هو صعصعة بن صوحان العبدي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أو أبو طلحة، من أهل الكوفة، كان مسلمًا في عهد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يرَه، وشهد 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وكان أمیرًا على كردوس، وكان خطيبا فصيحا، توفي في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القرطبي،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البجاوي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الشحشح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غريب كلام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ذكره الشريف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مبيِّنًا معناه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الماهر بالخطبة، الماضي فيها، وكلُّ ماضٍ في كلامٍ أو سَیْر فهو شَحشَح، والشحشح في غیر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البخيل المُمْسِك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ولي على هذا الشاهد مسألة أخرى، ينظر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ديوان امرئ القيس،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وأبنية المبالغة وأنماطها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المنطق، ابن السكِّيت، شرح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شاكر، وعبد السلام محمد 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والمحكم والمحيط الأعظم، ابن سيده،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هنداوي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وارتشاف الرب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والمزهر في علوم اللغة وانواعها، السيوطي السيوطي،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علي منصور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وأبنية المبالغة وأنماطها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والرواية فيه بعدم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أن الرواية الأشهر بذكرها ولذلك أثبتها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تمام نهج البلاغة، السيد صادق 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وبهج الصباغة في شرح نهج البلاغة، التسري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وتوضيح نهج البلاغة، السيد محمد الشرازي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وأبنية المبالغة وأنماطها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وشرح ابن عقيل على ألفية ابن مالك،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محيي الدين عبد الحميد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21036</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والبيت الشعري الذي يشیر إله الأستاذ عباس حسن هو بيت الفرزدق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في سُنَن الأقوال والأفعال، المتقي الهندي،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بكري حياني، وصفوة السقا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ابن عساكر،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غرامة العمروي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الذهبي،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المحققين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دوس قبيلة من الأزد، منها أبو هريرة، ولهم موضع يقال له حجرة 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ياقوت الحموي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ابن سعد،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القادر عطا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وأصول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وفي أصول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والشاهد وأصول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سيبويه إمام النحاة،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النجدي ناصف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سيبويه أول من جرَّأَ النحويین على العزوف عن الاحتجاج بالحديث النبوي الشريف،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الشعر دراسة في الضرورة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والقاعدة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وفي النحو العربي نقد وتوجيه،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المخزومي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الشعر دراسة في الضرورة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والقاعدة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والاستشهاد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ولغة الشعر العراقي المعاصر، عمران خليل الكبيسي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في أصول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والاقتراح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 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والاحتكام إلى القياس وحده في النحو العربي، فاطمة ناظم مطشر،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أُطروحة دكتوراه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في فقه العربية،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عبد التواب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وفي أصول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المعنى في الدراسات النحوية،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 حسین ناصح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العین،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المخزومي،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السامرائي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تاج اللغة وصحاح العربية، الجوهري،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عبد الغفور عطار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ومعجم مقاييس اللغة، ابن فارس،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وأُصول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ظاهرة المنع في النحو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المفقودة في تاريخ النحو العربّي،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العال سالم مكرم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المنع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1695</w:t>
      </w:r>
      <w:r>
        <w:rPr>
          <w:rFonts w:ascii="IRNazanin" w:hAnsi="IRNazanin" w:eastAsia="IRNazanin"/>
          <w:b w:val="false"/>
          <w:b w:val="false"/>
          <w:bCs w:val="false"/>
          <w:i w:val="false"/>
          <w:i w:val="false"/>
          <w:iCs w:val="false"/>
          <w:color w:val="333333"/>
          <w:sz w:val="20"/>
          <w:sz w:val="20"/>
          <w:szCs w:val="20"/>
          <w:rtl w:val="true"/>
        </w:rPr>
        <w:t>، والجنى الداني في حروف المعاني، المرادي،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الدين قباوة، والأستاذ محمد نديم فاضل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وشرح التسهيل المسمى تمهيد القواعد بشرح تسهيل الفوائد، ناظر الجيش،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المحققین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2944</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الشرح الكبیر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عصفور،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أبو جناح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 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وشرح جمل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عصفور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ودراسات لأُسلوب القرآن الكريم، محمد عبد الخالق عضيمة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صناعة الإعراب،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هنداوي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إعراب القرآن، العكبري،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البجاوي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والبحر المحيط في التفسیر، أبو حيان الأندلسي،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صدقي محمد جميل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والدر المصون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والدر المصون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 رأي ابن كيسان هذا في كتبه المطبوعة</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غريب إعرب القرآن،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عبد الحميد طه،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السقا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القرآني سبق تخريجه</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الترجيح بالقرآن في إعراب القرآن،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ابراهيم النملة، بحث منشور في جامعة الإمام محمد بن 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المنقولة بإثبات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بخروجهم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الأكثر تداولًا في شروح نهج البلاغة، وانفرد ابن أبي الحديد بعدم إيرادها أو إثباتها في هذا الموضع، وقد أوردها في موطن آخر بإثبات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بخروجهم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ولم يعلِّق المحقق محمد أبو الفضل على الأمر، ولهذا اعتمدتُ على الرواية الأكثر شهرة وتداولًا التي عليه أغلب شراح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الحقائق في شرح نهج البلاغة، الكيذري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 الله العطاردي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وشرح نهج البلاغة ميثم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ومنهاج البراعة في شرح نهج البلاغة، حبيب الله الخوئي، عُني بتصحيحه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إبراهيم اليانجي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وشرح نهج البلاغة، السيد عباس 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ومصادر نهج البلاغة وأسانيده، السيد عبد الزهراء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واستفلّهم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فللت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هزمته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وفي ظلال نهج البلاغة محاولة لفهم جديد، محمد جواد مغنية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وتوضيح نهج البلاغة، محمد الحسيني الشیرازي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وشرح نهج البلاغة المقتطَف من بحار الأنوار للمجلسي، على أنصاريان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ونهج البلاغة،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المنسوب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الزجّاج، تحقيق ودراسة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الإبياري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التذييل والتكميل في شرح التسهيل، أبو حيان،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والبيت من الشواهد التي لم يُعرَفْ قائلها،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الشعر أو شرح الأبيات المشكلة الإعراب، أبو علي الفارسي، تحقيق وشرح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محمد الطناحي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في ديوانه، حققه وجمعه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جبار المعيبد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والعجز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فاعلم لأيِّ حال تصیر</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غريب إعراب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والتذييل والتكميل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يعرق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يكشطه عن العظم، قال ابن 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كشط شيء عن شيء، ولا يكاد يكون إلا في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الطيف الكوهكمري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وتمهيد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وظاهرة المنع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ونتائج الفكر في النَّحو، السُّهَيلي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والدر المصون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والمقاصد النحوية في شرح شواهد شروح الألفية المشهور بشرح الشواهد الكبرى، العيني،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فاخر وآخرينِ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وحاشية الشهاب على تفسیر البيضاوي المسماة عناية القاضي وكفاية الراضي على تفسیر البيضاوي، شهاب الدين الخفاجي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وحاشية الصبان على شرح الأشموني لألفية ابن مالك،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والدرر اللوامع على همع الهوامع شرح جمع الجوامع، الشنقيطي، وضع حواشيه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اللوامع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مجهول القائل،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والمعجم المفصل في شواهد العربية، إيميل بديع يعقوب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والمقاصد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والدر المصون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واللباب في علوم الكتاب، ابن عادل، تح</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اللوامع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 تحقيق ودراسة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محمد أبو عباة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اللمع، تحقيق ودراسة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فايز زكي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تقاود السماع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اطراده في شيء، وعدم اختلافه فيه، كرفع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السماع فيه وتقارع الانتزاع تخالفه وتعايره،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تقارع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تضاربوا بالسيوف والانتزاع الاستنباط</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 في تفسير الكتاب العزيز،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عبد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العسكريات في النحو العربي، دراسة وتحقيق،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جابر المنصوري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النحاة،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شوقي ضيف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الاكتفاء في الجملة القرآنية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النحو العربي نقد وتوجيه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الخبرية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والعواري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استعرت من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أراد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عدم الاستقرار</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اللامات،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والصحيفة نفسها</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الحلل في إصلاح الخلل من كتاب الجمل، البطليوسي،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عبد الكريم 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علل البناء والإعراب،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الإله نبهان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الانباري في كتابه الإنصاف في مسائل الخلاف بين النحويين البصريين والكوفيين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والموجز في قواعد اللغة العربية، سعيد الأفغاني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والرواية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لكنك 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لكني اعتمدت على الرواية الاشهر التي عليها أغلب الشراح،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وتمام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سعيد بن جُبَیر الأسدي، الكوفي بالولاء،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كان أعلمهم على الإطاق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حبشي الأصل، من موالي بني والبة بن الحارث من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العلم عن عبد الله بن عباس وابن عمر، قتله الحجّاج في واسط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وأثر القرآن والقراءات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ومعجم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سيبويه،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حسن مهدلي، وعلي سيد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المنثورة، تحقيق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عبد الكريم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ابن الشجري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وكتاب أسرار العربية، أبو البركات،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بهجة البيطار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والمساعد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والبيت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هيثم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الرجز، وتمامه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فتى مثل ابن خيبري، وهو من شواهد سيبويه الخمسین التي لا يُعرَفُ قائلها،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والبيت الثاني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عبد الله بن زبر الأسدي، جمع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والمساعد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ولم أجد رأي الفراء هذا في معاني القرآن في حدود ما اطلعتُ</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من الطويل، وهو با نسبة فيه، وفي المقرب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والمعجم المفصل في شواهد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الخضري على شرح ابن عقيل على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ما بين المعقوفتين خطأ طباعي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الخضري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هذا الرأي عن الفراء في معاني القرآن في حدود ما اطلعتُ</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الشَّدْخ كَسُرْكَ الشيءَ الَأجْوَفَ كالرأْس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شدخ</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برفع الاسماء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لكني الرواية الأشهر هي ما اثبتها في المتن وذكرها أغلب الشراح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وتمام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وكتاب أسرار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وشرح الرضي علی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وشرح جمل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عصفور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ولابد من بيان أنَّ النحويین يمنعون تصغیر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سيبويه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يُحقَّران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الجمل في النحو،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الدين قباوة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مابين المعقوفتين خطأ طباعي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الحذف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والبيت في شعره، جمع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سلوم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على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وإني ثَویتُ اليَوْمَ والأمْسِ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بعلی الباب حتى كادَتِ الشمسُ تَغْرُبُ</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عصفور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منصوبات الأسماء في نهج البلاغة، فلاح رسول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أُطروحة دكتوراه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المشكلة المعروفة بالبغداديات، أبو علي الفارسي،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الدين عبد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هذا الخلاف والقائلین بكلِّ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والبغداديات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والمساعد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المقتصد في شرح الإيضاح، عبد القاهر الجرجاني،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 بحر المرجان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والجنى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والمساعد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والدر المصون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والبيت الشعري من الطويل، ديوان شعر حاتم بن عبد الله الطائي وأخباره، صنعة يحيى بن مدرك الطائي،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الكلبي،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سليمان جمال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والاستقراء الناقص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ولم أجد رأي ابن الناظم هذا في شرحه على الألفية</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المصون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والبيت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 شرح الأصمعي،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فلاح أوغلي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في كتاب شرح أشعار الهذليین، صنعة أبي سعيد السكري، رواية أبي الحسن النحوي عن أبي بكر الحلواني،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الستار أحمد فراج، 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أحمد شاكر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والاستقراء الناقص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والجملة العربية تأليفها وأقسامها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مالك بن الحارث بن عبد يغوث النخعي، المعروف بالأشتر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كبار الشجعان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رئيس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الجاهلية شهد يوم الجمل، وأيام صفین مع علي، وولاه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فقصدها، فمات في الطريق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مالكًا فلقد كان لي كما كنتُ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شعر جيد، ويعدّ من الشجعان الأجواد العلماء الفصحاء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السيد محسن الأمین، تحقيق وتخريج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تيسيرات لغوية،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شوقي ضيف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 من قضايا اللغة،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النحّاس </w:t>
      </w:r>
      <w:r>
        <w:rPr>
          <w:rFonts w:eastAsia="IRNazanin" w:cs="IRNazanin"/>
          <w:b w:val="false"/>
          <w:bCs w:val="false"/>
          <w:i w:val="false"/>
          <w:iCs w:val="false"/>
          <w:color w:val="333333"/>
          <w:sz w:val="20"/>
          <w:szCs w:val="20"/>
        </w:rPr>
        <w:t>232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ولم أعثر على رأي ابن خروف هذا في كتبه المطبوعة</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المطالع السعيدة في شرح الفريدة في النحو والصرف والخط، السيوطي،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نبهان ياسین 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الخضري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 رأي ابن خروف هذا في كتبه المطبوعة في حدود ما اطلعتُ</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والصحيفة نفسها،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وروح المعاني في تفسیر القرآن العظيم والسبع المثاني، الآلوسي،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عبد الباري عطية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اللمحة البدرية في علم اللغة العربية لابن هشام،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هادي نهر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ولم يرد هذا الوجه عند الزجّاج في كتابه المطبوع، بل صرَّح بأنَّه مفعول له منصوب،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وإعرابه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وأنوار التنزيل وأسرار التأويل،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الرحمن المرعشلي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والميزان في تفسیر القرآن، الطباطبائي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تفسیر القرآن، الطبرسي،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والنص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ما بین المعقوفتین خطأ طباعي والأسلم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يَقوَى</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العضدي، أبو علي الفارسي،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شاذلي فرهود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والمساعد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الناظم على ألفية ابن مالك، ابن الناظم،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باسل عيون السود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وحاشية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والمساعد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الإيضاح، تحقيق ودراسة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 بحر المرجان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حقّقه وقدَّم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حيدر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وشرح 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226</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بعض ألفاظه</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والإيضاح في شرح المفصل،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محمد عبد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والدر المصون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وغرائب القرآن ورغائب الفرقان، النيسابوري،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زكريا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وحاشية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الاستقراء الناقص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القسم النحوي، تحقيق ودراسة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النبي محمد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المسالك إلى ألفية ابن مالك،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الشيخ محمد البقاعي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الخضري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التذييل والتكميل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 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كناب المطالع السعيدة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أبنية المبالغة وأنماطها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وأوضح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اعتقاد أهل السُّنة والجماعة، أبو القاسم الطبري، 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سعيد بن حمدان الغامدي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وطبقات الأصفياء، الأصبهاني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وحاشية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والبيت من الوافر، ديوانه، حقّقه 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وليد عرفات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ومابن المعقوفتین خطأ والأسلم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على كتاب سيبويه، تحقيق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 بن حمد القوزي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والحذف والتقدير في النحو العربي،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ابو 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والنحويون والقرآن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 اللباب في علوم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وفتح القدير، الشوكاني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والدر المصون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واللباب في علوم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والنحويون والقرآن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والنحويون والقرآن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الاستقراء الناقص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والدر المصون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واللباب في علوم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والصحيفة نفسها</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النحويون والقرآن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القرآني من سورة العنكبوت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القرطبي،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البردوني، وإبراهيم أطفيش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العربة تأليفها وأقسامها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والنحويون والقرآن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ودلالة الاكتفاء في الجملة القرآنية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القران، الزركشي،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والتحرير والتنوير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المعنى السديد وتنوير العقل الجديد من تفسیر الكتاب المجيد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عاشور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وإعراب القرآن وبيانه، محيي الدين درويش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والجملة العربية تأليفها وأقسامها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والتبصرة والتذكرة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في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شعره، حاتم صالح الضامن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والمعجم المفصل في شواهد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والآيتان سبق تخريجهما</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لشرح تلخيص المفتاح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الدروس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العربية تأليفها واقسامها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والنص القرآني سبق تخريجه، يذهب الباحثون إلى أنَّ ما بین القوسین خطأ، لاستعمال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غیر التوكيد؛ لذلك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اليء نفسه، غیر أنَّه لا مانع من ذلك في اللغة والنحو، قال سيبويه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وتجري هذه الأشياء التي هي على ما يستخفُّون بمنزلة ما يحذفون من نفس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وقال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بنفس الجبل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وكناشة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المنذر بن الجارود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واسمه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 بن خنيس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من السادة الأجواد، وُلد في عهد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الجمل 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وولّاه عيّ إمرة إصطخر وهي بلدة بفارس ثم بلغه عنه ما ساءَه، فكتب إليه الكتاب الذي أوردته في المتن فعزله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ولاه عبيد الله بن زياد ثغر الهند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فمات فيها وقيل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العسقلاني،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أحمد عبد الموجود، وعلي محمد معوض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عدوته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عدوانه أو ظلمه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كميل بن زياد النخعي، تابعي ثقة، من أصحاب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شريفًا مُطاعًا في قومه، شهد صفن مع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سكن الكوفة، وروى الحديث، قتله الحجّاج صبرًا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ابن طاووس،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القيومي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علل البناء والإعراب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تجديد النحو،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شوقي ضيف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الجمل وأشباه الجمل،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الدين قباوة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الرضي عى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والجملة الخبرية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ولم أجد رأي ابن درستويه هذا في المطبوع من كتبه</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عصفور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عصفور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والنحويون والقرآن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والتذييل والتكميل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 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المصون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واللباب في علوم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والنحويون والقرآن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النحويون والقرآن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1887</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وشفاء العليل في إيضاح التسهيل، السلسيلي،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عبد الله علي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ولم أجد رأي المبرَّد هذا في كتابه المطبوع</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العربية معناها ومبناها،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والزمن واللغة،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يوسف المطلبي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طَوَّحَهُ، أي توَّهَهُ وذهب به هَهُنا وهَهُنا، فَتَطَوَّحَ في البلاد، إذا رمى بنفسه ههنا وههنا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وتطاوَحَتْ بهم النَوى، أي ترامَتْ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أوقعكم في حبالة الصائد،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احتبل الصيد إذا صاده بالحبالة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شَرُيْح بن الحارث بن قيس بن الجهم الكندي، أبو أمية، من أشهر القضاة الفقهاء في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اليمن وهو ممن أسلم في حياة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يرَهُ، وليَ قضاء الكوفة في زمن الخليفة عمر وعثمان والإمام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ومعاوية، 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شُرَيحًا على القضاء مع مخالفته له في مسائل كثیرة في الفقه مذكورة في كتب الفقهاء، وسُئِل شريح عن الحجّاج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أكان موَمناً؟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بالطاغوت، كافراً باللّه تعالى، واستعفى في أيام الحجاج، فأعفاه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باع في الأدب والشعر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 طويلاً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2098</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عصفور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2099</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والاستقراء الناقص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في شعره، حقّقه وقدَّم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الجبوري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في ديوانه، جمعه وحققه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محمود الصالحي،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هاشم السامرائي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2099</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البسيط في شرح جمل الزجاجي، تحقيق ودراسة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عياد بن عيد الثبيتي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تخليص الشواهد وتلخيص الفوائد، ابن هشام، تحقيق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مصطفى الصالحي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العليل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عصفور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وتخليص الشواهد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تخليص الشواهد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وإعرابه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 في تبيین وجوه شواذ القراءات والإيضاح عنها،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النجدي ناصف وآخرينِ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وأثر القراءات القرآنية في الدراسات النحوية،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العال سالم مكرم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وعلل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والإنصاف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واللباب في علل البناء والإعراب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وكتاب التبيین عن مذاهب النحويین البصريین والكوفيین، العكبري، تحقيق ودراسة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سليمان العثيمین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المنع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القصائد السبع الطوال الجاهليات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المنع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القراءات السبع وعللها، حقّقه وقدّم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سليمان العثيمين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ودلالة الاكتفاء في الجملة القرآنية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والدعص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الكثيب الصغیر من الرمل المتجمع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الهودج وهو مُشرف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 الميداني،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محيى الدين عبد الحميد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والنحويون والقرآن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وكتاب التبيین عن مذاهب النحويین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النحويون والقران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التذييل والتكميل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المصون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ونظرية النحو القرآني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والنحويون والقرآن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التبيین عن مذاهب النحويین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واللباب في علوم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والنحويون والقرآن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النحويون والقرآن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القراءات السبع وعللها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النحو القرآني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والفوت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السبق إلى الشيء دون الائتمار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وشفاء العليل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 والتذكرة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العضدي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1639</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وتمهيد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وحاشية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العضدي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و حاشية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وحاشية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وشفاء العليل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القراءات القرآنية في الدراسات النحوية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 أبي حيوة وأبان وابن صبيح والزعفراني والإمام الشافعي،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ومعجم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وشفاء العليل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وتمهيد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أثر القرآن والقراءات </w:t>
      </w:r>
      <w:r>
        <w:rPr>
          <w:rFonts w:eastAsia="IRNazanin" w:cs="IRNazanin"/>
          <w:b w:val="false"/>
          <w:bCs w:val="false"/>
          <w:i w:val="false"/>
          <w:iCs w:val="false"/>
          <w:color w:val="333333"/>
          <w:sz w:val="20"/>
          <w:szCs w:val="20"/>
        </w:rPr>
        <w:t>349</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وحاشية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في ديوانه بشرح محمد بن حبيب،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محمد أمین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العجز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يفاخرنا من خلقه بشر</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وشفاء العليل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وتمهيد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 رأي ابن الأنباري هذا في كتبه المطبوعة في حدود ما اطلعتُ</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 غازي زاهد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و 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1525</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حافة الوادي وشَفيره، وساحلُ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القليلة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شرذم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وتأويل مشكل القرآن، ابن قتيبة،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شمس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 والتذكرة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 كتاب المقتصد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ورصف المباني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إعراب القرآن،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 صالح الضامن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غريب 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459</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القرآن والقراءات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لُأسلوب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لُأسلوب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والتبيان في 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والجنى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والجنى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الشواهد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وشرح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والبيت في ديوانه،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ورواية البيت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تورثن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إعراب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 في علوم القرآن،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حروف الجر دلالالتها وعلاقاتها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النحويون والقرآن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والجنى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إعراب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النحويون والقرآن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تنبَّه إلى موقف المبرَّد هذا المحقق الُأستاذ محمد عبد الخالق عضيمة،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وحروف الجر دلالاتها وعلاقاتها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والتبصرة والتذكرة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وكتاب أسرار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عصفور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وأثر القرآن والقراءات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 والتذكرة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البغداديات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والتبيان في 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ومعاني القرآن وإعرابه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والتبيان في 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النحويون والقرآن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الترجيح بالقرآن في 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والصحيفة نفسها</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رمزي منبر بعلبكي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دهمج</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ضرائر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النقد الأدبي والبلاغة حتى نهاية القرن الرابع الهجري،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زغلول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وتطبيقاتها في المذاهب الأربعة،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مصطفى الزحيلي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ألفاظ الفقه الجعفري،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فتح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النقد العربي القديم،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مطلوب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ومابن المعقوفتین خطأ طباعي والصواب</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عصفور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لغة الشعر دراسة في الضرورة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والضرورة الشعرية دراسة اسلوبية، إبراهيم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الضرورة الشعرية ومفهومها لدى النحويین دراسة على ألفية ابن مالك، إبراهيم بن صالح الحندود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عصفور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ولغة الشعر دراسة في الضرورة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ضرائر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عصفور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ولغة الشعر دراسة في الضرورة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الضرائر وما يسوغ للشاعر دون الناثر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والضرائر وما يسوغ للشاعر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عصفور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ولغة الشعر دراسة في الضرورة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والضرورة الشعرية ومفهومها لدى النحويین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والضرورة الشعرية ومفهومها لدى النحويین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الضرائر وما يسوغ للشاعر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وسيبويه والضرورة الشعرية، إبراهيم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وشواهد الشعر في كتاب سيبويه،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عبد الكريم 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الشعر في 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الضرائر وما يسوغ للشاعر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الضرورة الشعرية دراسة أسلوبية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الضرورة الشعرية دراسة أُسلوبية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يحتمل الشعر من الضرورة،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 بن حمد القوزي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ضرائر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2378</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والتراكيب اللغوية في العربية،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هادي نهر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وتمهيد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3934</w:t>
      </w:r>
      <w:r>
        <w:rPr>
          <w:rFonts w:ascii="IRNazanin" w:hAnsi="IRNazanin" w:eastAsia="IRNazanin"/>
          <w:b w:val="false"/>
          <w:b w:val="false"/>
          <w:bCs w:val="false"/>
          <w:i w:val="false"/>
          <w:i w:val="false"/>
          <w:iCs w:val="false"/>
          <w:color w:val="333333"/>
          <w:sz w:val="20"/>
          <w:sz w:val="20"/>
          <w:szCs w:val="20"/>
          <w:rtl w:val="true"/>
        </w:rPr>
        <w:t>، والمقاصد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والبيت في الحماسة، البحتری،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إبراهيم حور، وأحمد محمد عبيد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58</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يحتمل الشعر من الضرورة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يجوز للشاعر في الضرورة، حقّقه وقدَّم له ووضع فهارسه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عبد التواب، ود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الضرائر وما يسوغ للشاعر دون الناثر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النحويون والقرآن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والبيان في غريب 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والنحويون والقرآن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البحث</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وحاشية الخضري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واللباب في علوم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وإعراب القرآن وبيانه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الخبرية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 وبيانه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الغفیرة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الكثرة والزيادة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الصحيفة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البحث</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الوكزة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الطعنة، ووكزه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3934</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المقاصد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النحويون والقرآن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التوكيد في القرآن الكريم، عبد الرحمن المطردي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وأمالي ابن الشجري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والصحيفة نفسها،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وأساليب الطلب عند النحويین والبلاغيین،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اسماعيل الأوسي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والمقاصد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وكتاب الأزهية في علم الحروف، الهروي،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المعین ملوحي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والقرآن الكريم واثره في الدراسات النحوية،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العال سالم مكرم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الأزهية في علم الحروف، الهروي،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المعین ملوحي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والأساليب الإنشائية في النحو العربي، عبد السام 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وسر العربية،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 وآخرين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والبيت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وهو فيه على خلاف ما يرويه النحويون فروايته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ففيم تقول يشتمني لئيم كخنزير تمرغ في رماد، وعلى هذا فلا شاهد فيه في مسألتنا هذه</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يجوز للشاعر في الضرورة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ما يشكل من ألفاظ الحديث النبوي،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هنداوي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الضرائر وما يسوغ للشاعر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شذا العرف في فن الصرف،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الله عبد الرحمن نصر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الأساليب الإنشائية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النسائي،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عبد المنعم شلبي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ما يشكل من ألفاظ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والصحيفة نفسها</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ابن الحاجب،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نور الحسن وآخرينِ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موصل الطلاب الى قواعد الإعراب،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النبإِ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والنواسخ في كتاب سيبويه،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النعيمي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واللباب في علل البناء والإعراب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والإيضاح في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والبيت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يمصحا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المقدمة المُحسِبة،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عبد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النحويون والقرآن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 وهو مما يحرص الإنسان على إخفائه، وسبَّه يسبّه طعنَه في السبة، والسُّبة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والتوطئة، أبو علي الشلوبيني،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أحمد المطوع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حروف المعاني والصفات،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توفيق 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العضدي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المقتصد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أسرار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التوطئة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والمقرَّب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وضرائر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والدعاء للطبراني،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عبد القادر عطا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المصنف في الاحاديث والآثار، ابن أبي شيبة،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يوسف الحوت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سالم القحطاني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وسنن أبي داوود،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محيي الدين عبد الحميد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 من جواهر القاموس، الزبيدي،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المحققین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عقِيلُ بنُ أَبِی طالب بن عبد المطلب بن هاشم بن عبد مناف ابن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 فَاطِمَةُ بِنْتُ أَسَدِ بْنِ هَاشِمِ بْنِ عَبْدِ مناف بْن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أبا يزيد ولم يزل اسمه في الجاهلية والإسلام عقيلاً، وهو أخو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لأُمه وأبيه وكان أسنَّ من جعفر رحمه الله بعشر سنين وجعفر أسن من أمیر المؤمنین بعشر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قريش بأيامها ومآثرها ومثالبها وأنسابها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فصيح اللسان، شديد الجواب وقد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لعقيل يا أبا يزيد إني أحبك حبین حبا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لقرابتك منى وحبا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كنت أعلم من حب عمي إياك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عقيل بْن أبي طَالِب فيمن أخرج من بني هاشم كرهًا مع المشركین إِلَی بدْر فشهدها وأسر يومئذٍ وكان لا مال له ففداه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حلب وأطرافها جماعة ينتسبون إليه يُعرَفون ببني عقيل، وقد توفي بعد ما عَمِيَ فِی خِلافَةِ معَاوِيةَ بنِ أَبِن سُفْيَانَ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الملازم؛ والمريض دنف، كأنه قد قارب الذهاب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المكواة أو الحديدة التي يُوسَم بها، والجمع مواسم ومياسم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الخبرية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دلائل الإعجاز، الجرجاني، قرأه 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فهر محمود محمد شاكر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والمقرب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وشرح كتاب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والمقرب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والزمن النحوي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رأي أبي عمرو والأصمعي</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والمساعد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النبوي في النحو العربي، دراسة مستفيضة لظاهرة الاستشهاد بالحديث في النحو العربي، ودراسة نحوية للأحاديث الواردة في أكثر شروح ألفية 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الخبرية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واللامات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1294</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و 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1293</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والنواسخ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نحوية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سعد عبد الكريم شمخي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اللمحة في شرح الملحة،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سالم الصاعدي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التقارض في النحو العربي، أحمد محمد عبد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الفيض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لأسلوب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والأكظام جمع كظم وهو مخرج النفس من الحلق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بكظمه أي بمخرج نفَسه،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كظم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وحاشية الصبان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400</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 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وكتاب إسفار الفصيح، الهروي،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سعيد بن محمد قشاش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والجملة العربية تأليفها وأقسامها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وأبنية المبالغة وأنماطها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التذييل والتكميل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العربية تأليفها واقسامها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إساعيل أبو بكر النحوي العسكري أخذ عن المبرّد وطبقته و لهذا لُقب بمبرمان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لكثرة ملازمته للمرد وسؤاله إيّاه، وهو من عسكر مكرم بنواحي خوزستان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البصرة، و أخذ عنه النحو جماعة من العلماء الصدور كأبي على الفارسي وأبي سعيد السّیرافي ومن في طبقتهما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والصحيفة نفسها،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ودراسات لأسلوب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يسرى عبد الغني عبد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الفراهيدي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واللباب في علل البناء والإعراب</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الحذف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في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وشرح شذور الذهب في معرفة كلام العرب، الجوجري،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نواف بن جزاء الحارثي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البصريات،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الشاطر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وظاهرة الحذف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وأثر القرآن والقراءات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المقتصد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و أمالي ابن الشجري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اللمحة في شرح الملحة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وجامع الدروس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 شرحه وصنَّف قوافيه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محمد ناصر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والبيت في ديوانه، قدَّم له ووضع هوامشه وفهارسه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فايز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البيت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لعمرك ما أدَرِي وإني لحاسبٌ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بسبعٍ رَمَيْنتُ الجَمْرَ أم بَثمانِ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اللغة والأدب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كلام العرب،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عبد الغفور عطار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صرَّح ابن خالويه هنا بأنه ليس في كلام العرب همزة استفهام محذوفة بلا دليل إلا في بيت عمر بن أبي ربيعة</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ضرائر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الضرائر وما يسوغ للشاعر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في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والبسيط في شرح جمل 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البسيط في شرح جمل 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الشعر دراسة في الضرورة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يجوز للشاعر في الضرورة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وأساليب الطلب عند النحويين والبلاغيين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المنسوب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الزجاج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المصون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واللباب في علوم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محيصن والزهري،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والدر المصون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شوهد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والجنى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وجامع الدروس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يجوز للشاعر في الضرورة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والدر المصون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 عن تفسر القرآن، الثعلبي،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أبي محمد بن عاشور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ومعالم التنزيل في تفسیر القرآن البغوي،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المغیرة بن الأخنس بن شريق الثقفي، حليف لبني زهرة 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هجا الزبیر 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يوم الدار مع عثمان بن عفان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أساليب الإنشاء في كلام السيدة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دراسة نحوية بلاغية، عامر سعيد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الحذف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وأساليب الطلب عند النحويین والبلاغيین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ولغة الشعر دراسة في الضرورة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لغة الشعر دراسة في الضرورة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صناعة 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نتائج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وأمالي السهيلي في النحو واللغة والحديث والفقه،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إبراهيم البنا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نتائج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رصف المباني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يجوز للشاعر في الضرورة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ضرائر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البسيط في شرح جمل 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رصف المباني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نتائج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للقراء السبعة، أئمة الامصار بالحجاز والعراق والشام الذين ذكرهم ابو بكر بن مجاهد،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الدين قهوجي وآخرينَ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3508</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تح شعيب الأرنؤوط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مرشد وآخرينَ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وأمالي السهيلي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ونتائج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والاستقراء الناقص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3508</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دلائل الاعجاز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دلائل الاعجاز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الأشعث بن قيس بن معدي كرب الكندي، أبو محمد كانت إقامته في حضرموت، كان في الجاهلية رئيسًا مطاعًا في كندة ووفد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ظهور الإسلام، في جمع من قومه، فأسلم وكان وجيهًا في قومه، إلا أنه كان ممن ارتد عن الإسلام بعد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راجع الإسلام في خلافة أبي بكر الصديق، وأتى به أبو بكر الصديق أسیرًا،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استشهاد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ميرزا حسين النوري،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 لإحياء 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دلائل الاعجاز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دلائل الاعجاز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المقتصد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والبيت في ديوانه،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ورواية البيت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يلمني على بني ابنة حسّا ن المْه واعصه في الخطوب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فلا شاهد في البيت على مسألتنا هذه</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يجوز للشاعر في الضرورة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شواهد الإيضاح، تقديم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 مصطفى درويش، ومراجعة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ضرائر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شرح شواهد المغني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وحاشية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الشرطية عند النحاة العرب، أبو أوس إبراهيم الشمسان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ورياض السالكين في شرح صحيفة سيد الساجدين، السيد علي خان المدني،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الحسيني الأميني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وشفاء العليل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والتذييل والتكميل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والمقرَّب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والجملة الشرطية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المقتصد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الشرطية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المقتصد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وكتاب المقتصد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والجملة الشرطية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البسيط في شرح جمل 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المقتصد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والبسيط في شرح جمل 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والتذييل والتكميل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القرآني من سورة النساء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التذييل والتكميل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أسرار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والصحيفة نفسها</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المقتصد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 والتذكرة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والمسائل المنثورة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الصدارة في النحو العربي بين النظرية والتطبيق،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عزمي محمد عيال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دِماذ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رُفَيع بن سلمة بن مسلم، أبو غسان كاتب أبي عبيدة وصاحبه المختص به، وله أبيات يذكر فيها أنه أتعبَ المازني بطول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النحويین البصريین، السیرافي،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محمد الزيني، ومحمد عبد المنعم خفاجي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وإنباه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تذكرة أبي علي الفارسي وتهذيبها لابن جني،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أحمد بو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ابن شعبة الحراني،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أكبر الغفاري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أحمد البرقي،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جلال الدين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1881</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الشرطية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وأوضح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وحاشية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والتبصرة والتذكرة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وكتاب المقتصد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والجملة الشرطية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المقتصد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1599</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 والتذكرة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يجوز للشاعر في الضرورة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العليل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والإنصاف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1780</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الشرطية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التنزيل وحقائق التأويل، النسفي، حقّقه وخرّج أحاديثه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الطالبيین، أبو الفرج الأصفهاني، تقديم وإشراف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نهدت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على كل حال،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نهد</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1886</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1887</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وضياء السالك إلى أوضح المسالك، محمد عبد العزيز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1886</w:t>
      </w:r>
      <w:r>
        <w:rPr>
          <w:rFonts w:ascii="IRNazanin" w:hAnsi="IRNazanin" w:eastAsia="IRNazanin"/>
          <w:b w:val="false"/>
          <w:b w:val="false"/>
          <w:bCs w:val="false"/>
          <w:i w:val="false"/>
          <w:i w:val="false"/>
          <w:iCs w:val="false"/>
          <w:color w:val="333333"/>
          <w:sz w:val="20"/>
          <w:sz w:val="20"/>
          <w:szCs w:val="20"/>
          <w:rtl w:val="true"/>
        </w:rPr>
        <w:t>، وتقريب المقرب، أبو حيان،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عفيف عبد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واللمحة في شرح الملحة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الجمل في النحو، الزجاجي،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توفيق 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وكتاب معاني الحروف، الرماني،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إسماعيل شلبي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والتبصرة والتذكرة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وشرح جمل الزجاجي ابن خروف، تحقيق ودراسة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سلوى محمد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والتوطئة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المرتجل في شرح الجمل، تحقيق ودراسة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حيدر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لأسلوب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ومدارك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والدر المصون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قصير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والدر المصون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واللباب في علوم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المعین،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ردأ</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مردودة أي معطوفة،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 النحوي نشأته وتطوره حتى أواخر القرن الثالث الهجري، عوض حمد القوزي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المقتصد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وشواهد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وشرح عمدة الحافظ وعدة اللافظ،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عدنان عبد الرحمن الدوري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والاستقراء الناقص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معاني الحروف، الرمّاني،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إسماعيل شلبي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والتبصرة والتذكرة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والتوطئة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وشرح جمل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الدروس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الأساليب الإنشائية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وحاشية الخضري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وحاشية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وحاشية الخضري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والبيت في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تلفنا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تلفنا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أثبتُه هو الأشيع عند علماء العربية</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وهو بلا نسبة فيهما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وحاشية الخضري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والمدارس النحوية،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شوقي ضيف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والجملة الشرطية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والنص القرآني من سورة النور،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الراغب الأصفهاني،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عدنان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3070</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عمدة الحافظ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الخضري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الخبرية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وحاشية الخضري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التطور اللغوي التاريخي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الرواية المنقولة بإثبات اللام الموطئة بالقسم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كنت شريكهم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ولئن كانوا 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الأشيع والأشهر تداولًا بین شروح النهج وانفرد ابن أبي الحديد بعدم إيرادها، ولهذا اتبعتُ الرواية الأشهر التي أوردها عدد من شراح النهج،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1783</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الشرطية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475</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أسلوب القسم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وإحصاء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رسول حسین، بحث منشور في مجلة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الثامن، حزيزان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أسلوب القسم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واللباب في علل البناء والإعراب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للضرب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اسرار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المقدمة المحسبة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واللباب في علل البناء والإعراب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صناعة 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والاقتضاب في شرح أدب الكتاب، البطليوسي،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السقا،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 عبد المجيد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والمخصص، ابن سيده،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ابراهيم جفال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والمحيط الاعظم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صناعة الإعراب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أشعار العرب وهو مشتمل على ديوان رؤبة بن العجاج وعلى أبيات مفردة منسوبة إليه، اعتنى بتصحيحه وترتيبه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وليم بن الورد الروسي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الاستقراء الناقص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المشكل في النحو،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هادي عطية مطر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والخلوف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 رائحة الفم،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عمدة الحافظ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العليل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الفرائد على تسهيل الفوائد،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بن محمد المفدى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النبوي في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واخنث فم الأدواة مأخوذ من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خنثت السقاء، إذا كسرت فمه إلى خارج فشربت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نظائر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والأدب المفرد بالتعليقات، البخاري،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سمير بن أمین الزهري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والمعجم الكبیر، الطبراني،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حمدي بن عبد المجيد السلفي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والبغداديات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والبيت في ديوانه، تحقيق وشرح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الدين الهادي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الاملس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كميتا، من الكمتة وهي الحمرة الشديدة المائلة الى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كمت</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في تفسير 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 والتذكرة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البسيط في شرح جمل 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وأمالي السهيلي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والبسيط في شرح جمل 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البسيط في شرح جمل 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وامالي السهيلي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 والتذكرة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والبسيط في شرح جمل 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القالي، عُني بوضعها وترتيبها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الجواد الأصمعي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وأمالي السهيلي</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السهيلي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اللغوي عند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والصحيفة نفسها</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والاقتراح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والتراكيب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أسرار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والصفوة الصفية في شرح الدرة الألفية، النيلی،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بن سالم العمیري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 والتذكرة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وكتاب المقتصد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و شرح جمل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عصفور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والصفوة الصفية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 والمساعد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الرائحة الكريهة أو خبث ريح الأدهان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والحششة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موضع قضاء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الضلِّيل هو عبد 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 الشريف المرتضى،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عمر بن الخطاب العدوي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من أنجاد قريش وفرسانهم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عهد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آۀه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وأسلم بعد إسلام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سكن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ورحل إلى الشام في أيام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معاوية، وقُتِلَ فيها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والجنى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 في معاني كلمات الناس،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 صالح الضامن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الشیرازيات، أبو علي الفارسي،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محمود هنداوي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وحاشية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أمالي ابن الحاجب، ابن الحاجب،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صالح سليمان قدارة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الشيرازيات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3067</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الشرازيات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والتبصرة والتذكرة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وأمالي ابن الشجري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وكتاب أمالي ابن الحاجب</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التذييل والتكميل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والأساليب الإنشائية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3075</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والصحيفة نفسها</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النحو العربي نقد وتوجيه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التوطئة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الخبرية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وارتشاف الضرب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 والمساعد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وشرح التصريح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وكتاب المطالع السعيدة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الخبرية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الخبرية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والجنى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4446</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تراكيب الُأسلوب الشرطي في نهج البلاغة، كريم حمزة حميدي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الطويلة في القرآن الكريم،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ناصر غالب، بحث منشور في مجلة مركز دراسات الكوفة، 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الإصدار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جُنادةَ بنِ كعب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غلامًا لم يبلُغ الحُلُمَ حین حضَرَ الطفَّ مع أبويه، ولمّا قُتِلَ أبوهُ أمرتْهُ أُمُّهُ بَحْريَّةُ بنتُ مسعود الخزرجيّ أن يُقاتلَ بین يدي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فتقدَّمَ وارتجزَ وقاتَلَ حتى قُتِلَ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فرُمِيَ برأسِهِ نحو عسكرِ الإمامِ، فحملتْهُ أُمُّهُ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 يا بنيَّ يا سرورَ قلبي ويا قُرَّةَ 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محمد تقي التستري،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لجنة الحديث في معهد باقر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1896</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والصحيفة نفسها، والجنى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الجوجري</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رصف المباني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ودراسات لأسلوب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وإعراب القرآن وبيانه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رصف المباني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وكتاب المقتصد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بناء الجملة العربية،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حماسة عبد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ودراسات لُأسلوب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الأزهية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المقتصد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وحاشية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لُأسلوب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رصف المباني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والجنى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وبناء الجملة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لأسلوب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ودراسات لُأسلوب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ولم أقف على رأي ابن عصفور هذا في شرح الجمل، والمقرب، ومثل المقرب</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ودراسات لأسلوب القرآن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وإعرابه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ومشكل 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والبيان في غريب 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وإعرابه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ومشكل 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والبيان في غريب 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والتبيان في 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والإتقان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والنحويون والقرآن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1897</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1639</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نتائج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وشرح التصریح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واللمحة في شرح الملحة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وأوضح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واللمحة في شرح الملحة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وأوضح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وشرح شذور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وغريب نهج البلاغة، أسبابه، أنواعه، توثيق نسبته، دراسته،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حسین السعداوي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وشرح التصریح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 في معاني كلمات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والصحاح</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وأساس البلاغة، الزمخشري،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باسل عيون السود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والمصباح المنیر في غريب الشرح الكبیر، الفيومي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وإعراب القرآن وبيانه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المصون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نفق</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والنواسخ في كتاب سيبويه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والإيضاح في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وشرح جمل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عصفور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وفي ظال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واحدر مأخوذ من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حدرت الشيء إذا أنزلته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حدر</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ومعاني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علل البناء والاعراب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والبيت في شرح ديوان الفرزدق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مزعف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زعفه يزعفه زعفا وأزعفه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أو ضربه فمات مكانه سريعًا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زعف</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اللمحة في شرح الملحة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في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الأرض وحدودها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هفف</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 تحقيق التراث في مؤسسة الرسالة بإشراف محمد نعيم العرقسوسي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 شرح الإمام أبي نصر أحمد الباهي، رواية ثعلب،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القدوس أبو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وشرح القصائد السبع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والحجة في القراءات السبع، ابن خالويه، تح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العال سالم مكرم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والكشف 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والمدارس النحوية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شوقي ضيف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معاني الحروف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وكتاب الأزهية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الأزهية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عمدة الحافظ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وشرح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ومعاني القرآن وإعرابه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والكشّاف</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وإعرابه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1274</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الحدود في النحو،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المتولي رمضان احمد الدميري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التوابع في الجملة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جمل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عصفور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والبديع في علم العربية، ابن الأثیر، 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فتحي أحمد علي الدين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والفهارس التي عملها الُأستاذ عبد السام هارون تشهد بذلك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والفهارس التي عملها الأُستاذ محمد عبد الخالق تؤكد ذلك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وكتاب المقتصد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والإيضاح في شرح المفصل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وشرح جمل الزجاجي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عصفور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وارتشاف الضرب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وشرح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وأثر القرآن والقراءات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للفرزدق في 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ولم أجدْه في ديوانه، وبلا نسبة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ما بن المعقوفتين خطأ طباعي وأظن أنَّ الصحيح المناسب لسياق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الحاجتين</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3420</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والبيت من الطويل وهو بلا نسبه فيه، وفي 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وشرح شواهد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والمعجم المفصَّل في شواهد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والمساعد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وشفاء العليل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وينظر مذهب سيبويه في البدل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الدروس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وضياء السالك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والتوابع في النحو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وأثر القرآن والقراءات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هنم</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أسرار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الرائحة الطيبة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واللمحة في شرح الملحة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وأوضح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وشرح الأشموني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وحاشية الصبان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النحو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الدماميني على مغني اللبيب، صحّحه 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عزو عناية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التصريح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شرح التسهيل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والبسيط في شرح جمل الزجاجي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وتوضيح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ومغني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وشرح الدماميني على 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التذييل والتكميل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علل البناء والاعراب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الجنى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وقد ورد هذا النص بلفظه في موضع آخر أيضًا،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ثابت بن دينار الثمالي الأزدي بالولاء، أبو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الحديث الثقات عند الإمامية، وروى عنه بعض أهل السنَّة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ثلاثة من أولاده مع زيد بن علي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لقمان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أبوه مولى للمهلَّب بن أبي 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والمعجم الكبیر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 صنعة الإمام أبي سعيد الحسن بن الحسین العسكري قدم له ووضع هوامشه وفهارسه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image" Target="media/image2.jpeg"/><Relationship Id="rId390" Type="http://schemas.openxmlformats.org/officeDocument/2006/relationships/image" Target="media/image2.jpeg"/><Relationship Id="rId391" Type="http://schemas.openxmlformats.org/officeDocument/2006/relationships/footer" Target="footer384.xml"/><Relationship Id="rId392" Type="http://schemas.openxmlformats.org/officeDocument/2006/relationships/footnotes" Target="footnotes.xml"/><Relationship Id="rId393" Type="http://schemas.openxmlformats.org/officeDocument/2006/relationships/numbering" Target="numbering.xml"/><Relationship Id="rId394" Type="http://schemas.openxmlformats.org/officeDocument/2006/relationships/fontTable" Target="fontTable.xml"/><Relationship Id="rId395" Type="http://schemas.openxmlformats.org/officeDocument/2006/relationships/settings" Target="settings.xml"/><Relationship Id="rId3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389</Pages>
  <Words>62366</Words>
  <Characters>280316</Characters>
  <CharactersWithSpaces>340672</CharactersWithSpaces>
  <Paragraphs>2357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2026-08-27T07:19:19Z</dcterms:created>
  <dc:creator>ghaemiyeh.com</dc:creator>
  <dc:description/>
  <dc:language>en-US</dc:language>
  <cp:lastModifiedBy/>
  <dcterms:modified xsi:type="dcterms:W3CDTF">2026-08-27T10:49:37Z</dcterms:modified>
  <cp:revision>1</cp:revision>
  <dc:subject/>
  <dc:title>نقد قواعد النحویین فی ضوء کلام امیر المؤمنین علیه السلام</dc:title>
</cp:coreProperties>
</file>

<file path=docProps/custom.xml><?xml version="1.0" encoding="utf-8"?>
<Properties xmlns="http://schemas.openxmlformats.org/officeDocument/2006/custom-properties" xmlns:vt="http://schemas.openxmlformats.org/officeDocument/2006/docPropsVTypes"/>
</file>