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موقف العلماء من الفلسفه و العرفان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موقف العلماء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موقف أصحاب الأئمّة: وأعیان علماء الإمامیّة تجاه الفلسفة والعرفان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هشام بن الحکم(رحمه الله) (ت179 ق)</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الفضل بن شاذان(رحمه الله) (ت260 ق)</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 الحسن بن موسی النوبختیّ(رحمه الله) (ت310ق)</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 الشیخ المفید(رحمه الله) (ت413 ق)</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 قطب الدین أبو الحسین سعید بن عبداللّه بن الحسین بن هبة اللّه بن الحسن الراوندیّ(رحمه الله) (ت573 ق)</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 السیّد عزّالدین أبوالمکارم حمزة بن علیّ بن زهرة الحسینیّ الحلبی(رحمه الله)(ت585 ق)</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7. الشیخ أبوعلیّ الطبرسیّ(رحمه الله) (ت548 ق)</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8. العلّامة الحلّیّ(رحمه الله)(ت726 ق)</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9. المحقّق الدّوانیّ(رحمه الله) (ت908ق)</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10. المحقّق أحمد بن محمّد، المعروف بالمقدّس الأردبیلیّ(رحمه الله) (ت993ق)</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11. الشیخ الحرّ العاملیّ رحمه الله علیه (ت1104 ق)</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12. المحقّق المیرزا رفیع النائینیّ(رحمه الله) (ت1082 ق)</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13. العلّامة الأعظم غوّاص بحار أئمّة الأطهار المولی محمّد باقر المجلسیّ «أعلی اللّه مقامه» (ت1110 ق)</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14. السیّد محمّد مهدیّ بحر العلوم1 (ت1212 ق)</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15. السیّد أمیر محمّد باقر الداماد(رحمه الله) (ت1041 ق)</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16. العلّامة آقا محمّد علیّ بن الوحید البهبهانیّ(رحمه الله) (ت1216 ق)</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17. السیّد نعمة اللّه الجزائریّ(رحمه الله) (ت1173 ق)</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18. المحدّث البحرانیّ صاحب الحدائق(رحمه الله) (ت1186 ق)</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19. محمّد طاهر بن محمّد بن حسین القمیّ(رحمه الله) (ت1089 ق)</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20. المولی محمّد صالح المازندرانیّ(رحمه الله) (ت 1081 ق)</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21. السیّد رضی الدین بن طاووس(رحمه الله) (ت 664 ق)</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22. محمّد أمین الإسترآبادیّ(رحمه الله) (ت1033 ق)</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23. القاضی سعید القمیّ(رحمه الله) (ت1103 ق)</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24. الشیخ الأعظم المرتضی الأنصاریّ1 (ت1281 ق)</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25. المیرزا حبیب اللّه الخوئیّ(رحمه الله) (ت1324 ق)</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26. الشیخ محمّد حسن النجفیّ صاحب الجواهر(قدس سره) (ت1266 ق)</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27 إلی 54. السیّد الفقیه محمّد کاظم الیزدیّ(رحمه الله) صاحب العروة الوثقی (ت1377 ق)</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55. المحدّث الخبیر الشیخ عبّاس القمیّ(رحمه الله) (ت1359 ق)</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56. شیخ مشایخنا العلّامة الفهّامة العالم بالعلوم القرآنیّة آیة اللّه المیرزا مهدیّ الإصفهانیّ «أعلی اللّه مقامه الشریف» (ت1365 ق)</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57. شیخ مشایخنا العلّامة الحاجّ الشیخ مجتبی القزوینیّ(رحمه الله) (ت1386ق)</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58. شیخنا الأستاذ العلّامة الحجّة البحّاثة الشیخ علیّ النمازیّ الشاهرودیّ «أعلی اللّه مقامه الشّریف» (ت1405 ق)</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59. آیة اللّه العظمی السیّد الخوئیّ(رحمه الله) (ت1413 ق)</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60. الشیخ محمّد جواد البلاغیّ(رحمه الله) (ت1352 ق)</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61 . آیة اللّه العظمی المرعشیّ النجفیّ(رحمه الله) (ت1411 ق)</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62. السیّد حیدر الآملی(رحمه الله) (توفّی بعد 787ق)</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63 . آیة اللّه العظمی الشیخ محمّد علیّ الأراکیّ1 (ت1415ق)</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64. علیّ بن أحمد أبو القاسم الکوفیّ(رحمه الله) (ت352ق)</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65. علیّ بن محمّد بن العبّاس(رحمه الله) (ت125ق)</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66. هلال بن إبراهیم أبو الفتح(رحمه الله)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67 . ثقة الإسلام محمّد بن یعقوب الکلینیّ1(ت329ق)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68 . الشیخ أبوالفتح الکراجکیّ(رحمه الله) (ت449ق)</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69. الشیخ محمّد علیّ بن بابویه الصدوق «أعلی اللّه مقامه» (ت381ق)</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70. الشیخ أبی القاسم علیّ بن علیّ بن جمال الدین محمّد بن طیّ العاملیّ(رحمه الله) (ت855ق)</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71. المحقّق خواجه نصیرالدین الطوسیّ(رحمه الله) (ت672ق)</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72. الشهید الثانی «أعلی اللّه مقامه» (ت966ق)</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73. صاحب بن عبّاد(رحمه الله) (ت385ق)</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74. الشیخ محمود بن محمّد بن علیّ بن حمزة الاهمالیّ للسیّد الأمیر معین الدین محمّد ابن شاه أبو تراب(رحمه الله)(حیّ فی 994ق)</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75. آغا محمّد باقر بن محمّد باقر الهزار جریبیّ الغرویّ(رحمه الله) (ت1205ق)</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76. الشیخ حسن بن المحقّق الثانی(رحمه الله) (حیّ فی972ق)</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77. الفاضل الورع ملّا عبداللّه الشوشتریّ(رحمه الله) (ت993ق)</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78. الشیخ البهائیّ(رحمه الله)(ت1031ق)</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79. الفیض الکاشانیّ(رحمه الله)(ت1091ق)</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80. العلّامة المحقّق العارف محمّد إسماعیل بن الحسین المازندرانیّ الخواجوئیّ(رحمه الله) (ت1173ق)</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81. الحسن بن محمّد بن عبد اللّه الطیّبیّ(رحمه الله)(ت733ق)</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82. المحقّق المیرزا القمّیّ (صاحب القوانین)(رحمه الله) (ت1231ق)</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83. المحدّث الکبیر المیرزا النوریّ(رحمه الله)(ت1320ق)</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84. السیّد علیّ البروجردیّ(رحمه الله)(ت1313ق)</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85. آقا رضا الهمدانیّ(رحمه الله)(ت1322ق)</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86. آیة اللّه العظمی السیّد أبو الحسن الاصفهانیّ(رحمه الله)(ت1365ق)</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87. المحقّق الشیخ محمّد تقی الآملیّ(رحمه الله)(ت1391 ق)</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88. آیة اللّه العظمی السیّد الگلپایگانیّ(رحمه الله)(ت1415 ق)</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89. الشیخ محمّد أمین زین الدین(رحمه الله)(ت1419 ق)</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90. آیة اللّه العظمی السیّد محسن الحکیم(رحمه الله)(ت1390 ق)</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91. الشیخ عبد النبیّ العراقیّ(رحمه الله)(ت1385 ق)</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92. العلّامة الشیخ جعفر کاشف الغطاء(رحمه الله)(ت1228 ق)</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تنبیه: الغرض من ذکر کلمات القوم وموقفهم تجاه الفلسفة والعرفان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دحض الباطل وحجّة بالغة</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چکیده</w:t>
        </w:r>
        <w:r>
          <w:tab/>
        </w:r>
        <w:r>
          <w:fldChar w:fldCharType="begin"/>
        </w:r>
        <w:r>
          <w:instrText xml:space="preserve">PAGEREF 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16_50279"/>
    <w:bookmarkEnd w:id="0"/>
    <w:p>
      <w:pPr>
        <w:pStyle w:val="Heading2"/>
      </w:pPr>
      <w:bookmarkStart w:id="29" w:name="_Toc1"/>
      <w:r>
        <w:t>اشارة</w:t>
      </w:r>
      <w:bookmarkEnd w:id="29"/>
    </w:p>
    <w:p>
      <w:pPr>
        <w:pStyle w:val="BookText"/>
      </w:pPr>
      <w:r>
        <w:rPr>
          <w:rFonts w:ascii="IRNazanin" w:hAnsi="IRNazanin" w:eastAsia="IRNazanin" w:cs="IRNazanin"/>
          <w:lang w:bidi="fa-IR"/>
          <w:color w:val="111111"/>
          <w:sz w:val="28"/>
          <w:szCs w:val="28"/>
          <w:rtl/>
        </w:rPr>
        <w:t xml:space="preserve">سرشناسه:علم الهدی ، محمد باقر ، 1331 - 1389 .</w:t>
      </w:r>
    </w:p>
    <w:p>
      <w:pPr>
        <w:pStyle w:val="BookText"/>
      </w:pPr>
      <w:r>
        <w:rPr>
          <w:rFonts w:ascii="IRNazanin" w:hAnsi="IRNazanin" w:eastAsia="IRNazanin" w:cs="IRNazanin"/>
          <w:lang w:bidi="fa-IR"/>
          <w:color w:val="111111"/>
          <w:sz w:val="28"/>
          <w:szCs w:val="28"/>
          <w:rtl/>
        </w:rPr>
        <w:t xml:space="preserve">عنوان و نام پدیدآور: موقف العلماء من الفلسفه و العرفان / محمد باقر علم الهدی ؛ تقدیم بقلم السید هادی المدرسی ؛ التصحیح حمید الخبیری.</w:t>
      </w:r>
    </w:p>
    <w:p>
      <w:pPr>
        <w:pStyle w:val="BookText"/>
      </w:pPr>
      <w:r>
        <w:rPr>
          <w:rFonts w:ascii="IRNazanin" w:hAnsi="IRNazanin" w:eastAsia="IRNazanin" w:cs="IRNazanin"/>
          <w:lang w:bidi="fa-IR"/>
          <w:color w:val="111111"/>
          <w:sz w:val="28"/>
          <w:szCs w:val="28"/>
          <w:rtl/>
        </w:rPr>
        <w:t xml:space="preserve">مشخصات نشر: مشهد : انتشارات ولایت ، ۱436ق - 1393 ش.</w:t>
      </w:r>
    </w:p>
    <w:p>
      <w:pPr>
        <w:pStyle w:val="BookText"/>
      </w:pPr>
      <w:r>
        <w:rPr>
          <w:rFonts w:ascii="IRNazanin" w:hAnsi="IRNazanin" w:eastAsia="IRNazanin" w:cs="IRNazanin"/>
          <w:lang w:bidi="fa-IR"/>
          <w:color w:val="111111"/>
          <w:sz w:val="28"/>
          <w:szCs w:val="28"/>
          <w:rtl/>
        </w:rPr>
        <w:t xml:space="preserve">مشخصات ظاهری:64 ص</w:t>
      </w:r>
    </w:p>
    <w:p>
      <w:pPr>
        <w:pStyle w:val="BookText"/>
      </w:pPr>
      <w:r>
        <w:rPr>
          <w:rFonts w:ascii="IRNazanin" w:hAnsi="IRNazanin" w:eastAsia="IRNazanin" w:cs="IRNazanin"/>
          <w:lang w:bidi="fa-IR"/>
          <w:color w:val="111111"/>
          <w:sz w:val="28"/>
          <w:szCs w:val="28"/>
          <w:rtl/>
        </w:rPr>
        <w:t xml:space="preserve">شابک: 9-73-6172-964-978</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شناسه افزوده:مدرسی ، سید هادی ، مقدمه نوسی</w:t>
      </w:r>
    </w:p>
    <w:p>
      <w:pPr>
        <w:pStyle w:val="BookText"/>
      </w:pPr>
      <w:r>
        <w:rPr>
          <w:rFonts w:ascii="IRNazanin" w:hAnsi="IRNazanin" w:eastAsia="IRNazanin" w:cs="IRNazanin"/>
          <w:lang w:bidi="fa-IR"/>
          <w:color w:val="111111"/>
          <w:sz w:val="28"/>
          <w:szCs w:val="28"/>
          <w:rtl/>
        </w:rPr>
        <w:t xml:space="preserve">شناسه افزوده:خبیری ، حمید ، 1366 -</w:t>
      </w:r>
    </w:p>
    <w:p>
      <w:pPr>
        <w:pStyle w:val="BookText"/>
      </w:pPr>
      <w:r>
        <w:rPr>
          <w:rFonts w:ascii="IRNazanin" w:hAnsi="IRNazanin" w:eastAsia="IRNazanin" w:cs="IRNazanin"/>
          <w:lang w:bidi="fa-IR"/>
          <w:color w:val="111111"/>
          <w:sz w:val="28"/>
          <w:szCs w:val="28"/>
          <w:rtl/>
        </w:rPr>
        <w:t xml:space="preserve">رده بندی کنگره: 1393 8م 8 ع / </w:t>
      </w:r>
      <w:r>
        <w:rPr>
          <w:rFonts w:ascii="Times New Roman" w:hAnsi="Times New Roman" w:eastAsia="Times New Roman" w:cs="Times New Roman"/>
          <w:lang w:val="en-US" w:bidi="en-US"/>
          <w:color w:val="111111"/>
          <w:sz w:val="28"/>
          <w:szCs w:val="28"/>
          <w:rtl/>
        </w:rPr>
        <w:t xml:space="preserve">B29</w:t>
      </w:r>
    </w:p>
    <w:p>
      <w:pPr>
        <w:pStyle w:val="BookText"/>
      </w:pPr>
      <w:r>
        <w:rPr>
          <w:rFonts w:ascii="IRNazanin" w:hAnsi="IRNazanin" w:eastAsia="IRNazanin" w:cs="IRNazanin"/>
          <w:lang w:bidi="fa-IR"/>
          <w:color w:val="111111"/>
          <w:sz w:val="28"/>
          <w:szCs w:val="28"/>
          <w:rtl/>
        </w:rPr>
        <w:t xml:space="preserve">رده بندی دیویی:100</w:t>
      </w:r>
    </w:p>
    <w:p>
      <w:pPr>
        <w:pStyle w:val="BookText"/>
      </w:pPr>
      <w:r>
        <w:rPr>
          <w:rFonts w:ascii="IRNazanin" w:hAnsi="IRNazanin" w:eastAsia="IRNazanin" w:cs="IRNazanin"/>
          <w:lang w:bidi="fa-IR"/>
          <w:color w:val="111111"/>
          <w:sz w:val="28"/>
          <w:szCs w:val="28"/>
          <w:rtl/>
        </w:rPr>
        <w:t xml:space="preserve">شماره کتابشناسی ملی:3746233</w:t>
      </w:r>
    </w:p>
    <w:p>
      <w:pPr>
        <w:pStyle w:val="Heading2"/>
      </w:pPr>
      <w:bookmarkStart w:id="30" w:name="_Toc2"/>
      <w:r>
        <w:t>اشارة</w:t>
      </w:r>
      <w:bookmarkEnd w:id="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16_50281"/>
    <w:bookmarkEnd w:id="1"/>
    <w:p>
      <w:pPr>
        <w:pStyle w:val="Heading2"/>
      </w:pPr>
      <w:bookmarkStart w:id="31" w:name="_Toc3"/>
      <w:r>
        <w:t>موقف العلماء</w:t>
      </w:r>
      <w:bookmarkEnd w:id="31"/>
    </w:p>
    <w:p>
      <w:pPr>
        <w:pStyle w:val="BookText"/>
      </w:pPr>
      <w:r>
        <w:rPr>
          <w:rFonts w:ascii="Amiri" w:hAnsi="Amiri" w:eastAsia="Amiri" w:cs="Amiri"/>
          <w:lang w:bidi="ar-SA"/>
          <w:color w:val="111111"/>
          <w:sz w:val="28"/>
          <w:szCs w:val="28"/>
          <w:rtl/>
        </w:rPr>
        <w:t xml:space="preserve">اَللّهُمَ صَلِّ عَلی علی بن مُوسَی الِّرِضا المَرُتَضی اَلاِمامِ التَّقیِّ النَّقیِّ وَ حُجَتِکَ عَلی مَن فَوقَ الاَرضِ و َمَن تَحت الثَّری اَلصِدّیقِ الشَّهیدِ صَلاةً کَثیرَةً تآمَّةً زاکِیَةً مُتَواصِلَةً مِتَواتِرَةً مُتَرادِفَة کَاَفضَلِ ما صَلَّیتَ عَلی اَحَدٍ مِن اولیائِکَ.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 العلماء من الفلسفة والعرفان</w:t>
      </w:r>
    </w:p>
    <w:p>
      <w:pPr>
        <w:pStyle w:val="BookText"/>
      </w:pPr>
      <w:r>
        <w:rPr>
          <w:rFonts w:ascii="IRNazanin" w:hAnsi="IRNazanin" w:eastAsia="IRNazanin" w:cs="IRNazanin"/>
          <w:lang w:bidi="fa-IR"/>
          <w:color w:val="111111"/>
          <w:sz w:val="28"/>
          <w:szCs w:val="28"/>
          <w:rtl/>
        </w:rPr>
        <w:t xml:space="preserve">محمّد باقر علم الهدی</w:t>
      </w:r>
    </w:p>
    <w:p>
      <w:pPr>
        <w:pStyle w:val="BookText"/>
      </w:pPr>
      <w:r>
        <w:rPr>
          <w:rFonts w:ascii="IRNazanin" w:hAnsi="IRNazanin" w:eastAsia="IRNazanin" w:cs="IRNazanin"/>
          <w:lang w:bidi="fa-IR"/>
          <w:color w:val="111111"/>
          <w:sz w:val="28"/>
          <w:szCs w:val="28"/>
          <w:rtl/>
        </w:rPr>
        <w:t xml:space="preserve">تقدیم بقلم السید هادی المدرسی</w:t>
      </w:r>
    </w:p>
    <w:p>
      <w:pPr>
        <w:pStyle w:val="BookText"/>
      </w:pPr>
      <w:r>
        <w:rPr>
          <w:rFonts w:ascii="IRNazanin" w:hAnsi="IRNazanin" w:eastAsia="IRNazanin" w:cs="IRNazanin"/>
          <w:lang w:bidi="fa-IR"/>
          <w:color w:val="111111"/>
          <w:sz w:val="28"/>
          <w:szCs w:val="28"/>
          <w:rtl/>
        </w:rPr>
        <w:t xml:space="preserve">التصحیح حمید الخبیریّ.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وَالمَوعِظَةِ الحَسَنَة»</w:t>
      </w:r>
    </w:p>
    <w:p>
      <w:pPr>
        <w:pStyle w:val="BookText"/>
      </w:pPr>
      <w:r>
        <w:rPr>
          <w:rFonts w:ascii="IRNazanin" w:hAnsi="IRNazanin" w:eastAsia="IRNazanin" w:cs="IRNazanin"/>
          <w:lang w:bidi="fa-IR"/>
          <w:color w:val="111111"/>
          <w:sz w:val="28"/>
          <w:szCs w:val="28"/>
          <w:rtl/>
        </w:rPr>
        <w:t xml:space="preserve">یُعدّ العلم والمعرفة أفضل وأکبر النِّعم الإلهیّة المهداة لعباد اللّه الصالحین لأنّه بالعلم یُعینهم اللّه علی عبودیّته وبه یخضعون له.</w:t>
      </w:r>
    </w:p>
    <w:p>
      <w:pPr>
        <w:pStyle w:val="BookText"/>
      </w:pPr>
      <w:r>
        <w:rPr>
          <w:rFonts w:ascii="IRNazanin" w:hAnsi="IRNazanin" w:eastAsia="IRNazanin" w:cs="IRNazanin"/>
          <w:lang w:bidi="fa-IR"/>
          <w:color w:val="111111"/>
          <w:sz w:val="28"/>
          <w:szCs w:val="28"/>
          <w:rtl/>
        </w:rPr>
        <w:t xml:space="preserve">والعلماء الربانیّون والعرفاء الإلهیّون هم من یستضیئون بهدی الأنبیاء والأئمّة(علیهم السلام) ولا یشعرون بالتَّعب أو الملل أبداً فی سلوک هذا الطریق. طریق العلم والعمل، ویتجنّبون الطُرُق الأُخری التی لا تنتهی بهم إلی نیل معارف الأئمّة(علیهم السلام).</w:t>
      </w:r>
    </w:p>
    <w:p>
      <w:pPr>
        <w:pStyle w:val="BookText"/>
      </w:pPr>
      <w:r>
        <w:rPr>
          <w:rFonts w:ascii="IRNazanin" w:hAnsi="IRNazanin" w:eastAsia="IRNazanin" w:cs="IRNazanin"/>
          <w:lang w:bidi="fa-IR"/>
          <w:color w:val="111111"/>
          <w:sz w:val="28"/>
          <w:szCs w:val="28"/>
          <w:rtl/>
        </w:rPr>
        <w:t xml:space="preserve">تهدف هذه المؤسّسة _ التی تأسّست بدافع إحیاء آثار هذه الثلَّة المخلصة التی تحملت علی عاتقها مهمّة الدفاع عن معارف الوحی والعلوم الإلهیّة الأصیلة _ إلی نشر هذا الفکر عبر الوسائل العصریّة المتاحة ومن اللّه التوفیق.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کُنْ لِوَلِیِّکَ الْحُجَّهِ بْنِ الْحَسَنِ صَلَواتُکَ عَلَیْهِ وَعَلی آبائِهِ فی هذِهِ السّاعَهِ وَفی کُلِّ ساعَهٍ وَلِیّاً وَحافِظاً وَقائِداً وَناصِراً وَدَلیلاً وَعَیْناً حَتّی تُسْکِنَهُ أَرْضَکَ طَوْعاً وَتُمَتِّعَهُ فیها طَویلاً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616_50285"/>
    <w:bookmarkEnd w:id="2"/>
    <w:p>
      <w:pPr>
        <w:pStyle w:val="Heading2"/>
      </w:pPr>
      <w:bookmarkStart w:id="32" w:name="_Toc4"/>
      <w:r>
        <w:t>الفهرس</w:t>
      </w:r>
      <w:bookmarkEnd w:id="32"/>
    </w:p>
    <w:p>
      <w:pPr>
        <w:pStyle w:val="BookText"/>
      </w:pPr>
      <w:r>
        <w:rPr>
          <w:rFonts w:ascii="Amiri" w:hAnsi="Amiri" w:eastAsia="Amiri" w:cs="Amiri"/>
          <w:lang w:bidi="ar-SA"/>
          <w:color w:val="111111"/>
          <w:sz w:val="28"/>
          <w:szCs w:val="28"/>
          <w:rtl/>
        </w:rPr>
        <w:t xml:space="preserve">المقدّمة 9</w:t>
      </w:r>
    </w:p>
    <w:p>
      <w:pPr>
        <w:pStyle w:val="BookText"/>
      </w:pPr>
      <w:r>
        <w:rPr>
          <w:rFonts w:ascii="IRNazanin" w:hAnsi="IRNazanin" w:eastAsia="IRNazanin" w:cs="IRNazanin"/>
          <w:lang w:bidi="fa-IR"/>
          <w:color w:val="111111"/>
          <w:sz w:val="28"/>
          <w:szCs w:val="28"/>
          <w:rtl/>
        </w:rPr>
        <w:t xml:space="preserve">موقف أصحاب الأئمّة(علیهم السلام) وأعیان علماء الإمامیّة تجاه الفلسفة والعرفان. 15</w:t>
      </w:r>
    </w:p>
    <w:p>
      <w:pPr>
        <w:pStyle w:val="BookText"/>
      </w:pPr>
      <w:r>
        <w:rPr>
          <w:rFonts w:ascii="IRNazanin" w:hAnsi="IRNazanin" w:eastAsia="IRNazanin" w:cs="IRNazanin"/>
          <w:lang w:bidi="fa-IR"/>
          <w:color w:val="111111"/>
          <w:sz w:val="28"/>
          <w:szCs w:val="28"/>
          <w:rtl/>
        </w:rPr>
        <w:t xml:space="preserve">تنبیه: الغرض من ذکر کلمات القوم وموقفهم تجاه الفلسفة والعرفان. 50</w:t>
      </w:r>
    </w:p>
    <w:p>
      <w:pPr>
        <w:pStyle w:val="BookText"/>
      </w:pPr>
      <w:r>
        <w:rPr>
          <w:rFonts w:ascii="Amiri" w:hAnsi="Amiri" w:eastAsia="Amiri" w:cs="Amiri"/>
          <w:lang w:bidi="ar-SA"/>
          <w:color w:val="111111"/>
          <w:sz w:val="28"/>
          <w:szCs w:val="28"/>
          <w:rtl/>
        </w:rPr>
        <w:t xml:space="preserve">دحض الباطل وحجّة بالغة المصادر. 56</w:t>
      </w:r>
    </w:p>
    <w:p>
      <w:pPr>
        <w:pStyle w:val="BookText"/>
      </w:pPr>
      <w:r>
        <w:rPr>
          <w:rFonts w:ascii="IRNazanin" w:hAnsi="IRNazanin" w:eastAsia="IRNazanin" w:cs="IRNazanin"/>
          <w:lang w:bidi="fa-IR"/>
          <w:color w:val="111111"/>
          <w:sz w:val="28"/>
          <w:szCs w:val="28"/>
          <w:rtl/>
        </w:rPr>
        <w:t xml:space="preserve">الملخّص الفارسی والانجلیزیّ. 68</w:t>
      </w:r>
    </w:p>
    <w:p>
      <w:pPr>
        <w:pStyle w:val="BookText"/>
      </w:pPr>
      <w:r>
        <w:rPr>
          <w:rFonts w:ascii="Amiri" w:hAnsi="Amiri" w:eastAsia="Amiri" w:cs="Amiri"/>
          <w:lang w:bidi="ar-SA"/>
          <w:color w:val="111111"/>
          <w:sz w:val="28"/>
          <w:szCs w:val="28"/>
          <w:rtl/>
        </w:rPr>
        <w:t xml:space="preserve">بیان مؤسّسة 71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مختصر نافع لبیان موقف جمهور فقهاء الشیعة الإمامیّة من الفلسفة والعرفان، أخذناه من کتاب سدّ المفرّ علی القائل بالقدر للعلّامة الشیخ محمّد باقر علم الهدی(قدس سره) باهتمام من الأخ العزیز الشیخ حسن الکاشانیّ فی جمع الأقوال، وتحقیق وتنظیم مؤسّسة عالم آل محمّد(علیهم السلام) المعارفیّة، وتقدیم سماحة آیة الله السیّد هادی المدرّسی فجزاهم الله خیر الجزاء، ولیس الغرض بیان الأدلّة والدخول فی المباحث والمطارحات العلمیّة المتعلّقة بنقض المبانی الفلسفیّة والعرفانیّة، فإنّ لذلک مقاماً آخر.</w:t>
      </w:r>
    </w:p>
    <w:p>
      <w:pPr>
        <w:pStyle w:val="BookText"/>
      </w:pPr>
      <w:r>
        <w:rPr>
          <w:rFonts w:ascii="IRNazanin" w:hAnsi="IRNazanin" w:eastAsia="IRNazanin" w:cs="IRNazanin"/>
          <w:lang w:bidi="fa-IR"/>
          <w:color w:val="111111"/>
          <w:sz w:val="28"/>
          <w:szCs w:val="28"/>
          <w:rtl/>
        </w:rPr>
        <w:t xml:space="preserve">کما أنّه لیس الغرض استقصاء أسماء جمیع الفقهاء من الصدر الأوّل للإسلام إلی عصرنا، ولهذا أخذنا من فصل الکتاب ما یفی بالمطلوب، ولم نذکر جمیع الأقوال والأسماء المذکورة هناک دفعاً للإطناب.</w:t>
      </w:r>
    </w:p>
    <w:p>
      <w:pPr>
        <w:pStyle w:val="BookText"/>
      </w:pPr>
      <w:r>
        <w:rPr>
          <w:rFonts w:ascii="IRNazanin" w:hAnsi="IRNazanin" w:eastAsia="IRNazanin" w:cs="IRNazanin"/>
          <w:lang w:bidi="fa-IR"/>
          <w:color w:val="111111"/>
          <w:sz w:val="28"/>
          <w:szCs w:val="28"/>
          <w:rtl/>
        </w:rPr>
        <w:t xml:space="preserve">حذفنا الإرجاعات المرتبطة ببقیة فصول الکتاب الذی أخذنا منه الوجیزة سائلین الله سبحانه وتعالی أن یتقبّل منّا بأحسن القبول بشفاعة مولانا علیّ بن موسی الرضا(علیه السلام).</w:t>
      </w:r>
    </w:p>
    <w:p>
      <w:pPr>
        <w:pStyle w:val="BookText"/>
      </w:pPr>
      <w:r>
        <w:rPr>
          <w:rFonts w:ascii="IRNazanin" w:hAnsi="IRNazanin" w:eastAsia="IRNazanin" w:cs="IRNazanin"/>
          <w:lang w:bidi="fa-IR"/>
          <w:color w:val="111111"/>
          <w:sz w:val="28"/>
          <w:szCs w:val="28"/>
          <w:rtl/>
        </w:rPr>
        <w:t xml:space="preserve">ذکری ولادة الامام علیّ بن موسی الرضا(علیهما السلام)</w:t>
      </w:r>
    </w:p>
    <w:p>
      <w:pPr>
        <w:pStyle w:val="BookText"/>
      </w:pPr>
      <w:r>
        <w:rPr>
          <w:rFonts w:ascii="Amiri" w:hAnsi="Amiri" w:eastAsia="Amiri" w:cs="Amiri"/>
          <w:lang w:bidi="ar-SA"/>
          <w:color w:val="111111"/>
          <w:sz w:val="28"/>
          <w:szCs w:val="28"/>
          <w:rtl/>
        </w:rPr>
        <w:t xml:space="preserve">11 ذو القعدة 1436ق</w:t>
      </w:r>
    </w:p>
    <w:p>
      <w:pPr>
        <w:pStyle w:val="BookText"/>
      </w:pPr>
      <w:r>
        <w:rPr>
          <w:rFonts w:ascii="IRNazanin" w:hAnsi="IRNazanin" w:eastAsia="IRNazanin" w:cs="IRNazanin"/>
          <w:lang w:bidi="fa-IR"/>
          <w:color w:val="111111"/>
          <w:sz w:val="28"/>
          <w:szCs w:val="28"/>
          <w:rtl/>
        </w:rPr>
        <w:t xml:space="preserve">مرتضی الأعدادیّ الخراسانیّ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616_50287"/>
    <w:bookmarkEnd w:id="3"/>
    <w:p>
      <w:pPr>
        <w:pStyle w:val="Heading2"/>
      </w:pPr>
      <w:bookmarkStart w:id="33" w:name="_Toc5"/>
      <w:r>
        <w:t>المقدّمة</w:t>
      </w:r>
      <w:bookmarkEnd w:id="3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سیدنا ونبیّنا محمّد وآله الطیّبین الطاهرین.</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یَهدِی بِهِ اللهُ مَنِ اتَّبَعَ رِضوانَهُ سُبُلَ السَّلامِ وَیُخرِجُهُم مِنَ الظُّلُماتِ إلَی النُّورِ بِإِذنِهِ وَیَهدِیهِم إلَی صِراطٍ مُستَقیمٍ»،</w:t>
      </w:r>
      <w:r>
        <w:rPr>
          <w:rStyle w:val="FootnoteReference"/>
        </w:rPr>
        <w:footnoteReference w:id="1"/>
      </w:r>
      <w:r>
        <w:rPr>
          <w:rFonts w:ascii="Amiri" w:hAnsi="Amiri" w:eastAsia="Amiri" w:cs="Amiri"/>
          <w:lang w:bidi="ar-SA"/>
          <w:color w:val="111111"/>
          <w:sz w:val="28"/>
          <w:szCs w:val="28"/>
          <w:rtl/>
        </w:rPr>
        <w:t xml:space="preserve">صدق اللّه العلیّ العظیم.</w:t>
      </w:r>
    </w:p>
    <w:p>
      <w:pPr>
        <w:pStyle w:val="BookText"/>
      </w:pPr>
      <w:r>
        <w:rPr>
          <w:rFonts w:ascii="IRNazanin" w:hAnsi="IRNazanin" w:eastAsia="IRNazanin" w:cs="IRNazanin"/>
          <w:lang w:bidi="fa-IR"/>
          <w:color w:val="111111"/>
          <w:sz w:val="28"/>
          <w:szCs w:val="28"/>
          <w:rtl/>
        </w:rPr>
        <w:t xml:space="preserve">کما أنّ لکلّ بیت طریقاً ینتهی إلیه، فإنّ لکلّ علمٍ منهجاً یفضی إلیه. وکما لا یمکن أن یصل أحد إلی الغایة التی یبتغیها من دون أن یسلک المسلک الصحیح لتلک الغایة، فإنّه لا یمکن أن یصل إلی العلم الذی یرید من دون أن یقتفی أثره. ولعلّ ذلک أحد أسباب دعاء المؤمن من ربّ العزّة فی طلب الهدایة إلی الصراط المستقیم: «اهدِنَا الصِّراطَ المُستَقیمَ»</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لأنّ الصراط موصل إلی نهایته، فمن سلک طریق مکّة بلّغه الطریق إلی مکّة، ومن لم یسلک طریقها انتهی إلی غیرها، حتّی لو کانت رغبته فیها.</w:t>
      </w:r>
    </w:p>
    <w:p>
      <w:pPr>
        <w:pStyle w:val="BookText"/>
      </w:pPr>
      <w:r>
        <w:rPr>
          <w:rFonts w:ascii="IRNazanin" w:hAnsi="IRNazanin" w:eastAsia="IRNazanin" w:cs="IRNazanin"/>
          <w:lang w:bidi="fa-IR"/>
          <w:color w:val="111111"/>
          <w:sz w:val="28"/>
          <w:szCs w:val="28"/>
          <w:rtl/>
        </w:rPr>
        <w:t xml:space="preserve">إنّ طلب الهدایة إلی معرفة الباری ومعرفة حجّته وشریعته یتمثّل قبل کلّ شیء فی معرفة الطریق الذی نصبه لخلقه، وتماماً کما أنّ من یدعوک إلی داره هو المعنیّ بأن یمنحک العنوان، کذلک ربّنا الذی حثّنا علی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معرفته هو من یعیّن الطریق.</w:t>
      </w:r>
    </w:p>
    <w:p>
      <w:pPr>
        <w:pStyle w:val="BookText"/>
      </w:pPr>
      <w:r>
        <w:rPr>
          <w:rFonts w:ascii="Amiri" w:hAnsi="Amiri" w:eastAsia="Amiri" w:cs="Amiri"/>
          <w:lang w:bidi="ar-SA"/>
          <w:color w:val="111111"/>
          <w:sz w:val="28"/>
          <w:szCs w:val="28"/>
          <w:rtl/>
        </w:rPr>
        <w:t xml:space="preserve">فلا یمکن أن نصل إلی الحقیقة فی هذا المجال من ذات أنفسنا وبحسب منهج نضعه نحن، إذ معرفة اللّه وما یقرّبنا إلیه لا تنال إلّا من خلال من أرسلهم اللّه تعالی وأنزل علیهم الوحی لیقوموا بهذا الدور الخطیر، فمعرفته إنّما تأتی منه لا من غیره «إِلَهِی بِکَ عَرَفْتُکَ وَبِکَ اهْتَدَیْتُ إِلَی أَمْرِکَ وَلَوْلَا أَنْتَ لَمْ أَدْرِ مَا أَنْت».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والتوحید لا یقتصر معناه علی مجرّد الإقرار بربّ واحد أحد، وإنّما یختزل نفی کلّ شرک، عقیدةً ومنهجاً وعملاً، فالتمسّک بأیّ منهج غیر منهج الربّ ورسله فی أیّ مجال من مجالات المعرفة یُعدّ نوعاً من أنواع الشرک أیضاً.</w:t>
      </w:r>
    </w:p>
    <w:p>
      <w:pPr>
        <w:pStyle w:val="BookText"/>
      </w:pPr>
      <w:r>
        <w:rPr>
          <w:rFonts w:ascii="IRNazanin" w:hAnsi="IRNazanin" w:eastAsia="IRNazanin" w:cs="IRNazanin"/>
          <w:lang w:bidi="fa-IR"/>
          <w:color w:val="111111"/>
          <w:sz w:val="28"/>
          <w:szCs w:val="28"/>
          <w:rtl/>
        </w:rPr>
        <w:t xml:space="preserve">وهنا منهجان؛ منهج الوحی والتذکّر بالفطرة، ویقوده الأنبیاء، ومنهج التصوّر، وإدخال معرفة الخالق فی حیّز الوهم، ویقوده الفلاسفة.</w:t>
      </w:r>
    </w:p>
    <w:p>
      <w:pPr>
        <w:pStyle w:val="BookText"/>
      </w:pPr>
      <w:r>
        <w:rPr>
          <w:rFonts w:ascii="IRNazanin" w:hAnsi="IRNazanin" w:eastAsia="IRNazanin" w:cs="IRNazanin"/>
          <w:lang w:bidi="fa-IR"/>
          <w:color w:val="111111"/>
          <w:sz w:val="28"/>
          <w:szCs w:val="28"/>
          <w:rtl/>
        </w:rPr>
        <w:t xml:space="preserve">أمّا المنهج الفلسفیّ فثمرته الوصول إلی ربّ متخیَّل، ومتصوَّر بالوجه، والقول بأنّ له تعالی ولصفاته مفاهیم ذهنیّة. وأمّا المنهج الوحیانیّ فیقضی بامتناع إحاطة المصنوع بالصانع بأیّ نحو من الأنحاء، وأنّ معرفة اللّه لا تحصل بالوهم والخیال، بل حتّی العقل، لأنّ الله لا یحیط به شیء، وإنّما معرفة الله تکون بتعریفه تعالی نفسه.</w:t>
      </w:r>
    </w:p>
    <w:p>
      <w:pPr>
        <w:pStyle w:val="BookText"/>
      </w:pPr>
      <w:r>
        <w:rPr>
          <w:rFonts w:ascii="IRNazanin" w:hAnsi="IRNazanin" w:eastAsia="IRNazanin" w:cs="IRNazanin"/>
          <w:lang w:bidi="fa-IR"/>
          <w:color w:val="111111"/>
          <w:sz w:val="28"/>
          <w:szCs w:val="28"/>
          <w:rtl/>
        </w:rPr>
        <w:t xml:space="preserve">فمنهج الأنبیاء فی معرفة اللّه یبدأ ب (اللّه لا إله إلّا هو). وکلمة (اللّه) لها معنیان؛ أحدهما بمعنی التحیّر، لتحیّر العقول فیه وفی کمالاته، والآخر بمعنی الذی یُرجع إلیه ویُلجأ إلیه، کما فی حالات البأساء والضراء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والشدائد، حیث ینقطع إلیه کلّ قلب.</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فربّنا حسب هذا المنهج لا یُدرک بالأوهام فیکون موهوماً، ولا بالخیال فیکون متخیّلاً، ولا بالحواسّ فیکون محسوساً، ولا بالعقول فیکون معقولاً، لا یحیط به عقل ولا خیال ولا وهمٌ ولا حسّ.</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هذا هو منهج الأنبیاء، وأمّا منهج الفلاسفة فیبدأ بقولهم: (ما یمکن تصوّره ثلاث: واجب الوجود، وممتنع الوجود، وممکن الوجود).</w:t>
      </w:r>
    </w:p>
    <w:p>
      <w:pPr>
        <w:pStyle w:val="BookText"/>
      </w:pPr>
      <w:r>
        <w:rPr>
          <w:rFonts w:ascii="IRNazanin" w:hAnsi="IRNazanin" w:eastAsia="IRNazanin" w:cs="IRNazanin"/>
          <w:lang w:bidi="fa-IR"/>
          <w:color w:val="111111"/>
          <w:sz w:val="28"/>
          <w:szCs w:val="28"/>
          <w:rtl/>
        </w:rPr>
        <w:t xml:space="preserve">ففی منهج الأنبیاء، یخرج الربّ عن حیطة التصوّر رأساً، وفی المنهج البشریّ یبدأون من التصوّر.</w:t>
      </w:r>
    </w:p>
    <w:p>
      <w:pPr>
        <w:pStyle w:val="BookText"/>
      </w:pPr>
      <w:r>
        <w:rPr>
          <w:rFonts w:ascii="IRNazanin" w:hAnsi="IRNazanin" w:eastAsia="IRNazanin" w:cs="IRNazanin"/>
          <w:lang w:bidi="fa-IR"/>
          <w:color w:val="111111"/>
          <w:sz w:val="28"/>
          <w:szCs w:val="28"/>
          <w:rtl/>
        </w:rPr>
        <w:t xml:space="preserve">وفی منهج الأنبیاء ربّنا عزّ وجلّ لا یمکن وصفه إلّا بإخراجه من حدّ التشبیه وحدّ التعطیل</w:t>
      </w:r>
      <w:r>
        <w:rPr>
          <w:rStyle w:val="FootnoteReference"/>
        </w:rPr>
        <w:footnoteReference w:id="6"/>
      </w:r>
      <w:r>
        <w:rPr>
          <w:rFonts w:ascii="IRNazanin" w:hAnsi="IRNazanin" w:eastAsia="IRNazanin" w:cs="IRNazanin"/>
          <w:lang w:bidi="fa-IR"/>
          <w:color w:val="111111"/>
          <w:sz w:val="28"/>
          <w:szCs w:val="28"/>
          <w:rtl/>
        </w:rPr>
        <w:t xml:space="preserve">وفی منهج الفلاسفة یُشرع بتشبیهه تعالی بخلقه فی الوجود، فیحدّدونه ویبعّضونه ویشبّهونه.</w:t>
      </w:r>
    </w:p>
    <w:p>
      <w:pPr>
        <w:pStyle w:val="BookText"/>
      </w:pPr>
      <w:r>
        <w:rPr>
          <w:rFonts w:ascii="IRNazanin" w:hAnsi="IRNazanin" w:eastAsia="IRNazanin" w:cs="IRNazanin"/>
          <w:lang w:bidi="fa-IR"/>
          <w:color w:val="111111"/>
          <w:sz w:val="28"/>
          <w:szCs w:val="28"/>
          <w:rtl/>
        </w:rPr>
        <w:t xml:space="preserve">یقول الإمام علی(علیه السلام):</w:t>
      </w:r>
    </w:p>
    <w:p>
      <w:pPr>
        <w:pStyle w:val="BookText"/>
      </w:pPr>
      <w:r>
        <w:rPr>
          <w:rFonts w:ascii="Amiri" w:hAnsi="Amiri" w:eastAsia="Amiri" w:cs="Amiri"/>
          <w:lang w:bidi="ar-SA"/>
          <w:color w:val="111111"/>
          <w:sz w:val="28"/>
          <w:szCs w:val="28"/>
          <w:rtl/>
        </w:rPr>
        <w:t xml:space="preserve">مَن وَصَفَهُ فَقَد حَدَّهُ، وَمَن حَدَّهُ فَقَد عَدَّهُ، وَمَن عَدَّهُ فَقَد أَبطَلَ أَزَلَه.</w:t>
      </w:r>
      <w:r>
        <w:rPr>
          <w:rStyle w:val="FootnoteReference"/>
        </w:rPr>
        <w:footnoteReference w:id="7"/>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والخلاصة أنّ کلّ ولیجة دون الرسل فی مجال المعرفة منحرفة وباطلة، مثل کلّ ولیجة دونهم فی الشرائع والأحکام، فمن یطرق باباً غیر أبوابهم لیعرف ربّه لن یصل إلیه، «کُلَّ مَا مَیَّزتُمُوهُ بِأوهَامِکِم فِی أدَقِّ مَعَانِیهِ مَخلُوقٌ مَصنُوعٌ مِثلکُم مَردُودٌ إلَیکُم».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فاللّه تعالی الذی تتحیّر العقول فی معرفته وحده یُؤله إلیه فی معرفته، کما یُؤله إلیه فی معرفة العبادة، فهو الهادی ولا هادی سواه.</w:t>
      </w:r>
    </w:p>
    <w:p>
      <w:pPr>
        <w:pStyle w:val="BookText"/>
      </w:pPr>
      <w:r>
        <w:rPr>
          <w:rFonts w:ascii="IRNazanin" w:hAnsi="IRNazanin" w:eastAsia="IRNazanin" w:cs="IRNazanin"/>
          <w:lang w:bidi="fa-IR"/>
          <w:color w:val="111111"/>
          <w:sz w:val="28"/>
          <w:szCs w:val="28"/>
          <w:rtl/>
        </w:rPr>
        <w:t xml:space="preserve">والأنبیاء إنّما بُعثوا لیذکّروا الناس بربّهم ورازقهم ومعبودهم، ویسوقوهم إلی تلک المعرفة الفطریّة، فهل أرسل اللّه تعالی رسله إلی الناس فقط لیتعلّموا منهم مسائل الأحکام کالطهارة والنجاسة فحسب، ویترکوهم حیاری فیما هو أهمّ وأخطر وأجلّ من ذلک بما لا یقاس، وهو معرفة اللّه تعالی؟!</w:t>
      </w:r>
    </w:p>
    <w:p>
      <w:pPr>
        <w:pStyle w:val="BookText"/>
      </w:pPr>
      <w:r>
        <w:rPr>
          <w:rFonts w:ascii="IRNazanin" w:hAnsi="IRNazanin" w:eastAsia="IRNazanin" w:cs="IRNazanin"/>
          <w:lang w:bidi="fa-IR"/>
          <w:color w:val="111111"/>
          <w:sz w:val="28"/>
          <w:szCs w:val="28"/>
          <w:rtl/>
        </w:rPr>
        <w:t xml:space="preserve">بل اللّه سبحانه قطع بمن بعث وأرسل، عذرَ المعتذرین وحججَ المحتجّین، ولم یدع مقالاً لذی مقال، بعد أن أمر بإتباعهم والأخذ منهم وجَعَلَهم أبواب معرفته وحججاً علی خلقه.</w:t>
      </w:r>
    </w:p>
    <w:p>
      <w:pPr>
        <w:pStyle w:val="BookText"/>
      </w:pPr>
      <w:r>
        <w:rPr>
          <w:rFonts w:ascii="Amiri" w:hAnsi="Amiri" w:eastAsia="Amiri" w:cs="Amiri"/>
          <w:lang w:bidi="ar-SA"/>
          <w:color w:val="111111"/>
          <w:sz w:val="28"/>
          <w:szCs w:val="28"/>
          <w:rtl/>
        </w:rPr>
        <w:t xml:space="preserve">فأیّ عذر للناس بعد الرسل من إتّباع الفلاسفة الذین عمدوا إلی محاولة اکتناه الربّ المتعال؟! فلیس لأحد أن یقول غداً: «لَولَا أَرسَلتَ إِلَینا رَسُولاً مُنذِراً وَأَقَمتَ لَنَا عَلَماً هَادِیاً فَنَتَّبِعَ آیاتِکَ مِن قَبلِ أَن نَذِلَّ وَنَخزَی».</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بعث اللّه تعالی أنبیاءه إلی الناس لیستأدوهم میثاق فطرته ویذکّروهم منسیّ نعمته ویحتجّوا علیهم بالتبلیغ ویُثیروا لهم دفائن العقول کما جاء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الحدیث.</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ولذلک لم تخل الأرض یوماً من حجّة یهتدی بها الناس. قال أمیرالمؤمنین علی علیه السلام</w:t>
      </w:r>
    </w:p>
    <w:p>
      <w:pPr>
        <w:pStyle w:val="BookText"/>
      </w:pPr>
      <w:r>
        <w:rPr>
          <w:rFonts w:ascii="Amiri" w:hAnsi="Amiri" w:eastAsia="Amiri" w:cs="Amiri"/>
          <w:lang w:bidi="ar-SA"/>
          <w:color w:val="111111"/>
          <w:sz w:val="28"/>
          <w:szCs w:val="28"/>
          <w:rtl/>
        </w:rPr>
        <w:t xml:space="preserve">وَلَم یُخلِ اللهُ سُبحَانَهُ خَلقَهُ مِن نَبِیٍّ مُرسَلٍ أَو کِتَابٍ مُنزَلٍ أَو حُجَّةٍ لَازِمَةٍ أَو مَحَجَّةٍ قَائِمَةٍ، رُسُلٌ لَا تُقَصِّرُ بِهِم قِلَّةُ عَدَدِهِم وَلَا کَثرَةُ المُکَذِّبِینَ لَهُم، مِن سَابِقٍ سُمِّیَ لَهُ مَن بَعدَه أَو غَابِرٍ عَرَّفَهُ مَن قَبلَهُ، عَلَی ذَلِکَ نَسَلَتِ القُرُونُ ومَضَتِ الدُّهُورُ وَسَلَفَتِ الآبَاءُ وَخَلَفَتِ الأَبنَاء.</w:t>
      </w:r>
      <w:r>
        <w:rPr>
          <w:rStyle w:val="FootnoteReference"/>
        </w:rPr>
        <w:footnoteReference w:id="11"/>
      </w:r>
    </w:p>
    <w:p>
      <w:pPr>
        <w:pStyle w:val="BookText"/>
      </w:pPr>
      <w:r>
        <w:rPr>
          <w:rFonts w:ascii="Amiri" w:hAnsi="Amiri" w:eastAsia="Amiri" w:cs="Amiri"/>
          <w:lang w:bidi="ar-SA"/>
          <w:color w:val="111111"/>
          <w:sz w:val="28"/>
          <w:szCs w:val="28"/>
          <w:rtl/>
        </w:rPr>
        <w:t xml:space="preserve">إلّا أنّ الإنسان لا یحبّ الانقیاد، فتراه عندما یُدعی إلی رکوب سفینة النجاة یقول: سآوی إلی جبل یعصمنی! ویطلب النجاة من حیث یرید لا من حیث أمره اللّه تعالی، فلا یجثو برکبته للتعلّم من الرسل، قال تعالی: «یَا حَسرَةً عَلَی العِبادِ ما یَأتیهِم مِن رَسُولٍ إلّا کَانُوا بِهِ یَستَهزِؤُنَ»،</w:t>
      </w:r>
      <w:r>
        <w:rPr>
          <w:rStyle w:val="FootnoteReference"/>
        </w:rPr>
        <w:footnoteReference w:id="12"/>
      </w:r>
      <w:r>
        <w:rPr>
          <w:rFonts w:ascii="IRNazanin" w:hAnsi="IRNazanin" w:eastAsia="IRNazanin" w:cs="IRNazanin"/>
          <w:lang w:bidi="fa-IR"/>
          <w:color w:val="111111"/>
          <w:sz w:val="28"/>
          <w:szCs w:val="28"/>
          <w:rtl/>
        </w:rPr>
        <w:t xml:space="preserve">فکأنهم کانوا یریدون الوصول إلی الحقیقة بأنفسهم دون الأنبیاء الهداة، ظنّاً منهم بأنّهم یستطیعون الاستغناء عنهم.</w:t>
      </w:r>
    </w:p>
    <w:p>
      <w:pPr>
        <w:pStyle w:val="BookText"/>
      </w:pPr>
      <w:r>
        <w:rPr>
          <w:rFonts w:ascii="Amiri" w:hAnsi="Amiri" w:eastAsia="Amiri" w:cs="Amiri"/>
          <w:lang w:bidi="ar-SA"/>
          <w:color w:val="111111"/>
          <w:sz w:val="28"/>
          <w:szCs w:val="28"/>
          <w:rtl/>
        </w:rPr>
        <w:t xml:space="preserve">إنّ البشریّة حینما لم تهتدِ بهدی الأنبیاء والرسل واعتمدت علی عقلها ومناهجها، لم تصل إلی الحقیقة بل إلی الأوهام. وحینئذ عبدت الأصنام، إمّا الأصنام الحسیّة أو الأصنام الخیالیّة، ومن ثمّ اتهموا الأنبیاء بقلّة العقل: «وَقالُوا یا أَیُّهَا الَّذِی نُزِّلَ عَلَیهِ الذِّکرُ إِنَّکَ لَمَجنُونٌ».</w:t>
      </w:r>
      <w:r>
        <w:rPr>
          <w:rStyle w:val="FootnoteReference"/>
        </w:rPr>
        <w:footnoteReference w:id="13"/>
      </w:r>
    </w:p>
    <w:p>
      <w:pPr>
        <w:pStyle w:val="BookText"/>
      </w:pPr>
      <w:r>
        <w:rPr>
          <w:rFonts w:ascii="Amiri" w:hAnsi="Amiri" w:eastAsia="Amiri" w:cs="Amiri"/>
          <w:lang w:bidi="ar-SA"/>
          <w:color w:val="111111"/>
          <w:sz w:val="28"/>
          <w:szCs w:val="28"/>
          <w:rtl/>
        </w:rPr>
        <w:t xml:space="preserve">ولم یدع البشر شیئاً ممّا کبر أو صغر إلّا وعبدوه، حتّی أنّ هناک قوماً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یعبدون الفئران، وقد بنوا المعابد لها، ویزعمون أنّهم یستخدمون عقولهم، وهذا مآل من یسعی إلی الاستغناء عن نور الوحی، وتوّهم إمکان الوصول إلی المعرفة بلا هدی الرسل.</w:t>
      </w:r>
    </w:p>
    <w:p>
      <w:pPr>
        <w:pStyle w:val="BookText"/>
      </w:pPr>
      <w:r>
        <w:rPr>
          <w:rFonts w:ascii="IRNazanin" w:hAnsi="IRNazanin" w:eastAsia="IRNazanin" w:cs="IRNazanin"/>
          <w:lang w:bidi="fa-IR"/>
          <w:color w:val="111111"/>
          <w:sz w:val="28"/>
          <w:szCs w:val="28"/>
          <w:rtl/>
        </w:rPr>
        <w:t xml:space="preserve">إنّ الصراط المستقیم هو المنهج الموحی من قِبل اللّه إلی المعرفة، فلا معرفة صحیحة من دون منهج صحیح. وکما المعرفة من اللّه، فإنّ المنهج من اللّه. وهذا من امتدادات کلمة (لا إله إلّا اللّه).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ولاحظ: التوحید، ص25، ح23، عیون أخبار الرضا 7، ج2، ص135، ح4؛ بحارالأنوار، ج3، ص7، ح16 و ج49، ص123، ح4.</w:t>
      </w:r>
    </w:p>
    <w:p>
      <w:pPr>
        <w:pStyle w:val="BookText"/>
      </w:pPr>
      <w:r>
        <w:rPr>
          <w:rFonts w:ascii="IRNazanin" w:hAnsi="IRNazanin" w:eastAsia="IRNazanin" w:cs="IRNazanin"/>
          <w:lang w:bidi="fa-IR"/>
          <w:color w:val="111111"/>
          <w:sz w:val="28"/>
          <w:szCs w:val="28"/>
          <w:rtl/>
        </w:rPr>
        <w:t xml:space="preserve">وإلی هاهنا التوحید.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هُوَ لَا إِلَهَ إِلَّا اللَّهُ مُحَمَّدٌ رَسُولُ اللَّهِ عَلِیٌّ أَمِیرُالْمُؤْمِنِینَ وَلِیُّ اللَّهِ، إِلَی هَاهُنَا التَّوْحِید.</w:t>
      </w:r>
    </w:p>
    <w:p>
      <w:pPr>
        <w:pStyle w:val="BookText"/>
      </w:pPr>
      <w:r>
        <w:rPr>
          <w:rFonts w:ascii="IRNazanin" w:hAnsi="IRNazanin" w:eastAsia="IRNazanin" w:cs="IRNazanin"/>
          <w:lang w:bidi="fa-IR"/>
          <w:color w:val="111111"/>
          <w:sz w:val="28"/>
          <w:szCs w:val="28"/>
          <w:rtl/>
        </w:rPr>
        <w:t xml:space="preserve">عنه بحارالأنوار، ج3، ص277، ح3؛ والآیة: الروم (30)، الآیة30.</w:t>
      </w:r>
    </w:p>
    <w:p>
      <w:pPr>
        <w:pStyle w:val="BookText"/>
      </w:pPr>
      <w:r>
        <w:rPr>
          <w:rFonts w:ascii="IRNazanin" w:hAnsi="IRNazanin" w:eastAsia="IRNazanin" w:cs="IRNazanin"/>
          <w:lang w:bidi="fa-IR"/>
          <w:color w:val="111111"/>
          <w:sz w:val="28"/>
          <w:szCs w:val="28"/>
          <w:rtl/>
        </w:rPr>
        <w:t xml:space="preserve">نسأل اللّه تعالی أن یوفّقنا لما یحبّ ویرضی بحقّ محمّد وآله الطاهرین «صلوات اللّه علیهم أجمعین».</w:t>
      </w:r>
    </w:p>
    <w:p>
      <w:pPr>
        <w:pStyle w:val="BookText"/>
      </w:pPr>
      <w:r>
        <w:rPr>
          <w:rFonts w:ascii="Amiri" w:hAnsi="Amiri" w:eastAsia="Amiri" w:cs="Amiri"/>
          <w:lang w:bidi="ar-SA"/>
          <w:color w:val="111111"/>
          <w:sz w:val="28"/>
          <w:szCs w:val="28"/>
          <w:rtl/>
        </w:rPr>
        <w:t xml:space="preserve">هادی المدرّسیّ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616_50293"/>
    <w:bookmarkEnd w:id="4"/>
    <w:p>
      <w:pPr>
        <w:pStyle w:val="Heading2"/>
      </w:pPr>
      <w:bookmarkStart w:id="34" w:name="_Toc6"/>
      <w:r>
        <w:t>موقف أصحاب الأئمّة: وأعیان علماء الإمامیّة تجاه الفلسفة والعرفان</w:t>
      </w:r>
      <w:bookmarkEnd w:id="34"/>
    </w:p>
    <w:p>
      <w:pPr>
        <w:pStyle w:val="Heading3"/>
      </w:pPr>
      <w:bookmarkStart w:id="35" w:name="_Toc7"/>
      <w:r>
        <w:t>اشارة</w:t>
      </w:r>
      <w:bookmarkEnd w:id="35"/>
    </w:p>
    <w:p>
      <w:pPr>
        <w:pStyle w:val="BookText"/>
      </w:pPr>
      <w:r>
        <w:rPr>
          <w:rFonts w:ascii="IRNazanin" w:hAnsi="IRNazanin" w:eastAsia="IRNazanin" w:cs="IRNazanin"/>
          <w:lang w:bidi="fa-IR"/>
          <w:color w:val="111111"/>
          <w:sz w:val="28"/>
          <w:szCs w:val="28"/>
          <w:rtl/>
        </w:rPr>
        <w:t xml:space="preserve">من یتتبّع أحوال أصحاب الأئمّة: وأقوالهم وکذا أعلام علمائنا قدّس اللّه أسرارهم منذ عصر الأئمّة الهداة: إلی زماننا هذا، یجد أنّ الکثیر منهم قد حذّروا المسلمین من الأخذ عن غیر آل محمّد(علیهم السلام) فیما یتعلّق بالدین والمعرفة بشکل عام، ومن الأخذ بالعرفان والفلسفة بجمیع أطوارها علی نحو خاصّ، وحکموا ببطلان مبانی الفلاسفة والعرفاء، وکفرِ من یعتقد بها ویلتزم بلوازمها وخروجه عن الدین، وأفتوا بحرمة تعلیمها وتعلّمها، وبعضهم ألّفوا فی ذلک کتباً.</w:t>
      </w:r>
    </w:p>
    <w:p>
      <w:pPr>
        <w:pStyle w:val="BookText"/>
      </w:pPr>
      <w:r>
        <w:rPr>
          <w:rFonts w:ascii="IRNazanin" w:hAnsi="IRNazanin" w:eastAsia="IRNazanin" w:cs="IRNazanin"/>
          <w:lang w:bidi="fa-IR"/>
          <w:color w:val="111111"/>
          <w:sz w:val="28"/>
          <w:szCs w:val="28"/>
          <w:rtl/>
        </w:rPr>
        <w:t xml:space="preserve">وقد أشرنا هنا إلی جملة منهم وذکرنا کلمات بعضهم والاکتفاء بالإشارة إلی مصدر کلمات البعض الآخرین، فهی تکفی لمن ألقی السمع وهو شهید، ونرجوا من اللّه سبحانه أن یجعلنا من المساهمین فی الدفاع عن حصن الدین و حَمَلته إنّه أرحم الراحمین وأکرم الأکرمین.</w:t>
      </w:r>
    </w:p>
    <w:p>
      <w:pPr>
        <w:pStyle w:val="Heading3"/>
      </w:pPr>
      <w:bookmarkStart w:id="36" w:name="_Toc8"/>
      <w:r>
        <w:t>1. هشام بن الحکم(رحمه الله) (ت179 ق)</w:t>
      </w:r>
      <w:bookmarkEnd w:id="36"/>
    </w:p>
    <w:p>
      <w:pPr>
        <w:pStyle w:val="BookText"/>
      </w:pPr>
      <w:r>
        <w:rPr>
          <w:rFonts w:ascii="IRNazanin" w:hAnsi="IRNazanin" w:eastAsia="IRNazanin" w:cs="IRNazanin"/>
          <w:lang w:bidi="fa-IR"/>
          <w:color w:val="111111"/>
          <w:sz w:val="28"/>
          <w:szCs w:val="28"/>
          <w:rtl/>
        </w:rPr>
        <w:t xml:space="preserve">رجال الکشّی: أحمد بن محمّد الخالدیّ، عن محمّد بن همام، عن إسحاق بن أحمد عن أبی حفص الحدّاد، وغیره، عن یونس بن عبد الرحمان قال:</w:t>
      </w:r>
    </w:p>
    <w:p>
      <w:pPr>
        <w:pStyle w:val="BookText"/>
      </w:pPr>
      <w:r>
        <w:rPr>
          <w:rFonts w:ascii="IRNazanin" w:hAnsi="IRNazanin" w:eastAsia="IRNazanin" w:cs="IRNazanin"/>
          <w:lang w:bidi="fa-IR"/>
          <w:color w:val="111111"/>
          <w:sz w:val="28"/>
          <w:szCs w:val="28"/>
          <w:rtl/>
        </w:rPr>
        <w:t xml:space="preserve">کان یحیی بن خالد البرمکیّ قد وجد علی هشام بن الحکم شیئاً من طعنه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616_50294"/>
    <w:bookmarkEnd w:id="5"/>
    <w:p>
      <w:pPr>
        <w:pStyle w:val="BookText"/>
      </w:pPr>
      <w:r>
        <w:rPr>
          <w:rFonts w:ascii="IRNazanin" w:hAnsi="IRNazanin" w:eastAsia="IRNazanin" w:cs="IRNazanin"/>
          <w:lang w:bidi="fa-IR"/>
          <w:color w:val="111111"/>
          <w:sz w:val="28"/>
          <w:szCs w:val="28"/>
          <w:rtl/>
        </w:rPr>
        <w:t xml:space="preserve">علی الفلاسفة، وأحبّ أن یغری به هارون ونصرته علی القتل...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قال النجاشیّ رحمه الله علیه</w:t>
      </w:r>
    </w:p>
    <w:p>
      <w:pPr>
        <w:pStyle w:val="BookText"/>
      </w:pPr>
      <w:r>
        <w:rPr>
          <w:rFonts w:ascii="IRNazanin" w:hAnsi="IRNazanin" w:eastAsia="IRNazanin" w:cs="IRNazanin"/>
          <w:lang w:bidi="fa-IR"/>
          <w:color w:val="111111"/>
          <w:sz w:val="28"/>
          <w:szCs w:val="28"/>
          <w:rtl/>
        </w:rPr>
        <w:t xml:space="preserve">... وکتابه الردّ علی أرسطالیس (أرسطاطالیس) فی التوحید، کتابه</w:t>
      </w:r>
    </w:p>
    <w:p>
      <w:pPr>
        <w:pStyle w:val="BookText"/>
      </w:pPr>
      <w:r>
        <w:rPr>
          <w:rFonts w:ascii="IRNazanin" w:hAnsi="IRNazanin" w:eastAsia="IRNazanin" w:cs="IRNazanin"/>
          <w:lang w:bidi="fa-IR"/>
          <w:color w:val="111111"/>
          <w:sz w:val="28"/>
          <w:szCs w:val="28"/>
          <w:rtl/>
        </w:rPr>
        <w:t xml:space="preserve">المجالس فی التوحید.</w:t>
      </w:r>
      <w:r>
        <w:rPr>
          <w:rStyle w:val="FootnoteReference"/>
        </w:rPr>
        <w:footnoteReference w:id="16"/>
      </w:r>
    </w:p>
    <w:p>
      <w:pPr>
        <w:pStyle w:val="Heading3"/>
      </w:pPr>
      <w:bookmarkStart w:id="37" w:name="_Toc9"/>
      <w:r>
        <w:t>2. الفضل بن شاذان(رحمه الله) (ت260 ق)</w:t>
      </w:r>
      <w:bookmarkEnd w:id="37"/>
    </w:p>
    <w:p>
      <w:pPr>
        <w:pStyle w:val="BookText"/>
      </w:pPr>
      <w:r>
        <w:rPr>
          <w:rFonts w:ascii="IRNazanin" w:hAnsi="IRNazanin" w:eastAsia="IRNazanin" w:cs="IRNazanin"/>
          <w:lang w:bidi="fa-IR"/>
          <w:color w:val="111111"/>
          <w:sz w:val="28"/>
          <w:szCs w:val="28"/>
          <w:rtl/>
        </w:rPr>
        <w:t xml:space="preserve">وقال إبن شهر آشوب(رحمه الله):</w:t>
      </w:r>
    </w:p>
    <w:p>
      <w:pPr>
        <w:pStyle w:val="BookText"/>
      </w:pPr>
      <w:r>
        <w:rPr>
          <w:rFonts w:ascii="IRNazanin" w:hAnsi="IRNazanin" w:eastAsia="IRNazanin" w:cs="IRNazanin"/>
          <w:lang w:bidi="fa-IR"/>
          <w:color w:val="111111"/>
          <w:sz w:val="28"/>
          <w:szCs w:val="28"/>
          <w:rtl/>
        </w:rPr>
        <w:t xml:space="preserve">أبو محمّد الفضل بن شاذان بن جبرئیل النیسابوریّ، لقی علیّ بن محمّد التقیّ علیهما السلام، «دخل الفضل علی أبی محمّد علیه السلام  فلمّا أراد أن یخرج سقط منه کتاب من تصنیفه فتناوله أبو محمّد علیه السلام  ونظر فیه وترحّم علیه»، وذکر أنّه قال: «أغبط أهل خراسان مکان الفضل بن شاذان وکونه بین أظهرهم». وله مائة وستّون مصّنفاً (منها): کتاب... المسائل فی العالم وحدوثه، الأعراض والجواهر... الردّ علی من یدّعی الفلسفة فی التوحید والأعراض والجواهر والجزء.</w:t>
      </w:r>
      <w:r>
        <w:rPr>
          <w:rStyle w:val="FootnoteReference"/>
        </w:rPr>
        <w:footnoteReference w:id="17"/>
      </w:r>
    </w:p>
    <w:p>
      <w:pPr>
        <w:pStyle w:val="Heading3"/>
      </w:pPr>
      <w:bookmarkStart w:id="38" w:name="_Toc10"/>
      <w:r>
        <w:t>3. الحسن بن موسی النوبختیّ(رحمه الله) (ت310ق)</w:t>
      </w:r>
      <w:bookmarkEnd w:id="38"/>
    </w:p>
    <w:p>
      <w:pPr>
        <w:pStyle w:val="BookText"/>
      </w:pPr>
      <w:r>
        <w:rPr>
          <w:rFonts w:ascii="IRNazanin" w:hAnsi="IRNazanin" w:eastAsia="IRNazanin" w:cs="IRNazanin"/>
          <w:lang w:bidi="fa-IR"/>
          <w:color w:val="111111"/>
          <w:sz w:val="28"/>
          <w:szCs w:val="28"/>
          <w:rtl/>
        </w:rPr>
        <w:t xml:space="preserve">قال فی الروضات:</w:t>
      </w:r>
    </w:p>
    <w:p>
      <w:pPr>
        <w:pStyle w:val="BookText"/>
      </w:pPr>
      <w:r>
        <w:rPr>
          <w:rFonts w:ascii="IRNazanin" w:hAnsi="IRNazanin" w:eastAsia="IRNazanin" w:cs="IRNazanin"/>
          <w:lang w:bidi="fa-IR"/>
          <w:color w:val="111111"/>
          <w:sz w:val="28"/>
          <w:szCs w:val="28"/>
          <w:rtl/>
        </w:rPr>
        <w:t xml:space="preserve">هو صاحب الأبحاث الواردة الغفیرة علی حکماء الیونان.</w:t>
      </w:r>
      <w:r>
        <w:rPr>
          <w:rStyle w:val="FootnoteReference"/>
        </w:rPr>
        <w:footnoteReference w:id="18"/>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616_50295"/>
    <w:bookmarkEnd w:id="6"/>
    <w:p>
      <w:pPr>
        <w:pStyle w:val="Heading3"/>
      </w:pPr>
      <w:bookmarkStart w:id="39" w:name="_Toc11"/>
      <w:r>
        <w:t>4. الشیخ المفید(رحمه الله) (ت413 ق)</w:t>
      </w:r>
      <w:bookmarkEnd w:id="39"/>
    </w:p>
    <w:p>
      <w:pPr>
        <w:pStyle w:val="BookText"/>
      </w:pPr>
      <w:r>
        <w:rPr>
          <w:rFonts w:ascii="IRNazanin" w:hAnsi="IRNazanin" w:eastAsia="IRNazanin" w:cs="IRNazanin"/>
          <w:lang w:bidi="fa-IR"/>
          <w:color w:val="111111"/>
          <w:sz w:val="28"/>
          <w:szCs w:val="28"/>
          <w:rtl/>
        </w:rPr>
        <w:t xml:space="preserve">قال(رحمه الله):</w:t>
      </w:r>
    </w:p>
    <w:p>
      <w:pPr>
        <w:pStyle w:val="BookText"/>
      </w:pPr>
      <w:r>
        <w:rPr>
          <w:rFonts w:ascii="IRNazanin" w:hAnsi="IRNazanin" w:eastAsia="IRNazanin" w:cs="IRNazanin"/>
          <w:lang w:bidi="fa-IR"/>
          <w:color w:val="111111"/>
          <w:sz w:val="28"/>
          <w:szCs w:val="28"/>
          <w:rtl/>
        </w:rPr>
        <w:t xml:space="preserve">إنّ ما یتولّد بالطبع فإنّما هو لمسبّبه بالفعل فی المطبوع، وإنّه لا فعل علی الحقیقة لشیء من الطباع، وهذا مذهب أبی القاسم الکعبیّ وهو خلاف مذهب المعتزلة فی الطباع، وخلاف الفلاسفة الملحدین أیضاً فیما ذهبوا إلیه من أفعال الطباع.</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ومن جملة کتبه: کتاب جوابات الفیلسوف فی الاتّحاد، وکتاب الردّ علی أصحاب الحلّاج.</w:t>
      </w:r>
    </w:p>
    <w:p>
      <w:pPr>
        <w:pStyle w:val="BookText"/>
      </w:pPr>
      <w:r>
        <w:rPr>
          <w:rFonts w:ascii="IRNazanin" w:hAnsi="IRNazanin" w:eastAsia="IRNazanin" w:cs="IRNazanin"/>
          <w:lang w:bidi="fa-IR"/>
          <w:color w:val="111111"/>
          <w:sz w:val="28"/>
          <w:szCs w:val="28"/>
          <w:rtl/>
        </w:rPr>
        <w:t xml:space="preserve">وقد تصدّی لنقد شبهات الفلاسفة فی سایر کتبه أیضاً نظیر ما جاء فی المسألة السابعة عشرة من المسائل العکبریّة.</w:t>
      </w:r>
      <w:r>
        <w:rPr>
          <w:rStyle w:val="FootnoteReference"/>
        </w:rPr>
        <w:footnoteReference w:id="20"/>
      </w:r>
    </w:p>
    <w:p>
      <w:pPr>
        <w:pStyle w:val="Heading3"/>
      </w:pPr>
      <w:bookmarkStart w:id="40" w:name="_Toc12"/>
      <w:r>
        <w:t>5. قطب الدین أبو الحسین سعید بن عبداللّه بن الحسین بن هبة اللّه بن الحسن الراوندیّ(رحمه الله) (ت573 ق)</w:t>
      </w:r>
      <w:bookmarkEnd w:id="40"/>
    </w:p>
    <w:p>
      <w:pPr>
        <w:pStyle w:val="BookText"/>
      </w:pPr>
      <w:r>
        <w:rPr>
          <w:rFonts w:ascii="IRNazanin" w:hAnsi="IRNazanin" w:eastAsia="IRNazanin" w:cs="IRNazanin"/>
          <w:lang w:bidi="fa-IR"/>
          <w:color w:val="111111"/>
          <w:sz w:val="28"/>
          <w:szCs w:val="28"/>
          <w:rtl/>
        </w:rPr>
        <w:t xml:space="preserve">قال رحمه الله علیه</w:t>
      </w:r>
    </w:p>
    <w:p>
      <w:pPr>
        <w:pStyle w:val="BookText"/>
      </w:pPr>
      <w:r>
        <w:rPr>
          <w:rFonts w:ascii="IRNazanin" w:hAnsi="IRNazanin" w:eastAsia="IRNazanin" w:cs="IRNazanin"/>
          <w:lang w:bidi="fa-IR"/>
          <w:color w:val="111111"/>
          <w:sz w:val="28"/>
          <w:szCs w:val="28"/>
          <w:rtl/>
        </w:rPr>
        <w:t xml:space="preserve">بسم اللّه الرحمن الرحیم، أمّا بعد حمد اللّه الذی هدانا إلی منهاج الدلیل والصلاة علی محمّد وآله الذین سلکوا بنا سواء السبیل، فإنّ قوماً من الذین أقرّوا بظاهرهم بالنبوّات، جحدوا فی الإمامة کون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المعجزات، فضاهوا الفلاسفة والبراهمة الجاحدین فی النبوّة الأعلام الباهرات فدعواهم جمیعاً باطلة فاضحة، إذ الأدلّة علی صحّة جمیع ذلک واضحة.</w:t>
      </w:r>
      <w:r>
        <w:rPr>
          <w:rStyle w:val="FootnoteReference"/>
        </w:rPr>
        <w:footnoteReference w:id="21"/>
      </w:r>
    </w:p>
    <w:p>
      <w:pPr>
        <w:pStyle w:val="BookText"/>
      </w:pPr>
      <w:r>
        <w:rPr>
          <w:rFonts w:ascii="Amiri" w:hAnsi="Amiri" w:eastAsia="Amiri" w:cs="Amiri"/>
          <w:lang w:bidi="ar-SA"/>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فصل؛ واعلم أنّ الفلاسفة أخذوا أصول الإسلام ثمّ أخرجوها علی رأیهم، فقالوا فی الشرع والنبیّ: إنّما أریدا کلاهما لإصلاح الدنیا؛ فالأنبیاء یرشدون العوامّ لإصلاح دنیاهم، والشرعیّات تهذّب أخلاقهم، لا أنّ</w:t>
      </w:r>
    </w:p>
    <w:p>
      <w:pPr>
        <w:pStyle w:val="BookText"/>
      </w:pPr>
      <w:r>
        <w:rPr>
          <w:rFonts w:ascii="Amiri" w:hAnsi="Amiri" w:eastAsia="Amiri" w:cs="Amiri"/>
          <w:lang w:bidi="ar-SA"/>
          <w:color w:val="111111"/>
          <w:sz w:val="28"/>
          <w:szCs w:val="28"/>
          <w:rtl/>
        </w:rPr>
        <w:t xml:space="preserve">الشرع والدین کما یقول المسلمون، من أنّ النبیّ یراد لتعریف مصالح الدین تفصیلاً وإنّ الشرعیّات ألطاف فی التکلیف العقلیّ؛ فهم یوافقون المسلمین فی الظاهر، وإلّا فکلّ ما یذهبون إلیه هدم للإسلام وإطفاء لنور شرعه «وَیَأبَی اللهُ إِلَّا أَن یُتِمَّ نُورَهُ وَلَو کَرِهَ الکَافِرُونَ»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r>
        <w:rPr>
          <w:rStyle w:val="FootnoteReference"/>
        </w:rPr>
        <w:footnoteReference w:id="23"/>
      </w:r>
    </w:p>
    <w:p>
      <w:pPr>
        <w:pStyle w:val="BookText"/>
      </w:pPr>
      <w:r>
        <w:rPr>
          <w:rFonts w:ascii="Amiri" w:hAnsi="Amiri" w:eastAsia="Amiri" w:cs="Amiri"/>
          <w:lang w:bidi="ar-SA"/>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من الفلاسفة من یقول لمجاملة أهل الإسلام: إنّ الطریق إلی معرفة صدق المدّعی للنبوّة هو أن یعلم أنّ ما أتی به مطابق لما یصلحون به فی دنیاهم، ولأغراضهم.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وقد ذکر من جملة مؤلّفاته، کتاب تهافت الفلاسفة.</w:t>
      </w:r>
      <w:r>
        <w:rPr>
          <w:rStyle w:val="FootnoteReference"/>
        </w:rPr>
        <w:footnoteReference w:id="25"/>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616_50297"/>
    <w:bookmarkEnd w:id="7"/>
    <w:p>
      <w:pPr>
        <w:pStyle w:val="Heading3"/>
      </w:pPr>
      <w:bookmarkStart w:id="41" w:name="_Toc13"/>
      <w:r>
        <w:t>6. السیّد عزّالدین أبوالمکارم حمزة بن علیّ بن زهرة الحسینیّ الحلبی(رحمه الله)(ت585 ق)</w:t>
      </w:r>
      <w:bookmarkEnd w:id="41"/>
    </w:p>
    <w:p>
      <w:pPr>
        <w:pStyle w:val="BookText"/>
      </w:pPr>
      <w:r>
        <w:rPr>
          <w:rFonts w:ascii="IRNazanin" w:hAnsi="IRNazanin" w:eastAsia="IRNazanin" w:cs="IRNazanin"/>
          <w:lang w:bidi="fa-IR"/>
          <w:color w:val="111111"/>
          <w:sz w:val="28"/>
          <w:szCs w:val="28"/>
          <w:rtl/>
        </w:rPr>
        <w:t xml:space="preserve">قال الشیخ حرّ العاملی(رحمه الله):</w:t>
      </w:r>
    </w:p>
    <w:p>
      <w:pPr>
        <w:pStyle w:val="BookText"/>
      </w:pPr>
      <w:r>
        <w:rPr>
          <w:rFonts w:ascii="IRNazanin" w:hAnsi="IRNazanin" w:eastAsia="IRNazanin" w:cs="IRNazanin"/>
          <w:lang w:bidi="fa-IR"/>
          <w:color w:val="111111"/>
          <w:sz w:val="28"/>
          <w:szCs w:val="28"/>
          <w:rtl/>
        </w:rPr>
        <w:t xml:space="preserve">فاضل عالم ثقة جلیل القدر، له مصنّفات کثیرة منها:... ونقض شُبَه الفلاسفة، ومسألة فی الردّ علی من زعم أنّ الوجوب والقبح لا یعلمان إلّا سمعاً، ومسألة فی الردّ علی من قال فی الدین بالقیاس.</w:t>
      </w:r>
      <w:r>
        <w:rPr>
          <w:rStyle w:val="FootnoteReference"/>
        </w:rPr>
        <w:footnoteReference w:id="26"/>
      </w:r>
    </w:p>
    <w:p>
      <w:pPr>
        <w:pStyle w:val="Heading3"/>
      </w:pPr>
      <w:bookmarkStart w:id="42" w:name="_Toc14"/>
      <w:r>
        <w:t>7. الشیخ أبوعلیّ الطبرسیّ(رحمه الله) (ت548 ق)</w:t>
      </w:r>
      <w:bookmarkEnd w:id="42"/>
    </w:p>
    <w:p>
      <w:pPr>
        <w:pStyle w:val="BookText"/>
      </w:pPr>
      <w:r>
        <w:rPr>
          <w:rFonts w:ascii="IRNazanin" w:hAnsi="IRNazanin" w:eastAsia="IRNazanin" w:cs="IRNazanin"/>
          <w:lang w:bidi="fa-IR"/>
          <w:color w:val="111111"/>
          <w:sz w:val="28"/>
          <w:szCs w:val="28"/>
          <w:rtl/>
        </w:rPr>
        <w:t xml:space="preserve">قال فی تفسیر سورة الفیل:</w:t>
      </w:r>
    </w:p>
    <w:p>
      <w:pPr>
        <w:pStyle w:val="BookText"/>
      </w:pPr>
      <w:r>
        <w:rPr>
          <w:rFonts w:ascii="IRNazanin" w:hAnsi="IRNazanin" w:eastAsia="IRNazanin" w:cs="IRNazanin"/>
          <w:lang w:bidi="fa-IR"/>
          <w:color w:val="111111"/>
          <w:sz w:val="28"/>
          <w:szCs w:val="28"/>
          <w:rtl/>
        </w:rPr>
        <w:t xml:space="preserve">وفیه حجّة لائحة قاصمة لظهور الفلاسفة والملحدین، المنکرین للآیات الخارقة للعادات، فإنّه لا یمکن نسبة شیء ممّا ذکره اللّه تعالی من أمر أصحاب الفیل إلی طبع وغیره... .</w:t>
      </w:r>
      <w:r>
        <w:rPr>
          <w:rStyle w:val="FootnoteReference"/>
        </w:rPr>
        <w:footnoteReference w:id="27"/>
      </w:r>
    </w:p>
    <w:p>
      <w:pPr>
        <w:pStyle w:val="BookText"/>
      </w:pPr>
      <w:r>
        <w:rPr>
          <w:rFonts w:ascii="Amiri" w:hAnsi="Amiri" w:eastAsia="Amiri" w:cs="Amiri"/>
          <w:lang w:bidi="ar-SA"/>
          <w:color w:val="111111"/>
          <w:sz w:val="28"/>
          <w:szCs w:val="28"/>
          <w:rtl/>
        </w:rPr>
        <w:t xml:space="preserve">وقال فی تفسیر قوله تعالی: «فَرِحُوا بِمَا عِندَهُم مِنَ العِلمِ»: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قیل فیه وجوه:... والآخر: أنّ المراد علم الفلاسفة، کانوا یصغّرون علم الأنبیاء إلی علمهم.</w:t>
      </w:r>
    </w:p>
    <w:p>
      <w:pPr>
        <w:pStyle w:val="BookText"/>
      </w:pPr>
      <w:r>
        <w:rPr>
          <w:rFonts w:ascii="IRNazanin" w:hAnsi="IRNazanin" w:eastAsia="IRNazanin" w:cs="IRNazanin"/>
          <w:lang w:bidi="fa-IR"/>
          <w:color w:val="111111"/>
          <w:sz w:val="28"/>
          <w:szCs w:val="28"/>
          <w:rtl/>
        </w:rPr>
        <w:t xml:space="preserve">وعن سقراط أنّه قیل: ائت موسی(علیه السلام) وکان فی زمانه، فقال: نحن قوم مهذَّبون، فلا حاجة بنا إلی من یهدینا.</w:t>
      </w:r>
      <w:r>
        <w:rPr>
          <w:rStyle w:val="FootnoteReference"/>
        </w:rPr>
        <w:footnoteReference w:id="29"/>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616_50298"/>
    <w:bookmarkEnd w:id="8"/>
    <w:p>
      <w:pPr>
        <w:pStyle w:val="Heading3"/>
      </w:pPr>
      <w:bookmarkStart w:id="43" w:name="_Toc15"/>
      <w:r>
        <w:t>8. العلّامة الحلّیّ(رحمه الله)(ت726 ق)</w:t>
      </w:r>
      <w:bookmarkEnd w:id="43"/>
    </w:p>
    <w:p>
      <w:pPr>
        <w:pStyle w:val="BookText"/>
      </w:pPr>
      <w:r>
        <w:rPr>
          <w:rFonts w:ascii="IRNazanin" w:hAnsi="IRNazanin" w:eastAsia="IRNazanin" w:cs="IRNazanin"/>
          <w:lang w:bidi="fa-IR"/>
          <w:color w:val="111111"/>
          <w:sz w:val="28"/>
          <w:szCs w:val="28"/>
          <w:rtl/>
        </w:rPr>
        <w:t xml:space="preserve">قال رحمه الله علیه:</w:t>
      </w:r>
    </w:p>
    <w:p>
      <w:pPr>
        <w:pStyle w:val="BookText"/>
      </w:pPr>
      <w:r>
        <w:rPr>
          <w:rFonts w:ascii="IRNazanin" w:hAnsi="IRNazanin" w:eastAsia="IRNazanin" w:cs="IRNazanin"/>
          <w:lang w:bidi="fa-IR"/>
          <w:color w:val="111111"/>
          <w:sz w:val="28"/>
          <w:szCs w:val="28"/>
          <w:rtl/>
        </w:rPr>
        <w:t xml:space="preserve">البحث الخامس فی أنّه تعالی لا یتّحد بغیره؛ الضرورة قاضیّة ببطلان الاتحاد فإنّه لایعقل صیرورة الشیئین شیئاً واحداً، وخالف فی ذلک جماعة من الصوفیّة من الجمهور، فحکموا بأنّه یتّحد بأبدان العارفین حتّی تمتدّی بعضهم فقال: إنّ اللّه تعالی نفس الوجود وکلّ موجود فهو اللّه تعالی، وهذا عین الکفر و الإلحاد، الحمد للّه الذی فضّلنا باتّباع أهل البیت دون الأهواء المضلّة.</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وقال أیضاً فی بیان أحکام تعلّم أنواع العلوم:</w:t>
      </w:r>
    </w:p>
    <w:p>
      <w:pPr>
        <w:pStyle w:val="BookText"/>
      </w:pPr>
      <w:r>
        <w:rPr>
          <w:rFonts w:ascii="IRNazanin" w:hAnsi="IRNazanin" w:eastAsia="IRNazanin" w:cs="IRNazanin"/>
          <w:lang w:bidi="fa-IR"/>
          <w:color w:val="111111"/>
          <w:sz w:val="28"/>
          <w:szCs w:val="28"/>
          <w:rtl/>
        </w:rPr>
        <w:t xml:space="preserve">العلم إمّا فرض عین أو فرض کفایة أو مستحبّ أو حرام. فالأوّل: العلم بإثبات الصانع تعالی وصفاته وما یجب له ویمتنع علیه... والحرام: ما اشتمل علی وجه قبح، کعلم الفلسفة لغیر النقض، وعلم الموسیقی وغیر ذلک ممّا نهی الشرع عن تعلّمه، کالسحر، وعلم القیافة والکهانة وغیرها.</w:t>
      </w:r>
      <w:r>
        <w:rPr>
          <w:rStyle w:val="FootnoteReference"/>
        </w:rPr>
        <w:footnoteReference w:id="31"/>
      </w:r>
    </w:p>
    <w:p>
      <w:pPr>
        <w:pStyle w:val="Heading3"/>
      </w:pPr>
      <w:bookmarkStart w:id="44" w:name="_Toc16"/>
      <w:r>
        <w:t>9. المحقّق الدّوانیّ(رحمه الله) (ت908ق)</w:t>
      </w:r>
      <w:bookmarkEnd w:id="44"/>
    </w:p>
    <w:p>
      <w:pPr>
        <w:pStyle w:val="BookText"/>
      </w:pPr>
      <w:r>
        <w:rPr>
          <w:rFonts w:ascii="IRNazanin" w:hAnsi="IRNazanin" w:eastAsia="IRNazanin" w:cs="IRNazanin"/>
          <w:lang w:bidi="fa-IR"/>
          <w:color w:val="111111"/>
          <w:sz w:val="28"/>
          <w:szCs w:val="28"/>
          <w:rtl/>
        </w:rPr>
        <w:t xml:space="preserve">قال فی أنموذجه:</w:t>
      </w:r>
    </w:p>
    <w:p>
      <w:pPr>
        <w:pStyle w:val="BookText"/>
      </w:pPr>
      <w:r>
        <w:rPr>
          <w:rFonts w:ascii="IRNazanin" w:hAnsi="IRNazanin" w:eastAsia="IRNazanin" w:cs="IRNazanin"/>
          <w:lang w:bidi="fa-IR"/>
          <w:color w:val="111111"/>
          <w:sz w:val="28"/>
          <w:szCs w:val="28"/>
          <w:rtl/>
        </w:rPr>
        <w:t xml:space="preserve">وقد خالف فی الحدوث الفلاسفة أهل الملل الثلاث، فإنّ أهلها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6616_50299"/>
    <w:bookmarkEnd w:id="9"/>
    <w:p>
      <w:pPr>
        <w:pStyle w:val="BookText"/>
      </w:pPr>
      <w:r>
        <w:rPr>
          <w:rFonts w:ascii="IRNazanin" w:hAnsi="IRNazanin" w:eastAsia="IRNazanin" w:cs="IRNazanin"/>
          <w:lang w:bidi="fa-IR"/>
          <w:color w:val="111111"/>
          <w:sz w:val="28"/>
          <w:szCs w:val="28"/>
          <w:rtl/>
        </w:rPr>
        <w:t xml:space="preserve">مجمعون علی حدوثه بل لم یشذّ من الحکم بحدوثه، من أهل الملل مطلقا إلّا بعض المجوس، وأمّا الفلاسفة فالمشهور أنّهم مجمعون علی قدمه علی التفصیل الآتی، ونقل عن أفلاطون القول بحدوثه، وقد أوّله بعضهم بالحدوث الذاتیّ.</w:t>
      </w:r>
      <w:r>
        <w:rPr>
          <w:rStyle w:val="FootnoteReference"/>
        </w:rPr>
        <w:footnoteReference w:id="32"/>
      </w:r>
    </w:p>
    <w:p>
      <w:pPr>
        <w:pStyle w:val="Heading3"/>
      </w:pPr>
      <w:bookmarkStart w:id="45" w:name="_Toc17"/>
      <w:r>
        <w:t>10. المحقّق أحمد بن محمّد، المعروف بالمقدّس الأردبیلیّ(رحمه الله) (ت993ق)</w:t>
      </w:r>
      <w:bookmarkEnd w:id="45"/>
    </w:p>
    <w:p>
      <w:pPr>
        <w:pStyle w:val="BookText"/>
      </w:pPr>
      <w:r>
        <w:rPr>
          <w:rFonts w:ascii="IRNazanin" w:hAnsi="IRNazanin" w:eastAsia="IRNazanin" w:cs="IRNazanin"/>
          <w:lang w:bidi="fa-IR"/>
          <w:color w:val="111111"/>
          <w:sz w:val="28"/>
          <w:szCs w:val="28"/>
          <w:rtl/>
        </w:rPr>
        <w:t xml:space="preserve">قال(رحمه الله) _ ما ترجمته_ :</w:t>
      </w:r>
    </w:p>
    <w:p>
      <w:pPr>
        <w:pStyle w:val="BookText"/>
      </w:pPr>
      <w:r>
        <w:rPr>
          <w:rFonts w:ascii="IRNazanin" w:hAnsi="IRNazanin" w:eastAsia="IRNazanin" w:cs="IRNazanin"/>
          <w:lang w:bidi="fa-IR"/>
          <w:color w:val="111111"/>
          <w:sz w:val="28"/>
          <w:szCs w:val="28"/>
          <w:rtl/>
        </w:rPr>
        <w:t xml:space="preserve">إنّ بعض المتأخّرین من القائلین بوحدة الوجود، مثل محیی الدین العربیّ والشیخ عزیز النسفی وعبدالرزاق الکاشیّ، قد تجاوزوا الکفر والزندقة وقالوا بوحدة الوجود، وأنّ کلّ شیء هو الله، تعالی الله عمّا یقوله الملحدون علوّاً کبیراً.</w:t>
      </w:r>
    </w:p>
    <w:p>
      <w:pPr>
        <w:pStyle w:val="BookText"/>
      </w:pPr>
      <w:r>
        <w:rPr>
          <w:rFonts w:ascii="IRNazanin" w:hAnsi="IRNazanin" w:eastAsia="IRNazanin" w:cs="IRNazanin"/>
          <w:lang w:bidi="fa-IR"/>
          <w:color w:val="111111"/>
          <w:sz w:val="28"/>
          <w:szCs w:val="28"/>
          <w:rtl/>
        </w:rPr>
        <w:t xml:space="preserve">وینبغی العلم أنّ سبب تمادی هؤلاء وطغیانهم فی الکفر أنّهم اشتغلوا بمطالعة کتب الفلاسفة، وحیث اطّلعوا علی کتب أفلاطون القبطی وأتباعه، اختاروا _ بمنتهی الغوایة _ شعاره. ولکی لا یعرف أحد أخذوا من تلک العقائد والمقالات الفاسدة للفلاسفة، ألبسوا هذا المعنی بلباس آخر وسمّوه وحدة الوجود... لو أنّ أحداً تأمّل لعلم أنّ سبب ضلالة أکثر أهل الباطل، خصوصاً الملاحدة، هم الفلاسفة، خذلهم الله تعالی.</w:t>
      </w:r>
      <w:r>
        <w:rPr>
          <w:rStyle w:val="FootnoteReference"/>
        </w:rPr>
        <w:footnoteReference w:id="33"/>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6616_50300"/>
    <w:bookmarkEnd w:id="10"/>
    <w:p>
      <w:pPr>
        <w:pStyle w:val="Heading3"/>
      </w:pPr>
      <w:bookmarkStart w:id="46" w:name="_Toc18"/>
      <w:r>
        <w:t>11. الشیخ الحرّ العاملیّ رحمه الله علیه (ت1104 ق)</w:t>
      </w:r>
      <w:bookmarkEnd w:id="46"/>
    </w:p>
    <w:p>
      <w:pPr>
        <w:pStyle w:val="BookText"/>
      </w:pPr>
      <w:r>
        <w:rPr>
          <w:rFonts w:ascii="IRNazanin" w:hAnsi="IRNazanin" w:eastAsia="IRNazanin" w:cs="IRNazanin"/>
          <w:lang w:bidi="fa-IR"/>
          <w:color w:val="111111"/>
          <w:sz w:val="28"/>
          <w:szCs w:val="28"/>
          <w:rtl/>
        </w:rPr>
        <w:t xml:space="preserve">قال رحمه الله علیه بعد نقل کلام عمدة المقال:</w:t>
      </w:r>
    </w:p>
    <w:p>
      <w:pPr>
        <w:pStyle w:val="BookText"/>
      </w:pPr>
      <w:r>
        <w:rPr>
          <w:rFonts w:ascii="IRNazanin" w:hAnsi="IRNazanin" w:eastAsia="IRNazanin" w:cs="IRNazanin"/>
          <w:lang w:bidi="fa-IR"/>
          <w:color w:val="111111"/>
          <w:sz w:val="28"/>
          <w:szCs w:val="28"/>
          <w:rtl/>
        </w:rPr>
        <w:t xml:space="preserve">إنّ بطلان هذا الاعتقاد (أی وحدة الوجود و...) من ضروریّات مذهب الشیعة الإمامیّة لم یذهب إلیه أحد منهم، بل صرّحوا بإنکاره وأجمعوا علی فساده وشنّعوا علی من قال به، فکلّ من قال به خرج عن مذهب الشیعة، فلا تصحّ دعوی التشیّع من القائل به، وهو کاف لنا فی هذا المقام کما لا یخفی علی ذوی الأفهام.</w:t>
      </w:r>
      <w:r>
        <w:rPr>
          <w:rStyle w:val="FootnoteReference"/>
        </w:rPr>
        <w:footnoteReference w:id="34"/>
      </w:r>
    </w:p>
    <w:p>
      <w:pPr>
        <w:pStyle w:val="Heading3"/>
      </w:pPr>
      <w:bookmarkStart w:id="47" w:name="_Toc19"/>
      <w:r>
        <w:t>12. المحقّق المیرزا رفیع النائینیّ(رحمه الله) (ت1082 ق)</w:t>
      </w:r>
      <w:bookmarkEnd w:id="47"/>
    </w:p>
    <w:p>
      <w:pPr>
        <w:pStyle w:val="BookText"/>
      </w:pPr>
      <w:r>
        <w:rPr>
          <w:rFonts w:ascii="IRNazanin" w:hAnsi="IRNazanin" w:eastAsia="IRNazanin" w:cs="IRNazanin"/>
          <w:lang w:bidi="fa-IR"/>
          <w:color w:val="111111"/>
          <w:sz w:val="28"/>
          <w:szCs w:val="28"/>
          <w:rtl/>
        </w:rPr>
        <w:t xml:space="preserve">قال رحمه الله علیه ما ترجمته:</w:t>
      </w:r>
    </w:p>
    <w:p>
      <w:pPr>
        <w:pStyle w:val="BookText"/>
      </w:pPr>
      <w:r>
        <w:rPr>
          <w:rFonts w:ascii="IRNazanin" w:hAnsi="IRNazanin" w:eastAsia="IRNazanin" w:cs="IRNazanin"/>
          <w:lang w:bidi="fa-IR"/>
          <w:color w:val="111111"/>
          <w:sz w:val="28"/>
          <w:szCs w:val="28"/>
          <w:rtl/>
        </w:rPr>
        <w:t xml:space="preserve">لابدّ أن یعلم إنّ الظاهر بل الضروریّ من الشریعة المقدّسة حدوث العالَم _ أی ما سوی اللّه_ زماناً، بمعنی أنّ لوجوده ابتداء، وزمان وجوده من الابتداء إلی الآن متناه، فالقول بقدم العالم _ أی المعنی المقابل لما ذکرناه _ کما ذهبت إلیه الحکماء... باطل وفاسد... ومع هذا فقد ذهب فی هذه الأعصار جمع من الجهّال، الفضلاء غیر المطّلع بالشرع أو المقیّد به تبعاً للحکماء إلی قدم العالم. وقد أشرت إلی حقیقة الحال لأن یحترز کلّ من کان مقیّداً بالدین من متابعة هذه الفرقة التی لا دین لها.</w:t>
      </w:r>
      <w:r>
        <w:rPr>
          <w:rStyle w:val="FootnoteReference"/>
        </w:rPr>
        <w:footnoteReference w:id="35"/>
      </w:r>
    </w:p>
    <w:p>
      <w:pPr>
        <w:pStyle w:val="Heading3"/>
      </w:pPr>
      <w:bookmarkStart w:id="48" w:name="_Toc20"/>
      <w:r>
        <w:t>13. العلّامة الأعظم غوّاص بحار أئمّة الأطهار المولی محمّد باقر المجلسیّ «أعلی اللّه مقامه» (ت1110 ق)</w:t>
      </w:r>
      <w:bookmarkEnd w:id="48"/>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لنذکر هنا جملة من کلماته، قال(رحمه الله) عند البحث عن حدوث العالم:</w:t>
      </w:r>
    </w:p>
    <w:p>
      <w:pPr>
        <w:pStyle w:val="BookText"/>
      </w:pPr>
      <w:r>
        <w:rPr>
          <w:rFonts w:ascii="IRNazanin" w:hAnsi="IRNazanin" w:eastAsia="IRNazanin" w:cs="IRNazanin"/>
          <w:lang w:bidi="fa-IR"/>
          <w:color w:val="111111"/>
          <w:sz w:val="28"/>
          <w:szCs w:val="28"/>
          <w:rtl/>
        </w:rPr>
        <w:t xml:space="preserve">المقصد الخامس فی دفع بعض شبه الفلاسفة الدائرة علی ألسنة المنافقین، والمشکّکین القاطعین لطریق الطالبین للحقّ والیقین.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وقال رحمه الله علیه فی موضع آخر:</w:t>
      </w:r>
    </w:p>
    <w:p>
      <w:pPr>
        <w:pStyle w:val="BookText"/>
      </w:pPr>
      <w:r>
        <w:rPr>
          <w:rFonts w:ascii="IRNazanin" w:hAnsi="IRNazanin" w:eastAsia="IRNazanin" w:cs="IRNazanin"/>
          <w:lang w:bidi="fa-IR"/>
          <w:color w:val="111111"/>
          <w:sz w:val="28"/>
          <w:szCs w:val="28"/>
          <w:rtl/>
        </w:rPr>
        <w:t xml:space="preserve">وفی قریب من عصرنا لمّا ولع الناس بمطالعة کتب المتفلسفین، ورغبوا عن الخوض فی الکتاب والسنّة وأخبار أئمّة الدین، وصار بُعدُ العهد عن أعصارهم: سببا لهجر آثارهم، وطمس أنوارهم، واختلطت الحقائق الشرعیّة بالمصطلحات الفلسفیّة صارت هذه المسألة معترک الآراء ومصطدم الأهواء، فمال کثیر من المتسمّین بالعلم المنتحلین للدین، إلی شبهات المضلّین، وروّجوها بین المسلمین فضلّوا وأضلّوا، وطعنوا علی أتباع الشّریعة حتّی ملّوا وقلّوا، حتّی أنّ بعض المعاصرین منهم یمضغون بألسنتهم، ویسوّدون الأوراق بأقلامهم أن لیس فی الحدوث إلّا خبر واحد هو «کان اللّه ولم یکن معه شیء» ثمّ یؤوّلونه بما یوافق آراءهم الفاسدة، فلذا أوردت فی هذا الباب أکثر الآیات والاخبار المزیحة للشکّ والارتیاب، وقفّیتها بمقاصد أنیقة، ومباحث دقیقة، تأتی بنیان شبههم من قواعدها وتهزم جنود شکوکهم من مراصدها، تشییداً لقواعد الدین، وتجنّباً من مساخط ربّ العالمین، کما روی عن سیّد المرسلین9:</w:t>
      </w:r>
    </w:p>
    <w:p>
      <w:pPr>
        <w:pStyle w:val="BookText"/>
      </w:pPr>
      <w:r>
        <w:rPr>
          <w:rFonts w:ascii="Amiri" w:hAnsi="Amiri" w:eastAsia="Amiri" w:cs="Amiri"/>
          <w:lang w:bidi="ar-SA"/>
          <w:color w:val="111111"/>
          <w:sz w:val="28"/>
          <w:szCs w:val="28"/>
          <w:rtl/>
        </w:rPr>
        <w:t xml:space="preserve">«إِذَا ظَهَرَتِ الْبِدَعُ فِی أُمَّتِی فَلْیُظْهِرِ الْعَالِمُ عِلْمَهُ وَإِلَّا فَعَلَیْهِ لَعْنَةُ اللَّهِ وَالْمَلائِکَةِ وَالنَّاسِ أَجْمَعِینَ».</w:t>
      </w:r>
      <w:r>
        <w:rPr>
          <w:rStyle w:val="FootnoteReference"/>
        </w:rPr>
        <w:footnoteReference w:id="37"/>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البحث عن حقیقة الملائکة:</w:t>
      </w:r>
    </w:p>
    <w:p>
      <w:pPr>
        <w:pStyle w:val="BookText"/>
      </w:pPr>
      <w:r>
        <w:rPr>
          <w:rFonts w:ascii="IRNazanin" w:hAnsi="IRNazanin" w:eastAsia="IRNazanin" w:cs="IRNazanin"/>
          <w:lang w:bidi="fa-IR"/>
          <w:color w:val="111111"/>
          <w:sz w:val="28"/>
          <w:szCs w:val="28"/>
          <w:rtl/>
        </w:rPr>
        <w:t xml:space="preserve">إعلم أنّه أجمعت الإمامیّة بل جمیع المسلمین إلّا من شذّ منهم من المتفلسفین الذین أدخلوا أنفسهم بین المسلمین لتخریب أصولهم وتضییع عقائدهم علی وجود الملائکة، وأنّهم أجسام لطیفة نورانیّة أولی أجنحة مثنی وثلاث ورباع وأکثر، قادرون علی التشکّل بالأشکال المختلفة، وأنّه سبحانه یورد علیهم بقدرته ما یشاء من الأشکال والصور علی حسب الحکم والمصالح، ولهم حرکات صعوداً وهبوطاً، وکانوا یراهم الأنبیاء والأوصیاء:. والقول بتجرّدهم وتأویلهم بالعقول والنفوس الفلکیّة والقوی والطبائع وتأویل الآیات المتظافرة والأخبار المتواترة تعویلاً علی شبهات واهیة واستبعادات وهمیّة زیغ عن سبیل الهدی، واتباع لأهل الجهل والعمی.</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وقال(رحمه الله) بعد نقل کلام لجالینوس فی بیان تشریح الأعضاء وفوائدها، وأنّه بیّن الفرق بین إیمان موسی وإیمانه وأفلاطون وسائر الیونانیّین، قال1:</w:t>
      </w:r>
    </w:p>
    <w:p>
      <w:pPr>
        <w:pStyle w:val="BookText"/>
      </w:pPr>
      <w:r>
        <w:rPr>
          <w:rFonts w:ascii="IRNazanin" w:hAnsi="IRNazanin" w:eastAsia="IRNazanin" w:cs="IRNazanin"/>
          <w:lang w:bidi="fa-IR"/>
          <w:color w:val="111111"/>
          <w:sz w:val="28"/>
          <w:szCs w:val="28"/>
          <w:rtl/>
        </w:rPr>
        <w:t xml:space="preserve">انتهی کلامه ضاعف اللّه عذابه وانتقامه. وأقول: قد لاح من الکلام الردیء المشتمل علی الکفر الجلیّ أمور:</w:t>
      </w:r>
    </w:p>
    <w:p>
      <w:pPr>
        <w:pStyle w:val="BookText"/>
      </w:pPr>
      <w:r>
        <w:rPr>
          <w:rFonts w:ascii="IRNazanin" w:hAnsi="IRNazanin" w:eastAsia="IRNazanin" w:cs="IRNazanin"/>
          <w:lang w:bidi="fa-IR"/>
          <w:color w:val="111111"/>
          <w:sz w:val="28"/>
          <w:szCs w:val="28"/>
          <w:rtl/>
        </w:rPr>
        <w:t xml:space="preserve">الأوّل: ما أسلفنا من أنّ الأنبیاء المخبرین عن وحی السماء لم یقولوا بتوقّف تأثیر الصانع _ تعالی شأنه _ علی استعداد الموادّ، ولا استحالة تعلّق إرادته بإیجاد شیء من شیء من دون مرور زمان أو إعداد، وله أن یخلق کلّ شیء کان من أیّ شیء أراد.</w:t>
      </w:r>
    </w:p>
    <w:p>
      <w:pPr>
        <w:pStyle w:val="BookText"/>
      </w:pPr>
      <w:r>
        <w:rPr>
          <w:rFonts w:ascii="IRNazanin" w:hAnsi="IRNazanin" w:eastAsia="IRNazanin" w:cs="IRNazanin"/>
          <w:lang w:bidi="fa-IR"/>
          <w:color w:val="111111"/>
          <w:sz w:val="28"/>
          <w:szCs w:val="28"/>
          <w:rtl/>
        </w:rPr>
        <w:t xml:space="preserve">الثانی: أنّ الحکماء لم یکونوا یعتقدون نبوّة الأنبیاء ولم یؤمنوا بهم، وأنّهم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یزعمون أنّهم أصحاب نظر وأصحاب آراء مثلهم، یخطئون ویصیبون، ولم یکن علومهم مقتبسة من مشکاة أنوارهم کما زعمه أتباعهم.</w:t>
      </w:r>
    </w:p>
    <w:p>
      <w:pPr>
        <w:pStyle w:val="BookText"/>
      </w:pPr>
      <w:r>
        <w:rPr>
          <w:rFonts w:ascii="IRNazanin" w:hAnsi="IRNazanin" w:eastAsia="IRNazanin" w:cs="IRNazanin"/>
          <w:lang w:bidi="fa-IR"/>
          <w:color w:val="111111"/>
          <w:sz w:val="28"/>
          <w:szCs w:val="28"/>
          <w:rtl/>
        </w:rPr>
        <w:t xml:space="preserve">الثالث: أنّهم کانوا منکرین لأکثر معجزات الأنبیاء:، فإنّ أکثرها ممّا عدّوها من المستحیلات.</w:t>
      </w:r>
    </w:p>
    <w:p>
      <w:pPr>
        <w:pStyle w:val="BookText"/>
      </w:pPr>
      <w:r>
        <w:rPr>
          <w:rFonts w:ascii="IRNazanin" w:hAnsi="IRNazanin" w:eastAsia="IRNazanin" w:cs="IRNazanin"/>
          <w:lang w:bidi="fa-IR"/>
          <w:color w:val="111111"/>
          <w:sz w:val="28"/>
          <w:szCs w:val="28"/>
          <w:rtl/>
        </w:rPr>
        <w:t xml:space="preserve">الرابع: أنّهم کانوا فی جمیع الأعصار معارضین لأرباب الشرائع والدیانات کما هم فی تلک الأزمنة کذلک.</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وقال; فی مبحث البرزخ وبقاء النفس بعد الموت:</w:t>
      </w:r>
    </w:p>
    <w:p>
      <w:pPr>
        <w:pStyle w:val="BookText"/>
      </w:pPr>
      <w:r>
        <w:rPr>
          <w:rFonts w:ascii="IRNazanin" w:hAnsi="IRNazanin" w:eastAsia="IRNazanin" w:cs="IRNazanin"/>
          <w:lang w:bidi="fa-IR"/>
          <w:color w:val="111111"/>
          <w:sz w:val="28"/>
          <w:szCs w:val="28"/>
          <w:rtl/>
        </w:rPr>
        <w:t xml:space="preserve">لمّا کانت هذه المسألة من أعظم الأصول الإسلامیّة وقد أکثرت المتفلسفة والملاحدة الشبَه فیها و رام بعض من آمن بلسانه ولم یؤمن بقلبه تأویلها وتحریفها أطنبت الکلام فیها بعض الإطناب.</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وقال فی مبحث المعاد:</w:t>
      </w:r>
    </w:p>
    <w:p>
      <w:pPr>
        <w:pStyle w:val="BookText"/>
      </w:pPr>
      <w:r>
        <w:rPr>
          <w:rFonts w:ascii="IRNazanin" w:hAnsi="IRNazanin" w:eastAsia="IRNazanin" w:cs="IRNazanin"/>
          <w:lang w:bidi="fa-IR"/>
          <w:color w:val="111111"/>
          <w:sz w:val="28"/>
          <w:szCs w:val="28"/>
          <w:rtl/>
        </w:rPr>
        <w:t xml:space="preserve">اعلم أنّ القول بالمعاد الجسمانیّ ممّا اتفق علیه جمیع الملّیّین، وهو من ضروریّات الدین، ومنکره خارج عن عداد المسلمین، والآیات الکریمة فی ذلک ناصّة لا یعقل تأویلها، والأخبار فیه متواترة لا یمکن ردّها ولا الطعن فیها، وقد نفاه أکثر ملاحدة الفلاسفة تمسّکاً بامتناع إعادة المعدوم ولم یقیموا دلیلاً علیه، بل تمسّکوا تارة بادّعاء البداهة، وأخری بشبهات واهیة لا یخفی ضعفها علی من نظر فیها بعین البصیرة والیقین وترک تقلید الملحدین من المتفلسفین.</w:t>
      </w:r>
      <w:r>
        <w:rPr>
          <w:rStyle w:val="FootnoteReference"/>
        </w:rPr>
        <w:footnoteReference w:id="41"/>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اعلم أنّ الإیمان بالجنّة والنار علی ما وردتا فی الآیات والاخبار من غیر تأویل من ضروریّات الدین، ومنکرهما أو مؤلهما بما أوّلت به الفلاسفة خارج من الدین.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وقال(رحمه الله) فی بیان تباین طریقة الفلاسفة مع طریقة الأنبیاء، وعلّة إنتسابهم إلی مولی الموحّدین علیه السلام:</w:t>
      </w:r>
    </w:p>
    <w:p>
      <w:pPr>
        <w:pStyle w:val="BookText"/>
      </w:pPr>
      <w:r>
        <w:rPr>
          <w:rFonts w:ascii="IRNazanin" w:hAnsi="IRNazanin" w:eastAsia="IRNazanin" w:cs="IRNazanin"/>
          <w:lang w:bidi="fa-IR"/>
          <w:color w:val="111111"/>
          <w:sz w:val="28"/>
          <w:szCs w:val="28"/>
          <w:rtl/>
        </w:rPr>
        <w:t xml:space="preserve">اعلم أنّ دأب أصحابنا رضی الله عنهم فی إثبات فضائله صلوات الله علیه الاکتفاء بما نقل عن کلّ فرقة من الإنتساب إلیه لبیان أنّه کان مشهوراً فی العلم مسلّماً فی الفضل عند جمیع الفرق، وإن لم یکن ذلک ثابتاً، بل وإن کان خلافه عند الإمامیّة ظاهراً، کانتساب الأشعریّة وأبی حنیفة وأضرابهم إلیه، فإنّ مخالفتهم له علیه السلام أظهر من تباین الظلمة والنور.</w:t>
      </w:r>
    </w:p>
    <w:p>
      <w:pPr>
        <w:pStyle w:val="BookText"/>
      </w:pPr>
      <w:r>
        <w:rPr>
          <w:rFonts w:ascii="IRNazanin" w:hAnsi="IRNazanin" w:eastAsia="IRNazanin" w:cs="IRNazanin"/>
          <w:lang w:bidi="fa-IR"/>
          <w:color w:val="111111"/>
          <w:sz w:val="28"/>
          <w:szCs w:val="28"/>
          <w:rtl/>
        </w:rPr>
        <w:t xml:space="preserve">ومن ذلک ما نقله ابن شهرآشوب رحمه الله من کلامه فی الفلسفة، فإنّ غرضه أنّ هؤلاء أیضا ینتمون إلیه ویروون عنه، وإلّا فلا یخفی علی من له أدنی تتبّع فی کلامه علیه السلام  أنّ هذا الکلام لا یشبه شیئاً من غرر حکمه وأحکامه، بل لا یشبه کلام أصحاب الشریعة بوجه، وإنّما أدرجت فیه مصطلحات المتأخّرین، وهل رأیت فی کلام أحد من الصحابة والتابعین أو بعض الأئمّة الراشدین لفظ «الهیولی» أو «المادّة» أو «الصورة» أو «الاستعداد» أو «القوّة»؟ والعجب أنّ بعض أهل دهرنا ممن ضلّ وأضلّ کثیراً یتمسّکون فی دفع ما یلزم علیهم من القول بما یخالف ضرورة الدین إلی أمثال هذه العبارات. وهل هو إلّا کمن یتعلّق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بنسج العنکبوت للعروج إلی أسباب السماوات؟! أولا یعلمون أنّ ما یخالف ضرورة الدین ولو ورد بأسانید جمّة لکان مؤوّلاً أو مطروحاً؟ مع أنّ أمثال ذلک لا ینفعهم فیما هم بصدده من تخریب قواعد الدین، هدانا اللّه وإیّاهم إلی سلوک مسالک المتّقین، ونجّانا وجمیع المؤمنین من فتن المضلّین.</w:t>
      </w:r>
      <w:r>
        <w:rPr>
          <w:rStyle w:val="FootnoteReference"/>
        </w:rPr>
        <w:footnoteReference w:id="43"/>
      </w:r>
    </w:p>
    <w:p>
      <w:pPr>
        <w:pStyle w:val="BookText"/>
      </w:pPr>
      <w:r>
        <w:rPr>
          <w:rFonts w:ascii="Amiri" w:hAnsi="Amiri" w:eastAsia="Amiri" w:cs="Amiri"/>
          <w:lang w:bidi="ar-SA"/>
          <w:color w:val="111111"/>
          <w:sz w:val="28"/>
          <w:szCs w:val="28"/>
          <w:rtl/>
        </w:rPr>
        <w:t xml:space="preserve">وقال(رحمه الله) فی بیان قول أمیر المؤمنین علیه السلام : «مَنْ کانَ یُؤْمِنُ بِاللَّهِ وَالیَوْمِ الآخِرِ فَلَا یَقُومُ مَکَانَ رِیبَةٍ»:</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ویحتمل أن یکون المراد به المنع عن مجالسة أرباب الشکوک والشبهات، الذین یوقعون الشبَه فی الدین، ویعدّونها کیاسة ودقّة فیضلّون الناس عن مسالک أصحاب الیقین کأکثر الفلاسفة والمتکلّمین، فمن جالسهم وفاوضهم لا یؤمن بشیء، بل یحصل فی قلبه مرض الشکّ والنّفاق، ولا یمکنه تحصیل الیقین فی شیء من أمور الدین، بل یعرضه إلحاد عقلیّ لا یتمسّک عقله بشیء ولا یطمئنّ فی شیء، کما أنّ الملحد الدینیّ لا یؤمن بملّة، فهم کما قال: «فِی قُلُوبِهِم</w:t>
      </w:r>
    </w:p>
    <w:p>
      <w:pPr>
        <w:pStyle w:val="BookText"/>
      </w:pPr>
      <w:r>
        <w:rPr>
          <w:rFonts w:ascii="Amiri" w:hAnsi="Amiri" w:eastAsia="Amiri" w:cs="Amiri"/>
          <w:lang w:bidi="ar-SA"/>
          <w:color w:val="111111"/>
          <w:sz w:val="28"/>
          <w:szCs w:val="28"/>
          <w:rtl/>
        </w:rPr>
        <w:t xml:space="preserve">مَرَضٌ فَزَادَهُمُ اللهُ مَرَضاً».</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وأکثر أهل زماننا سلکوا هذه الطریقة، وقلّما یوجد مؤمن علی الحقیقة، أعاذنا اللّه وإخواننا المؤمنین من ذلک، وحفظنا عن جمیع المهالک.</w:t>
      </w:r>
      <w:r>
        <w:rPr>
          <w:rStyle w:val="FootnoteReference"/>
        </w:rPr>
        <w:footnoteReference w:id="46"/>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6616_50306"/>
    <w:bookmarkEnd w:id="11"/>
    <w:p>
      <w:pPr>
        <w:pStyle w:val="BookText"/>
      </w:pPr>
      <w:r>
        <w:rPr>
          <w:rFonts w:ascii="Amiri" w:hAnsi="Amiri" w:eastAsia="Amiri" w:cs="Amiri"/>
          <w:lang w:bidi="ar-SA"/>
          <w:color w:val="111111"/>
          <w:sz w:val="28"/>
          <w:szCs w:val="28"/>
          <w:rtl/>
        </w:rPr>
        <w:t xml:space="preserve">وقال فی بیان حدیث أبی عبداللّه‌ علیه السلام : «مَنْ رَقَّ وَجْهُهُ، رَقَّ عِلْمُه»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المراد برقّة العلم الاکتفاء بما یجب ویحسن طلبه، لا الغلوّ فیه، بطلب ما لا یفید بل یضرّ، کعلم الفلاسفة ونحوه.</w:t>
      </w:r>
      <w:r>
        <w:rPr>
          <w:rStyle w:val="FootnoteReference"/>
        </w:rPr>
        <w:footnoteReference w:id="48"/>
      </w:r>
    </w:p>
    <w:p>
      <w:pPr>
        <w:pStyle w:val="Heading3"/>
      </w:pPr>
      <w:bookmarkStart w:id="49" w:name="_Toc21"/>
      <w:r>
        <w:t>14. السیّد محمّد مهدیّ بحر العلوم1 (ت1212 ق)</w:t>
      </w:r>
      <w:bookmarkEnd w:id="49"/>
    </w:p>
    <w:p>
      <w:pPr>
        <w:pStyle w:val="BookText"/>
      </w:pPr>
      <w:r>
        <w:rPr>
          <w:rFonts w:ascii="IRNazanin" w:hAnsi="IRNazanin" w:eastAsia="IRNazanin" w:cs="IRNazanin"/>
          <w:lang w:bidi="fa-IR"/>
          <w:color w:val="111111"/>
          <w:sz w:val="28"/>
          <w:szCs w:val="28"/>
          <w:rtl/>
        </w:rPr>
        <w:t xml:space="preserve">قال(رحمه الله) فی إجازته للعالم العامل السیّد عبدالکریم بن السیّد محمّد بن السیّد جواد بن العالم الجلیل السیّد عبداللّه سبط المحدّث الجزائریّ، بعد کلام له فی اعتناء السلف بالأحادیث ورعایتها درایةً وروایةً وحفظاً، ما لفظه:</w:t>
      </w:r>
    </w:p>
    <w:p>
      <w:pPr>
        <w:pStyle w:val="BookText"/>
      </w:pPr>
      <w:r>
        <w:rPr>
          <w:rFonts w:ascii="IRNazanin" w:hAnsi="IRNazanin" w:eastAsia="IRNazanin" w:cs="IRNazanin"/>
          <w:lang w:bidi="fa-IR"/>
          <w:color w:val="111111"/>
          <w:sz w:val="28"/>
          <w:szCs w:val="28"/>
          <w:rtl/>
        </w:rPr>
        <w:t xml:space="preserve">ثمّ خلف من بعدهم خلف أضاعوا الصلاة واتّبعوا الشهوات، جانبوا العلم والعلماء، وباینوا الفضل والفضلاء، عمّروا الخراب وأخلدوا إلی التراب نسوا الحساب وطلبوا السراب، سکنوا البلدة الجلحاء وتوطّنوا القریة الوحشاء، إطمأنّوا بمسرّات الأیّام الممزوجة بالهموم والآلام، واستلذّوا لذائذها المعجونة بأقسام السموم والأسقام. فهم بین من اتّخذ العلم ظهریّاً والعلماء سُخریّاً، وأولئک هم العوامّ الذین سبیلهم سبیل الأنعام، فهم فی غیّهم یتردّدون، وفی تیههم یعمهون. وبین من</w:t>
      </w:r>
    </w:p>
    <w:p>
      <w:pPr>
        <w:pStyle w:val="BookText"/>
      </w:pPr>
      <w:r>
        <w:rPr>
          <w:rFonts w:ascii="IRNazanin" w:hAnsi="IRNazanin" w:eastAsia="IRNazanin" w:cs="IRNazanin"/>
          <w:lang w:bidi="fa-IR"/>
          <w:color w:val="111111"/>
          <w:sz w:val="28"/>
          <w:szCs w:val="28"/>
          <w:rtl/>
        </w:rPr>
        <w:t xml:space="preserve">سمّی جهالة اکتسبها من رؤساء الکفر والضلالة، المنکرین للنبوّة والرسالة، حکمةً وعلماً، واتّخذ من سبقه إلیها أئمّة وقادة، یقتفی آثارهم ویتّبع منارهم، یدخل فیما دخلوا وإن خالف نصّ الکتاب، ویخرج عمّا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616_50307"/>
    <w:bookmarkEnd w:id="12"/>
    <w:p>
      <w:pPr>
        <w:pStyle w:val="BookText"/>
      </w:pPr>
      <w:r>
        <w:rPr>
          <w:rFonts w:ascii="Amiri" w:hAnsi="Amiri" w:eastAsia="Amiri" w:cs="Amiri"/>
          <w:lang w:bidi="ar-SA"/>
          <w:color w:val="111111"/>
          <w:sz w:val="28"/>
          <w:szCs w:val="28"/>
          <w:rtl/>
        </w:rPr>
        <w:t xml:space="preserve">خرجوا وإن کان ذلک هو الحقّ الصواب، فهذا من أعداء الدین، والسعاة فی هدم شریعة سیّد المرسلین، وهو مع ذلک یزعم أنّه بمکان مکین، ولا یدری أنّه لا یزن عند اللّه جناح بعوض مهین. وثالث: رضی من العلم بادّعاء العجائب فی الذات والصفات والأسماء والأفعال، والوصال المغنی عن الأعمال، المشوّش لقلوب الرعاع والجهّال، وهؤلاء هم الباطنیّة من أهل البدع والأهواء، المنتمین إلی الفقر والفناء، وهم أضرّ شیء فی البلاد علی ضعفاء العباد... وحسب هؤلاء القوم من تحصیلهم هذا دعاء أمیرالمؤمنین وإمام المتّقین علیّ بن أبی طالب علیه السلام  بإعماء الخبر وقطع الأثر أو بدقّ الخیشوم وجزّ الحیزوم. وقول رسول اللّه‌9: «مَنْ طَلَبَ الْعِلْمَ لِیُبَاهِیَ بِهِ الْعُلَمَاءَ، أَوْ یُمَارِیَ بِهِ السُّفَهَاءَ، أَوْ یَصْرِفَ بِهِ وُجُوهَ النَّاسِ إِلَیْهِ، فَلْیَتَبَوَّأْ مَقْعَدَهُ مِنَ النَّارِ».</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وکفاهم خزیاً وذلّاً تشبیههم فی کلام الملک الجبّار تارة بالکلب، والأخری بالحمار الذی یحمل الأسفار، ذلک الخزی الشنیع، والذلّ الفظیع، أعاذنا اللّه وجمیع الطالبین من موجبات الآثام، ومن أخلاق هؤلاء اللئام.</w:t>
      </w:r>
      <w:r>
        <w:rPr>
          <w:rStyle w:val="FootnoteReference"/>
        </w:rPr>
        <w:footnoteReference w:id="50"/>
      </w:r>
    </w:p>
    <w:p>
      <w:pPr>
        <w:pStyle w:val="Heading3"/>
      </w:pPr>
      <w:bookmarkStart w:id="50" w:name="_Toc22"/>
      <w:r>
        <w:t>15. السیّد أمیر محمّد باقر الداماد(رحمه الله) (ت1041 ق)</w:t>
      </w:r>
      <w:bookmarkEnd w:id="50"/>
    </w:p>
    <w:p>
      <w:pPr>
        <w:pStyle w:val="BookText"/>
      </w:pPr>
      <w:r>
        <w:rPr>
          <w:rFonts w:ascii="IRNazanin" w:hAnsi="IRNazanin" w:eastAsia="IRNazanin" w:cs="IRNazanin"/>
          <w:lang w:bidi="fa-IR"/>
          <w:color w:val="111111"/>
          <w:sz w:val="28"/>
          <w:szCs w:val="28"/>
          <w:rtl/>
        </w:rPr>
        <w:t xml:space="preserve">نقل عنه تلمیذه السیّد حیدر الآملیّ ما محصّله:</w:t>
      </w:r>
    </w:p>
    <w:p>
      <w:pPr>
        <w:pStyle w:val="BookText"/>
      </w:pPr>
      <w:r>
        <w:rPr>
          <w:rFonts w:ascii="IRNazanin" w:hAnsi="IRNazanin" w:eastAsia="IRNazanin" w:cs="IRNazanin"/>
          <w:lang w:bidi="fa-IR"/>
          <w:color w:val="111111"/>
          <w:sz w:val="28"/>
          <w:szCs w:val="28"/>
          <w:rtl/>
        </w:rPr>
        <w:t xml:space="preserve">سئل عنه: هل یصحّ ما یقولون من أنّ التصوّف طریق ینتهی إلی الإلحاد؟ فقال: إنّه غلط فإنّ التصوّف هو بیت الإلحاد.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616_50308"/>
    <w:bookmarkEnd w:id="13"/>
    <w:p>
      <w:pPr>
        <w:pStyle w:val="BookText"/>
      </w:pPr>
      <w:r>
        <w:rPr>
          <w:rFonts w:ascii="IRNazanin" w:hAnsi="IRNazanin" w:eastAsia="IRNazanin" w:cs="IRNazanin"/>
          <w:lang w:bidi="fa-IR"/>
          <w:color w:val="111111"/>
          <w:sz w:val="28"/>
          <w:szCs w:val="28"/>
          <w:rtl/>
        </w:rPr>
        <w:t xml:space="preserve">ونقل عنه أنّه کان یقول دائماً:</w:t>
      </w:r>
    </w:p>
    <w:p>
      <w:pPr>
        <w:pStyle w:val="BookText"/>
      </w:pPr>
      <w:r>
        <w:rPr>
          <w:rFonts w:ascii="IRNazanin" w:hAnsi="IRNazanin" w:eastAsia="IRNazanin" w:cs="IRNazanin"/>
          <w:lang w:bidi="fa-IR"/>
          <w:color w:val="111111"/>
          <w:sz w:val="28"/>
          <w:szCs w:val="28"/>
          <w:rtl/>
        </w:rPr>
        <w:t xml:space="preserve">یحرم علی الجمیع مطلقا النظر فی کتب الصوفیّة، إلّا علی الفاضل الدیِّن الذی یکون بصدد النقض علی أقوالهم، وکذا یحرم قرائة کتب الفلاسفة علی من ضعف یقینه وما قوی عقیدته، وذلک لأنّه یزلّ إثر قرائته لهذه الکتب بسرعة، فیمنعه عن الصراط المستقیم.</w:t>
      </w:r>
      <w:r>
        <w:rPr>
          <w:rStyle w:val="FootnoteReference"/>
        </w:rPr>
        <w:footnoteReference w:id="51"/>
      </w:r>
    </w:p>
    <w:p>
      <w:pPr>
        <w:pStyle w:val="Heading3"/>
      </w:pPr>
      <w:bookmarkStart w:id="51" w:name="_Toc23"/>
      <w:r>
        <w:t>16. العلّامة آقا محمّد علیّ بن الوحید البهبهانیّ(رحمه الله) (ت1216 ق)</w:t>
      </w:r>
      <w:bookmarkEnd w:id="51"/>
    </w:p>
    <w:p>
      <w:pPr>
        <w:pStyle w:val="BookText"/>
      </w:pPr>
      <w:r>
        <w:rPr>
          <w:rFonts w:ascii="IRNazanin" w:hAnsi="IRNazanin" w:eastAsia="IRNazanin" w:cs="IRNazanin"/>
          <w:lang w:bidi="fa-IR"/>
          <w:color w:val="111111"/>
          <w:sz w:val="28"/>
          <w:szCs w:val="28"/>
          <w:rtl/>
        </w:rPr>
        <w:t xml:space="preserve">فقد اشتهر بالنکیر علی الفلاسفة والصوفیّة، ومل‌ء بذلک کتابه خیراتیّة در إبطال طریقه صوفیّة.</w:t>
      </w:r>
    </w:p>
    <w:p>
      <w:pPr>
        <w:pStyle w:val="Heading3"/>
      </w:pPr>
      <w:bookmarkStart w:id="52" w:name="_Toc24"/>
      <w:r>
        <w:t>17. السیّد نعمة اللّه الجزائریّ(رحمه الله) (ت1173 ق)</w:t>
      </w:r>
      <w:bookmarkEnd w:id="52"/>
    </w:p>
    <w:p>
      <w:pPr>
        <w:pStyle w:val="BookText"/>
      </w:pPr>
      <w:r>
        <w:rPr>
          <w:rFonts w:ascii="IRNazanin" w:hAnsi="IRNazanin" w:eastAsia="IRNazanin" w:cs="IRNazanin"/>
          <w:lang w:bidi="fa-IR"/>
          <w:color w:val="111111"/>
          <w:sz w:val="28"/>
          <w:szCs w:val="28"/>
          <w:rtl/>
        </w:rPr>
        <w:t xml:space="preserve">قال فی الأنوار النعمانیّة:</w:t>
      </w:r>
    </w:p>
    <w:p>
      <w:pPr>
        <w:pStyle w:val="BookText"/>
      </w:pPr>
      <w:r>
        <w:rPr>
          <w:rFonts w:ascii="IRNazanin" w:hAnsi="IRNazanin" w:eastAsia="IRNazanin" w:cs="IRNazanin"/>
          <w:lang w:bidi="fa-IR"/>
          <w:color w:val="111111"/>
          <w:sz w:val="28"/>
          <w:szCs w:val="28"/>
          <w:rtl/>
        </w:rPr>
        <w:t xml:space="preserve">... مع أنّ الأصحاب «رضوان اللّه علیهم» ذهبوا إلی تکفیر الفلاسفة ومن یحذو حذوهم، وتفسیق أکثر طوائف المسلمین، وما ذاک إلّا لأنّهم لم یقبلوا منهم تلک الدلائل ولم یعدّوها من دلائل العقل.</w:t>
      </w:r>
      <w:r>
        <w:rPr>
          <w:rStyle w:val="FootnoteReference"/>
        </w:rPr>
        <w:footnoteReference w:id="52"/>
      </w:r>
    </w:p>
    <w:p>
      <w:pPr>
        <w:pStyle w:val="Heading3"/>
      </w:pPr>
      <w:bookmarkStart w:id="53" w:name="_Toc25"/>
      <w:r>
        <w:t>18. المحدّث البحرانیّ صاحب الحدائق(رحمه الله) (ت1186 ق)</w:t>
      </w:r>
      <w:bookmarkEnd w:id="5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المحدّث البحرانیّ صاحب الحدائق(رحمه الله) (ت1186 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54" w:name="_Toc26"/>
      <w:r>
        <w:t>19. محمّد طاهر بن محمّد بن حسین القمیّ(رحمه الله) (ت1089 ق)</w:t>
      </w:r>
      <w:bookmarkEnd w:id="54"/>
    </w:p>
    <w:p>
      <w:pPr>
        <w:pStyle w:val="BookText"/>
      </w:pPr>
      <w:r>
        <w:rPr>
          <w:rFonts w:ascii="IRNazanin" w:hAnsi="IRNazanin" w:eastAsia="IRNazanin" w:cs="IRNazanin"/>
          <w:lang w:bidi="fa-IR"/>
          <w:color w:val="111111"/>
          <w:sz w:val="28"/>
          <w:szCs w:val="28"/>
          <w:rtl/>
        </w:rPr>
        <w:t xml:space="preserve">قال المحقّق الأردبیلیّ(رحمه الله):</w:t>
      </w:r>
    </w:p>
    <w:p>
      <w:pPr>
        <w:pStyle w:val="BookText"/>
      </w:pPr>
      <w:r>
        <w:rPr>
          <w:rFonts w:ascii="IRNazanin" w:hAnsi="IRNazanin" w:eastAsia="IRNazanin" w:cs="IRNazanin"/>
          <w:lang w:bidi="fa-IR"/>
          <w:color w:val="111111"/>
          <w:sz w:val="28"/>
          <w:szCs w:val="28"/>
          <w:rtl/>
        </w:rPr>
        <w:t xml:space="preserve">محمّد طاهر بن محمّد بن حسین القمیّ «مد ظلّه العالی»، الإمام العلّامة المحقّق المدقّق، جلیل القدر، عظیم المنزلة، دقیق الفطنة، ثقة ثبت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6616_50309"/>
    <w:bookmarkEnd w:id="14"/>
    <w:p>
      <w:pPr>
        <w:pStyle w:val="BookText"/>
      </w:pPr>
      <w:r>
        <w:rPr>
          <w:rFonts w:ascii="IRNazanin" w:hAnsi="IRNazanin" w:eastAsia="IRNazanin" w:cs="IRNazanin"/>
          <w:lang w:bidi="fa-IR"/>
          <w:color w:val="111111"/>
          <w:sz w:val="28"/>
          <w:szCs w:val="28"/>
          <w:rtl/>
        </w:rPr>
        <w:t xml:space="preserve">عین دیّن، متصلّب فی الدین لا یحصی مناقبه وفضائله، جزاه اللّه تعالی أفضل جزاء المحسنین. له کتب نفیسة منها:... وکتاب جلیل القدر والمرتبة فی الردّ علی حکمة الفلاسفة وغیرها من الکتب... ورسالة فی الردّ علی الصوفیّة.</w:t>
      </w:r>
      <w:r>
        <w:rPr>
          <w:rStyle w:val="FootnoteReference"/>
        </w:rPr>
        <w:footnoteReference w:id="53"/>
      </w:r>
    </w:p>
    <w:p>
      <w:pPr>
        <w:pStyle w:val="Heading3"/>
      </w:pPr>
      <w:bookmarkStart w:id="55" w:name="_Toc27"/>
      <w:r>
        <w:t>20. المولی محمّد صالح المازندرانیّ(رحمه الله) (ت 1081 ق)</w:t>
      </w:r>
      <w:bookmarkEnd w:id="55"/>
    </w:p>
    <w:p>
      <w:pPr>
        <w:pStyle w:val="BookText"/>
      </w:pPr>
      <w:r>
        <w:rPr>
          <w:rFonts w:ascii="Amiri" w:hAnsi="Amiri" w:eastAsia="Amiri" w:cs="Amiri"/>
          <w:lang w:bidi="ar-SA"/>
          <w:color w:val="111111"/>
          <w:sz w:val="28"/>
          <w:szCs w:val="28"/>
          <w:rtl/>
        </w:rPr>
        <w:t xml:space="preserve">وقال فی شرح الحدیث: «فَمَنْ زَعَمَ أَنَّهُ یَقْدِرُ عَلَی نَقْضِ وَاحِدَةٍ (من هذه الخصال السبع) فَقَدْ کَفَرَ»</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زعمت الفلاسفة أنّ الأجسام قدیمة لا أجل لها، وأنّ الفاعل الحقّ موجب لا إرادة له، وتمسّکوا لإثبات ذلک بمفتریات عقولهم الکاسدة ومکتسبات أوهامهم الفاسدة، وقد بیّن فساد ذلک فی موضعه.</w:t>
      </w:r>
      <w:r>
        <w:rPr>
          <w:rStyle w:val="FootnoteReference"/>
        </w:rPr>
        <w:footnoteReference w:id="55"/>
      </w:r>
    </w:p>
    <w:p>
      <w:pPr>
        <w:pStyle w:val="BookText"/>
      </w:pPr>
      <w:r>
        <w:rPr>
          <w:rFonts w:ascii="Amiri" w:hAnsi="Amiri" w:eastAsia="Amiri" w:cs="Amiri"/>
          <w:lang w:bidi="ar-SA"/>
          <w:color w:val="111111"/>
          <w:sz w:val="28"/>
          <w:szCs w:val="28"/>
          <w:rtl/>
        </w:rPr>
        <w:t xml:space="preserve">وقال فی شرح الحدیث «أَنْشَأَ مَا شَاءَ حِینَ شَاءَ بِمَشِیئَتِهِ»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بمجرّد مشیّته وإرادته بلا آلة ولا حرکة ولا رویّة ولا مادّة، فقد ظلم نفسه، وکفر باللّه العظیم من قال: إنّه تعالی فاعل بالإیجاب لا قدرة له علی فعله، ومن قال: إنّه لم یوجد إلّا شیئاً واحداً ولم یقدر علی إیجاد غیره، ومن قال: إنّه یحتاج فی خلق شیء إلی مادّة، فإنّ ذلک لیس من صفة ربّنا جلّ شأنه.</w:t>
      </w:r>
      <w:r>
        <w:rPr>
          <w:rStyle w:val="FootnoteReference"/>
        </w:rPr>
        <w:footnoteReference w:id="57"/>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6616_50310"/>
    <w:bookmarkEnd w:id="15"/>
    <w:p>
      <w:pPr>
        <w:pStyle w:val="Heading3"/>
      </w:pPr>
      <w:bookmarkStart w:id="56" w:name="_Toc28"/>
      <w:r>
        <w:t>21. السیّد رضی الدین بن طاووس(رحمه الله) (ت 664 ق)</w:t>
      </w:r>
      <w:bookmarkEnd w:id="56"/>
    </w:p>
    <w:p>
      <w:pPr>
        <w:pStyle w:val="BookText"/>
      </w:pPr>
      <w:r>
        <w:rPr>
          <w:rFonts w:ascii="IRNazanin" w:hAnsi="IRNazanin" w:eastAsia="IRNazanin" w:cs="IRNazanin"/>
          <w:lang w:bidi="fa-IR"/>
          <w:color w:val="111111"/>
          <w:sz w:val="28"/>
          <w:szCs w:val="28"/>
          <w:rtl/>
        </w:rPr>
        <w:t xml:space="preserve">قال(رحمه الله):</w:t>
      </w:r>
    </w:p>
    <w:p>
      <w:pPr>
        <w:pStyle w:val="BookText"/>
      </w:pPr>
      <w:r>
        <w:rPr>
          <w:rFonts w:ascii="IRNazanin" w:hAnsi="IRNazanin" w:eastAsia="IRNazanin" w:cs="IRNazanin"/>
          <w:lang w:bidi="fa-IR"/>
          <w:color w:val="111111"/>
          <w:sz w:val="28"/>
          <w:szCs w:val="28"/>
          <w:rtl/>
        </w:rPr>
        <w:t xml:space="preserve">الباب التاسع فیما نذکره عمّن یقول إنّ النجوم لا تصحّ أن تکون دلالات علی الحادثات، اعلم أنّ المنکرین لذلک من المسلمین فرق... وفریق سمعوا أنّ هذا العلم ابتدعه قوم غیر الأنبیاء من الفلاسفة والحکماء فهربوا من التصدیق بشیء من معانیه لئلّا یقعوا فیما وقع أولئک فیه من الضلالة والتشبیه. وقد قدّمنا الدلالات الواضحات علی أنّ هذا العلم من علوم الأنبیاء والأوصیاء علیهم الصلوات وأوضحنا ذلک بما ذکرنا من المعقولات والمنقولات.</w:t>
      </w:r>
      <w:r>
        <w:rPr>
          <w:rStyle w:val="FootnoteReference"/>
        </w:rPr>
        <w:footnoteReference w:id="58"/>
      </w:r>
    </w:p>
    <w:p>
      <w:pPr>
        <w:pStyle w:val="Heading3"/>
      </w:pPr>
      <w:bookmarkStart w:id="57" w:name="_Toc29"/>
      <w:r>
        <w:t>22. محمّد أمین الإسترآبادیّ(رحمه الله) (ت1033 ق)</w:t>
      </w:r>
      <w:bookmarkEnd w:id="57"/>
    </w:p>
    <w:p>
      <w:pPr>
        <w:pStyle w:val="BookText"/>
      </w:pPr>
      <w:r>
        <w:rPr>
          <w:rFonts w:ascii="IRNazanin" w:hAnsi="IRNazanin" w:eastAsia="IRNazanin" w:cs="IRNazanin"/>
          <w:lang w:bidi="fa-IR"/>
          <w:color w:val="111111"/>
          <w:sz w:val="28"/>
          <w:szCs w:val="28"/>
          <w:rtl/>
        </w:rPr>
        <w:t xml:space="preserve">قال(رحمه الله):</w:t>
      </w:r>
    </w:p>
    <w:p>
      <w:pPr>
        <w:pStyle w:val="BookText"/>
      </w:pPr>
      <w:r>
        <w:rPr>
          <w:rFonts w:ascii="IRNazanin" w:hAnsi="IRNazanin" w:eastAsia="IRNazanin" w:cs="IRNazanin"/>
          <w:lang w:bidi="fa-IR"/>
          <w:color w:val="111111"/>
          <w:sz w:val="28"/>
          <w:szCs w:val="28"/>
          <w:rtl/>
        </w:rPr>
        <w:t xml:space="preserve">فی ذکر طرف من أغلاط الفلاسفة وحکماء الإسلام فی علومهم والسبب فیه ما حقّقناه سابقاً: من أنّه لا یعصم عن الخطأ فی مادّة الموادّ فی العلوم الّتی مبادئها بعیدة عن الإحساس إلّا أصحاب العصمة: ومن أنّ القواعد المنطقیّة غیر نافعة فی هذا الباب، وإنّما نفعها فی صورة الأفکار کإیجاب الصغری وکلّیّة الکبری.</w:t>
      </w:r>
      <w:r>
        <w:rPr>
          <w:rStyle w:val="FootnoteReference"/>
        </w:rPr>
        <w:footnoteReference w:id="59"/>
      </w:r>
    </w:p>
    <w:p>
      <w:pPr>
        <w:pStyle w:val="Heading3"/>
      </w:pPr>
      <w:bookmarkStart w:id="58" w:name="_Toc30"/>
      <w:r>
        <w:t>23. القاضی سعید القمیّ(رحمه الله) (ت1103 ق)</w:t>
      </w:r>
      <w:bookmarkEnd w:id="58"/>
    </w:p>
    <w:p>
      <w:pPr>
        <w:pStyle w:val="BookText"/>
      </w:pPr>
      <w:r>
        <w:rPr>
          <w:rFonts w:ascii="IRNazanin" w:hAnsi="IRNazanin" w:eastAsia="IRNazanin" w:cs="IRNazanin"/>
          <w:lang w:bidi="fa-IR"/>
          <w:color w:val="111111"/>
          <w:sz w:val="28"/>
          <w:szCs w:val="28"/>
          <w:rtl/>
        </w:rPr>
        <w:t xml:space="preserve">قال رحمه الله علیه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6616_50311"/>
    <w:bookmarkEnd w:id="16"/>
    <w:p>
      <w:pPr>
        <w:pStyle w:val="BookText"/>
      </w:pPr>
      <w:r>
        <w:rPr>
          <w:rFonts w:ascii="IRNazanin" w:hAnsi="IRNazanin" w:eastAsia="IRNazanin" w:cs="IRNazanin"/>
          <w:lang w:bidi="fa-IR"/>
          <w:color w:val="111111"/>
          <w:sz w:val="28"/>
          <w:szCs w:val="28"/>
          <w:rtl/>
        </w:rPr>
        <w:t xml:space="preserve">وهذا من قبیل قول بعضهم: إنّ الکلّی موجود بمعنی کون أفراده موجودات. والقائل به وإن کان فی زمرة المسلمین لکنّه کفر خفیّ عند العارفین، وهو کفر أهل العلم من المتکلّمین والمتفلسفین وبعض المتصوّفة وأکثر النصاریّ.</w:t>
      </w:r>
      <w:r>
        <w:rPr>
          <w:rStyle w:val="FootnoteReference"/>
        </w:rPr>
        <w:footnoteReference w:id="60"/>
      </w:r>
    </w:p>
    <w:p>
      <w:pPr>
        <w:pStyle w:val="Heading3"/>
      </w:pPr>
      <w:bookmarkStart w:id="59" w:name="_Toc31"/>
      <w:r>
        <w:t>24. الشیخ الأعظم المرتضی الأنصاریّ1 (ت1281 ق)</w:t>
      </w:r>
      <w:bookmarkEnd w:id="59"/>
    </w:p>
    <w:p>
      <w:pPr>
        <w:pStyle w:val="BookText"/>
      </w:pPr>
      <w:r>
        <w:rPr>
          <w:rFonts w:ascii="IRNazanin" w:hAnsi="IRNazanin" w:eastAsia="IRNazanin" w:cs="IRNazanin"/>
          <w:lang w:bidi="fa-IR"/>
          <w:color w:val="111111"/>
          <w:sz w:val="28"/>
          <w:szCs w:val="28"/>
          <w:rtl/>
        </w:rPr>
        <w:t xml:space="preserve">وقال رحمه الله علیه فی مبحث حرمة حفظ کتب الضلال:</w:t>
      </w:r>
    </w:p>
    <w:p>
      <w:pPr>
        <w:pStyle w:val="BookText"/>
      </w:pPr>
      <w:r>
        <w:rPr>
          <w:rFonts w:ascii="IRNazanin" w:hAnsi="IRNazanin" w:eastAsia="IRNazanin" w:cs="IRNazanin"/>
          <w:lang w:bidi="fa-IR"/>
          <w:color w:val="111111"/>
          <w:sz w:val="28"/>
          <w:szCs w:val="28"/>
          <w:rtl/>
        </w:rPr>
        <w:t xml:space="preserve">وحینئذ فلابدّ من تنقیح هذا العنوان وأنّ المراد بالضلال ما یکون باطلاً فی نفسه؟ فالمراد الکتب المشتملة علی المطالب الباطلة، أو أنّ المراد به مقابل الهدایة؟ فیحتمل أن یراد بکتبه ما وضع لحصول الضلال، وأن یراد ما أوجب الضلال وإن کان مطالبها حقّة، کبعض کتب العرفاء والحکماء المشتملة علی ظواهر منکرة یدعون أنّ المراد غیر ظاهرها، فهذه أیضا کتب ضلال علی تقدیر حقّیّتها.</w:t>
      </w:r>
      <w:r>
        <w:rPr>
          <w:rStyle w:val="FootnoteReference"/>
        </w:rPr>
        <w:footnoteReference w:id="61"/>
      </w:r>
    </w:p>
    <w:p>
      <w:pPr>
        <w:pStyle w:val="Heading3"/>
      </w:pPr>
      <w:bookmarkStart w:id="60" w:name="_Toc32"/>
      <w:r>
        <w:t>25. المیرزا حبیب اللّه الخوئیّ(رحمه الله) (ت1324 ق)</w:t>
      </w:r>
      <w:bookmarkEnd w:id="60"/>
    </w:p>
    <w:p>
      <w:pPr>
        <w:pStyle w:val="BookText"/>
      </w:pPr>
      <w:r>
        <w:rPr>
          <w:rFonts w:ascii="IRNazanin" w:hAnsi="IRNazanin" w:eastAsia="IRNazanin" w:cs="IRNazanin"/>
          <w:lang w:bidi="fa-IR"/>
          <w:color w:val="111111"/>
          <w:sz w:val="28"/>
          <w:szCs w:val="28"/>
          <w:rtl/>
        </w:rPr>
        <w:t xml:space="preserve">قال(رحمه الله) فی منهاج البراعة فی شرح نهج البلاغة بعد نقل کلام لإبن عربی والقیصریّ:</w:t>
      </w:r>
    </w:p>
    <w:p>
      <w:pPr>
        <w:pStyle w:val="BookText"/>
      </w:pPr>
      <w:r>
        <w:rPr>
          <w:rFonts w:ascii="IRNazanin" w:hAnsi="IRNazanin" w:eastAsia="IRNazanin" w:cs="IRNazanin"/>
          <w:lang w:bidi="fa-IR"/>
          <w:color w:val="111111"/>
          <w:sz w:val="28"/>
          <w:szCs w:val="28"/>
          <w:rtl/>
        </w:rPr>
        <w:t xml:space="preserve">هذا محصّل کلام هذین الرجسین النجسین النحسین، وکم لهما فی الکتاب المذکور من هذا النمط والأسلوب، وسنشیر إلی بعضها فیما سیأتی. فلینظر المؤمن الکیّس البصیر إلی أنّهما کیف موّها الباطل بصورة الحقّ وأوّلا کلام اللّه بآرائهم الفاسدة وأحلامهم الکاسدة، علی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6616_50312"/>
    <w:bookmarkEnd w:id="17"/>
    <w:p>
      <w:pPr>
        <w:pStyle w:val="BookText"/>
      </w:pPr>
      <w:r>
        <w:rPr>
          <w:rFonts w:ascii="Amiri" w:hAnsi="Amiri" w:eastAsia="Amiri" w:cs="Amiri"/>
          <w:lang w:bidi="ar-SA"/>
          <w:color w:val="111111"/>
          <w:sz w:val="28"/>
          <w:szCs w:val="28"/>
          <w:rtl/>
        </w:rPr>
        <w:t xml:space="preserve">طبق عقایدهم الباطلة وقد قال النبیّ المختار(صلی الله علیه و آله): «مَنْ فَسَّرَ الْقُرْآنَ بِرَأْیِهِ فَلْیَتَبَوَّأْ مَقْعَدَهُ مِنَ النَّار» ولعمری إنّهما ومن حذا حذوهما حزب الشیطان وأولیاء عبدة الطاغوت والأوثان، ولم یکن غرضهما إلّا تکذیب الأنبیاء و الرسل وما جاؤوا به من البیّنات والبرهان وهدم أساس الإسلام والإیمان، وإبطال جمیع الشرایع والأدیان، و ترویج عبادة الأصنام، و جعل کلمة الکفر العلیا وخفض کلمة الرحمن.</w:t>
      </w:r>
      <w:r>
        <w:rPr>
          <w:rStyle w:val="FootnoteReference"/>
        </w:rPr>
        <w:footnoteReference w:id="62"/>
      </w:r>
    </w:p>
    <w:p>
      <w:pPr>
        <w:pStyle w:val="Heading3"/>
      </w:pPr>
      <w:bookmarkStart w:id="61" w:name="_Toc33"/>
      <w:r>
        <w:t>26. الشیخ محمّد حسن النجفیّ صاحب الجواهر(قدس سره) (ت1266 ق)</w:t>
      </w:r>
      <w:bookmarkEnd w:id="61"/>
    </w:p>
    <w:p>
      <w:pPr>
        <w:pStyle w:val="BookText"/>
      </w:pPr>
      <w:r>
        <w:rPr>
          <w:rFonts w:ascii="IRNazanin" w:hAnsi="IRNazanin" w:eastAsia="IRNazanin" w:cs="IRNazanin"/>
          <w:lang w:bidi="fa-IR"/>
          <w:color w:val="111111"/>
          <w:sz w:val="28"/>
          <w:szCs w:val="28"/>
          <w:rtl/>
        </w:rPr>
        <w:t xml:space="preserve">قال العلّامة النّمازیّ رحمه الله علیه :</w:t>
      </w:r>
    </w:p>
    <w:p>
      <w:pPr>
        <w:pStyle w:val="BookText"/>
      </w:pPr>
      <w:r>
        <w:rPr>
          <w:rFonts w:ascii="IRNazanin" w:hAnsi="IRNazanin" w:eastAsia="IRNazanin" w:cs="IRNazanin"/>
          <w:lang w:bidi="fa-IR"/>
          <w:color w:val="111111"/>
          <w:sz w:val="28"/>
          <w:szCs w:val="28"/>
          <w:rtl/>
        </w:rPr>
        <w:t xml:space="preserve">فی کتاب السلسبیل للعلّامة الجلیل الحاجّ میرزا أبو الحسن الإصطهباناتیّ قال: سمعت عن بعض تلامذة صاحب الجواهر أنّه فی مجلس درسه جاء بعض أهل العلم وفی یده کتاب من الفلسفة، فسأل عنه عمّا فی یده، فلمّا رآه صاحب الجواهر قال: واللّه ما جاء محمّد من عند اللّه إلّا لإبطال هذه الخرافات والمزخرفات.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وقال(رحمه الله) فی عداد کتب الضلال:</w:t>
      </w:r>
    </w:p>
    <w:p>
      <w:pPr>
        <w:pStyle w:val="BookText"/>
      </w:pPr>
      <w:r>
        <w:rPr>
          <w:rFonts w:ascii="IRNazanin" w:hAnsi="IRNazanin" w:eastAsia="IRNazanin" w:cs="IRNazanin"/>
          <w:lang w:bidi="fa-IR"/>
          <w:color w:val="111111"/>
          <w:sz w:val="28"/>
          <w:szCs w:val="28"/>
          <w:rtl/>
        </w:rPr>
        <w:t xml:space="preserve">ککتب القدماء من الحکماء القائلین بقِدَم العالم وعدم المعاد، وکتب عبدة الأصنام ومنکری الصانع.</w:t>
      </w:r>
      <w:r>
        <w:rPr>
          <w:rStyle w:val="FootnoteReference"/>
        </w:rPr>
        <w:footnoteReference w:id="64"/>
      </w:r>
    </w:p>
    <w:p>
      <w:pPr>
        <w:pStyle w:val="Heading3"/>
      </w:pPr>
      <w:bookmarkStart w:id="62" w:name="_Toc34"/>
      <w:r>
        <w:t>27 إلی 54. السیّد الفقیه محمّد کاظم الیزدیّ(رحمه الله) صاحب العروة الوثقی (ت1377 ق)</w:t>
      </w:r>
      <w:bookmarkEnd w:id="62"/>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حرّم ارتزاق من یشتغل بتعلّم الفلسفة من الزکاة وأیّده جلّ العلماء المعلّقین علی العروة، حیث قال:</w:t>
      </w:r>
    </w:p>
    <w:p>
      <w:pPr>
        <w:pStyle w:val="BookText"/>
      </w:pPr>
      <w:r>
        <w:rPr>
          <w:rFonts w:ascii="IRNazanin" w:hAnsi="IRNazanin" w:eastAsia="IRNazanin" w:cs="IRNazanin"/>
          <w:lang w:bidi="fa-IR"/>
          <w:color w:val="111111"/>
          <w:sz w:val="28"/>
          <w:szCs w:val="28"/>
          <w:rtl/>
        </w:rPr>
        <w:t xml:space="preserve">لو اشتغل القادر علی الکسب بطلب العلم المانع عنه یجوز له أخذ الزکاة إذا کان ممّا یجب تعلّمه عیناً أو کفایة، وکذا إذا کان ممّا یستحبّ تعلّمه کالتفقّه فی الدین اجتهاداً أو تقلیداً، وإن کان ممّا لا یجب ولا یستحبّ کالفلسفة والنجوم والریاضیّات والعروض والأدبیّة لمن لا یرید التفقّه فی الدین فلا یجوز أخذه.</w:t>
      </w:r>
    </w:p>
    <w:p>
      <w:pPr>
        <w:pStyle w:val="BookText"/>
      </w:pPr>
      <w:r>
        <w:rPr>
          <w:rFonts w:ascii="IRNazanin" w:hAnsi="IRNazanin" w:eastAsia="IRNazanin" w:cs="IRNazanin"/>
          <w:lang w:bidi="fa-IR"/>
          <w:color w:val="111111"/>
          <w:sz w:val="28"/>
          <w:szCs w:val="28"/>
          <w:rtl/>
        </w:rPr>
        <w:t xml:space="preserve">ومعناه أنّ هذا العلم لا دخل له بالشریعة أصلاً لا فی العقائد ولا فی غیره، ولا دخل له فی فهم الشرع أو الجدل مع الملحدین أصلا.</w:t>
      </w:r>
    </w:p>
    <w:p>
      <w:pPr>
        <w:pStyle w:val="BookText"/>
      </w:pPr>
      <w:r>
        <w:rPr>
          <w:rFonts w:ascii="IRNazanin" w:hAnsi="IRNazanin" w:eastAsia="IRNazanin" w:cs="IRNazanin"/>
          <w:lang w:bidi="fa-IR"/>
          <w:color w:val="111111"/>
          <w:sz w:val="28"/>
          <w:szCs w:val="28"/>
          <w:rtl/>
        </w:rPr>
        <w:t xml:space="preserve">وقال فی عداد الکفّار:</w:t>
      </w:r>
    </w:p>
    <w:p>
      <w:pPr>
        <w:pStyle w:val="BookText"/>
      </w:pPr>
      <w:r>
        <w:rPr>
          <w:rFonts w:ascii="IRNazanin" w:hAnsi="IRNazanin" w:eastAsia="IRNazanin" w:cs="IRNazanin"/>
          <w:lang w:bidi="fa-IR"/>
          <w:color w:val="111111"/>
          <w:sz w:val="28"/>
          <w:szCs w:val="28"/>
          <w:rtl/>
        </w:rPr>
        <w:t xml:space="preserve">والمجبّرة والقائلین بوحدة الوجود من الصوفیّة إذا التزموا بأحکام الإسلام فالأقوی عدم نجاستهم إلّا مع العلم بالتزامهم بلوازم مذاهبهم من المفاسد.</w:t>
      </w:r>
    </w:p>
    <w:p>
      <w:pPr>
        <w:pStyle w:val="BookText"/>
      </w:pPr>
      <w:r>
        <w:rPr>
          <w:rFonts w:ascii="IRNazanin" w:hAnsi="IRNazanin" w:eastAsia="IRNazanin" w:cs="IRNazanin"/>
          <w:lang w:bidi="fa-IR"/>
          <w:color w:val="111111"/>
          <w:sz w:val="28"/>
          <w:szCs w:val="28"/>
          <w:rtl/>
        </w:rPr>
        <w:t xml:space="preserve">وقد أیّده علی هذا الفتوی کلّ من الأعلام الآتیة، فلم یعلّقوا علی کلام السیّد بشیء، وهم:</w:t>
      </w:r>
    </w:p>
    <w:p>
      <w:pPr>
        <w:pStyle w:val="BookText"/>
      </w:pPr>
      <w:r>
        <w:rPr>
          <w:rFonts w:ascii="IRNazanin" w:hAnsi="IRNazanin" w:eastAsia="IRNazanin" w:cs="IRNazanin"/>
          <w:lang w:bidi="fa-IR"/>
          <w:color w:val="111111"/>
          <w:sz w:val="28"/>
          <w:szCs w:val="28"/>
          <w:rtl/>
        </w:rPr>
        <w:t xml:space="preserve">الشیخ علیّ بن الشیخ باقر المرحوم صاحب الجواهر(رحمه الله) (ت1266ق)</w:t>
      </w:r>
    </w:p>
    <w:p>
      <w:pPr>
        <w:pStyle w:val="BookText"/>
      </w:pPr>
      <w:r>
        <w:rPr>
          <w:rFonts w:ascii="IRNazanin" w:hAnsi="IRNazanin" w:eastAsia="IRNazanin" w:cs="IRNazanin"/>
          <w:lang w:bidi="fa-IR"/>
          <w:color w:val="111111"/>
          <w:sz w:val="28"/>
          <w:szCs w:val="28"/>
          <w:rtl/>
        </w:rPr>
        <w:t xml:space="preserve">والمیرزا جعفر الشهرستانیّ; (ت1344ق)</w:t>
      </w:r>
    </w:p>
    <w:p>
      <w:pPr>
        <w:pStyle w:val="BookText"/>
      </w:pPr>
      <w:r>
        <w:rPr>
          <w:rFonts w:ascii="IRNazanin" w:hAnsi="IRNazanin" w:eastAsia="IRNazanin" w:cs="IRNazanin"/>
          <w:lang w:bidi="fa-IR"/>
          <w:color w:val="111111"/>
          <w:sz w:val="28"/>
          <w:szCs w:val="28"/>
          <w:rtl/>
        </w:rPr>
        <w:t xml:space="preserve">والشیخ عبداللّه الغرویّ المامقانیّ(رحمه الله) (ت1351ق)</w:t>
      </w:r>
    </w:p>
    <w:p>
      <w:pPr>
        <w:pStyle w:val="BookText"/>
      </w:pPr>
      <w:r>
        <w:rPr>
          <w:rFonts w:ascii="IRNazanin" w:hAnsi="IRNazanin" w:eastAsia="IRNazanin" w:cs="IRNazanin"/>
          <w:lang w:bidi="fa-IR"/>
          <w:color w:val="111111"/>
          <w:sz w:val="28"/>
          <w:szCs w:val="28"/>
          <w:rtl/>
        </w:rPr>
        <w:t xml:space="preserve">والشیخ عبد الکریم الحائریّ(رحمه الله) (ت1355ق)</w:t>
      </w:r>
    </w:p>
    <w:p>
      <w:pPr>
        <w:pStyle w:val="BookText"/>
      </w:pPr>
      <w:r>
        <w:rPr>
          <w:rFonts w:ascii="IRNazanin" w:hAnsi="IRNazanin" w:eastAsia="IRNazanin" w:cs="IRNazanin"/>
          <w:lang w:bidi="fa-IR"/>
          <w:color w:val="111111"/>
          <w:sz w:val="28"/>
          <w:szCs w:val="28"/>
          <w:rtl/>
        </w:rPr>
        <w:t xml:space="preserve">والمحقّق المیرزا حسین النائینیّ(رحمه الله) (ت1355ق)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والسیّد الحاجّ آقا حسین الطّباطبائیّ القمیّ(رحمه الله) (ت1366ق)</w:t>
      </w:r>
    </w:p>
    <w:p>
      <w:pPr>
        <w:pStyle w:val="BookText"/>
      </w:pPr>
      <w:r>
        <w:rPr>
          <w:rFonts w:ascii="IRNazanin" w:hAnsi="IRNazanin" w:eastAsia="IRNazanin" w:cs="IRNazanin"/>
          <w:lang w:bidi="fa-IR"/>
          <w:color w:val="111111"/>
          <w:sz w:val="28"/>
          <w:szCs w:val="28"/>
          <w:rtl/>
        </w:rPr>
        <w:t xml:space="preserve">والشیخ محمّد رضا آل یاسین(رحمه الله) (ت1370ق)</w:t>
      </w:r>
    </w:p>
    <w:p>
      <w:pPr>
        <w:pStyle w:val="BookText"/>
      </w:pPr>
      <w:r>
        <w:rPr>
          <w:rFonts w:ascii="Amiri" w:hAnsi="Amiri" w:eastAsia="Amiri" w:cs="Amiri"/>
          <w:lang w:bidi="ar-SA"/>
          <w:color w:val="111111"/>
          <w:sz w:val="28"/>
          <w:szCs w:val="28"/>
          <w:rtl/>
        </w:rPr>
        <w:t xml:space="preserve">والسیّد محمّد الحجّة الکوه کمره‌ایّ(رحمه الله) (ت1372ق)</w:t>
      </w:r>
    </w:p>
    <w:p>
      <w:pPr>
        <w:pStyle w:val="BookText"/>
      </w:pPr>
      <w:r>
        <w:rPr>
          <w:rFonts w:ascii="IRNazanin" w:hAnsi="IRNazanin" w:eastAsia="IRNazanin" w:cs="IRNazanin"/>
          <w:lang w:bidi="fa-IR"/>
          <w:color w:val="111111"/>
          <w:sz w:val="28"/>
          <w:szCs w:val="28"/>
          <w:rtl/>
        </w:rPr>
        <w:t xml:space="preserve">والشیخ محمّد حسین کاشف الغطاء(رحمه الله) (ت1373ق)</w:t>
      </w:r>
    </w:p>
    <w:p>
      <w:pPr>
        <w:pStyle w:val="BookText"/>
      </w:pPr>
      <w:r>
        <w:rPr>
          <w:rFonts w:ascii="IRNazanin" w:hAnsi="IRNazanin" w:eastAsia="IRNazanin" w:cs="IRNazanin"/>
          <w:lang w:bidi="fa-IR"/>
          <w:color w:val="111111"/>
          <w:sz w:val="28"/>
          <w:szCs w:val="28"/>
          <w:rtl/>
        </w:rPr>
        <w:t xml:space="preserve">والسیّد یونس الأردبیلیّ(رحمه الله) (ت1377 ق)</w:t>
      </w:r>
    </w:p>
    <w:p>
      <w:pPr>
        <w:pStyle w:val="BookText"/>
      </w:pPr>
      <w:r>
        <w:rPr>
          <w:rFonts w:ascii="IRNazanin" w:hAnsi="IRNazanin" w:eastAsia="IRNazanin" w:cs="IRNazanin"/>
          <w:lang w:bidi="fa-IR"/>
          <w:color w:val="111111"/>
          <w:sz w:val="28"/>
          <w:szCs w:val="28"/>
          <w:rtl/>
        </w:rPr>
        <w:t xml:space="preserve">والسیّد إبراهیم الحسینیّ الإصطهباناتیّ(رحمه الله) (ت1378ق)</w:t>
      </w:r>
    </w:p>
    <w:p>
      <w:pPr>
        <w:pStyle w:val="BookText"/>
      </w:pPr>
      <w:r>
        <w:rPr>
          <w:rFonts w:ascii="IRNazanin" w:hAnsi="IRNazanin" w:eastAsia="IRNazanin" w:cs="IRNazanin"/>
          <w:lang w:bidi="fa-IR"/>
          <w:color w:val="111111"/>
          <w:sz w:val="28"/>
          <w:szCs w:val="28"/>
          <w:rtl/>
        </w:rPr>
        <w:t xml:space="preserve">والسیّد محسن الطباطبائیّ الحکیم(رحمه الله) (ت1390ق)</w:t>
      </w:r>
    </w:p>
    <w:p>
      <w:pPr>
        <w:pStyle w:val="BookText"/>
      </w:pPr>
      <w:r>
        <w:rPr>
          <w:rFonts w:ascii="IRNazanin" w:hAnsi="IRNazanin" w:eastAsia="IRNazanin" w:cs="IRNazanin"/>
          <w:lang w:bidi="fa-IR"/>
          <w:color w:val="111111"/>
          <w:sz w:val="28"/>
          <w:szCs w:val="28"/>
          <w:rtl/>
        </w:rPr>
        <w:t xml:space="preserve">والسیّد أبو الحسن الرفیعیّ(رحمه الله) (ت1395ق)</w:t>
      </w:r>
    </w:p>
    <w:p>
      <w:pPr>
        <w:pStyle w:val="BookText"/>
      </w:pPr>
      <w:r>
        <w:rPr>
          <w:rFonts w:ascii="IRNazanin" w:hAnsi="IRNazanin" w:eastAsia="IRNazanin" w:cs="IRNazanin"/>
          <w:lang w:bidi="fa-IR"/>
          <w:color w:val="111111"/>
          <w:sz w:val="28"/>
          <w:szCs w:val="28"/>
          <w:rtl/>
        </w:rPr>
        <w:t xml:space="preserve">والسیّد البروجردیّ(رحمه الله) (ت1393 ق)</w:t>
      </w:r>
    </w:p>
    <w:p>
      <w:pPr>
        <w:pStyle w:val="BookText"/>
      </w:pPr>
      <w:r>
        <w:rPr>
          <w:rFonts w:ascii="IRNazanin" w:hAnsi="IRNazanin" w:eastAsia="IRNazanin" w:cs="IRNazanin"/>
          <w:lang w:bidi="fa-IR"/>
          <w:color w:val="111111"/>
          <w:sz w:val="28"/>
          <w:szCs w:val="28"/>
          <w:rtl/>
        </w:rPr>
        <w:t xml:space="preserve">والسیّد محمود الحسینیّ الشاهرودیّ(رحمه الله) (ت1394ق)</w:t>
      </w:r>
    </w:p>
    <w:p>
      <w:pPr>
        <w:pStyle w:val="BookText"/>
      </w:pPr>
      <w:r>
        <w:rPr>
          <w:rFonts w:ascii="IRNazanin" w:hAnsi="IRNazanin" w:eastAsia="IRNazanin" w:cs="IRNazanin"/>
          <w:lang w:bidi="fa-IR"/>
          <w:color w:val="111111"/>
          <w:sz w:val="28"/>
          <w:szCs w:val="28"/>
          <w:rtl/>
        </w:rPr>
        <w:t xml:space="preserve">والسیّد علیّ البهبهانیّ(رحمه الله) (ت1395ق)</w:t>
      </w:r>
    </w:p>
    <w:p>
      <w:pPr>
        <w:pStyle w:val="BookText"/>
      </w:pPr>
      <w:r>
        <w:rPr>
          <w:rFonts w:ascii="IRNazanin" w:hAnsi="IRNazanin" w:eastAsia="IRNazanin" w:cs="IRNazanin"/>
          <w:lang w:bidi="fa-IR"/>
          <w:color w:val="111111"/>
          <w:sz w:val="28"/>
          <w:szCs w:val="28"/>
          <w:rtl/>
        </w:rPr>
        <w:t xml:space="preserve">والسیّد هادی المیلانیّ(رحمه الله) (ت1395ق)</w:t>
      </w:r>
    </w:p>
    <w:p>
      <w:pPr>
        <w:pStyle w:val="BookText"/>
      </w:pPr>
      <w:r>
        <w:rPr>
          <w:rFonts w:ascii="IRNazanin" w:hAnsi="IRNazanin" w:eastAsia="IRNazanin" w:cs="IRNazanin"/>
          <w:lang w:bidi="fa-IR"/>
          <w:color w:val="111111"/>
          <w:sz w:val="28"/>
          <w:szCs w:val="28"/>
          <w:rtl/>
        </w:rPr>
        <w:t xml:space="preserve">والسیّد أبو الحسن الموسویّ الإصفهانیّ(رحمه الله) (ت1395ق)</w:t>
      </w:r>
    </w:p>
    <w:p>
      <w:pPr>
        <w:pStyle w:val="BookText"/>
      </w:pPr>
      <w:r>
        <w:rPr>
          <w:rFonts w:ascii="IRNazanin" w:hAnsi="IRNazanin" w:eastAsia="IRNazanin" w:cs="IRNazanin"/>
          <w:lang w:bidi="fa-IR"/>
          <w:color w:val="111111"/>
          <w:sz w:val="28"/>
          <w:szCs w:val="28"/>
          <w:rtl/>
        </w:rPr>
        <w:t xml:space="preserve">والسیّد أحمد الخوانساریّ(رحمه الله) (ت1405ق)</w:t>
      </w:r>
    </w:p>
    <w:p>
      <w:pPr>
        <w:pStyle w:val="BookText"/>
      </w:pPr>
      <w:r>
        <w:rPr>
          <w:rFonts w:ascii="IRNazanin" w:hAnsi="IRNazanin" w:eastAsia="IRNazanin" w:cs="IRNazanin"/>
          <w:lang w:bidi="fa-IR"/>
          <w:color w:val="111111"/>
          <w:sz w:val="28"/>
          <w:szCs w:val="28"/>
          <w:rtl/>
        </w:rPr>
        <w:t xml:space="preserve">والسیّد محمّد کاظم الشریعتمداریّ(رحمه الله) (ت1406ق)</w:t>
      </w:r>
    </w:p>
    <w:p>
      <w:pPr>
        <w:pStyle w:val="BookText"/>
      </w:pPr>
      <w:r>
        <w:rPr>
          <w:rFonts w:ascii="IRNazanin" w:hAnsi="IRNazanin" w:eastAsia="IRNazanin" w:cs="IRNazanin"/>
          <w:lang w:bidi="fa-IR"/>
          <w:color w:val="111111"/>
          <w:sz w:val="28"/>
          <w:szCs w:val="28"/>
          <w:rtl/>
        </w:rPr>
        <w:t xml:space="preserve">والسیّد أبو القاسم الخوئیّ(رحمه الله) (ت1413ق)</w:t>
      </w:r>
    </w:p>
    <w:p>
      <w:pPr>
        <w:pStyle w:val="BookText"/>
      </w:pPr>
      <w:r>
        <w:rPr>
          <w:rFonts w:ascii="IRNazanin" w:hAnsi="IRNazanin" w:eastAsia="IRNazanin" w:cs="IRNazanin"/>
          <w:lang w:bidi="fa-IR"/>
          <w:color w:val="111111"/>
          <w:sz w:val="28"/>
          <w:szCs w:val="28"/>
          <w:rtl/>
        </w:rPr>
        <w:t xml:space="preserve">والسیّد عبدالأعلی السبزواریّ; (ت1414ق)</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والسیّد محمّد رضا الگلپایگانیّ; (ت1415ق)</w:t>
      </w:r>
    </w:p>
    <w:p>
      <w:pPr>
        <w:pStyle w:val="BookText"/>
      </w:pPr>
      <w:r>
        <w:rPr>
          <w:rFonts w:ascii="Amiri" w:hAnsi="Amiri" w:eastAsia="Amiri" w:cs="Amiri"/>
          <w:lang w:bidi="ar-SA"/>
          <w:color w:val="111111"/>
          <w:sz w:val="28"/>
          <w:szCs w:val="28"/>
          <w:rtl/>
        </w:rPr>
        <w:t xml:space="preserve">والسیّد محمّد الحسینیّ الشیرازیّ; (ت1422ق)</w:t>
      </w:r>
      <w:r>
        <w:rPr>
          <w:rStyle w:val="FootnoteReference"/>
        </w:rPr>
        <w:footnoteReference w:id="66"/>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6616_50315"/>
    <w:bookmarkEnd w:id="18"/>
    <w:p>
      <w:pPr>
        <w:pStyle w:val="BookText"/>
      </w:pPr>
      <w:r>
        <w:rPr>
          <w:rFonts w:ascii="IRNazanin" w:hAnsi="IRNazanin" w:eastAsia="IRNazanin" w:cs="IRNazanin"/>
          <w:lang w:bidi="fa-IR"/>
          <w:color w:val="111111"/>
          <w:sz w:val="28"/>
          <w:szCs w:val="28"/>
          <w:rtl/>
        </w:rPr>
        <w:t xml:space="preserve">وقال المیرزا السیّد عبد الهادیّ الحسینیّ الشیرازیّ رحمه الله علیه (ت1394ق) معلّقاً علی العروة:</w:t>
      </w:r>
    </w:p>
    <w:p>
      <w:pPr>
        <w:pStyle w:val="BookText"/>
      </w:pPr>
      <w:r>
        <w:rPr>
          <w:rFonts w:ascii="IRNazanin" w:hAnsi="IRNazanin" w:eastAsia="IRNazanin" w:cs="IRNazanin"/>
          <w:lang w:bidi="fa-IR"/>
          <w:color w:val="111111"/>
          <w:sz w:val="28"/>
          <w:szCs w:val="28"/>
          <w:rtl/>
        </w:rPr>
        <w:t xml:space="preserve">إن لم یکونوا قائلین بالوحدة الشخصیّة، وإلّا فالأقوی نجاستهم.</w:t>
      </w:r>
    </w:p>
    <w:p>
      <w:pPr>
        <w:pStyle w:val="BookText"/>
      </w:pPr>
      <w:r>
        <w:rPr>
          <w:rFonts w:ascii="IRNazanin" w:hAnsi="IRNazanin" w:eastAsia="IRNazanin" w:cs="IRNazanin"/>
          <w:lang w:bidi="fa-IR"/>
          <w:color w:val="111111"/>
          <w:sz w:val="28"/>
          <w:szCs w:val="28"/>
          <w:rtl/>
        </w:rPr>
        <w:t xml:space="preserve">یعنی إنّ القائلین بالوحدة الشخصیّة محکومون بالنجاسة سواء التزموا بلوازم مذهبهم من المفاسد الاعتقادیّة أم لا وأمّا غیرهم فلا یحکم علیهم بنجاستهم إلّا مع التزامهم بها.</w:t>
      </w:r>
    </w:p>
    <w:p>
      <w:pPr>
        <w:pStyle w:val="BookText"/>
      </w:pPr>
      <w:r>
        <w:rPr>
          <w:rFonts w:ascii="IRNazanin" w:hAnsi="IRNazanin" w:eastAsia="IRNazanin" w:cs="IRNazanin"/>
          <w:lang w:bidi="fa-IR"/>
          <w:color w:val="111111"/>
          <w:sz w:val="28"/>
          <w:szCs w:val="28"/>
          <w:rtl/>
        </w:rPr>
        <w:t xml:space="preserve">وعلّق السیّد محمّد الفیروزآبادیّ(رحمه الله) (ت1345ق) علی کلام السیّد فقال:</w:t>
      </w:r>
    </w:p>
    <w:p>
      <w:pPr>
        <w:pStyle w:val="BookText"/>
      </w:pPr>
      <w:r>
        <w:rPr>
          <w:rFonts w:ascii="IRNazanin" w:hAnsi="IRNazanin" w:eastAsia="IRNazanin" w:cs="IRNazanin"/>
          <w:lang w:bidi="fa-IR"/>
          <w:color w:val="111111"/>
          <w:sz w:val="28"/>
          <w:szCs w:val="28"/>
          <w:rtl/>
        </w:rPr>
        <w:t xml:space="preserve">بالمعنی الذی لیس هو بکفر.</w:t>
      </w:r>
    </w:p>
    <w:p>
      <w:pPr>
        <w:pStyle w:val="BookText"/>
      </w:pPr>
      <w:r>
        <w:rPr>
          <w:rFonts w:ascii="IRNazanin" w:hAnsi="IRNazanin" w:eastAsia="IRNazanin" w:cs="IRNazanin"/>
          <w:lang w:bidi="fa-IR"/>
          <w:color w:val="111111"/>
          <w:sz w:val="28"/>
          <w:szCs w:val="28"/>
          <w:rtl/>
        </w:rPr>
        <w:t xml:space="preserve">وقال السیّد شهاب الدین المرعشیّ النجفیّ رحمه الله علیه (ت1411ق) معلّقاً علی کلام السیّد:</w:t>
      </w:r>
    </w:p>
    <w:p>
      <w:pPr>
        <w:pStyle w:val="BookText"/>
      </w:pPr>
      <w:r>
        <w:rPr>
          <w:rFonts w:ascii="IRNazanin" w:hAnsi="IRNazanin" w:eastAsia="IRNazanin" w:cs="IRNazanin"/>
          <w:lang w:bidi="fa-IR"/>
          <w:color w:val="111111"/>
          <w:sz w:val="28"/>
          <w:szCs w:val="28"/>
          <w:rtl/>
        </w:rPr>
        <w:t xml:space="preserve">والقائلون بوحدة الوجود فقط أو وحدة الموجود أیضاً.</w:t>
      </w:r>
      <w:r>
        <w:rPr>
          <w:rStyle w:val="FootnoteReference"/>
        </w:rPr>
        <w:footnoteReference w:id="67"/>
      </w:r>
    </w:p>
    <w:p>
      <w:pPr>
        <w:pStyle w:val="Heading3"/>
      </w:pPr>
      <w:bookmarkStart w:id="63" w:name="_Toc35"/>
      <w:r>
        <w:t>55. المحدّث الخبیر الشیخ عبّاس القمیّ(رحمه الله) (ت1359 ق)</w:t>
      </w:r>
      <w:bookmarkEnd w:id="63"/>
    </w:p>
    <w:p>
      <w:pPr>
        <w:pStyle w:val="BookText"/>
      </w:pPr>
      <w:r>
        <w:rPr>
          <w:rFonts w:ascii="IRNazanin" w:hAnsi="IRNazanin" w:eastAsia="IRNazanin" w:cs="IRNazanin"/>
          <w:lang w:bidi="fa-IR"/>
          <w:color w:val="111111"/>
          <w:sz w:val="28"/>
          <w:szCs w:val="28"/>
          <w:rtl/>
        </w:rPr>
        <w:t xml:space="preserve">فقد ذمّ الفلسفة فی سفینته وذکر بعض الروایات فی ذمّها ونقل کلمات وحکایات عن أعیان العلماء «قدّس اللّه أسرارهم» فی التحذیر والتجنّب عنها فراجع.</w:t>
      </w:r>
      <w:r>
        <w:rPr>
          <w:rStyle w:val="FootnoteReference"/>
        </w:rPr>
        <w:footnoteReference w:id="68"/>
      </w:r>
    </w:p>
    <w:p>
      <w:pPr>
        <w:pStyle w:val="Heading3"/>
      </w:pPr>
      <w:bookmarkStart w:id="64" w:name="_Toc36"/>
      <w:r>
        <w:t>56. شیخ مشایخنا العلّامة الفهّامة العالم بالعلوم القرآنیّة آیة اللّه المیرزا مهدیّ الإصفهانیّ «أعلی اللّه مقامه الشریف» (ت1365 ق)</w:t>
      </w:r>
      <w:bookmarkEnd w:id="64"/>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عُرف بمخالفته للفلاسفة والعرفاء وألّف کتباً فی الرّدّ علیهم وبیان معارف القرآن والروایات ومباینته مع الفلسفة والعرفان، وتخرّج علی یده العدید من الفقهاء والعلماء.</w:t>
      </w:r>
    </w:p>
    <w:p>
      <w:pPr>
        <w:pStyle w:val="BookText"/>
      </w:pPr>
      <w:r>
        <w:rPr>
          <w:rFonts w:ascii="IRNazanin" w:hAnsi="IRNazanin" w:eastAsia="IRNazanin" w:cs="IRNazanin"/>
          <w:lang w:bidi="fa-IR"/>
          <w:color w:val="111111"/>
          <w:sz w:val="28"/>
          <w:szCs w:val="28"/>
          <w:rtl/>
        </w:rPr>
        <w:t xml:space="preserve">قال شیخنا الأستاذ العلّامة النمازیّ رحمه الله علیه:</w:t>
      </w:r>
    </w:p>
    <w:p>
      <w:pPr>
        <w:pStyle w:val="BookText"/>
      </w:pPr>
      <w:r>
        <w:rPr>
          <w:rFonts w:ascii="IRNazanin" w:hAnsi="IRNazanin" w:eastAsia="IRNazanin" w:cs="IRNazanin"/>
          <w:lang w:bidi="fa-IR"/>
          <w:color w:val="111111"/>
          <w:sz w:val="28"/>
          <w:szCs w:val="28"/>
          <w:rtl/>
        </w:rPr>
        <w:t xml:space="preserve">هو العالم العامل الکامل بالعلوم الإلهیّة، والمؤیّد بالتأییدات الصمدانیّة، الورع التقیّ النقیّ المهذّب بالأخلاق الکریمة، والمتّصف بالصفات الجلیلة مولانا وأستاذنا الآقا میرزا مهدیّ الإصفهانیّ الخراسانیّ... وأجازه العلّامة النائینیّ وغیره أحسن الإجازات. وممّا عبّر به فی إجازته المفصّلة التی کتبها النائینیّ بخطّه الشریف فی شوّال 1338 هجری المزیّنة بخطوط جمع من الأعاظم المراجع الکرام وتکون عندی، قال:</w:t>
      </w:r>
    </w:p>
    <w:p>
      <w:pPr>
        <w:pStyle w:val="BookText"/>
      </w:pPr>
      <w:r>
        <w:rPr>
          <w:rFonts w:ascii="IRNazanin" w:hAnsi="IRNazanin" w:eastAsia="IRNazanin" w:cs="IRNazanin"/>
          <w:lang w:bidi="fa-IR"/>
          <w:color w:val="111111"/>
          <w:sz w:val="28"/>
          <w:szCs w:val="28"/>
          <w:rtl/>
        </w:rPr>
        <w:t xml:space="preserve">العالم العامل والتقیّ الفاضل العلم العلّام والمهذّب الهمام ذو القریحة القویمة والسّلیقة المستقیمة والنظر الصائب والفکر الثاقب عماد العلماء والصفوة الفقهاء الورع التقیّ والعدل الزکیّ جناب الآقا میرزا مهدیّ الإصفهانیّ أدام اللّه تعالی تأییده وبلّغه الأمانیّ _ إلی أن قال _ : وحصل له قوّة الاستنباط وبلغ رتبة الاجتهاد وجاز له العمل بما یستنبطه</w:t>
      </w:r>
    </w:p>
    <w:p>
      <w:pPr>
        <w:pStyle w:val="BookText"/>
      </w:pPr>
      <w:r>
        <w:rPr>
          <w:rFonts w:ascii="IRNazanin" w:hAnsi="IRNazanin" w:eastAsia="IRNazanin" w:cs="IRNazanin"/>
          <w:lang w:bidi="fa-IR"/>
          <w:color w:val="111111"/>
          <w:sz w:val="28"/>
          <w:szCs w:val="28"/>
          <w:rtl/>
        </w:rPr>
        <w:t xml:space="preserve">من الأحکام ... .</w:t>
      </w:r>
    </w:p>
    <w:p>
      <w:pPr>
        <w:pStyle w:val="BookText"/>
      </w:pPr>
      <w:r>
        <w:rPr>
          <w:rFonts w:ascii="IRNazanin" w:hAnsi="IRNazanin" w:eastAsia="IRNazanin" w:cs="IRNazanin"/>
          <w:lang w:bidi="fa-IR"/>
          <w:color w:val="111111"/>
          <w:sz w:val="28"/>
          <w:szCs w:val="28"/>
          <w:rtl/>
        </w:rPr>
        <w:t xml:space="preserve">وکان مشتغلاً بتعلّم الفلسفة المتعارفة وبلغ أعلی مراتبها قال: لم یطمئنّ قلبی بنیل الحقائق، ولم تسکن نفسی بدرک الدقائق، فعطفت وجه قلبی إلی مطالب أهل العرفان، فذهبت إلی أستاذ العرفاء والسالکین السیّد أحمد المعروف بالکربلائیّ فی کربلاء وتلمّذت عنده حتّی نلت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معرفة النّفس وأعطانی ورقة أمضاها. وذکر اسمی مع جماعة بأنّهم وصلوا إلی معرفة النفس وتخلیتها من البدن، ومع ذلک لم تسکن نفسی إذ رأیت هذه الحقائق والدقائق التی سمّوها بذلک لا توافق ظواهر الکتاب وبیان العترة ولابدّ من التأویل والتوجیه. ووجدت کلتا الطائفتین کسراب بقیعة یحسبه الظمآن ماءاً حتّی إذا جاءه لم یجده شیئا، فطویت عنهما کشحا وتوجّهت وتوسّلت مجدّاً مکدّاً إلی مسجد السهلة فی غیر أوانه باکیاً متضرّعاً متخشّعاً إلی صاحب العصر والزمان7، فبان لی الحقّ وظهر لی أمر اللّه ببرکة مولانا صاحب الزمان علیه السلام، ووقع نظری فی ورقة مکتوبة بخطّ جلیّ:</w:t>
      </w:r>
    </w:p>
    <w:p>
      <w:pPr>
        <w:pStyle w:val="BookText"/>
      </w:pPr>
      <w:r>
        <w:rPr>
          <w:rFonts w:ascii="IRNazanin" w:hAnsi="IRNazanin" w:eastAsia="IRNazanin" w:cs="IRNazanin"/>
          <w:lang w:bidi="fa-IR"/>
          <w:color w:val="111111"/>
          <w:sz w:val="28"/>
          <w:szCs w:val="28"/>
          <w:rtl/>
        </w:rPr>
        <w:t xml:space="preserve">«طلب المعارف من غیرنا _ أو طلب الهدایة من غیرنا (الشکّ منّی) _ مساوق لإنکارنا»، علی ظهرها مکتوب: «أقامنی الله وأنا الحجّة ابن الحسن».</w:t>
      </w:r>
    </w:p>
    <w:p>
      <w:pPr>
        <w:pStyle w:val="BookText"/>
      </w:pPr>
      <w:r>
        <w:rPr>
          <w:rFonts w:ascii="IRNazanin" w:hAnsi="IRNazanin" w:eastAsia="IRNazanin" w:cs="IRNazanin"/>
          <w:lang w:bidi="fa-IR"/>
          <w:color w:val="111111"/>
          <w:sz w:val="28"/>
          <w:szCs w:val="28"/>
          <w:rtl/>
        </w:rPr>
        <w:t xml:space="preserve">قال: فتبرّأت من الفلسفة والعرفان وألقیت ما کتبت منهما فی الشطّ ووجّهت وجهی کلّه إلی الکتاب الکریم وآثار العترة الطاهرة، فوجدت العلم کلّه فی کتاب اللّه العزیز وأخبار أهل بیت الرسالة الذین جعلهم اللّه خزّاناً لعلمه وتراجمة لوحیه، ورغّب وأکّد الرسول صلی الله علیه و آله بالتمسّک بهما، وضمن الهدایة للمتمسّک بهما؛ فاخترت الفحص عن أخبار أئمّة الهدی والبحث عن آثار سادات الوری، فأعطیت النظر فیها حقّه وأوفیت التدبّر فیها حظّه، فلعمری وجدتها سفینة نجاة مشحونة بذخائر السعادات، وألفیتها فلکاً مزیّناً بالنیّرات المنجیة من ظلمات الجهالات، ورأیت سُبُلَها لائحة وطرقها واضحة وأعلام الهدایة والفلاح علی مسالکها مرفوعة، ووصلت فی سلوک شوارعها إلی ریاض نضرة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6616_50318"/>
    <w:bookmarkEnd w:id="19"/>
    <w:p>
      <w:pPr>
        <w:pStyle w:val="BookText"/>
      </w:pPr>
      <w:r>
        <w:rPr>
          <w:rFonts w:ascii="Amiri" w:hAnsi="Amiri" w:eastAsia="Amiri" w:cs="Amiri"/>
          <w:lang w:bidi="ar-SA"/>
          <w:color w:val="111111"/>
          <w:sz w:val="28"/>
          <w:szCs w:val="28"/>
          <w:rtl/>
        </w:rPr>
        <w:t xml:space="preserve">وحدائق خضرة، مزیّنة بأزهار کلّ علم وثمار کلّ حکمة إلهیّة الموحاة إلی النوامیس الإلهیّة. فلم أعثر علی حکمة إلّا وفیها صفوها، ولم أظفر بحقیقة إلّا وفیها أصلها، و «الحَمدُ للهِ الذی هَدَانَا لِهذَا وَمَا کُنَّا لِنَهتَدِیَ لَولَا أَن هَدَانَا اللهُ»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r>
        <w:rPr>
          <w:rStyle w:val="FootnoteReference"/>
        </w:rPr>
        <w:footnoteReference w:id="70"/>
      </w:r>
    </w:p>
    <w:p>
      <w:pPr>
        <w:pStyle w:val="Heading3"/>
      </w:pPr>
      <w:bookmarkStart w:id="65" w:name="_Toc37"/>
      <w:r>
        <w:t>57. شیخ مشایخنا العلّامة الحاجّ الشیخ مجتبی القزوینیّ(رحمه الله) (ت1386ق)</w:t>
      </w:r>
      <w:bookmarkEnd w:id="65"/>
    </w:p>
    <w:p>
      <w:pPr>
        <w:pStyle w:val="BookText"/>
      </w:pPr>
      <w:r>
        <w:rPr>
          <w:rFonts w:ascii="IRNazanin" w:hAnsi="IRNazanin" w:eastAsia="IRNazanin" w:cs="IRNazanin"/>
          <w:lang w:bidi="fa-IR"/>
          <w:color w:val="111111"/>
          <w:sz w:val="28"/>
          <w:szCs w:val="28"/>
          <w:rtl/>
        </w:rPr>
        <w:t xml:space="preserve">قال فی کتابه بیان الفرقان فی بیان سبب تألیف الکتاب ما محصّله:</w:t>
      </w:r>
    </w:p>
    <w:p>
      <w:pPr>
        <w:pStyle w:val="BookText"/>
      </w:pPr>
      <w:r>
        <w:rPr>
          <w:rFonts w:ascii="IRNazanin" w:hAnsi="IRNazanin" w:eastAsia="IRNazanin" w:cs="IRNazanin"/>
          <w:lang w:bidi="fa-IR"/>
          <w:color w:val="111111"/>
          <w:sz w:val="28"/>
          <w:szCs w:val="28"/>
          <w:rtl/>
        </w:rPr>
        <w:t xml:space="preserve">أنّه قد کان فی قدیم الأیّام طریقة الفقهاء والتابعین للقرآن والسنّة ممتازاً عن طریقة الفلاسفة الیونانیّة والعرفاء والصوفیّة، وکان کلّ یری أنّ طریقه هو الحقّ وکان یتبرّی من المنهج الآخر، فإنّه کان من المسلّمات مخالفة منهج القرآن والسنّة مع منهج الفلاسفة. وترجمة الفلسفة الیونانیّة ونقلها إلی العربیّة قد تمّت فی عصر الخلفاء.</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وقد ذکر فی المجلد الرابع منه فی الخاتمة کلمات العلماء فی ذمّ الفلاسفة والعرفاء المتصوّفة والکتب التی صنّفت فی ردّهم وذمّهم،فراجع.</w:t>
      </w:r>
    </w:p>
    <w:p>
      <w:pPr>
        <w:pStyle w:val="Heading3"/>
      </w:pPr>
      <w:bookmarkStart w:id="66" w:name="_Toc38"/>
      <w:r>
        <w:t>58. شیخنا الأستاذ العلّامة الحجّة البحّاثة الشیخ علیّ النمازیّ الشاهرودیّ «أعلی اللّه مقامه الشّریف» (ت1405 ق)</w:t>
      </w:r>
      <w:bookmarkEnd w:id="66"/>
    </w:p>
    <w:p>
      <w:pPr>
        <w:pStyle w:val="BookText"/>
      </w:pPr>
      <w:r>
        <w:rPr>
          <w:rFonts w:ascii="IRNazanin" w:hAnsi="IRNazanin" w:eastAsia="IRNazanin" w:cs="IRNazanin"/>
          <w:lang w:bidi="fa-IR"/>
          <w:color w:val="111111"/>
          <w:sz w:val="28"/>
          <w:szCs w:val="28"/>
          <w:rtl/>
        </w:rPr>
        <w:t xml:space="preserve">له عبارات کثیرة فی المقام فراجع کتابه القیّم مستدرک سفینة البحار «مادّة: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6616_50319"/>
    <w:bookmarkEnd w:id="20"/>
    <w:p>
      <w:pPr>
        <w:pStyle w:val="BookText"/>
      </w:pPr>
      <w:r>
        <w:rPr>
          <w:rFonts w:ascii="IRNazanin" w:hAnsi="IRNazanin" w:eastAsia="IRNazanin" w:cs="IRNazanin"/>
          <w:lang w:bidi="fa-IR"/>
          <w:color w:val="111111"/>
          <w:sz w:val="28"/>
          <w:szCs w:val="28"/>
          <w:rtl/>
        </w:rPr>
        <w:t xml:space="preserve">صوف»</w:t>
      </w:r>
      <w:r>
        <w:rPr>
          <w:rStyle w:val="FootnoteReference"/>
        </w:rPr>
        <w:footnoteReference w:id="72"/>
      </w:r>
      <w:r>
        <w:rPr>
          <w:rFonts w:ascii="Amiri" w:hAnsi="Amiri" w:eastAsia="Amiri" w:cs="Amiri"/>
          <w:lang w:bidi="ar-SA"/>
          <w:color w:val="111111"/>
          <w:sz w:val="28"/>
          <w:szCs w:val="28"/>
          <w:rtl/>
        </w:rPr>
        <w:t xml:space="preserve">و «مادّة: فلسف»،</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وکتابه: تاریخ الفلسفة والتصوّف.</w:t>
      </w:r>
    </w:p>
    <w:p>
      <w:pPr>
        <w:pStyle w:val="Heading3"/>
      </w:pPr>
      <w:bookmarkStart w:id="67" w:name="_Toc39"/>
      <w:r>
        <w:t>59. آیة اللّه العظمی السیّد الخوئیّ(رحمه الله) (ت1413 ق)</w:t>
      </w:r>
      <w:bookmarkEnd w:id="67"/>
    </w:p>
    <w:p>
      <w:pPr>
        <w:pStyle w:val="BookText"/>
      </w:pPr>
      <w:r>
        <w:rPr>
          <w:rFonts w:ascii="IRNazanin" w:hAnsi="IRNazanin" w:eastAsia="IRNazanin" w:cs="IRNazanin"/>
          <w:lang w:bidi="fa-IR"/>
          <w:color w:val="111111"/>
          <w:sz w:val="28"/>
          <w:szCs w:val="28"/>
          <w:rtl/>
        </w:rPr>
        <w:t xml:space="preserve">قال فی کتابه البیان فی تفسیر القرآن تحت عنوان: «أثر الفلسفة الیونانیّة فی حیاة المسلمین»:</w:t>
      </w:r>
    </w:p>
    <w:p>
      <w:pPr>
        <w:pStyle w:val="BookText"/>
      </w:pPr>
      <w:r>
        <w:rPr>
          <w:rFonts w:ascii="IRNazanin" w:hAnsi="IRNazanin" w:eastAsia="IRNazanin" w:cs="IRNazanin"/>
          <w:lang w:bidi="fa-IR"/>
          <w:color w:val="111111"/>
          <w:sz w:val="28"/>
          <w:szCs w:val="28"/>
          <w:rtl/>
        </w:rPr>
        <w:t xml:space="preserve">وقد کان المسلمون بأسرهم علی ذلک، ولم یکن لهم أیّ اختلاف فیه، حتّی دخلت الفلسفة الیونانیّة أوساط المسلمین، وحتّی شعّبتهم بدخولها فرقاً تکفّر کلّ طائفة أختها، وحتّی استحال النزاع والجدال إلی المشاجرة والقتال، فکم هتکت فی الإسلام من أعراض محترمة، وکم اختلست من نفوس بریئة، مع أنّ القاتل والمقتول یعترفان بالتوحید، ویقرّان بالرسالة والمعاد. أ لیس من الغریب أن یتعرّض المسلم إلی هتک عرض أخیه المسلم و إلی قتله؟ وکلاهما یشهد أن لا إله إلّا اللّه وحده لا شریک له، وأنّ محمّداً عبده ورسوله، جاء بالحقّ من عنده، وأنّ اللّه یبعث من فی القبور. أولم تکن سیرة نبیّ الإسلام وسیرة من ولی الأمر من بعده أن یرتّبوا آثار الإسلام علی من یشهد بذلک؟ فهل روی أحد أنّ الرسول أو غیره ممّن قام مقامه سأل أحداً عن حدوث القرآن وقدمه، أو عمّا سواه من المسائل الخلافیّة، ولم یحکم بإسلامه إلّا بعد أن أقرّ بأحد طرفی الخلاف؟!! ولست أدری _ ولیتنی کنت</w:t>
      </w:r>
    </w:p>
    <w:p>
      <w:pPr>
        <w:pStyle w:val="BookText"/>
      </w:pPr>
      <w:r>
        <w:rPr>
          <w:rFonts w:ascii="IRNazanin" w:hAnsi="IRNazanin" w:eastAsia="IRNazanin" w:cs="IRNazanin"/>
          <w:lang w:bidi="fa-IR"/>
          <w:color w:val="111111"/>
          <w:sz w:val="28"/>
          <w:szCs w:val="28"/>
          <w:rtl/>
        </w:rPr>
        <w:t xml:space="preserve">أدری _ بماذا یعتذر من ألقی الخلاف بین المسلمین وبم یجیب ربّه یوم یلاقیه، فیسأله عمّا ارتکب؟ فإنّا للّه وإنّا إلیه راجعون.</w:t>
      </w:r>
      <w:r>
        <w:rPr>
          <w:rStyle w:val="FootnoteReference"/>
        </w:rPr>
        <w:footnoteReference w:id="74"/>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رحمه الله علیه فی کتاب الطهارة فی البحث عن نجاسة الکفّار:</w:t>
      </w:r>
    </w:p>
    <w:p>
      <w:pPr>
        <w:pStyle w:val="BookText"/>
      </w:pPr>
      <w:r>
        <w:rPr>
          <w:rFonts w:ascii="IRNazanin" w:hAnsi="IRNazanin" w:eastAsia="IRNazanin" w:cs="IRNazanin"/>
          <w:lang w:bidi="fa-IR"/>
          <w:color w:val="111111"/>
          <w:sz w:val="28"/>
          <w:szCs w:val="28"/>
          <w:rtl/>
        </w:rPr>
        <w:t xml:space="preserve">وإن أراد من وحدة الوجود ما یقابل الأوّل وهو أن یقول بوحدة الوجود والموجود حقیقة، وأنّه لیس هناک فی الحقیقة إلّا موجود واحد، ولکن له تطوّرات متکثّرة، واعتبارات مختلفة، لأنّه فی الخالق خالق، وفی المخلوق مخلوق، کما أنّه فی السماء سماء، وفی الأرض أرض وهکذا، وهذا هو الذی یقال له توحید خاصّ الخاصّ ... وحکی عن بعضهم أنّه قال: «لیس فی جبّتی سوی اللّه» ... فإنّ العاقل کیف یصدر عنه هذا الکلام؟ وکیف یلتزم بوحدة الخالق ومخلوقه ویدّعی اختلافهما بحسب الاعتبار؟! وکیف کان، فلا إشکال فی أنّ الالتزام بذلک کفر صریح، وزندقة ظاهرة، لأنّه إنکار للواجب والنّبیّ(صلی الله علیه و آله)، حیث لا امتیاز للخالق عن المخلوق حینئذ إلّا بالاعتبار، وکذا النبیّ(صلی الله علیه و آله) وأبو جهل مثلاً متّحدان فی الحقیقة علی هذا الأساس، وإنّما یختلفان بحسب الاعتبار.</w:t>
      </w:r>
      <w:r>
        <w:rPr>
          <w:rStyle w:val="FootnoteReference"/>
        </w:rPr>
        <w:footnoteReference w:id="75"/>
      </w:r>
    </w:p>
    <w:p>
      <w:pPr>
        <w:pStyle w:val="BookText"/>
      </w:pPr>
      <w:r>
        <w:rPr>
          <w:rFonts w:ascii="Amiri" w:hAnsi="Amiri" w:eastAsia="Amiri" w:cs="Amiri"/>
          <w:lang w:bidi="ar-SA"/>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ودعوی أنّ المَلَک من عالم المجرّدات فلیس له مادّة، کما اشتهر فی ألسنة الفلاسفة دعوی جزافیّة، فإنّه مع الخدشة فی أدلّة القول بعالم المجرّدات ما سوی اللّه، کما حقّق فی محلّه، أنّه مخالف لظاهر الشرع، ومن هنا حکم المجلسیّ(رحمه الله) فی اعتقاداته بکفر من أنکر جسمیّة المَلَک، وتفصیل الکلام فی محلّه.</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استفتاء عن السیّد الخوئیّ والشیخ التبریزیّ «قدّس اللّه أسرارهما»: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إنّ دراسة الفلسفة لازمة لطالب العلوم الدینیّة الذی یضع نفسه فی موضع الأخذ والردّ بالنسبة إلی سائر العقائد والأدیان، وهل هناک وجوب کفائیّ علی طلاّب العلوم الدینیّة فی القیام بهذا الدور، وهل یمکن إدخال هذا تحت عنوان کونه (أی الفلسفة) مقدّمة للأمر بالمعروف والنهی عن المنکر أو کونه مقدّمة للحفاظ علی الدین أو کلیهما، وإن لم تکن لازمة لطلّاب العلوم الدینیّة فهل فیها رجحان أو لا رجحان فیها أصلاً. ثمّ إنّ دراسة الفلسفة علی من تکون غیر جائزة؟ أرجو أن توضّحوا لنا جواب هذه الفقرة تماماً. ولو فرضنا أنّ فهم علم أصول الفقه أو بعض أبوابه _ فهماً صحیحاً کاملاً _ کان متوقّفاً علیها فهل هناک رجحان فی دراستها عموماً، أو بقید أنّ هذا الطالب یکون له مستقبل جیّد فی الإفادة إن شاء اللّه؟</w:t>
      </w:r>
    </w:p>
    <w:p>
      <w:pPr>
        <w:pStyle w:val="BookText"/>
      </w:pPr>
      <w:r>
        <w:rPr>
          <w:rFonts w:ascii="IRNazanin" w:hAnsi="IRNazanin" w:eastAsia="IRNazanin" w:cs="IRNazanin"/>
          <w:lang w:bidi="fa-IR"/>
          <w:color w:val="111111"/>
          <w:sz w:val="28"/>
          <w:szCs w:val="28"/>
          <w:rtl/>
        </w:rPr>
        <w:t xml:space="preserve">أجاب المحقّق الخوئیّ ووافقه تلمیذه الفقیه الشیخ التبریزیّ «أعلی اللّه مقامهما»:</w:t>
      </w:r>
    </w:p>
    <w:p>
      <w:pPr>
        <w:pStyle w:val="BookText"/>
      </w:pPr>
      <w:r>
        <w:rPr>
          <w:rFonts w:ascii="IRNazanin" w:hAnsi="IRNazanin" w:eastAsia="IRNazanin" w:cs="IRNazanin"/>
          <w:lang w:bidi="fa-IR"/>
          <w:color w:val="111111"/>
          <w:sz w:val="28"/>
          <w:szCs w:val="28"/>
          <w:rtl/>
        </w:rPr>
        <w:t xml:space="preserve">لم یتّضح لنا توقّف ما ذکر علی دراسة الفلسفة وقد تعرّضوا للمقدار اللازم منها فی طیّ أصول الدین والفقه، وإذا خاف من الضلال إثر دراستها حرم وإلّا فلا مانع منه فی حدّ نفسه، واللّه العالم.</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وقد جاء فی کتاب خاطرات وزندگانی آقای حکیم بیانیّة السیّد آیة اللّه العظمی الخوئیّ رحمه الله علیه حیث قال:</w:t>
      </w:r>
    </w:p>
    <w:p>
      <w:pPr>
        <w:pStyle w:val="BookText"/>
      </w:pPr>
      <w:r>
        <w:rPr>
          <w:rFonts w:ascii="IRNazanin" w:hAnsi="IRNazanin" w:eastAsia="IRNazanin" w:cs="IRNazanin"/>
          <w:lang w:bidi="fa-IR"/>
          <w:color w:val="111111"/>
          <w:sz w:val="28"/>
          <w:szCs w:val="28"/>
          <w:rtl/>
        </w:rPr>
        <w:t xml:space="preserve">حزب توده مثل عقیده فلسفه که ضدّ اصول اسلام است می‌باشد.</w:t>
      </w:r>
    </w:p>
    <w:p>
      <w:pPr>
        <w:pStyle w:val="BookText"/>
      </w:pPr>
      <w:r>
        <w:rPr>
          <w:rFonts w:ascii="IRNazanin" w:hAnsi="IRNazanin" w:eastAsia="IRNazanin" w:cs="IRNazanin"/>
          <w:lang w:bidi="fa-IR"/>
          <w:color w:val="111111"/>
          <w:sz w:val="28"/>
          <w:szCs w:val="28"/>
          <w:rtl/>
        </w:rPr>
        <w:t xml:space="preserve">پس این عقیده کفر وشرک است.</w:t>
      </w:r>
      <w:r>
        <w:rPr>
          <w:rStyle w:val="FootnoteReference"/>
        </w:rPr>
        <w:footnoteReference w:id="78"/>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6616_50322"/>
    <w:bookmarkEnd w:id="21"/>
    <w:p>
      <w:pPr>
        <w:pStyle w:val="Heading3"/>
      </w:pPr>
      <w:bookmarkStart w:id="68" w:name="_Toc40"/>
      <w:r>
        <w:t>60. الشیخ محمّد جواد البلاغیّ(رحمه الله) (ت1352 ق)</w:t>
      </w:r>
      <w:bookmarkEnd w:id="68"/>
    </w:p>
    <w:p>
      <w:pPr>
        <w:pStyle w:val="BookText"/>
      </w:pPr>
      <w:r>
        <w:rPr>
          <w:rFonts w:ascii="IRNazanin" w:hAnsi="IRNazanin" w:eastAsia="IRNazanin" w:cs="IRNazanin"/>
          <w:lang w:bidi="fa-IR"/>
          <w:color w:val="111111"/>
          <w:sz w:val="28"/>
          <w:szCs w:val="28"/>
          <w:rtl/>
        </w:rPr>
        <w:t xml:space="preserve">قال فی رسالة البداء:</w:t>
      </w:r>
    </w:p>
    <w:p>
      <w:pPr>
        <w:pStyle w:val="BookText"/>
      </w:pPr>
      <w:r>
        <w:rPr>
          <w:rFonts w:ascii="IRNazanin" w:hAnsi="IRNazanin" w:eastAsia="IRNazanin" w:cs="IRNazanin"/>
          <w:lang w:bidi="fa-IR"/>
          <w:color w:val="111111"/>
          <w:sz w:val="28"/>
          <w:szCs w:val="28"/>
          <w:rtl/>
        </w:rPr>
        <w:t xml:space="preserve">فالبداء، وأنّ اللّه یمحو ما یشاء ویثبت، وعنده أمّ الکتاب ، یکون الاعتراف بحقیقتها المعقولة ومدلول الأحادیث، هو الفارق بین الإلهیّة والطبیعیّة، وهو الفارق بین الاعتراف بحقیقة الإلهیّة وبین المزاعم المستحیلة فی مسألة العقول العشرة المبنیّة علی التقلید الأعمی للفلسفة الیونانیّة ومزاعم أوهامها، مع الخبط فی أمر الإیجاد بالإرادة والتعلیل الطبیعی.</w:t>
      </w:r>
      <w:r>
        <w:rPr>
          <w:rStyle w:val="FootnoteReference"/>
        </w:rPr>
        <w:footnoteReference w:id="79"/>
      </w:r>
    </w:p>
    <w:p>
      <w:pPr>
        <w:pStyle w:val="Heading3"/>
      </w:pPr>
      <w:bookmarkStart w:id="69" w:name="_Toc41"/>
      <w:r>
        <w:t>61 . آیة اللّه العظمی المرعشیّ النجفیّ(رحمه الله) (ت1411 ق)</w:t>
      </w:r>
      <w:bookmarkEnd w:id="69"/>
    </w:p>
    <w:p>
      <w:pPr>
        <w:pStyle w:val="BookText"/>
      </w:pPr>
      <w:r>
        <w:rPr>
          <w:rFonts w:ascii="IRNazanin" w:hAnsi="IRNazanin" w:eastAsia="IRNazanin" w:cs="IRNazanin"/>
          <w:lang w:bidi="fa-IR"/>
          <w:color w:val="111111"/>
          <w:sz w:val="28"/>
          <w:szCs w:val="28"/>
          <w:rtl/>
        </w:rPr>
        <w:t xml:space="preserve">وقال فی تعلیقته علی إحقاق الحقّ:</w:t>
      </w:r>
    </w:p>
    <w:p>
      <w:pPr>
        <w:pStyle w:val="BookText"/>
      </w:pPr>
      <w:r>
        <w:rPr>
          <w:rFonts w:ascii="IRNazanin" w:hAnsi="IRNazanin" w:eastAsia="IRNazanin" w:cs="IRNazanin"/>
          <w:lang w:bidi="fa-IR"/>
          <w:color w:val="111111"/>
          <w:sz w:val="28"/>
          <w:szCs w:val="28"/>
          <w:rtl/>
        </w:rPr>
        <w:t xml:space="preserve">وعندی أنّ مصیبة الصوفیّة علی الإسلام من أعظم المصائب، تهدّمت بها أرکانه وانثلمت بنیانه، وظهر لی بعد الفحص الأکید والتجوّل فی مضامیر کلماتهم والوقوف علی ما فی خبایا مطالبهم والعثور علی مخبیّاتهم بعد الاجتماع برؤساء فرقهم؛ أنّ الداء سری إلی الدین من رهبة النصاری فتلقّاه جمع من العامّة کالحسن البصریّ والشبلی ومعروف وطاوس و الزهریّ وجنید ونحوهم، ثمّ سری منهم إلی الشیعة حتّی رقی شأنهم وعلت رایاتهم، بحیث ما أبقوا حجراً علی حجر من أساس الدین، أوّلوا نصوص الکتاب والسنّة، وخالفوا الأحکام الفطریّة العقلیّة، والتزموا بوحدة الوجود بل الموجود، وأخذ الوجهة فی العبادة والمداومة علی الأوراد المشحونة بالکفر والأباطیل التی لفّقتها رؤسائهم!</w:t>
      </w:r>
    </w:p>
    <w:p>
      <w:pPr>
        <w:pStyle w:val="BookText"/>
      </w:pPr>
      <w:r>
        <w:rPr>
          <w:rFonts w:ascii="IRNazanin" w:hAnsi="IRNazanin" w:eastAsia="IRNazanin" w:cs="IRNazanin"/>
          <w:lang w:bidi="fa-IR"/>
          <w:color w:val="111111"/>
          <w:sz w:val="28"/>
          <w:szCs w:val="28"/>
          <w:rtl/>
        </w:rPr>
        <w:t xml:space="preserve">والتزامهم بما یسمّونه بالذکر الخفیّ القلبیّ شارعاً من یمین القلب خاتماً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بیساره معبّراً عنه بالسّفر من الحقّ إلی الخلق تارة، والتنزّل من القوس الصعودیّ إلی النزولیّ أخری وبالعکس معبّراً عنه بالسفر من الخلق إلی الحقّ والعروج من القوس النزولیّ إلی الصعودیّ أخری.</w:t>
      </w:r>
    </w:p>
    <w:p>
      <w:pPr>
        <w:pStyle w:val="BookText"/>
      </w:pPr>
      <w:r>
        <w:rPr>
          <w:rFonts w:ascii="IRNazanin" w:hAnsi="IRNazanin" w:eastAsia="IRNazanin" w:cs="IRNazanin"/>
          <w:lang w:bidi="fa-IR"/>
          <w:color w:val="111111"/>
          <w:sz w:val="28"/>
          <w:szCs w:val="28"/>
          <w:rtl/>
        </w:rPr>
        <w:t xml:space="preserve">فیا للّه من هذه الطامات، فأسروا ترهاتهم إلی الفقه أیضاً فی مبحث النیّة وغیره، ورأیت بعض مرشدیهم یتلو أشعار المغربیّ العارف من دیوانه ویبکی ویعتنی به کالاعتناء بآیات الکتاب الکریم، فتعساً لقوم ترکوا القرآن الشریف وأدعیة الصحیفة الکاملة زبور آل محمّد(صلی الله علیه و آله) وکلمات موالینا وساداتنا الأئمّة:، واشتغلوا بأمثال ما أومأنا إلیها، ورأیت بعض من کان یدّعی الفضل منهم یجعل بضاعة ترویج مسلکه أمثال ما یعزی إلیهم:: «لنا مع اللّه حالات فیها هو نحن ونحن هو» وما دری المسکین فی العلم والتتبّع والتثبّت والضبط أنّ کتاب مصباح الشریعة وما یشبهه من الکتب المودعة فیها أمثال هذه المناکیر ممّا لفّقتها أیادی المتصوّفة فی الأعصار السالفة وأبقتها لنا تراثا.</w:t>
      </w:r>
    </w:p>
    <w:p>
      <w:pPr>
        <w:pStyle w:val="BookText"/>
      </w:pPr>
      <w:r>
        <w:rPr>
          <w:rFonts w:ascii="IRNazanin" w:hAnsi="IRNazanin" w:eastAsia="IRNazanin" w:cs="IRNazanin"/>
          <w:lang w:bidi="fa-IR"/>
          <w:color w:val="111111"/>
          <w:sz w:val="28"/>
          <w:szCs w:val="28"/>
          <w:rtl/>
        </w:rPr>
        <w:t xml:space="preserve">وخلاصة الکلام أنّه آل أمر الصوفیّة إلی حدّ صرفوا المحصّلین عن العلم بقولهم: إنّ العلم حجاب وأنّ بنظرة من القطب الکامل یصیر الشقیّ سعیداً بل ولیّا، وبنفحة فی وجه المسترشد والمرید أو تفلة فی فمه تطیعه الأفاعی والعقارب الضاریة وتنحلّ تحت أمره قوانین الطبیعة ونوامیس نشأة الکون والفساد، وأنّ الولایة مقام لا ینافیها ارتکاب الکبائر بل الکفر والزندقة معلّلین بأنّه لا محرّم ولا واجب بعد الوصول والشهود، ثمّ إنّ شیوع التصوّف وبناء الخانقاهات کان فی القرن الرابع حیث إنّ بعض المرشدین من أهل ذلک القرن لمّا رأوا تفنّن المتکلّمین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العقائد، فاقتبسوا من فلسفة فیثاغورس وتابعیه فی الإلهیّات قواعد وانتزعوا من لاهوتیّات أهل الکتاب والوثنیّین جملاً وألبسوها لباساً إسلامیّاً فجعلوها علماً مخصوصاً میّزوه باسم علم التصوّف أو الحقیقة أو الباطن أو الفقر أو الفناء أو الکشف والشهود.</w:t>
      </w:r>
    </w:p>
    <w:p>
      <w:pPr>
        <w:pStyle w:val="BookText"/>
      </w:pPr>
      <w:r>
        <w:rPr>
          <w:rFonts w:ascii="IRNazanin" w:hAnsi="IRNazanin" w:eastAsia="IRNazanin" w:cs="IRNazanin"/>
          <w:lang w:bidi="fa-IR"/>
          <w:color w:val="111111"/>
          <w:sz w:val="28"/>
          <w:szCs w:val="28"/>
          <w:rtl/>
        </w:rPr>
        <w:t xml:space="preserve">وألّفوا وصنّفوا فی ذلک کتباً ورسائل، وکان الأمر کذلک إلی أن حلّ القرن الخامس وما یلیه من القرون فقام بعض الدهاة فی التصوّف فرأوا مجالا ورحبا وسیعا لأن یحوزوا بین الجهّال مقاما شامخا کمقام النبوّة بل الألوهیّة باسم الولایة والغوثیّة والقطبیّة بدعوی التصرّف فی الملکوت بالقوّة القدسیّة فکیف بالناسوت، فوسّعوا فلسفة التّصوّف بمقالات مبنیّة علی مزخرف التأویلات والکشف الخیالیّ والأحلام والأوهام، فألّفوا الکتب المتظافرة الکثیرة ککتاب «التعرف»، و«الدلالة»، «الفصوص»، و«شروحه»، و«النفحات»، و«الرشحات»، و«المکاشفات»، «الإنسان الکامل»، و«العوارف»، و«المعارف»، و«التأویلات» ونحوها من الزبر والأسفار المحشوّة بحکایات مکذوبة، وقضایا لا مفهوم لها البتّة، حتّی ولا فی مخیّلة قائلیها، کما أنّ قارئیها أو سامعیها لا یتصوّرون لها معنی مطلقا وإن کان بعضهم یتظاهر بحالة الفهم ویقول بأنّ للقوم إصطلاحات، لا تدرک إلّا بالذوق الذی لا یعرفه إلّا من شرب من شرابهم وسکر من دنهم وراحهم.</w:t>
      </w:r>
    </w:p>
    <w:p>
      <w:pPr>
        <w:pStyle w:val="BookText"/>
      </w:pPr>
      <w:r>
        <w:rPr>
          <w:rFonts w:ascii="IRNazanin" w:hAnsi="IRNazanin" w:eastAsia="IRNazanin" w:cs="IRNazanin"/>
          <w:lang w:bidi="fa-IR"/>
          <w:color w:val="111111"/>
          <w:sz w:val="28"/>
          <w:szCs w:val="28"/>
          <w:rtl/>
        </w:rPr>
        <w:t xml:space="preserve">فلمّا راج متاعهم وذاع ذکرهم وراق سوقهم تشعّبوا فرقا وشعوبا وأغفلوا العوامّ والسفلة بالحدیث الموضوع المفتری: «الطرق إلی اللّه بعدد أنفاس الخلائق»، وجعل کلّ فرقة منهم لتمییزها عن غیرها علائم وممیّزات بعد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6616_50325"/>
    <w:bookmarkEnd w:id="22"/>
    <w:p>
      <w:pPr>
        <w:pStyle w:val="BookText"/>
      </w:pPr>
      <w:r>
        <w:rPr>
          <w:rFonts w:ascii="IRNazanin" w:hAnsi="IRNazanin" w:eastAsia="IRNazanin" w:cs="IRNazanin"/>
          <w:lang w:bidi="fa-IR"/>
          <w:color w:val="111111"/>
          <w:sz w:val="28"/>
          <w:szCs w:val="28"/>
          <w:rtl/>
        </w:rPr>
        <w:t xml:space="preserve">اشتراک الجمیع فی فتل الشوارب وأخذ الوجهة والتجمع فی حلقات الأذکار. عاملهم اللّه وجزاهم بما فعلوا فی الإسلام، وأعتذر من إخوانی النّاظرین عن إطالة الکلام حیث إنّها نفثة مصدور وتنفّس صعداء وشقشقة هدرت غصص وآلام وأحزان بدرت، عصمنا اللّه وإیّاکم من تسویلات نسجة العرفان وحیکة الفلسفة والتصوّف وجعلنا وإیّاکم ممّن أناخ المطیّة بأبواب أهل بیت رسول اللّه(صلی الله علیه و آله) ولم یعرف سواهم آمین آمین.</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أقول: إلی هنا نکتفی بمن کانت لهم مواقف صریحة فیما نحن فیه، [ولجهة الإختصار فیما یلی إشارة إلی أسماء أعلام وفقهاء آخرین لهم موقف مماثل، مع إمکان مراجعة أقوالهم من المصادر المذکورة فی الهامش:]</w:t>
      </w:r>
    </w:p>
    <w:p>
      <w:pPr>
        <w:pStyle w:val="Heading3"/>
      </w:pPr>
      <w:bookmarkStart w:id="70" w:name="_Toc42"/>
      <w:r>
        <w:t>62. السیّد حیدر الآملی(رحمه الله) (توفّی بعد 787ق)</w:t>
      </w:r>
      <w:bookmarkEnd w:id="70"/>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السیّد حیدر الآملی(رحمه الله) (توفّی بعد 787ق)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71" w:name="_Toc43"/>
      <w:r>
        <w:t>63 . آیة اللّه العظمی الشیخ محمّد علیّ الأراکیّ1 (ت1415ق)</w:t>
      </w:r>
      <w:bookmarkEnd w:id="71"/>
    </w:p>
    <w:p>
      <w:pPr>
        <w:pStyle w:val="BookText"/>
      </w:pPr>
      <w:r>
        <w:rPr>
          <w:rFonts w:ascii="Amiri" w:hAnsi="Amiri" w:eastAsia="Amiri" w:cs="Amiri"/>
          <w:lang w:bidi="ar-SA"/>
          <w:color w:val="111111"/>
          <w:sz w:val="28"/>
          <w:szCs w:val="28"/>
          <w:rtl/>
        </w:rPr>
        <w:t xml:space="preserve">63 . آیة اللّه العظمی الشیخ محمّد علیّ الأراکیّ1 (ت1415ق) </w:t>
      </w:r>
      <w:r>
        <w:rPr>
          <w:rStyle w:val="FootnoteReference"/>
        </w:rPr>
        <w:footnoteReference w:id="81"/>
      </w:r>
    </w:p>
    <w:p>
      <w:pPr>
        <w:pStyle w:val="Heading3"/>
      </w:pPr>
      <w:bookmarkStart w:id="72" w:name="_Toc44"/>
      <w:r>
        <w:t>64. علیّ بن أحمد أبو القاسم الکوفیّ(رحمه الله) (ت352ق)</w:t>
      </w:r>
      <w:bookmarkEnd w:id="72"/>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علیّ بن أحمد أبو القاسم الکوفیّ(رحمه الله) (ت352ق)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3"/>
      </w:pPr>
      <w:bookmarkStart w:id="73" w:name="_Toc45"/>
      <w:r>
        <w:t>65. علیّ بن محمّد بن العبّاس(رحمه الله) (ت125ق)</w:t>
      </w:r>
      <w:bookmarkEnd w:id="73"/>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علیّ بن محمّد بن العبّاس(رحمه الله) (ت125ق)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3"/>
      </w:pPr>
      <w:bookmarkStart w:id="74" w:name="_Toc46"/>
      <w:r>
        <w:t>66. هلال بن إبراهیم أبو الفتح(رحمه الله)</w:t>
      </w:r>
      <w:bookmarkEnd w:id="74"/>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هلال بن إبراهیم أبو الفتح(رحمه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3"/>
      </w:pPr>
      <w:bookmarkStart w:id="75" w:name="_Toc47"/>
      <w:r>
        <w:t>67 . ثقة الإسلام محمّد بن یعقوب الکلینیّ1(ت329ق)</w:t>
      </w:r>
      <w:bookmarkEnd w:id="75"/>
    </w:p>
    <w:p>
      <w:pPr>
        <w:pStyle w:val="BookText"/>
      </w:pPr>
      <w:r>
        <w:rPr>
          <w:rFonts w:ascii="IRNazanin" w:hAnsi="IRNazanin" w:eastAsia="IRNazanin" w:cs="IRNazanin"/>
          <w:lang w:bidi="fa-IR"/>
          <w:color w:val="111111"/>
          <w:sz w:val="28"/>
          <w:szCs w:val="28"/>
          <w:rtl/>
        </w:rPr>
        <w:t xml:space="preserve">67 . ثقة الإسلام محمّد بن یعقوب الکلینیّ1(ت329ق)</w:t>
      </w:r>
      <w:r>
        <w:rPr>
          <w:rStyle w:val="FootnoteReference"/>
        </w:rPr>
        <w:footnoteReference w:id="82"/>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6616_50326"/>
    <w:bookmarkEnd w:id="23"/>
    <w:p>
      <w:pPr>
        <w:pStyle w:val="Heading3"/>
      </w:pPr>
      <w:bookmarkStart w:id="76" w:name="_Toc48"/>
      <w:r>
        <w:t>68 . الشیخ أبوالفتح الکراجکیّ(رحمه الله) (ت449ق)</w:t>
      </w:r>
      <w:bookmarkEnd w:id="76"/>
    </w:p>
    <w:p>
      <w:pPr>
        <w:pStyle w:val="BookText"/>
      </w:pPr>
      <w:r>
        <w:rPr>
          <w:rFonts w:ascii="IRNazanin" w:hAnsi="IRNazanin" w:eastAsia="IRNazanin" w:cs="IRNazanin"/>
          <w:lang w:bidi="fa-IR"/>
          <w:color w:val="111111"/>
          <w:sz w:val="28"/>
          <w:szCs w:val="28"/>
          <w:rtl/>
        </w:rPr>
        <w:t xml:space="preserve">68 . الشیخ أبوالفتح الکراجکیّ(رحمه الله) (ت449ق) </w:t>
      </w:r>
      <w:r>
        <w:rPr>
          <w:rStyle w:val="FootnoteReference"/>
        </w:rPr>
        <w:footnoteReference w:id="83"/>
      </w:r>
    </w:p>
    <w:p>
      <w:pPr>
        <w:pStyle w:val="Heading3"/>
      </w:pPr>
      <w:bookmarkStart w:id="77" w:name="_Toc49"/>
      <w:r>
        <w:t>69. الشیخ محمّد علیّ بن بابویه الصدوق «أعلی اللّه مقامه» (ت381ق)</w:t>
      </w:r>
      <w:bookmarkEnd w:id="77"/>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الشیخ محمّد علیّ بن بابویه الصدوق «أعلی اللّه مقامه» (ت381ق)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78" w:name="_Toc50"/>
      <w:r>
        <w:t>70. الشیخ أبی القاسم علیّ بن علیّ بن جمال الدین محمّد بن طیّ العاملیّ(رحمه الله) (ت855ق)</w:t>
      </w:r>
      <w:bookmarkEnd w:id="78"/>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الشیخ أبی القاسم علیّ بن علیّ بن جمال الدین محمّد بن طیّ العاملیّ(رحمه الله) (ت855ق)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79" w:name="_Toc51"/>
      <w:r>
        <w:t>71. المحقّق خواجه نصیرالدین الطوسیّ(رحمه الله) (ت672ق)</w:t>
      </w:r>
      <w:bookmarkEnd w:id="79"/>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المحقّق خواجه نصیرالدین الطوسیّ(رحمه الله) (ت672ق)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3"/>
      </w:pPr>
      <w:bookmarkStart w:id="80" w:name="_Toc52"/>
      <w:r>
        <w:t>72. الشهید الثانی «أعلی اللّه مقامه» (ت966ق)</w:t>
      </w:r>
      <w:bookmarkEnd w:id="80"/>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الشهید الثانی «أعلی اللّه مقامه» (ت966ق)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3"/>
      </w:pPr>
      <w:bookmarkStart w:id="81" w:name="_Toc53"/>
      <w:r>
        <w:t>73. صاحب بن عبّاد(رحمه الله) (ت385ق)</w:t>
      </w:r>
      <w:bookmarkEnd w:id="81"/>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صاحب بن عبّاد(رحمه الله) (ت385ق)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3"/>
      </w:pPr>
      <w:bookmarkStart w:id="82" w:name="_Toc54"/>
      <w:r>
        <w:t>74. الشیخ محمود بن محمّد بن علیّ بن حمزة الاهمالیّ للسیّد الأمیر معین الدین محمّد ابن شاه أبو تراب(رحمه الله)(حیّ فی 994ق)</w:t>
      </w:r>
      <w:bookmarkEnd w:id="82"/>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الشیخ محمود بن محمّد بن علیّ بن حمزة الاهمالیّ للسیّد الأمیر معین الدین محمّد ابن شاه أبو تراب(رحمه الله)(حیّ فی 994ق)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Heading3"/>
      </w:pPr>
      <w:bookmarkStart w:id="83" w:name="_Toc55"/>
      <w:r>
        <w:t>75. آغا محمّد باقر بن محمّد باقر الهزار جریبیّ الغرویّ(رحمه الله) (ت1205ق)</w:t>
      </w:r>
      <w:bookmarkEnd w:id="83"/>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آغا محمّد باقر بن محمّد باقر الهزار جریبیّ الغرویّ(رحمه الله) (ت1205ق)</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Heading3"/>
      </w:pPr>
      <w:bookmarkStart w:id="84" w:name="_Toc56"/>
      <w:r>
        <w:t>76. الشیخ حسن بن المحقّق الثانی(رحمه الله) (حیّ فی972ق)</w:t>
      </w:r>
      <w:bookmarkEnd w:id="84"/>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الشیخ حسن بن المحقّق الثانی(رحمه الله) (حیّ فی972ق)</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Heading3"/>
      </w:pPr>
      <w:bookmarkStart w:id="85" w:name="_Toc57"/>
      <w:r>
        <w:t>77. الفاضل الورع ملّا عبداللّه الشوشتریّ(رحمه الله) (ت993ق)</w:t>
      </w:r>
      <w:bookmarkEnd w:id="85"/>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الفاضل الورع ملّا عبداللّه الشوشتریّ(رحمه الله) (ت993ق)</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6616_50327"/>
    <w:bookmarkEnd w:id="24"/>
    <w:p>
      <w:pPr>
        <w:pStyle w:val="Heading3"/>
      </w:pPr>
      <w:bookmarkStart w:id="86" w:name="_Toc58"/>
      <w:r>
        <w:t>78. الشیخ البهائیّ(رحمه الله)(ت1031ق)</w:t>
      </w:r>
      <w:bookmarkEnd w:id="86"/>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الشیخ البهائیّ(رحمه الله)(ت1031ق)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87" w:name="_Toc59"/>
      <w:r>
        <w:t>79. الفیض الکاشانیّ(رحمه الله)(ت1091ق)</w:t>
      </w:r>
      <w:bookmarkEnd w:id="87"/>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الفیض الکاشانیّ(رحمه الله)(ت1091ق)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88" w:name="_Toc60"/>
      <w:r>
        <w:t>80. العلّامة المحقّق العارف محمّد إسماعیل بن الحسین المازندرانیّ الخواجوئیّ(رحمه الله) (ت1173ق)</w:t>
      </w:r>
      <w:bookmarkEnd w:id="88"/>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العلّامة المحقّق العارف محمّد إسماعیل بن الحسین المازندرانیّ الخواجوئیّ(رحمه الله) (ت1173ق)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89" w:name="_Toc61"/>
      <w:r>
        <w:t>81. الحسن بن محمّد بن عبد اللّه الطیّبیّ(رحمه الله)(ت733ق)</w:t>
      </w:r>
      <w:bookmarkEnd w:id="89"/>
    </w:p>
    <w:p>
      <w:pPr>
        <w:pStyle w:val="BookText"/>
      </w:pPr>
      <w:r>
        <w:rPr>
          <w:rFonts w:ascii="IRNazanin" w:hAnsi="IRNazanin" w:eastAsia="IRNazanin" w:cs="IRNazanin"/>
          <w:lang w:bidi="fa-IR"/>
          <w:color w:val="111111"/>
          <w:sz w:val="28"/>
          <w:szCs w:val="28"/>
          <w:rtl/>
        </w:rPr>
        <w:t xml:space="preserve">[کان] شدید الردّ علی الفلاسفة مظهراً فضائحهم مع استیلائهم حینئذ.</w:t>
      </w:r>
    </w:p>
    <w:p>
      <w:pPr>
        <w:pStyle w:val="Heading3"/>
      </w:pPr>
      <w:bookmarkStart w:id="90" w:name="_Toc62"/>
      <w:r>
        <w:t>82. المحقّق المیرزا القمّیّ (صاحب القوانین)(رحمه الله) (ت1231ق)</w:t>
      </w:r>
      <w:bookmarkEnd w:id="90"/>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المحقّق المیرزا القمّیّ (صاحب القوانین)(رحمه الله) (ت1231ق)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3"/>
      </w:pPr>
      <w:bookmarkStart w:id="91" w:name="_Toc63"/>
      <w:r>
        <w:t>83. المحدّث الکبیر المیرزا النوریّ(رحمه الله)(ت1320ق)</w:t>
      </w:r>
      <w:bookmarkEnd w:id="91"/>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المحدّث الکبیر المیرزا النوریّ(رحمه الله)(ت1320ق)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3"/>
      </w:pPr>
      <w:bookmarkStart w:id="92" w:name="_Toc64"/>
      <w:r>
        <w:t>84. السیّد علیّ البروجردیّ(رحمه الله)(ت1313ق)</w:t>
      </w:r>
      <w:bookmarkEnd w:id="92"/>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السیّد علیّ البروجردیّ(رحمه الله)(ت1313ق)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3"/>
      </w:pPr>
      <w:bookmarkStart w:id="93" w:name="_Toc65"/>
      <w:r>
        <w:t>85. آقا رضا الهمدانیّ(رحمه الله)(ت1322ق)</w:t>
      </w:r>
      <w:bookmarkEnd w:id="93"/>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آقا رضا الهمدانیّ(رحمه الله)(ت1322ق)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Heading3"/>
      </w:pPr>
      <w:bookmarkStart w:id="94" w:name="_Toc66"/>
      <w:r>
        <w:t>86. آیة اللّه العظمی السیّد أبو الحسن الاصفهانیّ(رحمه الله)(ت1365ق)</w:t>
      </w:r>
      <w:bookmarkEnd w:id="94"/>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آیة اللّه العظمی السیّد أبو الحسن الاصفهانیّ(رحمه الله)(ت1365ق)</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6616_50328"/>
    <w:bookmarkEnd w:id="25"/>
    <w:p>
      <w:pPr>
        <w:pStyle w:val="Heading3"/>
      </w:pPr>
      <w:bookmarkStart w:id="95" w:name="_Toc67"/>
      <w:r>
        <w:t>87. المحقّق الشیخ محمّد تقی الآملیّ(رحمه الله)(ت1391 ق)</w:t>
      </w:r>
      <w:bookmarkEnd w:id="95"/>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المحقّق الشیخ محمّد تقی الآملیّ(رحمه الله)(ت1391 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96" w:name="_Toc68"/>
      <w:r>
        <w:t>88. آیة اللّه العظمی السیّد الگلپایگانیّ(رحمه الله)(ت1415 ق)</w:t>
      </w:r>
      <w:bookmarkEnd w:id="96"/>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آیة اللّه العظمی السیّد الگلپایگانیّ(رحمه الله)(ت1415 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97" w:name="_Toc69"/>
      <w:r>
        <w:t>89. الشیخ محمّد أمین زین الدین(رحمه الله)(ت1419 ق)</w:t>
      </w:r>
      <w:bookmarkEnd w:id="97"/>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الشیخ محمّد أمین زین الدین(رحمه الله)(ت1419 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98" w:name="_Toc70"/>
      <w:r>
        <w:t>90. آیة اللّه العظمی السیّد محسن الحکیم(رحمه الله)(ت1390 ق)</w:t>
      </w:r>
      <w:bookmarkEnd w:id="98"/>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آیة اللّه العظمی السیّد محسن الحکیم(رحمه الله)(ت1390 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3"/>
      </w:pPr>
      <w:bookmarkStart w:id="99" w:name="_Toc71"/>
      <w:r>
        <w:t>91. الشیخ عبد النبیّ العراقیّ(رحمه الله)(ت1385 ق)</w:t>
      </w:r>
      <w:bookmarkEnd w:id="99"/>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الشیخ عبد النبیّ العراقیّ(رحمه الله)(ت1385 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3"/>
      </w:pPr>
      <w:bookmarkStart w:id="100" w:name="_Toc72"/>
      <w:r>
        <w:t>92. العلّامة الشیخ جعفر کاشف الغطاء(رحمه الله)(ت1228 ق)</w:t>
      </w:r>
      <w:bookmarkEnd w:id="100"/>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العلّامة الشیخ جعفر کاشف الغطاء(رحمه الله)(ت1228 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2"/>
      </w:pPr>
      <w:bookmarkStart w:id="101" w:name="_Toc73"/>
      <w:r>
        <w:t>تنبیه: الغرض من ذکر کلمات القوم وموقفهم تجاه الفلسفة والعرفان</w:t>
      </w:r>
      <w:bookmarkEnd w:id="101"/>
    </w:p>
    <w:p>
      <w:pPr>
        <w:pStyle w:val="Heading3"/>
      </w:pPr>
      <w:bookmarkStart w:id="102" w:name="_Toc74"/>
      <w:r>
        <w:t>اشارة</w:t>
      </w:r>
      <w:bookmarkEnd w:id="102"/>
    </w:p>
    <w:p>
      <w:pPr>
        <w:pStyle w:val="BookText"/>
      </w:pPr>
      <w:r>
        <w:rPr>
          <w:rFonts w:ascii="IRNazanin" w:hAnsi="IRNazanin" w:eastAsia="IRNazanin" w:cs="IRNazanin"/>
          <w:lang w:bidi="fa-IR"/>
          <w:color w:val="111111"/>
          <w:sz w:val="28"/>
          <w:szCs w:val="28"/>
          <w:rtl/>
        </w:rPr>
        <w:t xml:space="preserve">اعلم أنّنا لسنا بصدد التکفیر والتفسیق والتشنیع والسبّ والشتم واللعن، ولیس الغرض من نقل کلمات القوم الحکم بکفر أحد ممّن ینتحل الإسلام أو مودّة أهل البیت علیهم السلام ، کلّا ثمّ کلّا، حیث إنّ من یقول بمقالة الکَفَرة والملاحدة، ویلتزم بلوازمها کافر سواء حکم بکفره ونسب إلی الکفر أم لا، ومن یأتی بما ارتکبه الفسقة فاسق سواء حکم بفسقه ونسب إلیه أم لا، وأمّا تکفیر المؤمن وتفسیق الصالح المطیع فهو من أعظم الذنوب والمعاصی.</w:t>
      </w:r>
    </w:p>
    <w:p>
      <w:pPr>
        <w:pStyle w:val="BookText"/>
      </w:pPr>
      <w:r>
        <w:rPr>
          <w:rFonts w:ascii="IRNazanin" w:hAnsi="IRNazanin" w:eastAsia="IRNazanin" w:cs="IRNazanin"/>
          <w:lang w:bidi="fa-IR"/>
          <w:color w:val="111111"/>
          <w:sz w:val="28"/>
          <w:szCs w:val="28"/>
          <w:rtl/>
        </w:rPr>
        <w:t xml:space="preserve">إنّما الغرض من تفصیل المقال فی کلمات الأعاظم أمور: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تحذیر من یدافع عن مدرسة الفلاسفة ویدّعی تطابقها مع العقل والشرع.</w:t>
      </w:r>
    </w:p>
    <w:p>
      <w:pPr>
        <w:pStyle w:val="BookText"/>
      </w:pPr>
      <w:r>
        <w:rPr>
          <w:rFonts w:ascii="IRNazanin" w:hAnsi="IRNazanin" w:eastAsia="IRNazanin" w:cs="IRNazanin"/>
          <w:lang w:bidi="fa-IR"/>
          <w:color w:val="111111"/>
          <w:sz w:val="28"/>
          <w:szCs w:val="28"/>
          <w:rtl/>
        </w:rPr>
        <w:t xml:space="preserve">الثانی: إنّ من یکون خالی الذهن لو کان من أهل التقلید فهذه هی کلمات جلّ الفقهاء العظام تزری بالفلسفة، ولو کان من غیرهم فلیحذر من الأخذ بما یؤول إلی إنکار ضروریّات الشرایع الإلٰهیّة خصوصاً فی الاعتقادات.</w:t>
      </w:r>
    </w:p>
    <w:p>
      <w:pPr>
        <w:pStyle w:val="BookText"/>
      </w:pPr>
      <w:r>
        <w:rPr>
          <w:rFonts w:ascii="IRNazanin" w:hAnsi="IRNazanin" w:eastAsia="IRNazanin" w:cs="IRNazanin"/>
          <w:lang w:bidi="fa-IR"/>
          <w:color w:val="111111"/>
          <w:sz w:val="28"/>
          <w:szCs w:val="28"/>
          <w:rtl/>
        </w:rPr>
        <w:t xml:space="preserve">الثالث: إبطال ادّعاء المتعصّبین من منتحلی الفلسفة والتصوّف والحکمة المتعالیة من عدم إمکان الوصول إلی مقام العرفان والکمال وفهم الآیات والأخبار إلّا عبر هذه الطریقة ورمی أکثر الفقهاء والمتشرّعة بالحرمان عن الکمال والوصول إلی مقام القرب ورمیهم بالجهل وأنّهم قشریّون لا یعلمون شیئاً من الحقائق.</w:t>
      </w:r>
    </w:p>
    <w:p>
      <w:pPr>
        <w:pStyle w:val="BookText"/>
      </w:pPr>
      <w:r>
        <w:rPr>
          <w:rFonts w:ascii="IRNazanin" w:hAnsi="IRNazanin" w:eastAsia="IRNazanin" w:cs="IRNazanin"/>
          <w:lang w:bidi="fa-IR"/>
          <w:color w:val="111111"/>
          <w:sz w:val="28"/>
          <w:szCs w:val="28"/>
          <w:rtl/>
        </w:rPr>
        <w:t xml:space="preserve">الرابع: إبطال ما ذکره بعض کبار المشتهرین بالعلم والحکمة من المروّجین لمبانی الحکمة المتعالیة (الجامعة بین طریقة الاستدلال وطریقة الکشف) فإنّه قد ادّعی بأنّ العامل الوحید فی حدوث التفکّر الفلسفی فی المجتمع الدینیّ والعامل فی بقائه هی الآیات والأحادیث، ومن العجیب أنّه ادّعی أوّلاً أنّ العلّة المحدثة والمبقیة لهذا التفکّر هی الذخائر العلمیّة الشیعیّة الواصلة إلیهم من أهل البیت علیهم السلام  ثمّ اعترف أخیراً بانحراف مکتب الفلسفة عن الآیات والروایات إلی القرن الحادی عشر «الذی جاء فیه صدرالدین الشیرازیّ بالحکمة المتعالیة» ثمّ حصل التطابق بینهما. وإلیک ترجمة عباراته:</w:t>
      </w:r>
    </w:p>
    <w:p>
      <w:pPr>
        <w:pStyle w:val="BookText"/>
      </w:pPr>
      <w:r>
        <w:rPr>
          <w:rFonts w:ascii="IRNazanin" w:hAnsi="IRNazanin" w:eastAsia="IRNazanin" w:cs="IRNazanin"/>
          <w:lang w:bidi="fa-IR"/>
          <w:color w:val="111111"/>
          <w:sz w:val="28"/>
          <w:szCs w:val="28"/>
          <w:rtl/>
        </w:rPr>
        <w:t xml:space="preserve">إنّ العامل المؤثّر فی ظهور التفکّر الفلسفیّ والعقل فی أوساط الشیعة _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الشیعة إلی أوساط الآخرین _ (هذا العامل) هو ذخائر علمیّة (مکتسبة) من تراث أئمة الشیعة. (و) العامل المؤثر فی بقاء هذا التفکّر لدی الشیعة إنّما هو الذخائر العلمیّة التی ینظر إلیها الشیعة بنظر التقدیس والإحترام باستمرار. ولتوضیح هذا المطلب یکفی أن نقیس الذخائر العلمیّة لأهل البیت علیهم السلام  بالکتب الفلسفیّة التی کتبت علی مرّ التاریخ، لنری عیاناً أنّ الفلسفة تقترب من تلک الذخائر العلمیّة المذکورة یوماً بعد یوم، حتّی (کان) القرن الحادی عشر من الهجرة تقریباً حیث انطبقتا تماماً، ولم یبق فاصل بینهما سوی الإختلاف فی التعبیر.</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والعجب العجاب قول بعض المعاصرین فی تعلیقته علی البحار بعد ما قال العلّامة المجلسیّ رحمه الله: «هذه الجنایة علی الدین وتشهیر کتب الفلاسفة بین المسلمین...» قال هذا المعاصر:</w:t>
      </w:r>
    </w:p>
    <w:p>
      <w:pPr>
        <w:pStyle w:val="BookText"/>
      </w:pPr>
      <w:r>
        <w:rPr>
          <w:rFonts w:ascii="IRNazanin" w:hAnsi="IRNazanin" w:eastAsia="IRNazanin" w:cs="IRNazanin"/>
          <w:lang w:bidi="fa-IR"/>
          <w:color w:val="111111"/>
          <w:sz w:val="28"/>
          <w:szCs w:val="28"/>
          <w:rtl/>
        </w:rPr>
        <w:t xml:space="preserve">إنّه لو سلّم إلحاد متفلسف وانکاره للشرائع والنبوّات فلیس ذلک بحیث یسری إلحاده إلی کلّ من سمّی فیلسوفاً حتّی وإن کان مصرّحاً بتصدیق الأنبیاء، ثمّ یجب علینا أن لا نقصّر فی قدحه والطعن علیه دون أن نحمل کلامه علی التقیة من المسلمین والخوف من التکفیر والتشهیر... إنّ الذی ثبت من مدح الفلاسفة الإلهیّین أنّهم رفعوا لواء التوحید فی عهد وفی أرض کان یسیطر فکرة الشرک والوثنیّة علی القلوب، ووجّهوا أنظار الجمهور إلی ما وراء الطبیعة بینما کان أئمّة الکفر یدعون الناس إلی الطبیعة والدهر، وقادوا بالهمم إلی العالم الأبدیّ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وحیاة الآخرة حینما کانت تقصر علی العالم المادیّ وتخلد إلی الأرض والحیاة الدنیا.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لیت شعری کیف رفع هؤلاء لواء التوحید مع أنّهم أنکروا العمد والحکمة فی التدبیر، وهم الذین اشتهروا بالکفر والإلحاد والزندقة بین الموحّدین، الأمر الذی أقرّ به المخالف والمؤالف؟</w:t>
      </w:r>
    </w:p>
    <w:p>
      <w:pPr>
        <w:pStyle w:val="BookText"/>
      </w:pPr>
      <w:r>
        <w:rPr>
          <w:rFonts w:ascii="IRNazanin" w:hAnsi="IRNazanin" w:eastAsia="IRNazanin" w:cs="IRNazanin"/>
          <w:lang w:bidi="fa-IR"/>
          <w:color w:val="111111"/>
          <w:sz w:val="28"/>
          <w:szCs w:val="28"/>
          <w:rtl/>
        </w:rPr>
        <w:t xml:space="preserve">وهم الذین أنکروا کون فاعلیّة الربّ بالقدرة ورأوا فاعلیّته بالجبر والعلیّة!!</w:t>
      </w:r>
    </w:p>
    <w:p>
      <w:pPr>
        <w:pStyle w:val="BookText"/>
      </w:pPr>
      <w:r>
        <w:rPr>
          <w:rFonts w:ascii="IRNazanin" w:hAnsi="IRNazanin" w:eastAsia="IRNazanin" w:cs="IRNazanin"/>
          <w:lang w:bidi="fa-IR"/>
          <w:color w:val="111111"/>
          <w:sz w:val="28"/>
          <w:szCs w:val="28"/>
          <w:rtl/>
        </w:rPr>
        <w:t xml:space="preserve">وهم الذین قالوا بوحدة الوجود واعتباریّة الماهیّات وأنّها أعدام محضة!!</w:t>
      </w:r>
    </w:p>
    <w:p>
      <w:pPr>
        <w:pStyle w:val="BookText"/>
      </w:pPr>
      <w:r>
        <w:rPr>
          <w:rFonts w:ascii="IRNazanin" w:hAnsi="IRNazanin" w:eastAsia="IRNazanin" w:cs="IRNazanin"/>
          <w:lang w:bidi="fa-IR"/>
          <w:color w:val="111111"/>
          <w:sz w:val="28"/>
          <w:szCs w:val="28"/>
          <w:rtl/>
        </w:rPr>
        <w:t xml:space="preserve">وهم الذین أنکروا المعاد الجسمانیّ والجنّة والنار!!</w:t>
      </w:r>
    </w:p>
    <w:p>
      <w:pPr>
        <w:pStyle w:val="BookText"/>
      </w:pPr>
      <w:r>
        <w:rPr>
          <w:rFonts w:ascii="IRNazanin" w:hAnsi="IRNazanin" w:eastAsia="IRNazanin" w:cs="IRNazanin"/>
          <w:lang w:bidi="fa-IR"/>
          <w:color w:val="111111"/>
          <w:sz w:val="28"/>
          <w:szCs w:val="28"/>
          <w:rtl/>
        </w:rPr>
        <w:t xml:space="preserve">وهم الذین قالوا بأنّ جهنّم هو البُعد المتوهّم للکافر ویزول بالموت!!</w:t>
      </w:r>
    </w:p>
    <w:p>
      <w:pPr>
        <w:pStyle w:val="BookText"/>
      </w:pPr>
      <w:r>
        <w:rPr>
          <w:rFonts w:ascii="IRNazanin" w:hAnsi="IRNazanin" w:eastAsia="IRNazanin" w:cs="IRNazanin"/>
          <w:lang w:bidi="fa-IR"/>
          <w:color w:val="111111"/>
          <w:sz w:val="28"/>
          <w:szCs w:val="28"/>
          <w:rtl/>
        </w:rPr>
        <w:t xml:space="preserve">وهم الذین قالوا بأنّ أعظم مجالی عبادة الربّ هی عبادة الهوی!!</w:t>
      </w:r>
    </w:p>
    <w:p>
      <w:pPr>
        <w:pStyle w:val="BookText"/>
      </w:pPr>
      <w:r>
        <w:rPr>
          <w:rFonts w:ascii="IRNazanin" w:hAnsi="IRNazanin" w:eastAsia="IRNazanin" w:cs="IRNazanin"/>
          <w:lang w:bidi="fa-IR"/>
          <w:color w:val="111111"/>
          <w:sz w:val="28"/>
          <w:szCs w:val="28"/>
          <w:rtl/>
        </w:rPr>
        <w:t xml:space="preserve">فیا تُری هل یکون رفع رایة الحقّ ولواء التوحید بالقول بأنّ عبادة العجل والأصنام عبادة الربّ المتعال السبّوح القدّوس؟!</w:t>
      </w:r>
    </w:p>
    <w:p>
      <w:pPr>
        <w:pStyle w:val="BookText"/>
      </w:pPr>
      <w:r>
        <w:rPr>
          <w:rFonts w:ascii="IRNazanin" w:hAnsi="IRNazanin" w:eastAsia="IRNazanin" w:cs="IRNazanin"/>
          <w:lang w:bidi="fa-IR"/>
          <w:color w:val="111111"/>
          <w:sz w:val="28"/>
          <w:szCs w:val="28"/>
          <w:rtl/>
        </w:rPr>
        <w:t xml:space="preserve">وهل یکون رفع رایة التوحید بالقول بأنّ العابد هو المعبود والمعبود هو العابد وأنّ الخالق والحامد هو المخلوق والمحمود؟!</w:t>
      </w:r>
    </w:p>
    <w:p>
      <w:pPr>
        <w:pStyle w:val="BookText"/>
      </w:pPr>
      <w:r>
        <w:rPr>
          <w:rFonts w:ascii="IRNazanin" w:hAnsi="IRNazanin" w:eastAsia="IRNazanin" w:cs="IRNazanin"/>
          <w:lang w:bidi="fa-IR"/>
          <w:color w:val="111111"/>
          <w:sz w:val="28"/>
          <w:szCs w:val="28"/>
          <w:rtl/>
        </w:rPr>
        <w:t xml:space="preserve">هل هذا هو التوحید الذی یدعو إلیه الأنبیاء والقرآن والنبیّ الأعظم وأهل بیته الکرام؟!</w:t>
      </w:r>
    </w:p>
    <w:p>
      <w:pPr>
        <w:pStyle w:val="BookText"/>
      </w:pPr>
      <w:r>
        <w:rPr>
          <w:rFonts w:ascii="IRNazanin" w:hAnsi="IRNazanin" w:eastAsia="IRNazanin" w:cs="IRNazanin"/>
          <w:lang w:bidi="fa-IR"/>
          <w:color w:val="111111"/>
          <w:sz w:val="28"/>
          <w:szCs w:val="28"/>
          <w:rtl/>
        </w:rPr>
        <w:t xml:space="preserve">ولیت شعری هل الفقهاء العظام حذّروا من الرجوع إلی التفکّر الذی یوافق الشرع وهل حکموا بکفر من سلک هذا المسلک؟!</w:t>
      </w:r>
    </w:p>
    <w:p>
      <w:pPr>
        <w:pStyle w:val="BookText"/>
      </w:pPr>
      <w:r>
        <w:rPr>
          <w:rFonts w:ascii="IRNazanin" w:hAnsi="IRNazanin" w:eastAsia="IRNazanin" w:cs="IRNazanin"/>
          <w:lang w:bidi="fa-IR"/>
          <w:color w:val="111111"/>
          <w:sz w:val="28"/>
          <w:szCs w:val="28"/>
          <w:rtl/>
        </w:rPr>
        <w:t xml:space="preserve">أو حکموا بکفر جمع من المسلمین مع الجهل بمعتقدهم وآرائهم؟!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أنّهم _ علی الأغلب _ تعرّضوا لما یکون سبباً للحکم بکفرهم کالقول بقدم العالم وإنکار المعاد الجسمانیّ و... .</w:t>
      </w:r>
    </w:p>
    <w:p>
      <w:pPr>
        <w:pStyle w:val="BookText"/>
      </w:pPr>
      <w:r>
        <w:rPr>
          <w:rFonts w:ascii="IRNazanin" w:hAnsi="IRNazanin" w:eastAsia="IRNazanin" w:cs="IRNazanin"/>
          <w:lang w:bidi="fa-IR"/>
          <w:color w:val="111111"/>
          <w:sz w:val="28"/>
          <w:szCs w:val="28"/>
          <w:rtl/>
        </w:rPr>
        <w:t xml:space="preserve">ثمّ هل کان الفلاسفة یدعون المسلمین والموحّدین _ الذین کانوا یرمونهم بالکفر والإلحاد _ إلی العالم الأبدیّ وحیاة الآخرة ؟</w:t>
      </w:r>
    </w:p>
    <w:p>
      <w:pPr>
        <w:pStyle w:val="BookText"/>
      </w:pPr>
      <w:r>
        <w:rPr>
          <w:rFonts w:ascii="IRNazanin" w:hAnsi="IRNazanin" w:eastAsia="IRNazanin" w:cs="IRNazanin"/>
          <w:lang w:bidi="fa-IR"/>
          <w:color w:val="111111"/>
          <w:sz w:val="28"/>
          <w:szCs w:val="28"/>
          <w:rtl/>
        </w:rPr>
        <w:t xml:space="preserve">ولعمری إذا کانوا داعین إلی اللّه ورافعین علم التوحید، فلماذا کانوا یتّقون من المسلمین ویخافون من التکفیر والتشهیر؟</w:t>
      </w:r>
    </w:p>
    <w:p>
      <w:pPr>
        <w:pStyle w:val="BookText"/>
      </w:pPr>
      <w:r>
        <w:rPr>
          <w:rFonts w:ascii="IRNazanin" w:hAnsi="IRNazanin" w:eastAsia="IRNazanin" w:cs="IRNazanin"/>
          <w:lang w:bidi="fa-IR"/>
          <w:color w:val="111111"/>
          <w:sz w:val="28"/>
          <w:szCs w:val="28"/>
          <w:rtl/>
        </w:rPr>
        <w:t xml:space="preserve">وقال فی تعقیب ما مرّ من کلامه:</w:t>
      </w:r>
    </w:p>
    <w:p>
      <w:pPr>
        <w:pStyle w:val="BookText"/>
      </w:pPr>
      <w:r>
        <w:rPr>
          <w:rFonts w:ascii="IRNazanin" w:hAnsi="IRNazanin" w:eastAsia="IRNazanin" w:cs="IRNazanin"/>
          <w:lang w:bidi="fa-IR"/>
          <w:color w:val="111111"/>
          <w:sz w:val="28"/>
          <w:szCs w:val="28"/>
          <w:rtl/>
        </w:rPr>
        <w:t xml:space="preserve">وإذا کانت علوم الطبّ والهندسة وأمثالها ترتضع من ثدی النبوّة، فلا غرو أن تکون منشأ تلک المعارف العالیة تعالیم رجال الوحی وإن وقع فیها بعد حین تحریف أو سوء تعبیر وتفسیر.</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هنا ملاحظات</w:t>
      </w:r>
    </w:p>
    <w:p>
      <w:pPr>
        <w:pStyle w:val="BookText"/>
      </w:pPr>
      <w:r>
        <w:rPr>
          <w:rFonts w:ascii="IRNazanin" w:hAnsi="IRNazanin" w:eastAsia="IRNazanin" w:cs="IRNazanin"/>
          <w:lang w:bidi="fa-IR"/>
          <w:color w:val="111111"/>
          <w:sz w:val="28"/>
          <w:szCs w:val="28"/>
          <w:rtl/>
        </w:rPr>
        <w:t xml:space="preserve">الأولی: قد ادّعی أنّ مبانی الفلسفة وأصولها وفروعها من المعارف العالیة مأخوذة من تعالیم رجال الوحی، وفیه: إنّ إنکار ضروریّات الدین من حدوث العالم، والمعراج الجسمانیّ ووجود الملائکة و... هل یکون من المعارف العالیة وهل یکون مأخوذاً من رجال الوحی مع تضادّه لما جاء به رجال الوحی؟!</w:t>
      </w:r>
    </w:p>
    <w:p>
      <w:pPr>
        <w:pStyle w:val="BookText"/>
      </w:pPr>
      <w:r>
        <w:rPr>
          <w:rFonts w:ascii="IRNazanin" w:hAnsi="IRNazanin" w:eastAsia="IRNazanin" w:cs="IRNazanin"/>
          <w:lang w:bidi="fa-IR"/>
          <w:color w:val="111111"/>
          <w:sz w:val="28"/>
          <w:szCs w:val="28"/>
          <w:rtl/>
        </w:rPr>
        <w:t xml:space="preserve">الثانیة: إنّ قیاس الفلسفة والتصوّف بعلم الطبّ والهندسة قیاس مع الفارق:</w:t>
      </w:r>
    </w:p>
    <w:p>
      <w:pPr>
        <w:pStyle w:val="BookText"/>
      </w:pPr>
      <w:r>
        <w:rPr>
          <w:rFonts w:ascii="IRNazanin" w:hAnsi="IRNazanin" w:eastAsia="IRNazanin" w:cs="IRNazanin"/>
          <w:lang w:bidi="fa-IR"/>
          <w:color w:val="111111"/>
          <w:sz w:val="28"/>
          <w:szCs w:val="28"/>
          <w:rtl/>
        </w:rPr>
        <w:t xml:space="preserve">أمّا أوّلاً: فلأنّ الخطأ فیهما لا یوجب الانحراف عن الدین والشریعة ولا یوجب الوقوع فی المهالک الأخرویّة ودخول جهنّم والخلود فیها.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وثانیاً: لم یدّع أحد من علماء الطبّ والهندسة تطابق جمیع ما ذهبوا إلیه مع ما جاء به الأنبیاء، ولم یقل أحد منهم بأنّ ما قال به هو عین الدیانة والشریعة، بخلاف الفلاسفة لا سیّما المدافعین عن الحکمة المتعالیة، فقد ادّعوا أنّ جمیع آرائهم تنطبق علی ما فی الشریعة کما مرّ من کلمات استاذ هذا المعاصر ونقلناها عن کتاب «شیعه در اسلام».</w:t>
      </w:r>
    </w:p>
    <w:p>
      <w:pPr>
        <w:pStyle w:val="BookText"/>
      </w:pPr>
      <w:r>
        <w:rPr>
          <w:rFonts w:ascii="IRNazanin" w:hAnsi="IRNazanin" w:eastAsia="IRNazanin" w:cs="IRNazanin"/>
          <w:lang w:bidi="fa-IR"/>
          <w:color w:val="111111"/>
          <w:sz w:val="28"/>
          <w:szCs w:val="28"/>
          <w:rtl/>
        </w:rPr>
        <w:t xml:space="preserve">وثالثاً: إنّ ما صرّح به من وقوع التحریف فی آراء الفلاسفة وکلماتهم أو سوء التعبیر والتفسیر إن کان مراده وقوع التحریف وسوء التعبیر والتفسیر من ناحیة المخالفین للوقیعة فیهم فهو افتراء محض علی کلّ من خالفهم، فالغرض من هذه العبارة الإزراء علی المخالفین ولو بسبب الافتراء والاتّهام (نعوذ باللّه من شرور أنفسنا). وقد عرفت ذهابهم إلی ما یخالف الدین والقرآن والعقل والفطرة وما جاء به صاحب الشریعة فی مسألة الجبر علی حسب تصریح کلماتهم المنقولة بعینها عن کتبهم وزبرهم بلا تحریف ولا سوء التعبیر والتفسیر.</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وإن کان مراده هو أنّ ما یخالف الدین وما جاء به صاحب الشریعة إنّما هو لأجل تحریف کلماتهم ولو من ناحیة مقلّدیهم ففیه:</w:t>
      </w:r>
    </w:p>
    <w:p>
      <w:pPr>
        <w:pStyle w:val="BookText"/>
      </w:pPr>
      <w:r>
        <w:rPr>
          <w:rFonts w:ascii="IRNazanin" w:hAnsi="IRNazanin" w:eastAsia="IRNazanin" w:cs="IRNazanin"/>
          <w:lang w:bidi="fa-IR"/>
          <w:color w:val="111111"/>
          <w:sz w:val="28"/>
          <w:szCs w:val="28"/>
          <w:rtl/>
        </w:rPr>
        <w:t xml:space="preserve">أمّا اوّلاً: فما ذکره ینافی ما نقلناه سابقاً عن استاذه.</w:t>
      </w:r>
    </w:p>
    <w:p>
      <w:pPr>
        <w:pStyle w:val="BookText"/>
      </w:pPr>
      <w:r>
        <w:rPr>
          <w:rFonts w:ascii="IRNazanin" w:hAnsi="IRNazanin" w:eastAsia="IRNazanin" w:cs="IRNazanin"/>
          <w:lang w:bidi="fa-IR"/>
          <w:color w:val="111111"/>
          <w:sz w:val="28"/>
          <w:szCs w:val="28"/>
          <w:rtl/>
        </w:rPr>
        <w:t xml:space="preserve">وثانیاً: هل تکون کلمات صدرالدین الشیرازیّ فی کتاب الأسفار وأمثاله محرّفة؟!</w:t>
      </w:r>
    </w:p>
    <w:p>
      <w:pPr>
        <w:pStyle w:val="BookText"/>
      </w:pPr>
      <w:r>
        <w:rPr>
          <w:rFonts w:ascii="IRNazanin" w:hAnsi="IRNazanin" w:eastAsia="IRNazanin" w:cs="IRNazanin"/>
          <w:lang w:bidi="fa-IR"/>
          <w:color w:val="111111"/>
          <w:sz w:val="28"/>
          <w:szCs w:val="28"/>
          <w:rtl/>
        </w:rPr>
        <w:t xml:space="preserve">وثالثا : کیف الطریق إلی تشخیص الحق والباطل فی کلماتهم؟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6616_50334"/>
    <w:bookmarkEnd w:id="26"/>
    <w:p>
      <w:pPr>
        <w:pStyle w:val="BookText"/>
      </w:pPr>
      <w:r>
        <w:rPr>
          <w:rFonts w:ascii="IRNazanin" w:hAnsi="IRNazanin" w:eastAsia="IRNazanin" w:cs="IRNazanin"/>
          <w:lang w:bidi="fa-IR"/>
          <w:color w:val="111111"/>
          <w:sz w:val="28"/>
          <w:szCs w:val="28"/>
          <w:rtl/>
        </w:rPr>
        <w:t xml:space="preserve">ورابعا : مع وقوع التحریف فی کلماتهم هل یجوز الاعتماد علی أقاویلهم؟</w:t>
      </w:r>
    </w:p>
    <w:p>
      <w:pPr>
        <w:pStyle w:val="BookText"/>
      </w:pPr>
      <w:r>
        <w:rPr>
          <w:rFonts w:ascii="IRNazanin" w:hAnsi="IRNazanin" w:eastAsia="IRNazanin" w:cs="IRNazanin"/>
          <w:lang w:bidi="fa-IR"/>
          <w:color w:val="111111"/>
          <w:sz w:val="28"/>
          <w:szCs w:val="28"/>
          <w:rtl/>
        </w:rPr>
        <w:t xml:space="preserve">وهل یجوز بناء الاعتقادات الدین یة علی مبانیهم؟ وهل یجوز تأویل صریح الآیات</w:t>
      </w:r>
    </w:p>
    <w:p>
      <w:pPr>
        <w:pStyle w:val="BookText"/>
      </w:pPr>
      <w:r>
        <w:rPr>
          <w:rFonts w:ascii="IRNazanin" w:hAnsi="IRNazanin" w:eastAsia="IRNazanin" w:cs="IRNazanin"/>
          <w:lang w:bidi="fa-IR"/>
          <w:color w:val="111111"/>
          <w:sz w:val="28"/>
          <w:szCs w:val="28"/>
          <w:rtl/>
        </w:rPr>
        <w:t xml:space="preserve">والروایات المتواترة _ ولو بالتأویلّت الباطلة التی تضحک بها الثکلی _ وطرح غیرها _</w:t>
      </w:r>
    </w:p>
    <w:p>
      <w:pPr>
        <w:pStyle w:val="BookText"/>
      </w:pPr>
      <w:r>
        <w:rPr>
          <w:rFonts w:ascii="IRNazanin" w:hAnsi="IRNazanin" w:eastAsia="IRNazanin" w:cs="IRNazanin"/>
          <w:lang w:bidi="fa-IR"/>
          <w:color w:val="111111"/>
          <w:sz w:val="28"/>
          <w:szCs w:val="28"/>
          <w:rtl/>
        </w:rPr>
        <w:t xml:space="preserve">مع عدم إمکان التوجیه والتأویل _ بمجرد مباینتها مع الکلمات المحرفة؟</w:t>
      </w:r>
    </w:p>
    <w:p>
      <w:pPr>
        <w:pStyle w:val="Heading3"/>
      </w:pPr>
      <w:bookmarkStart w:id="103" w:name="_Toc75"/>
      <w:r>
        <w:t>دحض الباطل وحجّة بالغة</w:t>
      </w:r>
      <w:bookmarkEnd w:id="103"/>
    </w:p>
    <w:p>
      <w:pPr>
        <w:pStyle w:val="BookText"/>
      </w:pPr>
      <w:r>
        <w:rPr>
          <w:rFonts w:ascii="IRNazanin" w:hAnsi="IRNazanin" w:eastAsia="IRNazanin" w:cs="IRNazanin"/>
          <w:lang w:bidi="fa-IR"/>
          <w:color w:val="111111"/>
          <w:sz w:val="28"/>
          <w:szCs w:val="28"/>
          <w:rtl/>
        </w:rPr>
        <w:t xml:space="preserve">علی رغم ما ادعاه مؤ لف المیزان فیما نقلناه عنه وتلمیذه فی هامش</w:t>
      </w:r>
    </w:p>
    <w:p>
      <w:pPr>
        <w:pStyle w:val="BookText"/>
      </w:pPr>
      <w:r>
        <w:rPr>
          <w:rFonts w:ascii="IRNazanin" w:hAnsi="IRNazanin" w:eastAsia="IRNazanin" w:cs="IRNazanin"/>
          <w:lang w:bidi="fa-IR"/>
          <w:color w:val="111111"/>
          <w:sz w:val="28"/>
          <w:szCs w:val="28"/>
          <w:rtl/>
        </w:rPr>
        <w:t xml:space="preserve">البحار من تطابق الفلسفة والعرفان مع ما جاء به صاحب الشریعة</w:t>
      </w:r>
    </w:p>
    <w:p>
      <w:pPr>
        <w:pStyle w:val="BookText"/>
      </w:pPr>
      <w:r>
        <w:rPr>
          <w:rFonts w:ascii="IRNazanin" w:hAnsi="IRNazanin" w:eastAsia="IRNazanin" w:cs="IRNazanin"/>
          <w:lang w:bidi="fa-IR"/>
          <w:color w:val="111111"/>
          <w:sz w:val="28"/>
          <w:szCs w:val="28"/>
          <w:rtl/>
        </w:rPr>
        <w:t xml:space="preserve">المقدسة فقد صرح فی تفسیره بالمصارعة بین الفلسفة والعرفان والآیات</w:t>
      </w:r>
    </w:p>
    <w:p>
      <w:pPr>
        <w:pStyle w:val="BookText"/>
      </w:pPr>
      <w:r>
        <w:rPr>
          <w:rFonts w:ascii="IRNazanin" w:hAnsi="IRNazanin" w:eastAsia="IRNazanin" w:cs="IRNazanin"/>
          <w:lang w:bidi="fa-IR"/>
          <w:color w:val="111111"/>
          <w:sz w:val="28"/>
          <w:szCs w:val="28"/>
          <w:rtl/>
        </w:rPr>
        <w:t xml:space="preserve">والروایات وعدم إمکان التطبیق والجمع بینها، و إلیک نص عبارته:</w:t>
      </w:r>
    </w:p>
    <w:p>
      <w:pPr>
        <w:pStyle w:val="BookText"/>
      </w:pPr>
      <w:r>
        <w:rPr>
          <w:rFonts w:ascii="IRNazanin" w:hAnsi="IRNazanin" w:eastAsia="IRNazanin" w:cs="IRNazanin"/>
          <w:lang w:bidi="fa-IR"/>
          <w:color w:val="111111"/>
          <w:sz w:val="28"/>
          <w:szCs w:val="28"/>
          <w:rtl/>
        </w:rPr>
        <w:t xml:space="preserve">ولذلک رام جمع من العلماء بما عندهی من بضاعة العلی علی اختلاف</w:t>
      </w:r>
    </w:p>
    <w:p>
      <w:pPr>
        <w:pStyle w:val="BookText"/>
      </w:pPr>
      <w:r>
        <w:rPr>
          <w:rFonts w:ascii="IRNazanin" w:hAnsi="IRNazanin" w:eastAsia="IRNazanin" w:cs="IRNazanin"/>
          <w:lang w:bidi="fa-IR"/>
          <w:color w:val="111111"/>
          <w:sz w:val="28"/>
          <w:szCs w:val="28"/>
          <w:rtl/>
        </w:rPr>
        <w:t xml:space="preserve">مشاربهم أن یوفقوا بن الظواهر الدینیه یااة والعرفان کابن العربی</w:t>
      </w:r>
    </w:p>
    <w:p>
      <w:pPr>
        <w:pStyle w:val="BookText"/>
      </w:pPr>
      <w:r>
        <w:rPr>
          <w:rFonts w:ascii="IRNazanin" w:hAnsi="IRNazanin" w:eastAsia="IRNazanin" w:cs="IRNazanin"/>
          <w:lang w:bidi="fa-IR"/>
          <w:color w:val="111111"/>
          <w:sz w:val="28"/>
          <w:szCs w:val="28"/>
          <w:rtl/>
        </w:rPr>
        <w:t xml:space="preserve">وعبدالرزاق الکاشانی وابن فهد والشهید الثانی والفیض الکاشانی.</w:t>
      </w:r>
    </w:p>
    <w:p>
      <w:pPr>
        <w:pStyle w:val="BookText"/>
      </w:pPr>
      <w:r>
        <w:rPr>
          <w:rFonts w:ascii="IRNazanin" w:hAnsi="IRNazanin" w:eastAsia="IRNazanin" w:cs="IRNazanin"/>
          <w:lang w:bidi="fa-IR"/>
          <w:color w:val="111111"/>
          <w:sz w:val="28"/>
          <w:szCs w:val="28"/>
          <w:rtl/>
        </w:rPr>
        <w:t xml:space="preserve">وآخرون أن یوفقوا بین الفلسفیة والعرفان، کابی نصر الفارابی والشیخ</w:t>
      </w:r>
    </w:p>
    <w:p>
      <w:pPr>
        <w:pStyle w:val="BookText"/>
      </w:pPr>
      <w:r>
        <w:rPr>
          <w:rFonts w:ascii="IRNazanin" w:hAnsi="IRNazanin" w:eastAsia="IRNazanin" w:cs="IRNazanin"/>
          <w:lang w:bidi="fa-IR"/>
          <w:color w:val="111111"/>
          <w:sz w:val="28"/>
          <w:szCs w:val="28"/>
          <w:rtl/>
        </w:rPr>
        <w:t xml:space="preserve">السهروردی صاحب الاشراق والشیخ صانن الدین محمد ترکه.</w:t>
      </w:r>
    </w:p>
    <w:p>
      <w:pPr>
        <w:pStyle w:val="BookText"/>
      </w:pPr>
      <w:r>
        <w:rPr>
          <w:rFonts w:ascii="IRNazanin" w:hAnsi="IRNazanin" w:eastAsia="IRNazanin" w:cs="IRNazanin"/>
          <w:lang w:bidi="fa-IR"/>
          <w:color w:val="111111"/>
          <w:sz w:val="28"/>
          <w:szCs w:val="28"/>
          <w:rtl/>
        </w:rPr>
        <w:t xml:space="preserve">وآخرون یوفقوا بین الظواهر الدینیة والفلسفیة کالقاضی سعید وغیره.</w:t>
      </w:r>
    </w:p>
    <w:p>
      <w:pPr>
        <w:pStyle w:val="BookText"/>
      </w:pPr>
      <w:r>
        <w:rPr>
          <w:rFonts w:ascii="IRNazanin" w:hAnsi="IRNazanin" w:eastAsia="IRNazanin" w:cs="IRNazanin"/>
          <w:lang w:bidi="fa-IR"/>
          <w:color w:val="111111"/>
          <w:sz w:val="28"/>
          <w:szCs w:val="28"/>
          <w:rtl/>
        </w:rPr>
        <w:t xml:space="preserve">وآخرون أن یوفقوا بین الجمیع کابن سینا فی تفاسیره وکتبه</w:t>
      </w:r>
    </w:p>
    <w:p>
      <w:pPr>
        <w:pStyle w:val="BookText"/>
      </w:pPr>
      <w:r>
        <w:rPr>
          <w:rFonts w:ascii="IRNazanin" w:hAnsi="IRNazanin" w:eastAsia="IRNazanin" w:cs="IRNazanin"/>
          <w:lang w:bidi="fa-IR"/>
          <w:color w:val="111111"/>
          <w:sz w:val="28"/>
          <w:szCs w:val="28"/>
          <w:rtl/>
        </w:rPr>
        <w:t xml:space="preserve">وصدرالمتالهین الشیرازی فی کتبه ورسانله وعدة ممن تاخر عنه.</w:t>
      </w:r>
    </w:p>
    <w:p>
      <w:pPr>
        <w:pStyle w:val="BookText"/>
      </w:pPr>
      <w:r>
        <w:rPr>
          <w:rFonts w:ascii="IRNazanin" w:hAnsi="IRNazanin" w:eastAsia="IRNazanin" w:cs="IRNazanin"/>
          <w:lang w:bidi="fa-IR"/>
          <w:color w:val="111111"/>
          <w:sz w:val="28"/>
          <w:szCs w:val="28"/>
          <w:rtl/>
        </w:rPr>
        <w:t xml:space="preserve">ومع ذلک کله فالاختلاف العریق علی حاله، لا تزید کثرة المساعی فی</w:t>
      </w:r>
    </w:p>
    <w:p>
      <w:pPr>
        <w:pStyle w:val="BookText"/>
      </w:pPr>
      <w:r>
        <w:rPr>
          <w:rFonts w:ascii="IRNazanin" w:hAnsi="IRNazanin" w:eastAsia="IRNazanin" w:cs="IRNazanin"/>
          <w:lang w:bidi="fa-IR"/>
          <w:color w:val="111111"/>
          <w:sz w:val="28"/>
          <w:szCs w:val="28"/>
          <w:rtl/>
        </w:rPr>
        <w:t xml:space="preserve">قطع أصله إلا شدة فی التعرق، ولا فی إخماد ناره إلا اشتعالا .</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6616_50335"/>
    <w:bookmarkEnd w:id="27"/>
    <w:p>
      <w:pPr>
        <w:pStyle w:val="Heading2"/>
      </w:pPr>
      <w:bookmarkStart w:id="104" w:name="_Toc76"/>
      <w:r>
        <w:t>المصادر</w:t>
      </w:r>
      <w:bookmarkEnd w:id="104"/>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الإثنا عشریّة فی الردّ علی الصوفیّة. الحرّ العاملیّ، محمّد بن حسن (ت1104ق). قم: نشر دار الکتب العلمیّة. الطبعة الأولی: 1400ق.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أجوبة المسائل المهنّائیة. العلّامة الحلّی، حسن بن یوسف (ت726ق). قم: 1401ق.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اعیان الشیعة. الأمین، السیّد محسن (ت1371ق). التحقیق: حسن الأمین. بیروت: دارالتعارف للمطبوعات.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إقبال الأعمال. ابن طاووس، علیّ بن موسی (ت664ق). طهران: دار الکتب الإسلامیة. الطبعة الثانیة: 1409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الأمالی. ابن‌بابویه، محمّد بن علیّ (ت381ق). طهران: منشورات کتابچی. الطبعة السادسة: 1376ش.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الأنوار الجلالیّة فی شرح الفصول النصیریّة.</w:t>
      </w:r>
    </w:p>
    <w:p>
      <w:pPr>
        <w:pStyle w:val="BookText"/>
      </w:pPr>
      <w:r>
        <w:rPr>
          <w:rFonts w:ascii="IRNazanin" w:hAnsi="IRNazanin" w:eastAsia="IRNazanin" w:cs="IRNazanin"/>
          <w:lang w:bidi="fa-IR"/>
          <w:color w:val="111111"/>
          <w:sz w:val="28"/>
          <w:szCs w:val="28"/>
          <w:rtl/>
        </w:rPr>
        <w:t xml:space="preserve">فاضل مقداد (ت876ق). مشهد: مجمع البحوث الإسلامیّة. الطبعة الأولی: 1420ق.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أمل الآمل. الحرّ العاملیّ، محمّد بن حسن (1104 ق). بمساعی: السیّد احمد الحسینیّ. قم: منشورات دارالکتاب اسلامیّ. 1362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أوائل المقالات. المفید، محمّد بن محمّد (ت413ق). قم: المؤتمر العالمیّ لألفیة الشیخ المفید. الطبعة الأولی: 1413ق.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بحارالأنوار الجامعة لدرر الأخبار الأئمة الأطهار(علیهم السلام). المجلسیّ، محمّد باقر (ت1110ق). بیروت: دار إحیاء التراث العربیّ. الطبعة الثانیة: 1403ق.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بیان الفرقان. القزوینیّ، مجتبی (ت1345ش). قزوین: منشورات حدیث امروز. الطبعة الأولی: 1387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البیان فی تفسیر القرآن. الخوئیّ، ابوالقاسم (ت1413ق). قم: مؤسّسة إحیاء آثار الامام خوئیّ(رحمه الله).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تذکرة الفقهاء. العلّامة الحلّیّ، حسن بن یوسف بن مطهّر (ت726ق). قم: مؤسّسة آل البیت(علیهم السلام) لإحیاء التراث. الطبعة الأولی.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التعلیقة علی الفوائد الرضویّة. القمّی، القاضی سعید (ت1107ق).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تفسیر القمّیّ. القمّیّ، علیّ بن ابراهیم بن هاشم (القرن الثالث). قم: مؤسّسة دار الکتاب. الطبعة الثالثة: 1404ق.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تفسیر جوامع الجامع. الطبرسیّ، فضل بن حسن (ت548ق). طهران: منشورات جامعة طهران. الطبعة الأولی: 1377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تنقیح المقال فی علم الرجال. المامقانیّ، عبدالله (ت1351ق). طهران: منشورات جهان. الطبعة: 1353ش.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التوحید. ابن بابویه، محمّد بن علیّ (ت 381ق). التحقیق: هاشم حسینیّ. قم: مؤسّسة النشر الإسلامیّ. الطبعة الأولی: 1398ق.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جامع الرواة وإزاحة الاشتباهات عن الطرق والاسناد. الأردبیلیّ الغرویّ الحائریّ، محمّد بن علی (ت1101ق). قم: مکتبة المحمدیّ.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جامع الشتّات. الخواجوئیّ، محمّد اسماعیل (ت1171 أو 1173ق). التحقیق: السیّد مهدی رجائیّ. قم: مؤسّسة النشر الإسلامیّ. الطبعة الأولی: 1418ق.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جمال الأسبوع بکمال العمل المشروع. ابن طاووس، علی بن موسی (ت664ق). قم:دارالرضیّ. الطبعة الأولی: 1330ق.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جوابات المسائل الرکنیّة. المیرزا القمّی، ابو القاسم (ت1231ق). «المطبوع ضمن رسائل ومتون حول مدینة قم المسمّی بقم نامه» حسین المدرّسیّ الطباطبائیّ. منشورات مکتبة آیة اللّه العظمی المرعشیّ(رحمه الله).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جواهر الکلام. النجفیّ، محمّد حسن (ت1266ق). التحقیق: الشیخ عبّاس القوچانیّ. طهران: دار الکتب الاسلامیّة. الطبعة الثانیة: 1365ش.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الحدائق الناظرة فی أحکام العترة الطاهرة. البحرانیّ، یوسف (ت1186ق). التحقیق: محمّد تقی الإیروانیّ. قم: مؤسّسة النشر الاسلامیّ. الطبعة الأولی: 1405ق.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حدیقة الشیعة. المقدّس الأردبیلیّ، احمد بن محمّد (ت993ق). طهران: منشورات گلی.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حقّ الیقین. المجلسیّ، محمّد باقر (ت1110ق). طهران: منشورات اسلامیّة.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الحکایات فی مخالفات المعتزلة من العدلیة والفرق بینهم وبین الشیعة‌الإمامیّة. المفید، محمّد بن محمّد (ت413ق). «المجلّد العاشر من مصنّفات الشیخ المفید». قم: المؤتمر العالمیّ لألفیة الشیخ المفید(رحمه الله). الطبعة الأولی: 1413ق.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خاتمة المستدرک الوسائل. النوریّ، المیرزا حسین (ت1320ق). قم: مؤسّسة آل بیت(علیهم السلام) لإحیاء التراث. الطبعة الأولی: 1415ق.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الخرائج والجرائح. الراوندیّ، قطب الدین (ت573ق). قم: مؤسسة الإمام المهدیّ(عجل الله تعالی فرجه الشریف). الطبعة الأولی: 1409ق.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الدروس الشرعیة فی فقه الإمامیّة. العاملیّ، محمّد بن مکّی (المعروف بالشهید الأوّل) (ت786ق).قم: مؤسّسة النشر الإسلامیّ. الطبعة الأولی: 1412ق.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الذریعة. الطهرانیّ، آقا بزرگ (ت1389ق). بیروت: نشر دار الأضواء. الطبعةالأولی: 1403ق.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اختیار معرفة الرجال (رجال الکشیّ). الکشّیّ، محمّد بن عمر (القرن الرابع). مشهد: مطبعة جامعة مشهد مقدّس. الطبعة الأولی: 1409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رجال</w:t>
      </w:r>
    </w:p>
    <w:p>
      <w:pPr>
        <w:pStyle w:val="BookText"/>
      </w:pPr>
      <w:r>
        <w:rPr>
          <w:rFonts w:ascii="IRNazanin" w:hAnsi="IRNazanin" w:eastAsia="IRNazanin" w:cs="IRNazanin"/>
          <w:lang w:bidi="fa-IR"/>
          <w:color w:val="111111"/>
          <w:sz w:val="28"/>
          <w:szCs w:val="28"/>
          <w:rtl/>
        </w:rPr>
        <w:t xml:space="preserve">النجاشیّ. النجاشیّ، احمد بن علیّ احمد بن عبّاس (ت450ق). التحقیق: السیّد موسی الشبیریّ الزنجانیّ. قم: مؤسّسة النشر الإسلامیّ. 1407ق.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سفینة البحار ومدینة الحکم والآثار. القمّیّ، شیخ عبّاس (ت1319ش). مشهد: مجمع البحوث الإسلامیّة للآستانة الرضویّة المقدّسة. الطبعة الأولی: 1418ق.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سلسبیل. الإصطهباناتیّ، المیرزا ابوالحسن (ت1378ق). بمبئی: مطبعة ناصریّ. الطبعة: 1312ق.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سیر أعلام النبلاء. الذهبیّ، شمس الدین محمّد بن احمد (ت748ق). التحقیق: حسین الأسد. بیروت: مؤسّسة الرسالة. الطبعة التاسعة: 1413ق.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شجرة إلهیّة. النائینیّ، میرزا رفیع (ت1082ق). «المطبوع مع رسالة مبدأ ومعاد لصدر المتألّهین».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شرح أصول الکافی. المازندرانیّ، ملّا صالح (ت1081ق). التحقیق: ابوالحسن الشعرانیّ. طهران: المکتبةالاسلامیّة. الطبعة: 1382ق.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کشف المراد فی شرح تجرید الإعتقاد. الحلّیّ، حسن بن یوسف (ت726ق). قم: مؤسّسة النشر الإسلامیّ. الطبعة الرابعة: 1413ق.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شرح حدیث عرض دین حضرت عبد العظیم حسنی.الخاجوئیّ، ملّا إسماعیل.</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صراط النجاة فی أجوبة الاستفتائات. الموسویّ الخوئیّ، السیّد ابوالقاسم (ت1413ق). مع تعلیقات المیرزا جواد التبریزیّ. قم: منشورات فدک. الطبعة الأولی: 1425ق.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طرائف المقال فی معرفة طبقات الرجال. البروجردیّ، السیّد علیّ (ت1313ق). قم: مکتبة آیة اللّه العظمی المرعشیّ(رحمه الله). الطبعة الأولی: 1410ق.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الطرائف فی معرفة مذاهب الطوائف. ابن طاووس، علی‌ّ بن موسی (664ق). التحقیق: علی عاشور. قم: منشورات خیام. الطبعة الأولی: 1400ق.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العروة الوثقی. الیزدیّ، السیّد محمّد کاظم (ت1337ق). مع تعلیقات خمسة عشر من المراجع العظام. قم: مؤسّسة النشر الإسلامیّ. الطبعة الثالثة : 1426ق.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عیون أخبار الرضا علیه السلام. ابن بابویه، محمّد بن علیّ (ت381ق). طهران: منشورات جهان. الطبعة الأولی: 1378ق.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فرائد الأصول. الأنصاریّ، مرتضی (ت1281ق). قم: مجمع الفکر الإسلامیّ. الطبعة التاسعة: 1428ق.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فرج المهموم فی تاریخ علماء النجوم. ابن طاووس، علیّ بن موسی (ت664ق). قم: دار الذخائر. الطبعة: 1368ق.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الفصول العشرة فی الغیبة. المفید، محمّد بن محمّد (ت413ق). تحقیق: الشیخ فارس حسّون. بیروت: دار المفید. الطبعة الثانیة: 1414ق.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الفوائد المدنیّة، الإسترآبادیّ، محمّد أمین (ت1033ق). قم: مؤسّسة النشر الإسلامیّ. الطبعة الأولی: 1424ق.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الفهرست. ابن بابویه الرازیّ، منتجب الدین (ت600ق). قم: منشورات مکتبة آیة اللّه المرعشیّ النجفیّ(رحمه الله). الطبعة الأولی: 1366ش.</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الفهرست. الطوسیّ، محمّد بن حسن (ت460ق). التحقیق: الشیخ جواد القیّومیّ. قم: مؤسّسة نشر الفقاهة. الطبعة الأولی: 1417ق.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قصص العلماء.التنکابنیّ، میرزا محمّد (ت1302ق). طهران: منشورات العلمیّة الإسلامیّة. الطبعة الثانیة: 1364ش.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الکافی. الکلینیّ، محمّد بن یعقوب (ت329ق). تحقیق: علی اکبر الغفاریّ. طهران: منشورات دارالکتب الإسلامیّة. الطبعة الرابعة: 1407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کتاب الطهارة. الأراکیّ، محمّد علی (ت1415ق). قم: مؤسّسة در راه حقّ. الطبعة الأولی: 1413ق.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کشف الغطاء عن مبهمات شریعة الغرّاء. کاشف الغطاء، جعفر (ت1228ق). اصفهان: الطبعة الحجریّة.</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الکشکول. الشیخ البهائیّ، محمّد حسین (ت1031ق) قم: دار الحکمة.</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کلمة التقوی. زین الدین، محمّد أمین (ت1419ق). قم: مطبعة مهر. الطبعة الأولی :1413ق.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کمال الدین وتمام النعمة.ابن بابویه، محمّد بن علی (ت381ق). التحقیق: علیّ أکبر الغفاریّ. طهران: منشورات الاسلامیّة. الطبعة الثانیة: 1395ق.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کنز الفوائد. الکراجکیّ، محمّد بن علی (ت449ق). التحقیق: عبداللّه نعمة. قم: دارالذخائر. الطبعة الأولی: 1410ق.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تفسیر مجمع البیان. الطبرسیّ، فضل بن حسن (ت848ق). بیروت: منشورات مؤسّسة الأعلمی. الطبعة الأولی: 1415ق.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الفلسفه والعرفان فی ضوء الإسلام. الصدر زاده، محمّد. التعریب: کمال السیّد. قم: منشورات انصاریان. الطبعة الأولی: 1436ق.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مرآة العقول فی شرح أخبار آل الرسول(علیهم السلام). المجلسیّ، محمّد باقر (ت1110ق). التحقیق: السیّد هاشم الرسولیّ. طهران: دارالکتب الإسلامیّة. الطبعة الثانیة: 1404ق.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المسائل العکبریّة. المفید، محمّد بن محمّد(ت413ق). قم: المؤتمر العالمیّ لألفیة الشیخ المفید(رحمه الله). الطبعة الأولی:1414 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مستدرک سفینة البحار. النمازیّ الشاهرودیّ، علی بن محمّد (ت1405ق). قم: مؤسّسة النشر الإسلامیّ. الطبعة الثانیة: 1427ق.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مستمسک العروة الوثقی. الحکیم، السیّد محسن (ت1390ق) النجف: منشورات مطبعة الآداب. الطبعة: 1391ق.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مصباح الفقاهة. الموسویّ الخوئیّ، السیّد ابوالقاسم (ت1413ق). تقریر: المیرزا علیّ التوحیدیّ. قم: مکتبة الداوریّ. الطبعة: 1377ش.</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مصباح الفقیه. الهمدانیّ، آقا رضا (ت1322ق). قم: مؤسّسة الجعفریّة لإحیاء التّراث. الطبعة الأولی: 1416ق.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المعالم الزلفی فی شرح العروة الوثقی. العراقیّ، عبدالنبیّ (ت1385ق). قم: المطبعة العلمیّة. الطبعة الأولی: 1380ق.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معالم العلماء. إبن شهر آشوب، محمّد بن علی (ت588ق). نجف: المطبعة الحیدریّة. الطبعة الأولی: 1380ق.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کتاب المکاسب. الأنصاریّ، مرتضی (ت1281ق). قم: مجمع الفکر الإسلامیّ.الطبعة الثالثة:1420ق.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ملحقات احقاق الحق وازهاق الباطل. الشوشتریّ، قاضی نور اللّه (ت 1019 ق). المقدّمة والتعلیق: آیة الله المرعشیّ النجفیّ رحمه الله علیه. قم: منشورات مکتبة آیة اللّه المرعشیّ النجفیّ(رحمه الله). الطبعة الأولی: 1409ق.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منتهی المطلب فی تحقیق المذهب.العلّامة الحلّی، حسن بن یوسف (ت726ق). مشهد: مؤسّسة الطبع والنشر فی الآستانة الرضویّة المقدّسة. الطبعة الأولی: 1414ق.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منهاج البراعة فی شرح نهج البلاغة. الخوئیّ، میرزا حبیب الله (ت1324ق). طهران: منشورات الإسلامیة. الطبعة الأولی: 1386ش.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منیة المرید فی أدب المفید والمستفید. العاملیّ، زین الدین بن علیّ (الشهید الثانی) (ت965ق). قم: مکتبة الاعلام الإسلامیّ.</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مهج الدعوات ومنهج العبادات. ابن طاووس، علیّ بن موسی (ت664ق). قم: دار الذخائر. الطعبة الأولی: 1411ق.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المیزان فی تفسیر القرآن. الطباطبائیّ، السیّد محمّد حسین (ت1360ش). قم: مؤسّسة النشر الإسلامیّ. الطبعة الخامسة: 1417ق.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نتائج الأفکار. الگلپایگانیّ، السیّد محمّد رضا (ت1415ق). تقریر: علی کریمی الجهرمیّ. قم: مؤسّسة دار القرآن الکریم. الطبعة الأولی: 1413ق.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نهایة المرام فی علم الکلام. العلاّمة الحلّی، حسن بن یوسف (ت726ق).قم: مؤسّسة الإمام الصادق(علیه السلام). الطبعة الأولی :1419ق.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نهج الحقّ وکشف الصدق. العلاّمة الحلّی، حسن بن یوسف (ت726ق). بیروت: دارالکتاب. الطبعة الأولی: 1982م.</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تفصیل وسائل الشیعة لتحصیل مسائل الشریعة. الحرّ العاملیّ، محمّد بن حسن (ت1104ق). قم: مؤسّسة آل البیت علیهم السلام لإحیاء التراث. الطبعة الأولی: 1409ق.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سلسله ینابیع الفقهیه. المروارید، علی أصغر. بیروت: مؤسّسة فقه الشیعة. الطبعة الأولی: 1410ق.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مهذّب الأحکام فی بیان الحلال والحرام. السبزواریّ، السیّد عبد الأعلی(ت1414ق).قم: مؤسّسة المنا ر. الطبعة الرابعة: 1413ق.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الفقه. الحسینیّ الشیرازیّ، السیّد محمّد (ت1422ق). بیروت: دارالعلوم. الطبعة الثانیة: 1409ق.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شیعه در اسلام. الطباطباییّ، السیّد محمّد حسین (ت1412ق). قم: نشر اُدبا. الطبعة الثالثة: 1389ش.</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روضات الجنات فی أحوال العلماء والسادات. بیروت: الدار الإسلامیّة. الطبعة الأولی: 1411ق.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رسالتان فی‌البداء (البلاغیّ، الخوئیّ).</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الخیراتیّة در ابطال طریقۀ صوفیه. البهبهانیّ، وحید (ت1216ق). قم: منشورات علّامة مجدّد وحید البهبهانیّ. الطبعة الأولی.</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جدلیّة الدین والفلسفة. الکاشانیّ، حسن. قم: منشورات دلیل ما. الطبعة الأولی: 1434ق.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الأنوار النعمانیّة. الجزائریّ، السیّد نعمة الله (ت1112ق). تبریز: مکتبة حقیقة.</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در الفوائد (تعلیقة علی شرح المنظومة). الآملیّ، محمّد تقی (ت1349ش). قم: منشورات اسماعیلیان. الطبعة الثانیة: 1377ش.</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میزان المطالب. الطهرانیّ، میرزا جواد آقا (ت1368ق). طهران: منشورات آفاق. الطبعة الأولی: 1392ش.</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السنخیّة أم الاتحاد والعینیّة أم التباین. السیّدان، السیّد جعفر. التعریب: ماجد الکاظمیّ. مشهد: پارسیران. الطبعة الأولی: 1390ش.</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توحید الإمامیّة. الملکیّ المیانجیّ، محمّد باقر (ت1419ق). تنظیم: محمّد البیابانیّ الأسکوئیّ. طهران: مؤسسة الطباعة والنشر وزارة الثقافة والإرشاد الاسلامیّ. الطبعة الأولی: 1415ق.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عارف و صوفی چه می‌گوید؟. الطهرانیّ، میرزا جواد (ت1368ش). طهران: منشورات آفاق. الطبعة الأولی: 1390ش.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تاریخ الفلسفة والتصوّف. النمازیّ الشاهرودیّ، علیّ (ت1405ق). التحقیق: الشیخ مرتضی الأعدادیّ. بیروت: دارالمحجّة البیضاء. الطبعة الأولی: 1433ق.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تنبیهات حول المبدأ والمعاد. المروارید، المیرزا حسنعلی (ت1425ق). مشهد: مجمع البحوث الإسلامیّة للآستانة الرضویّة المقدّسة. الطبعة الثالثة: 1391ش.</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عرفان وأهل البیت(علیهم السلام). الصدر زاده، محمّد. طهران: منشورات شهر آب. الطبعة الثالثة: 1387ش.</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توحید از نگاه وحی، فلسفه و عرفان. السیّدان، السیّد جعفر. قم: منشورات دلیل ما. الطبعة الأولی: 1391ش.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علماء در ارتباط با فلسفه و عرفان</w:t>
      </w:r>
    </w:p>
    <w:p>
      <w:pPr>
        <w:pStyle w:val="BookText"/>
      </w:pPr>
      <w:r>
        <w:rPr>
          <w:rFonts w:ascii="IRNazanin" w:hAnsi="IRNazanin" w:eastAsia="IRNazanin" w:cs="IRNazanin"/>
          <w:lang w:bidi="fa-IR"/>
          <w:color w:val="111111"/>
          <w:sz w:val="28"/>
          <w:szCs w:val="28"/>
          <w:rtl/>
        </w:rPr>
        <w:t xml:space="preserve">علامه حاج شیخ محمد باقر علم الهدی;</w:t>
      </w:r>
    </w:p>
    <w:p>
      <w:pPr>
        <w:pStyle w:val="BookText"/>
      </w:pPr>
      <w:r>
        <w:rPr>
          <w:rFonts w:ascii="IRNazanin" w:hAnsi="IRNazanin" w:eastAsia="IRNazanin" w:cs="IRNazanin"/>
          <w:lang w:bidi="fa-IR"/>
          <w:color w:val="111111"/>
          <w:sz w:val="28"/>
          <w:szCs w:val="28"/>
          <w:rtl/>
        </w:rPr>
        <w:t xml:space="preserve">با مقدمه آیت الله سید هادی مدرسی</w:t>
      </w:r>
    </w:p>
    <w:p>
      <w:pPr>
        <w:pStyle w:val="BookText"/>
      </w:pPr>
      <w:r>
        <w:rPr>
          <w:rFonts w:ascii="IRNazanin" w:hAnsi="IRNazanin" w:eastAsia="IRNazanin" w:cs="IRNazanin"/>
          <w:lang w:bidi="fa-IR"/>
          <w:color w:val="111111"/>
          <w:sz w:val="28"/>
          <w:szCs w:val="28"/>
          <w:rtl/>
        </w:rPr>
        <w:t xml:space="preserve">انتشارات ولایت</w:t>
      </w:r>
    </w:p>
    <w:p>
      <w:pPr>
        <w:pStyle w:val="BookText"/>
      </w:pPr>
      <w:r>
        <w:rPr>
          <w:rFonts w:ascii="Times New Roman" w:hAnsi="Times New Roman" w:eastAsia="Times New Roman" w:cs="Times New Roman"/>
          <w:lang w:val="en-US" w:bidi="en-US"/>
          <w:color w:val="111111"/>
          <w:sz w:val="28"/>
          <w:szCs w:val="28"/>
          <w:rtl/>
        </w:rPr>
        <w:t xml:space="preserve">1394 _ 1436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6616_50346"/>
    <w:bookmarkEnd w:id="28"/>
    <w:p>
      <w:pPr>
        <w:pStyle w:val="Heading2"/>
      </w:pPr>
      <w:bookmarkStart w:id="105" w:name="_Toc77"/>
      <w:r>
        <w:t>چکیده</w:t>
      </w:r>
      <w:bookmarkEnd w:id="105"/>
    </w:p>
    <w:p>
      <w:pPr>
        <w:pStyle w:val="BookText"/>
      </w:pPr>
      <w:r>
        <w:rPr>
          <w:rFonts w:ascii="IRNazanin" w:hAnsi="IRNazanin" w:eastAsia="IRNazanin" w:cs="IRNazanin"/>
          <w:lang w:bidi="fa-IR"/>
          <w:color w:val="111111"/>
          <w:sz w:val="28"/>
          <w:szCs w:val="28"/>
          <w:rtl/>
        </w:rPr>
        <w:t xml:space="preserve">این رساله برگرفته از کتاب سدالمفر علی القائل بالقدر مرحوم علامه حاج شیخ محمد باقر علم الهدی;، می باشد که بیان گر بعض آرای دانشمندان و فقهای شیعه از زمان مرحوم کلینی قدس سره تا مرحوم میرزا مهدی اصفهانی و شاگردان ایشان است.</w:t>
      </w:r>
    </w:p>
    <w:p>
      <w:pPr>
        <w:pStyle w:val="BookText"/>
      </w:pPr>
      <w:r>
        <w:rPr>
          <w:rFonts w:ascii="IRNazanin" w:hAnsi="IRNazanin" w:eastAsia="IRNazanin" w:cs="IRNazanin"/>
          <w:lang w:bidi="fa-IR"/>
          <w:color w:val="111111"/>
          <w:sz w:val="28"/>
          <w:szCs w:val="28"/>
          <w:rtl/>
        </w:rPr>
        <w:t xml:space="preserve">این اثر به مقدمه آیت اللّه حاج سیدهادی مدرسی حفظه الله مزین گردیده است. و به همت موسسه معارف عالم آل محمد: برای چاپ آماده گردید.</w:t>
      </w:r>
    </w:p>
    <w:p>
      <w:pPr>
        <w:pStyle w:val="BookText"/>
      </w:pPr>
      <w:r>
        <w:rPr>
          <w:rFonts w:ascii="IRNazanin" w:hAnsi="IRNazanin" w:eastAsia="IRNazanin" w:cs="IRNazanin"/>
          <w:lang w:bidi="fa-IR"/>
          <w:color w:val="111111"/>
          <w:sz w:val="28"/>
          <w:szCs w:val="28"/>
          <w:rtl/>
        </w:rPr>
        <w:t xml:space="preserve">انتشارات ولایت</w:t>
      </w:r>
    </w:p>
    <w:p>
      <w:pPr>
        <w:pStyle w:val="BookText"/>
      </w:pPr>
      <w:r>
        <w:rPr>
          <w:rFonts w:ascii="IRNazanin" w:hAnsi="IRNazanin" w:eastAsia="IRNazanin" w:cs="IRNazanin"/>
          <w:lang w:bidi="fa-IR"/>
          <w:color w:val="111111"/>
          <w:sz w:val="28"/>
          <w:szCs w:val="28"/>
          <w:rtl/>
        </w:rPr>
        <w:t xml:space="preserve">ایران _ مشهد مقدس _ بازار بزرگ</w:t>
      </w:r>
    </w:p>
    <w:p>
      <w:pPr>
        <w:pStyle w:val="BookText"/>
      </w:pPr>
      <w:r>
        <w:rPr>
          <w:rFonts w:ascii="IRNazanin" w:hAnsi="IRNazanin" w:eastAsia="IRNazanin" w:cs="IRNazanin"/>
          <w:lang w:bidi="fa-IR"/>
          <w:color w:val="111111"/>
          <w:sz w:val="28"/>
          <w:szCs w:val="28"/>
          <w:rtl/>
        </w:rPr>
        <w:t xml:space="preserve">تلفن: 00989151162907 _ 00989151576003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BOOK SUMMARY</w:t>
      </w:r>
    </w:p>
    <w:p>
      <w:pPr>
        <w:pStyle w:val="BookText"/>
      </w:pPr>
      <w:r>
        <w:rPr>
          <w:rFonts w:ascii="Times New Roman" w:hAnsi="Times New Roman" w:eastAsia="Times New Roman" w:cs="Times New Roman"/>
          <w:lang w:val="en-US" w:bidi="en-US"/>
          <w:color w:val="111111"/>
          <w:sz w:val="28"/>
          <w:szCs w:val="28"/>
          <w:rtl/>
        </w:rPr>
        <w:t xml:space="preserve">This booklet is a collection comprising Islamic scholars who held a negative position vis a vis Philosophy and Mysticism. It is a chapter extracted from a work by the late Ayatollah Sheikh Baqer Alamolhuda.</w:t>
      </w:r>
    </w:p>
    <w:p>
      <w:pPr>
        <w:pStyle w:val="BookText"/>
      </w:pPr>
      <w:r>
        <w:rPr>
          <w:rFonts w:ascii="Times New Roman" w:hAnsi="Times New Roman" w:eastAsia="Times New Roman" w:cs="Times New Roman"/>
          <w:lang w:val="en-US" w:bidi="en-US"/>
          <w:color w:val="111111"/>
          <w:sz w:val="28"/>
          <w:szCs w:val="28"/>
          <w:rtl/>
        </w:rPr>
        <w:t xml:space="preserve">The publisher</w:t>
      </w:r>
    </w:p>
    <w:p>
      <w:pPr>
        <w:pStyle w:val="BookText"/>
      </w:pPr>
      <w:r>
        <w:rPr>
          <w:rFonts w:ascii="Times New Roman" w:hAnsi="Times New Roman" w:eastAsia="Times New Roman" w:cs="Times New Roman"/>
          <w:lang w:val="en-US" w:bidi="en-US"/>
          <w:color w:val="111111"/>
          <w:sz w:val="28"/>
          <w:szCs w:val="28"/>
          <w:rtl/>
        </w:rPr>
        <w:t xml:space="preserve">Velayat publishers</w:t>
      </w:r>
    </w:p>
    <w:p>
      <w:pPr>
        <w:pStyle w:val="BookText"/>
      </w:pPr>
      <w:r>
        <w:rPr>
          <w:rFonts w:ascii="Times New Roman" w:hAnsi="Times New Roman" w:eastAsia="Times New Roman" w:cs="Times New Roman"/>
          <w:lang w:val="en-US" w:bidi="en-US"/>
          <w:color w:val="111111"/>
          <w:sz w:val="28"/>
          <w:szCs w:val="28"/>
          <w:rtl/>
        </w:rPr>
        <w:t xml:space="preserve">Address: Iran, Mashhad, central bazaar, Velayat publisher.</w:t>
      </w:r>
    </w:p>
    <w:p>
      <w:pPr>
        <w:pStyle w:val="BookText"/>
      </w:pPr>
      <w:r>
        <w:rPr>
          <w:rFonts w:ascii="Times New Roman" w:hAnsi="Times New Roman" w:eastAsia="Times New Roman" w:cs="Times New Roman"/>
          <w:lang w:val="en-US" w:bidi="en-US"/>
          <w:color w:val="111111"/>
          <w:sz w:val="28"/>
          <w:szCs w:val="28"/>
          <w:rtl/>
        </w:rPr>
        <w:t xml:space="preserve">Tel:00989151576003 - 00989151162907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POSITION OF SCHOLARS REGARDING PHILOSOPHY AND MYSTICISM</w:t>
      </w:r>
    </w:p>
    <w:p>
      <w:pPr>
        <w:pStyle w:val="BookText"/>
      </w:pPr>
      <w:r>
        <w:rPr>
          <w:rFonts w:ascii="Times New Roman" w:hAnsi="Times New Roman" w:eastAsia="Times New Roman" w:cs="Times New Roman"/>
          <w:lang w:val="en-US" w:bidi="en-US"/>
          <w:color w:val="111111"/>
          <w:sz w:val="28"/>
          <w:szCs w:val="28"/>
          <w:rtl/>
        </w:rPr>
        <w:t xml:space="preserve">Ayatollah Sheikh Baqer Alamolhuda</w:t>
      </w:r>
    </w:p>
    <w:p>
      <w:pPr>
        <w:pStyle w:val="BookText"/>
      </w:pPr>
      <w:r>
        <w:rPr>
          <w:rFonts w:ascii="Times New Roman" w:hAnsi="Times New Roman" w:eastAsia="Times New Roman" w:cs="Times New Roman"/>
          <w:lang w:val="en-US" w:bidi="en-US"/>
          <w:color w:val="111111"/>
          <w:sz w:val="28"/>
          <w:szCs w:val="28"/>
          <w:rtl/>
        </w:rPr>
        <w:t xml:space="preserve">Velayat Publishers</w:t>
      </w:r>
    </w:p>
    <w:p>
      <w:pPr>
        <w:pStyle w:val="BookText"/>
      </w:pPr>
      <w:r>
        <w:rPr>
          <w:rFonts w:ascii="Times New Roman" w:hAnsi="Times New Roman" w:eastAsia="Times New Roman" w:cs="Times New Roman"/>
          <w:lang w:val="en-US" w:bidi="en-US"/>
          <w:color w:val="111111"/>
          <w:sz w:val="28"/>
          <w:szCs w:val="28"/>
          <w:rtl/>
        </w:rPr>
        <w:t xml:space="preserve">2015 _ 1394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وَال-مَوعِظَةِ ال-حَسَنَة»</w:t>
      </w:r>
    </w:p>
    <w:p>
      <w:pPr>
        <w:pStyle w:val="BookText"/>
      </w:pPr>
      <w:r>
        <w:rPr>
          <w:rFonts w:ascii="IRNazanin" w:hAnsi="IRNazanin" w:eastAsia="IRNazanin" w:cs="IRNazanin"/>
          <w:lang w:bidi="fa-IR"/>
          <w:color w:val="111111"/>
          <w:sz w:val="28"/>
          <w:szCs w:val="28"/>
          <w:rtl/>
        </w:rPr>
        <w:t xml:space="preserve">علم و معرفت بزرگترین و بهترین نعمت الهی است که خداوند متعال آن را به بندگان صالح خویش عطا می‌فرماید و آن‌ها را در مسیر عبودیت و کمال بندگی به سوی خود با آن یاری می‌کند. بزرگ‌ترین افتخار بندگان خدا برخورداری آن‌ها از این نعمت گران سنگ است. عالمان ربانی و عارفان حقیقی کسانی هستند که در راه بندگی خدا همواره پیامبران الهی و امامان معصوم علیهم السلام را چراغ راه خویش قرار داده واز سلوک طریق علمی و عملی آن‌ها هیچ وقت احساس خستگی به خود راه نداده و از هر طریق دیگری غیر از راه امامان معصوم علیهم السلام دوری و بیزاری می‌جویند.</w:t>
      </w:r>
    </w:p>
    <w:p>
      <w:pPr>
        <w:pStyle w:val="BookText"/>
      </w:pPr>
      <w:r>
        <w:rPr>
          <w:rFonts w:ascii="IRNazanin" w:hAnsi="IRNazanin" w:eastAsia="IRNazanin" w:cs="IRNazanin"/>
          <w:lang w:bidi="fa-IR"/>
          <w:color w:val="111111"/>
          <w:sz w:val="28"/>
          <w:szCs w:val="28"/>
          <w:rtl/>
        </w:rPr>
        <w:t xml:space="preserve">این بنیاد با هدف احیای آثار چنین بزرگانی که در طول تاریخ تشیع همواره مدافع و پشتیبان معارف اصیل وحیانی و علوم راستین اهل بیت علیهم السلام  بوده‌اند تشکل می‌یابد.</w:t>
      </w:r>
    </w:p>
    <w:p>
      <w:pPr>
        <w:pStyle w:val="BookText"/>
      </w:pPr>
      <w:r>
        <w:rPr>
          <w:rFonts w:ascii="IRNazanin" w:hAnsi="IRNazanin" w:eastAsia="IRNazanin" w:cs="IRNazanin"/>
          <w:lang w:bidi="fa-IR"/>
          <w:color w:val="111111"/>
          <w:sz w:val="28"/>
          <w:szCs w:val="28"/>
          <w:rtl/>
        </w:rPr>
        <w:t xml:space="preserve">امید است با توجهات خاص حضرات معصومین در این راه توفیق یارشان باشد تا بتوانند قدم‌های مثبت مهمی در احیای آثار ارزشمند آن بزرگان با شرایط روز بردارند.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وَالمَوعِظَةِ الحَسَنَة}</w:t>
      </w:r>
    </w:p>
    <w:p>
      <w:pPr>
        <w:pStyle w:val="BookText"/>
      </w:pPr>
      <w:r>
        <w:rPr>
          <w:rFonts w:ascii="Times New Roman" w:hAnsi="Times New Roman" w:eastAsia="Times New Roman" w:cs="Times New Roman"/>
          <w:lang w:val="en-US" w:bidi="en-US"/>
          <w:color w:val="111111"/>
          <w:sz w:val="28"/>
          <w:szCs w:val="28"/>
          <w:rtl/>
        </w:rPr>
        <w:t xml:space="preserve">Call on to the way of your lord with wisdom and good preaching</w:t>
      </w:r>
    </w:p>
    <w:p>
      <w:pPr>
        <w:pStyle w:val="BookText"/>
      </w:pPr>
      <w:r>
        <w:rPr>
          <w:rFonts w:ascii="Times New Roman" w:hAnsi="Times New Roman" w:eastAsia="Times New Roman" w:cs="Times New Roman"/>
          <w:lang w:val="en-US" w:bidi="en-US"/>
          <w:color w:val="111111"/>
          <w:sz w:val="28"/>
          <w:szCs w:val="28"/>
          <w:rtl/>
        </w:rPr>
        <w:t xml:space="preserve">Knowledge is arguably God's most precious blessing given to humanity, with which they can understand, worship, and submit to the Almighty's commandments. It is indeed the greatest of His gifts for both in this life and the afterlife.</w:t>
      </w:r>
    </w:p>
    <w:p>
      <w:pPr>
        <w:pStyle w:val="BookText"/>
      </w:pPr>
      <w:r>
        <w:rPr>
          <w:rFonts w:ascii="Times New Roman" w:hAnsi="Times New Roman" w:eastAsia="Times New Roman" w:cs="Times New Roman"/>
          <w:lang w:val="en-US" w:bidi="en-US"/>
          <w:color w:val="111111"/>
          <w:sz w:val="28"/>
          <w:szCs w:val="28"/>
          <w:rtl/>
        </w:rPr>
        <w:t xml:space="preserve">And those with divine understanding are the true inheritors of the prophets and their successors. Those are the people of wisdom who stop at nithing in carrying on their endeavor in seeking knowledge from its one and only source; The messengers of Allah.</w:t>
      </w:r>
    </w:p>
    <w:p>
      <w:pPr>
        <w:pStyle w:val="BookText"/>
      </w:pPr>
      <w:r>
        <w:rPr>
          <w:rFonts w:ascii="Times New Roman" w:hAnsi="Times New Roman" w:eastAsia="Times New Roman" w:cs="Times New Roman"/>
          <w:lang w:val="en-US" w:bidi="en-US"/>
          <w:color w:val="111111"/>
          <w:sz w:val="28"/>
          <w:szCs w:val="28"/>
          <w:rtl/>
        </w:rPr>
        <w:t xml:space="preserve">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المائدة(5)، الآیة 16.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الفاتحة(1)، الآیة 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دعاء أبی حمزة الثمالی المرویّ عن الإمام زین العابدین7؛ مهج الدعوات، ص144؛ بحارالأنوار، ج91، ص190، ح3 (الباب 35 من أبواب الدعاء من کتاب الذکر والدعاء).</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 ورد فی الحدیث: قَالَ رَجُلٌ لِلصَّادِقِ(علیه السلام) یَا ابْنَ رَسُولِ اللَّهِ دُلَّنِی عَلَی اللَّهِ مَا هُوَ فَقَدْ أَکْثَرَ عَلَیَّ الْمُجَادِلُونَ وَ حَیَّرُونِی. فَقَالَ لَهُ: یَا عَبْدَ اللَّهِ هَلْ رَکِبْتَ سَفِینَةً قَطُّ قَالَ نَعَمْ قَالَ فَهَلْ کُسِرَ بِکَ حَیْثُ لَا سَفِینَةَ تُنْجِیکَ وَ لَا سِبَاحَةَ تُغْنِیکَ قَالَ: نَعَمْ، قَالَ: فَهَلْ تَعَلَّقَ قَلْبُکَ هُنَالِکَ أَنَّ شَیْئاً مِنَ الْأَشْیَاءِ قَادِرٌ عَلَی أَنْ یُخَلِّصَکَ مِنْ وَرْطَتِکَ فَقَالَ: نَعَمْ، قَالَ الصَّادِقُ(علیه السلام) فَذَلِکَ الشَّیْ‌ءُ هُوَ اللَّهُ الْقَادِرُ عَلَی الْإِنْجَاءِ حَیْثُ لَا مُنْجِیَ وَ عَلَی الْإِغَاثَةِ حَیْثُ لَا مُغِیثَ. التوحید، ص231، ح5.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هذا المعنی فی مضامین کثیرة من الروایات. راجع علی سبیل المثال: الکافی، ج1، ص84، ح6؛ بحارالأنوار، ج3، ص287 (باب13: نفی الجسم والصورة... وأنّه لا یدرک بالحواسّ والأوهام والعقول والأفهام من کتاب التوحید).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الکافی، ج1، ص202، ح2.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الخطبة 152، ص212.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ج66، ص293 (باب37 از أبواب الإیمان والإسلام... از کتاب الإیمان والکفر).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إقبال الأعمال، ج1، ص295؛ بحارالأنوار، ج99، ص105 (الباب السابع من أبواب زیارات الأئمّة: و... من کتاب المزار).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الخطبة الأولی، ص43.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الخطبة الأولی، ص44_43.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(36)، الآیة 30.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الآیة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الأمالی للصدوق، ص235، ح8 بإسناده عن إسحاق بن راهویه قال: لَمَّا وَافَی أَبُو الْحَسَنِ الرِّضَا علیه السلام  بِنَیْسَابُورَ وَأَرَادَ أَنْ یَخْرُجَ مِنْهَا إِلَی الْمَأْمُونِ اجْتَمَعَ إِلَیْهِ أَصْحَابُ الْحَدِیثِ فَقَالُوا لَهُ: یَا ابْنَ رَسُولِ اللَّهِ تَرْحَلُ عَنَّا وَلَا تُحَدِّثُنَا بِحَدِیثٍ فَنَسْتَفِیدَهُ مِنْکَ وَکَانَ قَدْ قَعَدَ فِی الْعَمَّارِیَّةِ فَأَطْلَعَ رَأْسَهُ وَقَالَ: سَمِعْتُ أَبِی مُوسَی بْنَ جَعْفَرٍ یَقُولُ: سَمِعْتُ أَبِی جَعْفَرَ بْنَ مُحَمَّدٍ یَقُولُ: سَمِعْتُ أَبِی مُحَمَّدَ بْنَ عَلِیٍّ یَقُولُ: سَمِعْتُ أَبِی عَلِیَّ بْنَ الْحُسَیْنِ یَقُولُ: سَمِعْتُ أَبِی الْحُسَیْنَ بْنَ عَلِیِّ بْنِ أَبِی طَالِبٍ یَقُولُ: سَمِعْتُ أَبِی أَمِیرَ الْمُؤْمِنِینَ عَلِیَّ بْنَ أَبِی طَالِبٍ یَقُولُ: سَمِعْتُ رَسُولَ اللَّهِ9 یَقُولُ: سَمِعْتُ جَبْرَئِیلَ یَقُولُ: سَمِعْتُ اللَّهَ جَلَّ جَلَالُهُ یَقُولُ: «لَا إِلَهَ إِلَّا اللَّهُ» حِصْنِی فَمَنْ دَخَلَ حِصْنِی أَمِنَ مِنْ عَذَابِی قَالَ فَلَمَّا مَرَّتِ الرَّاحِلَةُ نَادَانَا بِشُرُوطِهَا وَأَنَا مِنْ شُرُوطِهَا.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ص259، ش477؛ بحارالأنوار، ج48، ص189، ح1.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النجاشیّ، ص433، ش1164؛ ولمزید من الاطّلاع راجع: الفهرست، ص258، ش783؛ معالم العلماء، ص163، ش862.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ص125، ش627؛ ولمزید من الاطّلاع راجع: رجال النجاشیّ، ص306؛ الفهرست، ص197، ش563.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سفینة البحار،ج8، ص300؛ راجع: تنقیح المقال فی علم الرجال، ج21، ص96، ش5725.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أوائل المقالات (للمفید)، ص101؛ ولمزید من الاطّلاع راجع: الفصول العشرة (للمفید)، ص87.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المسائل العکبریّة (للمفید)، ص65_66. ولمزید من الاطّلاع راجع: الفهرست، ص96: وله (الحسن بن موسی النوبختیّ) مصنّفات کثیرة فی الکلام وفی نقض الفلسفة؛ الحکایات فی مخالفات المعتزلةمن العدلیّة، ص55 (المجلد العاشر من مصنّفات الشیخ المفید(رحمه الله)).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ج1، ص17.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الآیة 32.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ج3، ص1061.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ج3، ص1054.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(للمنتجب الدین)، ص68، ش186.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(للحرّ العاملی)، ج2، ص105، ش293؛ راجع: أعیان الشیعة، ج6، ص250؛ الذریعة، ج24، ص287، ش1479.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ج10، ص826.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الآیة 83.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جوامع الجامع، ج4، ص21.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وکشف الصدق، ص57.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الفقهاء، ج9، ص37 _ 36؛ ولمزید من الاطّلاع راجع: نهج الحقّ وکشف الصدق، ص124؛ أجوبة المسائل المهنّائیّة، ص89_ 88؛ نهایة المرام فی علم الکلام، ج3، ص6_ 5؛ کشف المراد فی شرح التجرید، ص82؛ صفاء الدین البصریّ فی مقدّمة المجلّد الثالث من کتاب منتهی المطلب، ص39.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ج54، ص252.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حدیقة الشیعة، ج2، ص753_ 752؛ ولمزید من الإطّلاع راجع: نهج الحقّ، ص57و58؛ الدروس الشرعیّة، ج2، ص275؛ حدیقة الشیعة، ج2، ص758_766.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الإثنا عشریّة، ص59.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شجرۀ الهیّة، ص48.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ج54، ص278 (الباب الأوّل من أبواب کلّیّات أحوال العالم... من کتاب السماء والعالم).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ج54، ص234 (الباب الأوّل من أبواب کلّیّات أحوال العالم... من کتاب السماء والعالم)؛ والحدیث فی الکافی، ج1، ص54، ح2: إِذَا ظَهَرَتِ الْبِدَعُ فِی أُمَّتِی، فَلْیُظْهِرِ الْعَالِمُ عِلْمَهُ فَمَنْ لَمْ یَفْعَلْ فَعَلَیْهِ لَعْنَةُ اللَّهِ.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ج56، ص203 _ 202 (الباب 23 من أبواب الملائکة من کتاب السماء والعالم).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ج57، ص194 (الباب 34 من أبواب العناصر کائنات... من کتاب السماء والعالم).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ج6، ص281 _ 282 (الباب الثامن من أبواب الموت وما یلحقه من کتاب العدل والمعاد).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 ص47 (الباب الثالث من أبواب المعاد وما یناسبها من کتاب العدل والمعاد).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ج8، ص205 (الباب 23 من أبواب المعاد وما یناسبها من کتاب العدل والمعاد).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ج40، ص173 (الباب 93 من أبواب کرائم خصاله و... من کتاب تاریخ أمیرالمؤمنین علیه السلام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ص378، ح10؛ وسائل الشیعة، ج16، ص262، ح9 [215170] (الباب 78 من أبواب الأمر والنهی و... من کتاب الأمر بالمعروف و...).</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الآیة 10.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ج71، ص214، ذیل ح47 (الباب 14 من أبواب آداب العشرة مع الأصدقاء... من کتاب العشرة).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ص106، ح3؛ وسائل الشیعة، ج12، ص163، ح1 [15981] (الباب 111 من أبواب أحکام العشرة... من کتاب الحجّ).</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ج68، ص331. ولمزید من الاطّلاع راجع: مرآة العقول، ج1، ص2 و ص235؛ حقّ الیقین، ص468 _ 466.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ص67، ح6؛ بحارالآنوار، ج2، ص38، ح65 (الباب التاسع من أبواب العلم من کتاب العقل و العلم...)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خاتمة المستدرک، ج2، ص61 _ 62.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عنه البهبهانیّ فی خیراتیّة، ج2، ص168.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النعمانیّة، ج3، ص132؛ نقل عنه المحدّث البحرانیّ فی الحدائق الناظرة، ج1، ص126_ 128.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ج2، ص133.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ص149، ح1.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أصول الکافی، ج4، ص354؛ وأیضاً راجع: شرح أصول الکافی، ج3، ص3 (باب حدوث العالم).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ص89، ح3.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أصول الکافی، ج3، ص158.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فرج المهموم، ص216؛ و لمزید من الاطلاع راجع: أیضاً: الطرائف فی معرفة مذاهب الطوائف، ج2، ص332؛ جمال الأسبوع، ص4.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المدنیّة، ص471.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التعلیقة علی الفوائد الرضویّة، ص64.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المکاسب، ج1، ص235. و راجع: فرائد الأصول، ج1، ص57 (مبحث تعارض الدلیل العقلیّ والنقلیّ)؛ کتاب الطهارة، ج5، ص141.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البراعة فی شرح نهج البلاغة، ج13، ص176.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سفینة البحار، ج8،ص299؛ وانظر: السلسبیل للإصطهباناتیّ، ص387؛ وقد ذکره أیضاً التنکابنیّ فی قصص العلماء، ص105.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الکلام، ج22، ص59.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مهذّب الأحکام، ج1، ص388.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ج4، ص256.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العروة الوثقی مع تعلیقات المراجع العظام، نشر المکتبة العلمیّة الإسلامیّة، ج1، ص68و69؛ وأیضاً نشر مؤسّسة النشر الإسلامیّ التابعة لجماعة المدرّسین، ج4، ص104.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ج7، ص151 (مادّة: فلسف).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الآیة 43.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سفینة البحار، ج10، ص517.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 الفرقان (مع تعلیقات آیة اللّه السیّدان)، ج1، ص27.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سفینة البحار، ج6، ص398 و ج8، ص298.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سفینة البحار، ج8، ص298.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البیان فی تفسیر القرآن، ص407.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الطهارة، ج2، ص81 _ 82.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الفقاهة، ج1، ص364.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صراط النجاة، ج1، ص458.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سفینة البحار، ج8، ص303: (عقیدة) حزب (توده) کعقیدة الفلسفة من حیث التضاد مع أصول الإسلام، فهذه العقیدة کفر وشرک.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رسالتان فی البداء (البلاغیّ، الخوئیّ)، ص24.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ملحقات إحقاق الحقّ ، ج1، ص185_183.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الطهارة (الشیخ محمّد علیّ الأراکیّ)، ج1، ص552.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ص136_ 137.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کنز الفوائد، ج1، ص33 _ 41.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شیعه در اسلام، الدرس 18، 137.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تعلیقة محمّد تقیّ المصباح الیزدیّ علی بحارالأنوار، ج57، ص196.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ج57، ص196.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للمزید من الإطّلاع راجع الکتب التالیة: میزان المطالب؛ تاریخ الفلسفة والتصوّف؛ توحید الإمامیّة؛ عارف و صوفی چه می گویند؟؛ الفلسفه والعرفان فی ضوء الإسلام؛ تنبیهات حول المبدأ والمعاد؛ توحید از نگاه وحی، فلسفه و عرفان؛ عرفان و أهل البیت(علیهم السلام)؛ السنخیّة أم الإتّحاد والعینیّة أم التباین؟.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E298E7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موقف العلماء من الفلسفه و العرفان</dc:title>
  <dc:description/>
  <dc:subject/>
  <cp:keywords/>
  <cp:category/>
  <cp:lastModifiedBy/>
  <dcterms:created xsi:type="dcterms:W3CDTF">2026-08-27T05:06:06+03:30</dcterms:created>
  <dcterms:modified xsi:type="dcterms:W3CDTF">2026-08-27T05:06:06+03:30</dcterms:modified>
</cp:coreProperties>
</file>

<file path=docProps/custom.xml><?xml version="1.0" encoding="utf-8"?>
<Properties xmlns="http://schemas.openxmlformats.org/officeDocument/2006/custom-properties" xmlns:vt="http://schemas.openxmlformats.org/officeDocument/2006/docPropsVTypes"/>
</file>