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الشافی فی الإمامة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719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894721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94723_2320776876">
            <w:r>
              <w:rPr>
                <w:webHidden/>
                <w:rStyle w:val="IndexLink"/>
                <w:rtl w:val="true"/>
              </w:rPr>
              <w:t>الفهرس الإجمالي</w:t>
            </w:r>
            <w:r>
              <w:rPr>
                <w:rStyle w:val="IndexLink"/>
                <w:rtl w:val="true"/>
              </w:rPr>
              <w:tab/>
            </w:r>
            <w:r>
              <w:rPr>
                <w:rStyle w:val="IndexLink"/>
              </w:rPr>
              <w:t>13</w:t>
            </w:r>
          </w:hyperlink>
        </w:p>
        <w:p>
          <w:pPr>
            <w:pStyle w:val="Contents2"/>
            <w:tabs>
              <w:tab w:val="clear" w:pos="8743"/>
              <w:tab w:val="right" w:pos="9026" w:leader="dot"/>
            </w:tabs>
            <w:rPr/>
          </w:pPr>
          <w:hyperlink w:anchor="__RefHeading___Toc894725_2320776876">
            <w:r>
              <w:rPr>
                <w:webHidden/>
                <w:rStyle w:val="IndexLink"/>
                <w:rtl w:val="true"/>
              </w:rPr>
              <w:t xml:space="preserve">تتمّة </w:t>
            </w:r>
            <w:r>
              <w:rPr>
                <w:rStyle w:val="IndexLink"/>
              </w:rPr>
              <w:t>3</w:t>
            </w:r>
            <w:r>
              <w:rPr>
                <w:rStyle w:val="IndexLink"/>
                <w:rtl w:val="true"/>
              </w:rPr>
              <w:t xml:space="preserve">. </w:t>
            </w:r>
            <w:r>
              <w:rPr>
                <w:rStyle w:val="IndexLink"/>
                <w:rtl w:val="true"/>
              </w:rPr>
              <w:t>فَصل في الكلامِ علَى اعتِراضِه علىٰ ما حَكاه مِن أدلّتِنا في وجوبِ الإمامةِ و العصمةِ</w:t>
            </w:r>
            <w:r>
              <w:rPr>
                <w:rStyle w:val="IndexLink"/>
                <w:rtl w:val="true"/>
              </w:rPr>
              <w:tab/>
            </w:r>
            <w:r>
              <w:rPr>
                <w:rStyle w:val="IndexLink"/>
              </w:rPr>
              <w:t>15</w:t>
            </w:r>
          </w:hyperlink>
        </w:p>
        <w:p>
          <w:pPr>
            <w:pStyle w:val="Contents3"/>
            <w:tabs>
              <w:tab w:val="clear" w:pos="8459"/>
              <w:tab w:val="right" w:pos="9026" w:leader="dot"/>
            </w:tabs>
            <w:rPr/>
          </w:pPr>
          <w:hyperlink w:anchor="__RefHeading___Toc894727_232077687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94729_2320776876">
            <w:r>
              <w:rPr>
                <w:webHidden/>
                <w:rStyle w:val="IndexLink"/>
                <w:rtl w:val="true"/>
              </w:rPr>
              <w:t>الكلامُ في الإجماعِ</w:t>
            </w:r>
            <w:r>
              <w:rPr>
                <w:rStyle w:val="IndexLink"/>
                <w:rtl w:val="true"/>
              </w:rPr>
              <w:tab/>
            </w:r>
            <w:r>
              <w:rPr>
                <w:rStyle w:val="IndexLink"/>
              </w:rPr>
              <w:t>17</w:t>
            </w:r>
          </w:hyperlink>
        </w:p>
        <w:p>
          <w:pPr>
            <w:pStyle w:val="Contents4"/>
            <w:tabs>
              <w:tab w:val="clear" w:pos="8176"/>
              <w:tab w:val="right" w:pos="9026" w:leader="dot"/>
            </w:tabs>
            <w:rPr/>
          </w:pPr>
          <w:hyperlink w:anchor="__RefHeading___Toc894731_232077687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94733_2320776876">
            <w:r>
              <w:rPr>
                <w:webHidden/>
                <w:rStyle w:val="IndexLink"/>
                <w:rtl w:val="true"/>
              </w:rPr>
              <w:t>مناقشة حجج صاحب الكتاب في حجّية الإجماع</w:t>
            </w:r>
            <w:r>
              <w:rPr>
                <w:rStyle w:val="IndexLink"/>
                <w:rtl w:val="true"/>
              </w:rPr>
              <w:tab/>
            </w:r>
            <w:r>
              <w:rPr>
                <w:rStyle w:val="IndexLink"/>
              </w:rPr>
              <w:t>17</w:t>
            </w:r>
          </w:hyperlink>
        </w:p>
        <w:p>
          <w:pPr>
            <w:pStyle w:val="Contents5"/>
            <w:tabs>
              <w:tab w:val="clear" w:pos="7892"/>
              <w:tab w:val="right" w:pos="9026" w:leader="dot"/>
            </w:tabs>
            <w:rPr/>
          </w:pPr>
          <w:hyperlink w:anchor="__RefHeading___Toc894735_2320776876">
            <w:r>
              <w:rPr>
                <w:webHidden/>
                <w:rStyle w:val="IndexLink"/>
                <w:rtl w:val="true"/>
              </w:rPr>
              <w:t xml:space="preserve">الحجّة الأُولىٰ قوله تعالىٰ </w:t>
            </w:r>
            <w:r>
              <w:rPr>
                <w:rStyle w:val="IndexLink"/>
                <w:rtl w:val="true"/>
              </w:rPr>
              <w:t>: (</w:t>
            </w:r>
            <w:r>
              <w:rPr>
                <w:rStyle w:val="IndexLink"/>
                <w:rtl w:val="true"/>
              </w:rPr>
              <w:t xml:space="preserve">وَ مَنْ يُشٰاقِقِ الرَّسُولَ </w:t>
            </w:r>
            <w:r>
              <w:rPr>
                <w:rStyle w:val="IndexLink"/>
                <w:rtl w:val="true"/>
              </w:rPr>
              <w:t>...)</w:t>
              <w:tab/>
            </w:r>
            <w:r>
              <w:rPr>
                <w:rStyle w:val="IndexLink"/>
              </w:rPr>
              <w:t>17</w:t>
            </w:r>
          </w:hyperlink>
        </w:p>
        <w:p>
          <w:pPr>
            <w:pStyle w:val="Contents6"/>
            <w:tabs>
              <w:tab w:val="clear" w:pos="7609"/>
              <w:tab w:val="right" w:pos="9026" w:leader="dot"/>
            </w:tabs>
            <w:rPr/>
          </w:pPr>
          <w:hyperlink w:anchor="__RefHeading___Toc894737_2320776876">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894739_2320776876">
            <w:r>
              <w:rPr>
                <w:webHidden/>
                <w:rStyle w:val="IndexLink"/>
                <w:rtl w:val="true"/>
              </w:rPr>
              <w:t>عدم التلازم بين النهي عن اتّباع غير سبيل المؤمنين، و بين الأمر باتّباع سبيلهم</w:t>
            </w:r>
            <w:r>
              <w:rPr>
                <w:rStyle w:val="IndexLink"/>
                <w:rtl w:val="true"/>
              </w:rPr>
              <w:tab/>
            </w:r>
            <w:r>
              <w:rPr>
                <w:rStyle w:val="IndexLink"/>
              </w:rPr>
              <w:t>24</w:t>
            </w:r>
          </w:hyperlink>
        </w:p>
        <w:p>
          <w:pPr>
            <w:pStyle w:val="Contents6"/>
            <w:tabs>
              <w:tab w:val="clear" w:pos="7609"/>
              <w:tab w:val="right" w:pos="9026" w:leader="dot"/>
            </w:tabs>
            <w:rPr/>
          </w:pPr>
          <w:hyperlink w:anchor="__RefHeading___Toc894741_2320776876">
            <w:r>
              <w:rPr>
                <w:webHidden/>
                <w:rStyle w:val="IndexLink"/>
                <w:rtl w:val="true"/>
              </w:rPr>
              <w:t>توجيه معنى الآية بناء علىٰ رفض دلالتها علىٰ وجوب اتّباع سبيل المؤمنين</w:t>
            </w:r>
            <w:r>
              <w:rPr>
                <w:rStyle w:val="IndexLink"/>
                <w:rtl w:val="true"/>
              </w:rPr>
              <w:tab/>
            </w:r>
            <w:r>
              <w:rPr>
                <w:rStyle w:val="IndexLink"/>
              </w:rPr>
              <w:t>29</w:t>
            </w:r>
          </w:hyperlink>
        </w:p>
        <w:p>
          <w:pPr>
            <w:pStyle w:val="Contents6"/>
            <w:tabs>
              <w:tab w:val="clear" w:pos="7609"/>
              <w:tab w:val="right" w:pos="9026" w:leader="dot"/>
            </w:tabs>
            <w:rPr/>
          </w:pPr>
          <w:hyperlink w:anchor="__RefHeading___Toc894743_2320776876">
            <w:r>
              <w:rPr>
                <w:webHidden/>
                <w:rStyle w:val="IndexLink"/>
                <w:rtl w:val="true"/>
              </w:rPr>
              <w:t>عدم التلازم بين اتّباع غير سبيل المؤمنين، و بين الخروج عن سبيلهم</w:t>
            </w:r>
            <w:r>
              <w:rPr>
                <w:rStyle w:val="IndexLink"/>
                <w:rtl w:val="true"/>
              </w:rPr>
              <w:tab/>
            </w:r>
            <w:r>
              <w:rPr>
                <w:rStyle w:val="IndexLink"/>
              </w:rPr>
              <w:t>31</w:t>
            </w:r>
          </w:hyperlink>
        </w:p>
        <w:p>
          <w:pPr>
            <w:pStyle w:val="Contents6"/>
            <w:tabs>
              <w:tab w:val="clear" w:pos="7609"/>
              <w:tab w:val="right" w:pos="9026" w:leader="dot"/>
            </w:tabs>
            <w:rPr/>
          </w:pPr>
          <w:hyperlink w:anchor="__RefHeading___Toc894745_2320776876">
            <w:r>
              <w:rPr>
                <w:webHidden/>
                <w:rStyle w:val="IndexLink"/>
                <w:rtl w:val="true"/>
              </w:rPr>
              <w:t>عدم وجوب ثبوت مؤمنين في كلّ عصر</w:t>
            </w:r>
            <w:r>
              <w:rPr>
                <w:rStyle w:val="IndexLink"/>
                <w:rtl w:val="true"/>
              </w:rPr>
              <w:tab/>
            </w:r>
            <w:r>
              <w:rPr>
                <w:rStyle w:val="IndexLink"/>
              </w:rPr>
              <w:t>34</w:t>
            </w:r>
          </w:hyperlink>
        </w:p>
        <w:p>
          <w:pPr>
            <w:pStyle w:val="Contents6"/>
            <w:tabs>
              <w:tab w:val="clear" w:pos="7609"/>
              <w:tab w:val="right" w:pos="9026" w:leader="dot"/>
            </w:tabs>
            <w:rPr/>
          </w:pPr>
          <w:hyperlink w:anchor="__RefHeading___Toc894747_2320776876">
            <w:r>
              <w:rPr>
                <w:webHidden/>
                <w:rStyle w:val="IndexLink"/>
                <w:rtl w:val="true"/>
              </w:rPr>
              <w:t>إبطال دلالة الآية علىٰ حجّيّة إجماع كلّ عصر</w:t>
            </w:r>
            <w:r>
              <w:rPr>
                <w:rStyle w:val="IndexLink"/>
                <w:rtl w:val="true"/>
              </w:rPr>
              <w:tab/>
            </w:r>
            <w:r>
              <w:rPr>
                <w:rStyle w:val="IndexLink"/>
              </w:rPr>
              <w:t>38</w:t>
            </w:r>
          </w:hyperlink>
        </w:p>
        <w:p>
          <w:pPr>
            <w:pStyle w:val="Contents5"/>
            <w:tabs>
              <w:tab w:val="clear" w:pos="7892"/>
              <w:tab w:val="right" w:pos="9026" w:leader="dot"/>
            </w:tabs>
            <w:rPr/>
          </w:pPr>
          <w:hyperlink w:anchor="__RefHeading___Toc894749_2320776876">
            <w:r>
              <w:rPr>
                <w:webHidden/>
                <w:rStyle w:val="IndexLink"/>
                <w:rtl w:val="true"/>
              </w:rPr>
              <w:t xml:space="preserve">الحجَّة الثانية قوله تعالىٰ </w:t>
            </w:r>
            <w:r>
              <w:rPr>
                <w:rStyle w:val="IndexLink"/>
                <w:rtl w:val="true"/>
              </w:rPr>
              <w:t>: (</w:t>
            </w:r>
            <w:r>
              <w:rPr>
                <w:rStyle w:val="IndexLink"/>
                <w:rtl w:val="true"/>
              </w:rPr>
              <w:t xml:space="preserve">وَ اتَّبِعْ سَبِيلَ مَنْ أَنٰابَ إِلَيَّ </w:t>
            </w:r>
            <w:r>
              <w:rPr>
                <w:rStyle w:val="IndexLink"/>
                <w:rtl w:val="true"/>
              </w:rPr>
              <w:t>)</w:t>
              <w:tab/>
            </w:r>
            <w:r>
              <w:rPr>
                <w:rStyle w:val="IndexLink"/>
              </w:rPr>
              <w:t>40</w:t>
            </w:r>
          </w:hyperlink>
        </w:p>
        <w:p>
          <w:pPr>
            <w:pStyle w:val="Contents5"/>
            <w:tabs>
              <w:tab w:val="clear" w:pos="7892"/>
              <w:tab w:val="right" w:pos="9026" w:leader="dot"/>
            </w:tabs>
            <w:rPr/>
          </w:pPr>
          <w:hyperlink w:anchor="__RefHeading___Toc894751_2320776876">
            <w:r>
              <w:rPr>
                <w:webHidden/>
                <w:rStyle w:val="IndexLink"/>
                <w:rtl w:val="true"/>
              </w:rPr>
              <w:t xml:space="preserve">الحجّة الثالثة قوله تعالىٰ </w:t>
            </w:r>
            <w:r>
              <w:rPr>
                <w:rStyle w:val="IndexLink"/>
                <w:rtl w:val="true"/>
              </w:rPr>
              <w:t>: (</w:t>
            </w:r>
            <w:r>
              <w:rPr>
                <w:rStyle w:val="IndexLink"/>
                <w:rtl w:val="true"/>
              </w:rPr>
              <w:t>وَ كَذٰلِكَ جَعَلْنٰاكُمْ أُمَّةً وَسَطاً</w:t>
            </w:r>
            <w:r>
              <w:rPr>
                <w:rStyle w:val="IndexLink"/>
                <w:rtl w:val="true"/>
              </w:rPr>
              <w:t>)</w:t>
              <w:tab/>
            </w:r>
            <w:r>
              <w:rPr>
                <w:rStyle w:val="IndexLink"/>
              </w:rPr>
              <w:t>42</w:t>
            </w:r>
          </w:hyperlink>
        </w:p>
        <w:p>
          <w:pPr>
            <w:pStyle w:val="Contents6"/>
            <w:tabs>
              <w:tab w:val="clear" w:pos="7609"/>
              <w:tab w:val="right" w:pos="9026" w:leader="dot"/>
            </w:tabs>
            <w:rPr/>
          </w:pPr>
          <w:hyperlink w:anchor="__RefHeading___Toc894753_2320776876">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894755_2320776876">
            <w:r>
              <w:rPr>
                <w:webHidden/>
                <w:rStyle w:val="IndexLink"/>
                <w:rtl w:val="true"/>
              </w:rPr>
              <w:t>عدم دلالة الآية علىٰ نفي الصغائر عن الشهداء العدول، بناءً علىٰ رأي صاحب الكتاب</w:t>
            </w:r>
            <w:r>
              <w:rPr>
                <w:rStyle w:val="IndexLink"/>
                <w:rtl w:val="true"/>
              </w:rPr>
              <w:tab/>
            </w:r>
            <w:r>
              <w:rPr>
                <w:rStyle w:val="IndexLink"/>
              </w:rPr>
              <w:t>49</w:t>
            </w:r>
          </w:hyperlink>
        </w:p>
        <w:p>
          <w:pPr>
            <w:pStyle w:val="Contents5"/>
            <w:tabs>
              <w:tab w:val="clear" w:pos="7892"/>
              <w:tab w:val="right" w:pos="9026" w:leader="dot"/>
            </w:tabs>
            <w:rPr/>
          </w:pPr>
          <w:hyperlink w:anchor="__RefHeading___Toc894757_2320776876">
            <w:r>
              <w:rPr>
                <w:webHidden/>
                <w:rStyle w:val="IndexLink"/>
                <w:rtl w:val="true"/>
              </w:rPr>
              <w:t>الحجّة الرابعة خبر</w:t>
            </w:r>
            <w:r>
              <w:rPr>
                <w:rStyle w:val="IndexLink"/>
                <w:rtl w:val="true"/>
              </w:rPr>
              <w:t>: «</w:t>
            </w:r>
            <w:r>
              <w:rPr>
                <w:rStyle w:val="IndexLink"/>
                <w:rtl w:val="true"/>
              </w:rPr>
              <w:t>لا تجتمع أُمّتي علىٰ خطإٍ</w:t>
            </w:r>
            <w:r>
              <w:rPr>
                <w:rStyle w:val="IndexLink"/>
                <w:rtl w:val="true"/>
              </w:rPr>
              <w:t>»</w:t>
              <w:tab/>
            </w:r>
            <w:r>
              <w:rPr>
                <w:rStyle w:val="IndexLink"/>
              </w:rPr>
              <w:t>54</w:t>
            </w:r>
          </w:hyperlink>
        </w:p>
        <w:p>
          <w:pPr>
            <w:pStyle w:val="Contents5"/>
            <w:tabs>
              <w:tab w:val="clear" w:pos="7892"/>
              <w:tab w:val="right" w:pos="9026" w:leader="dot"/>
            </w:tabs>
            <w:rPr/>
          </w:pPr>
          <w:hyperlink w:anchor="__RefHeading___Toc894759_2320776876">
            <w:r>
              <w:rPr>
                <w:webHidden/>
                <w:rStyle w:val="IndexLink"/>
                <w:rtl w:val="true"/>
              </w:rPr>
              <w:t>الحجّة الخامسة خبر</w:t>
            </w:r>
            <w:r>
              <w:rPr>
                <w:rStyle w:val="IndexLink"/>
                <w:rtl w:val="true"/>
              </w:rPr>
              <w:t>: «</w:t>
            </w:r>
            <w:r>
              <w:rPr>
                <w:rStyle w:val="IndexLink"/>
                <w:rtl w:val="true"/>
              </w:rPr>
              <w:t>لا تزال طائفة من أُمّتي ظاهرين</w:t>
            </w:r>
            <w:r>
              <w:rPr>
                <w:rStyle w:val="IndexLink"/>
                <w:rtl w:val="true"/>
              </w:rPr>
              <w:t>...»</w:t>
              <w:tab/>
            </w:r>
            <w:r>
              <w:rPr>
                <w:rStyle w:val="IndexLink"/>
              </w:rPr>
              <w:t>58</w:t>
            </w:r>
          </w:hyperlink>
        </w:p>
        <w:p>
          <w:pPr>
            <w:pStyle w:val="Contents5"/>
            <w:tabs>
              <w:tab w:val="clear" w:pos="7892"/>
              <w:tab w:val="right" w:pos="9026" w:leader="dot"/>
            </w:tabs>
            <w:rPr/>
          </w:pPr>
          <w:hyperlink w:anchor="__RefHeading___Toc894761_2320776876">
            <w:r>
              <w:rPr>
                <w:webHidden/>
                <w:rStyle w:val="IndexLink"/>
                <w:rtl w:val="true"/>
              </w:rPr>
              <w:t>الحجّة السادسة خبر</w:t>
            </w:r>
            <w:r>
              <w:rPr>
                <w:rStyle w:val="IndexLink"/>
                <w:rtl w:val="true"/>
              </w:rPr>
              <w:t>: «</w:t>
            </w:r>
            <w:r>
              <w:rPr>
                <w:rStyle w:val="IndexLink"/>
                <w:rtl w:val="true"/>
              </w:rPr>
              <w:t>مَن سرّه أن يسكن بحبوحة الجنّة</w:t>
            </w:r>
            <w:r>
              <w:rPr>
                <w:rStyle w:val="IndexLink"/>
                <w:rtl w:val="true"/>
              </w:rPr>
              <w:t>...»</w:t>
              <w:tab/>
            </w:r>
            <w:r>
              <w:rPr>
                <w:rStyle w:val="IndexLink"/>
              </w:rPr>
              <w:t>60</w:t>
            </w:r>
          </w:hyperlink>
        </w:p>
        <w:p>
          <w:pPr>
            <w:pStyle w:val="Contents5"/>
            <w:tabs>
              <w:tab w:val="clear" w:pos="7892"/>
              <w:tab w:val="right" w:pos="9026" w:leader="dot"/>
            </w:tabs>
            <w:rPr/>
          </w:pPr>
          <w:hyperlink w:anchor="__RefHeading___Toc894763_2320776876">
            <w:r>
              <w:rPr>
                <w:webHidden/>
                <w:rStyle w:val="IndexLink"/>
                <w:rtl w:val="true"/>
              </w:rPr>
              <w:t>الحجّة السابعة سيرة الصحابة و التابعين</w:t>
            </w:r>
            <w:r>
              <w:rPr>
                <w:rStyle w:val="IndexLink"/>
                <w:rtl w:val="true"/>
              </w:rPr>
              <w:tab/>
            </w:r>
            <w:r>
              <w:rPr>
                <w:rStyle w:val="IndexLink"/>
              </w:rPr>
              <w:t>62</w:t>
            </w:r>
          </w:hyperlink>
        </w:p>
        <w:p>
          <w:pPr>
            <w:pStyle w:val="Contents6"/>
            <w:tabs>
              <w:tab w:val="clear" w:pos="7609"/>
              <w:tab w:val="right" w:pos="9026" w:leader="dot"/>
            </w:tabs>
            <w:rPr/>
          </w:pPr>
          <w:hyperlink w:anchor="__RefHeading___Toc894765_232077687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894767_2320776876">
            <w:r>
              <w:rPr>
                <w:webHidden/>
                <w:rStyle w:val="IndexLink"/>
                <w:rtl w:val="true"/>
              </w:rPr>
              <w:t>نفي أن يكون جميع الصحابة قد اعتمدوا على الإجماعِ و خبرِه</w:t>
            </w:r>
            <w:r>
              <w:rPr>
                <w:rStyle w:val="IndexLink"/>
                <w:rtl w:val="true"/>
              </w:rPr>
              <w:tab/>
            </w:r>
            <w:r>
              <w:rPr>
                <w:rStyle w:val="IndexLink"/>
              </w:rPr>
              <w:t>62</w:t>
            </w:r>
          </w:hyperlink>
        </w:p>
        <w:p>
          <w:pPr>
            <w:pStyle w:val="Contents6"/>
            <w:tabs>
              <w:tab w:val="clear" w:pos="7609"/>
              <w:tab w:val="right" w:pos="9026" w:leader="dot"/>
            </w:tabs>
            <w:rPr/>
          </w:pPr>
          <w:hyperlink w:anchor="__RefHeading___Toc894769_2320776876">
            <w:r>
              <w:rPr>
                <w:webHidden/>
                <w:rStyle w:val="IndexLink"/>
                <w:rtl w:val="true"/>
              </w:rPr>
              <w:t>بطلان الفرق الذي ذكره صاحب الكتاب بين أخبار الإجماع و أخبار العبادات</w:t>
            </w:r>
            <w:r>
              <w:rPr>
                <w:rStyle w:val="IndexLink"/>
                <w:rtl w:val="true"/>
              </w:rPr>
              <w:tab/>
            </w:r>
            <w:r>
              <w:rPr>
                <w:rStyle w:val="IndexLink"/>
              </w:rPr>
              <w:t>65</w:t>
            </w:r>
          </w:hyperlink>
        </w:p>
        <w:p>
          <w:pPr>
            <w:pStyle w:val="Contents6"/>
            <w:tabs>
              <w:tab w:val="clear" w:pos="7609"/>
              <w:tab w:val="right" w:pos="9026" w:leader="dot"/>
            </w:tabs>
            <w:rPr/>
          </w:pPr>
          <w:hyperlink w:anchor="__RefHeading___Toc894771_2320776876">
            <w:r>
              <w:rPr>
                <w:webHidden/>
                <w:rStyle w:val="IndexLink"/>
                <w:rtl w:val="true"/>
              </w:rPr>
              <w:t xml:space="preserve">شدّة الحاجة إلى الإجماعِ </w:t>
            </w:r>
            <w:r>
              <w:rPr>
                <w:rStyle w:val="IndexLink"/>
                <w:rtl w:val="true"/>
              </w:rPr>
              <w:t xml:space="preserve">- </w:t>
            </w:r>
            <w:r>
              <w:rPr>
                <w:rStyle w:val="IndexLink"/>
                <w:rtl w:val="true"/>
              </w:rPr>
              <w:t xml:space="preserve">عند المخالفين </w:t>
            </w:r>
            <w:r>
              <w:rPr>
                <w:rStyle w:val="IndexLink"/>
                <w:rtl w:val="true"/>
              </w:rPr>
              <w:t xml:space="preserve">- </w:t>
            </w:r>
            <w:r>
              <w:rPr>
                <w:rStyle w:val="IndexLink"/>
                <w:rtl w:val="true"/>
              </w:rPr>
              <w:t>و إلىٰ معرفةِ العبادات</w:t>
            </w:r>
            <w:r>
              <w:rPr>
                <w:rStyle w:val="IndexLink"/>
                <w:rtl w:val="true"/>
              </w:rPr>
              <w:tab/>
            </w:r>
            <w:r>
              <w:rPr>
                <w:rStyle w:val="IndexLink"/>
              </w:rPr>
              <w:t>67</w:t>
            </w:r>
          </w:hyperlink>
        </w:p>
        <w:p>
          <w:pPr>
            <w:pStyle w:val="Contents6"/>
            <w:tabs>
              <w:tab w:val="clear" w:pos="7609"/>
              <w:tab w:val="right" w:pos="9026" w:leader="dot"/>
            </w:tabs>
            <w:rPr/>
          </w:pPr>
          <w:hyperlink w:anchor="__RefHeading___Toc894773_2320776876">
            <w:r>
              <w:rPr>
                <w:webHidden/>
                <w:rStyle w:val="IndexLink"/>
                <w:rtl w:val="true"/>
              </w:rPr>
              <w:t>عدم إخلال انقطاع نقل القرآن بكونه معجزاً</w:t>
            </w:r>
            <w:r>
              <w:rPr>
                <w:rStyle w:val="IndexLink"/>
                <w:rtl w:val="true"/>
              </w:rPr>
              <w:tab/>
            </w:r>
            <w:r>
              <w:rPr>
                <w:rStyle w:val="IndexLink"/>
              </w:rPr>
              <w:t>70</w:t>
            </w:r>
          </w:hyperlink>
        </w:p>
        <w:p>
          <w:pPr>
            <w:pStyle w:val="Contents6"/>
            <w:tabs>
              <w:tab w:val="clear" w:pos="7609"/>
              <w:tab w:val="right" w:pos="9026" w:leader="dot"/>
            </w:tabs>
            <w:rPr/>
          </w:pPr>
          <w:hyperlink w:anchor="__RefHeading___Toc894775_2320776876">
            <w:r>
              <w:rPr>
                <w:webHidden/>
                <w:rStyle w:val="IndexLink"/>
                <w:rtl w:val="true"/>
              </w:rPr>
              <w:t>مناقشة ما استدلّ به صاحب الكتاب علىٰ عمل الصحابة بالإجماع و غيره</w:t>
            </w:r>
            <w:r>
              <w:rPr>
                <w:rStyle w:val="IndexLink"/>
                <w:rtl w:val="true"/>
              </w:rPr>
              <w:tab/>
            </w:r>
            <w:r>
              <w:rPr>
                <w:rStyle w:val="IndexLink"/>
              </w:rPr>
              <w:t>71</w:t>
            </w:r>
          </w:hyperlink>
        </w:p>
        <w:p>
          <w:pPr>
            <w:pStyle w:val="Contents6"/>
            <w:tabs>
              <w:tab w:val="clear" w:pos="7609"/>
              <w:tab w:val="right" w:pos="9026" w:leader="dot"/>
            </w:tabs>
            <w:rPr/>
          </w:pPr>
          <w:hyperlink w:anchor="__RefHeading___Toc894777_2320776876">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894779_2320776876">
            <w:r>
              <w:rPr>
                <w:webHidden/>
                <w:rStyle w:val="IndexLink"/>
                <w:rtl w:val="true"/>
              </w:rPr>
              <w:t xml:space="preserve">مناقشة المقدّمة الأُولىٰ </w:t>
            </w:r>
            <w:r>
              <w:rPr>
                <w:rStyle w:val="IndexLink"/>
                <w:rtl w:val="true"/>
              </w:rPr>
              <w:t xml:space="preserve">: </w:t>
            </w:r>
            <w:r>
              <w:rPr>
                <w:rStyle w:val="IndexLink"/>
                <w:rtl w:val="true"/>
              </w:rPr>
              <w:t>عدم تمسّك الصحابة بالإجماع و خبره</w:t>
            </w:r>
            <w:r>
              <w:rPr>
                <w:rStyle w:val="IndexLink"/>
                <w:rtl w:val="true"/>
              </w:rPr>
              <w:tab/>
            </w:r>
            <w:r>
              <w:rPr>
                <w:rStyle w:val="IndexLink"/>
              </w:rPr>
              <w:t>72</w:t>
            </w:r>
          </w:hyperlink>
        </w:p>
        <w:p>
          <w:pPr>
            <w:pStyle w:val="Contents6"/>
            <w:tabs>
              <w:tab w:val="clear" w:pos="7609"/>
              <w:tab w:val="right" w:pos="9026" w:leader="dot"/>
            </w:tabs>
            <w:rPr/>
          </w:pPr>
          <w:hyperlink w:anchor="__RefHeading___Toc894781_2320776876">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894783_2320776876">
            <w:r>
              <w:rPr>
                <w:webHidden/>
                <w:rStyle w:val="IndexLink"/>
                <w:rtl w:val="true"/>
              </w:rPr>
              <w:t>إشارة إلىٰ حدوث العمل بالإجماع و عدم تقدّمه</w:t>
            </w:r>
            <w:r>
              <w:rPr>
                <w:rStyle w:val="IndexLink"/>
                <w:rtl w:val="true"/>
              </w:rPr>
              <w:tab/>
            </w:r>
            <w:r>
              <w:rPr>
                <w:rStyle w:val="IndexLink"/>
              </w:rPr>
              <w:t>72</w:t>
            </w:r>
          </w:hyperlink>
        </w:p>
        <w:p>
          <w:pPr>
            <w:pStyle w:val="Contents6"/>
            <w:tabs>
              <w:tab w:val="clear" w:pos="7609"/>
              <w:tab w:val="right" w:pos="9026" w:leader="dot"/>
            </w:tabs>
            <w:rPr/>
          </w:pPr>
          <w:hyperlink w:anchor="__RefHeading___Toc894785_2320776876">
            <w:r>
              <w:rPr>
                <w:webHidden/>
                <w:rStyle w:val="IndexLink"/>
                <w:rtl w:val="true"/>
              </w:rPr>
              <w:t>مناقشة المقدّمة الثانية</w:t>
            </w:r>
            <w:r>
              <w:rPr>
                <w:rStyle w:val="IndexLink"/>
                <w:rtl w:val="true"/>
              </w:rPr>
              <w:t xml:space="preserve">: </w:t>
            </w:r>
            <w:r>
              <w:rPr>
                <w:rStyle w:val="IndexLink"/>
                <w:rtl w:val="true"/>
              </w:rPr>
              <w:t>عدم تمسّك الصحابة بالإجماع لأجل الخبر</w:t>
            </w:r>
            <w:r>
              <w:rPr>
                <w:rStyle w:val="IndexLink"/>
                <w:rtl w:val="true"/>
              </w:rPr>
              <w:tab/>
            </w:r>
            <w:r>
              <w:rPr>
                <w:rStyle w:val="IndexLink"/>
              </w:rPr>
              <w:t>73</w:t>
            </w:r>
          </w:hyperlink>
        </w:p>
        <w:p>
          <w:pPr>
            <w:pStyle w:val="Contents6"/>
            <w:tabs>
              <w:tab w:val="clear" w:pos="7609"/>
              <w:tab w:val="right" w:pos="9026" w:leader="dot"/>
            </w:tabs>
            <w:rPr/>
          </w:pPr>
          <w:hyperlink w:anchor="__RefHeading___Toc894787_2320776876">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894789_2320776876">
            <w:r>
              <w:rPr>
                <w:webHidden/>
                <w:rStyle w:val="IndexLink"/>
                <w:rtl w:val="true"/>
              </w:rPr>
              <w:t>إلزام صاحب الكتاب بأنّ عمل الصحابة بالإجماع كان لأجل آيات الإجماع لا أخباره</w:t>
            </w:r>
            <w:r>
              <w:rPr>
                <w:rStyle w:val="IndexLink"/>
                <w:rtl w:val="true"/>
              </w:rPr>
              <w:tab/>
            </w:r>
            <w:r>
              <w:rPr>
                <w:rStyle w:val="IndexLink"/>
              </w:rPr>
              <w:t>75</w:t>
            </w:r>
          </w:hyperlink>
        </w:p>
        <w:p>
          <w:pPr>
            <w:pStyle w:val="Contents6"/>
            <w:tabs>
              <w:tab w:val="clear" w:pos="7609"/>
              <w:tab w:val="right" w:pos="9026" w:leader="dot"/>
            </w:tabs>
            <w:rPr/>
          </w:pPr>
          <w:hyperlink w:anchor="__RefHeading___Toc894791_2320776876">
            <w:r>
              <w:rPr>
                <w:webHidden/>
                <w:rStyle w:val="IndexLink"/>
                <w:rtl w:val="true"/>
              </w:rPr>
              <w:t>مناقشة المقدّمة الثالثة</w:t>
            </w:r>
            <w:r>
              <w:rPr>
                <w:rStyle w:val="IndexLink"/>
                <w:rtl w:val="true"/>
              </w:rPr>
              <w:t xml:space="preserve">: </w:t>
            </w:r>
            <w:r>
              <w:rPr>
                <w:rStyle w:val="IndexLink"/>
                <w:rtl w:val="true"/>
              </w:rPr>
              <w:t>جواز خطإ الصحابة في التمسّك ببعض الأخبار الباطلة</w:t>
            </w:r>
            <w:r>
              <w:rPr>
                <w:rStyle w:val="IndexLink"/>
                <w:rtl w:val="true"/>
              </w:rPr>
              <w:tab/>
            </w:r>
            <w:r>
              <w:rPr>
                <w:rStyle w:val="IndexLink"/>
              </w:rPr>
              <w:t>78</w:t>
            </w:r>
          </w:hyperlink>
        </w:p>
        <w:p>
          <w:pPr>
            <w:pStyle w:val="Contents6"/>
            <w:tabs>
              <w:tab w:val="clear" w:pos="7609"/>
              <w:tab w:val="right" w:pos="9026" w:leader="dot"/>
            </w:tabs>
            <w:rPr/>
          </w:pPr>
          <w:hyperlink w:anchor="__RefHeading___Toc894793_2320776876">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894795_2320776876">
            <w:r>
              <w:rPr>
                <w:webHidden/>
                <w:rStyle w:val="IndexLink"/>
                <w:rtl w:val="true"/>
              </w:rPr>
              <w:t>عدم رواية جميع الصحابة لجميع الأخبار أو أكثرها</w:t>
            </w:r>
            <w:r>
              <w:rPr>
                <w:rStyle w:val="IndexLink"/>
                <w:rtl w:val="true"/>
              </w:rPr>
              <w:tab/>
            </w:r>
            <w:r>
              <w:rPr>
                <w:rStyle w:val="IndexLink"/>
              </w:rPr>
              <w:t>83</w:t>
            </w:r>
          </w:hyperlink>
        </w:p>
        <w:p>
          <w:pPr>
            <w:pStyle w:val="Contents6"/>
            <w:tabs>
              <w:tab w:val="clear" w:pos="7609"/>
              <w:tab w:val="right" w:pos="9026" w:leader="dot"/>
            </w:tabs>
            <w:rPr/>
          </w:pPr>
          <w:hyperlink w:anchor="__RefHeading___Toc894797_2320776876">
            <w:r>
              <w:rPr>
                <w:webHidden/>
                <w:rStyle w:val="IndexLink"/>
                <w:rtl w:val="true"/>
              </w:rPr>
              <w:t>مساواة حال أُمّتنا لسائر الأُمم في قبول الأخبار الصحيحة و الباطلة</w:t>
            </w:r>
            <w:r>
              <w:rPr>
                <w:rStyle w:val="IndexLink"/>
                <w:rtl w:val="true"/>
              </w:rPr>
              <w:tab/>
            </w:r>
            <w:r>
              <w:rPr>
                <w:rStyle w:val="IndexLink"/>
              </w:rPr>
              <w:t>93</w:t>
            </w:r>
          </w:hyperlink>
        </w:p>
        <w:p>
          <w:pPr>
            <w:pStyle w:val="Contents6"/>
            <w:tabs>
              <w:tab w:val="clear" w:pos="7609"/>
              <w:tab w:val="right" w:pos="9026" w:leader="dot"/>
            </w:tabs>
            <w:rPr/>
          </w:pPr>
          <w:hyperlink w:anchor="__RefHeading___Toc894799_2320776876">
            <w:r>
              <w:rPr>
                <w:webHidden/>
                <w:rStyle w:val="IndexLink"/>
                <w:rtl w:val="true"/>
              </w:rPr>
              <w:t>بطلان دعوى الاضطرار في معرفة صحّة أخبار الإجماع</w:t>
            </w:r>
            <w:r>
              <w:rPr>
                <w:rStyle w:val="IndexLink"/>
                <w:rtl w:val="true"/>
              </w:rPr>
              <w:tab/>
            </w:r>
            <w:r>
              <w:rPr>
                <w:rStyle w:val="IndexLink"/>
              </w:rPr>
              <w:t>96</w:t>
            </w:r>
          </w:hyperlink>
        </w:p>
        <w:p>
          <w:pPr>
            <w:pStyle w:val="Contents6"/>
            <w:tabs>
              <w:tab w:val="clear" w:pos="7609"/>
              <w:tab w:val="right" w:pos="9026" w:leader="dot"/>
            </w:tabs>
            <w:rPr/>
          </w:pPr>
          <w:hyperlink w:anchor="__RefHeading___Toc894801_2320776876">
            <w:r>
              <w:rPr>
                <w:webHidden/>
                <w:rStyle w:val="IndexLink"/>
                <w:rtl w:val="true"/>
              </w:rPr>
              <w:t xml:space="preserve">عَودةٌ إلىٰ حَديثِ </w:t>
            </w:r>
            <w:r>
              <w:rPr>
                <w:rStyle w:val="IndexLink"/>
                <w:rtl w:val="true"/>
              </w:rPr>
              <w:t>«</w:t>
            </w:r>
            <w:r>
              <w:rPr>
                <w:rStyle w:val="IndexLink"/>
                <w:rtl w:val="true"/>
              </w:rPr>
              <w:t>لا تَجتَمِعُ أُمّتي علىٰ خطإٍ</w:t>
            </w:r>
            <w:r>
              <w:rPr>
                <w:rStyle w:val="IndexLink"/>
                <w:rtl w:val="true"/>
              </w:rPr>
              <w:t>»</w:t>
              <w:tab/>
            </w:r>
            <w:r>
              <w:rPr>
                <w:rStyle w:val="IndexLink"/>
              </w:rPr>
              <w:t>98</w:t>
            </w:r>
          </w:hyperlink>
        </w:p>
        <w:p>
          <w:pPr>
            <w:pStyle w:val="Contents6"/>
            <w:tabs>
              <w:tab w:val="clear" w:pos="7609"/>
              <w:tab w:val="right" w:pos="9026" w:leader="dot"/>
            </w:tabs>
            <w:rPr/>
          </w:pPr>
          <w:hyperlink w:anchor="__RefHeading___Toc894803_2320776876">
            <w:r>
              <w:rPr>
                <w:webHidden/>
                <w:rStyle w:val="IndexLink"/>
                <w:rtl w:val="true"/>
              </w:rPr>
              <w:t>بيان المصنّف حول دلالة الحديث</w:t>
            </w:r>
            <w:r>
              <w:rPr>
                <w:rStyle w:val="IndexLink"/>
                <w:rtl w:val="true"/>
              </w:rPr>
              <w:tab/>
            </w:r>
            <w:r>
              <w:rPr>
                <w:rStyle w:val="IndexLink"/>
              </w:rPr>
              <w:t>98</w:t>
            </w:r>
          </w:hyperlink>
        </w:p>
        <w:p>
          <w:pPr>
            <w:pStyle w:val="Contents6"/>
            <w:tabs>
              <w:tab w:val="clear" w:pos="7609"/>
              <w:tab w:val="right" w:pos="9026" w:leader="dot"/>
            </w:tabs>
            <w:rPr/>
          </w:pPr>
          <w:hyperlink w:anchor="__RefHeading___Toc894805_2320776876">
            <w:r>
              <w:rPr>
                <w:webHidden/>
                <w:rStyle w:val="IndexLink"/>
                <w:rtl w:val="true"/>
              </w:rPr>
              <w:t>تهافت كلام صاحب الكتاب في تأويل ألفاظ الحديث المختلفة</w:t>
            </w:r>
            <w:r>
              <w:rPr>
                <w:rStyle w:val="IndexLink"/>
                <w:rtl w:val="true"/>
              </w:rPr>
              <w:tab/>
            </w:r>
            <w:r>
              <w:rPr>
                <w:rStyle w:val="IndexLink"/>
              </w:rPr>
              <w:t>101</w:t>
            </w:r>
          </w:hyperlink>
        </w:p>
        <w:p>
          <w:pPr>
            <w:pStyle w:val="Contents6"/>
            <w:tabs>
              <w:tab w:val="clear" w:pos="7609"/>
              <w:tab w:val="right" w:pos="9026" w:leader="dot"/>
            </w:tabs>
            <w:rPr/>
          </w:pPr>
          <w:hyperlink w:anchor="__RefHeading___Toc894807_2320776876">
            <w:r>
              <w:rPr>
                <w:webHidden/>
                <w:rStyle w:val="IndexLink"/>
                <w:rtl w:val="true"/>
              </w:rPr>
              <w:t>بيان المرجع في دلالة قوله</w:t>
            </w:r>
            <w:r>
              <w:rPr>
                <w:rStyle w:val="IndexLink"/>
                <w:rtl w:val="true"/>
              </w:rPr>
              <w:t>: «</w:t>
            </w:r>
            <w:r>
              <w:rPr>
                <w:rStyle w:val="IndexLink"/>
                <w:rtl w:val="true"/>
              </w:rPr>
              <w:t>لا تجتمع</w:t>
            </w:r>
            <w:r>
              <w:rPr>
                <w:rStyle w:val="IndexLink"/>
                <w:rtl w:val="true"/>
              </w:rPr>
              <w:t xml:space="preserve">» </w:t>
            </w:r>
            <w:r>
              <w:rPr>
                <w:rStyle w:val="IndexLink"/>
                <w:rtl w:val="true"/>
              </w:rPr>
              <w:t>على الخبر أو النهي</w:t>
            </w:r>
            <w:r>
              <w:rPr>
                <w:rStyle w:val="IndexLink"/>
                <w:rtl w:val="true"/>
              </w:rPr>
              <w:tab/>
            </w:r>
            <w:r>
              <w:rPr>
                <w:rStyle w:val="IndexLink"/>
              </w:rPr>
              <w:t>103</w:t>
            </w:r>
          </w:hyperlink>
        </w:p>
        <w:p>
          <w:pPr>
            <w:pStyle w:val="Contents6"/>
            <w:tabs>
              <w:tab w:val="clear" w:pos="7609"/>
              <w:tab w:val="right" w:pos="9026" w:leader="dot"/>
            </w:tabs>
            <w:rPr/>
          </w:pPr>
          <w:hyperlink w:anchor="__RefHeading___Toc894809_2320776876">
            <w:r>
              <w:rPr>
                <w:webHidden/>
                <w:rStyle w:val="IndexLink"/>
                <w:rtl w:val="true"/>
              </w:rPr>
              <w:t>بيان دلالة الحديث علىٰ حجيّة إجماع أهل عصر واحد أو جميع الأعصار</w:t>
            </w:r>
            <w:r>
              <w:rPr>
                <w:rStyle w:val="IndexLink"/>
                <w:rtl w:val="true"/>
              </w:rPr>
              <w:tab/>
            </w:r>
            <w:r>
              <w:rPr>
                <w:rStyle w:val="IndexLink"/>
              </w:rPr>
              <w:t>104</w:t>
            </w:r>
          </w:hyperlink>
        </w:p>
        <w:p>
          <w:pPr>
            <w:pStyle w:val="Contents5"/>
            <w:tabs>
              <w:tab w:val="clear" w:pos="7892"/>
              <w:tab w:val="right" w:pos="9026" w:leader="dot"/>
            </w:tabs>
            <w:rPr/>
          </w:pPr>
          <w:hyperlink w:anchor="__RefHeading___Toc894811_2320776876">
            <w:r>
              <w:rPr>
                <w:webHidden/>
                <w:rStyle w:val="IndexLink"/>
                <w:rtl w:val="true"/>
              </w:rPr>
              <w:t xml:space="preserve">الحجّة الثامنة قوله تعالىٰ </w:t>
            </w:r>
            <w:r>
              <w:rPr>
                <w:rStyle w:val="IndexLink"/>
                <w:rtl w:val="true"/>
              </w:rPr>
              <w:t>: (</w:t>
            </w:r>
            <w:r>
              <w:rPr>
                <w:rStyle w:val="IndexLink"/>
                <w:rtl w:val="true"/>
              </w:rPr>
              <w:t xml:space="preserve">كُنْتُمْ خَيْرَ أُمَّةٍ </w:t>
            </w:r>
            <w:r>
              <w:rPr>
                <w:rStyle w:val="IndexLink"/>
                <w:rtl w:val="true"/>
              </w:rPr>
              <w:t>...)</w:t>
              <w:tab/>
            </w:r>
            <w:r>
              <w:rPr>
                <w:rStyle w:val="IndexLink"/>
              </w:rPr>
              <w:t>107</w:t>
            </w:r>
          </w:hyperlink>
        </w:p>
        <w:p>
          <w:pPr>
            <w:pStyle w:val="Contents6"/>
            <w:tabs>
              <w:tab w:val="clear" w:pos="7609"/>
              <w:tab w:val="right" w:pos="9026" w:leader="dot"/>
            </w:tabs>
            <w:rPr/>
          </w:pPr>
          <w:hyperlink w:anchor="__RefHeading___Toc894813_2320776876">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894815_2320776876">
            <w:r>
              <w:rPr>
                <w:webHidden/>
                <w:rStyle w:val="IndexLink"/>
                <w:rtl w:val="true"/>
              </w:rPr>
              <w:t>تهافت كلام صاحب الكتاب في استدلاله ببعض الآيات علىٰ حجّيّة الإجماع دون بعض</w:t>
            </w:r>
            <w:r>
              <w:rPr>
                <w:rStyle w:val="IndexLink"/>
                <w:rtl w:val="true"/>
              </w:rPr>
              <w:tab/>
            </w:r>
            <w:r>
              <w:rPr>
                <w:rStyle w:val="IndexLink"/>
              </w:rPr>
              <w:t>108</w:t>
            </w:r>
          </w:hyperlink>
        </w:p>
        <w:p>
          <w:pPr>
            <w:pStyle w:val="Contents5"/>
            <w:tabs>
              <w:tab w:val="clear" w:pos="7892"/>
              <w:tab w:val="right" w:pos="9026" w:leader="dot"/>
            </w:tabs>
            <w:rPr/>
          </w:pPr>
          <w:hyperlink w:anchor="__RefHeading___Toc894817_2320776876">
            <w:r>
              <w:rPr>
                <w:webHidden/>
                <w:rStyle w:val="IndexLink"/>
                <w:rtl w:val="true"/>
              </w:rPr>
              <w:t>الحجّة التاسعة دلالة حال الأُمّة علىٰ عدم اتّفاقهم علىٰ خطإٍ</w:t>
            </w:r>
            <w:r>
              <w:rPr>
                <w:rStyle w:val="IndexLink"/>
                <w:rtl w:val="true"/>
              </w:rPr>
              <w:tab/>
            </w:r>
            <w:r>
              <w:rPr>
                <w:rStyle w:val="IndexLink"/>
              </w:rPr>
              <w:t>116</w:t>
            </w:r>
          </w:hyperlink>
        </w:p>
        <w:p>
          <w:pPr>
            <w:pStyle w:val="Contents6"/>
            <w:tabs>
              <w:tab w:val="clear" w:pos="7609"/>
              <w:tab w:val="right" w:pos="9026" w:leader="dot"/>
            </w:tabs>
            <w:rPr/>
          </w:pPr>
          <w:hyperlink w:anchor="__RefHeading___Toc894819_2320776876">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894821_2320776876">
            <w:r>
              <w:rPr>
                <w:webHidden/>
                <w:rStyle w:val="IndexLink"/>
                <w:rtl w:val="true"/>
              </w:rPr>
              <w:t>تجويز الخطأ على الأُمّة لورود شبهة عليها</w:t>
            </w:r>
            <w:r>
              <w:rPr>
                <w:rStyle w:val="IndexLink"/>
                <w:rtl w:val="true"/>
              </w:rPr>
              <w:tab/>
            </w:r>
            <w:r>
              <w:rPr>
                <w:rStyle w:val="IndexLink"/>
              </w:rPr>
              <w:t>116</w:t>
            </w:r>
          </w:hyperlink>
        </w:p>
        <w:p>
          <w:pPr>
            <w:pStyle w:val="Contents6"/>
            <w:tabs>
              <w:tab w:val="clear" w:pos="7609"/>
              <w:tab w:val="right" w:pos="9026" w:leader="dot"/>
            </w:tabs>
            <w:rPr/>
          </w:pPr>
          <w:hyperlink w:anchor="__RefHeading___Toc894823_2320776876">
            <w:r>
              <w:rPr>
                <w:webHidden/>
                <w:rStyle w:val="IndexLink"/>
                <w:rtl w:val="true"/>
              </w:rPr>
              <w:t>عدم حفظ الشريعة بواسطة التواتر و القياس</w:t>
            </w:r>
            <w:r>
              <w:rPr>
                <w:rStyle w:val="IndexLink"/>
                <w:rtl w:val="true"/>
              </w:rPr>
              <w:tab/>
            </w:r>
            <w:r>
              <w:rPr>
                <w:rStyle w:val="IndexLink"/>
              </w:rPr>
              <w:t>119</w:t>
            </w:r>
          </w:hyperlink>
        </w:p>
        <w:p>
          <w:pPr>
            <w:pStyle w:val="Contents6"/>
            <w:tabs>
              <w:tab w:val="clear" w:pos="7609"/>
              <w:tab w:val="right" w:pos="9026" w:leader="dot"/>
            </w:tabs>
            <w:rPr/>
          </w:pPr>
          <w:hyperlink w:anchor="__RefHeading___Toc894825_2320776876">
            <w:r>
              <w:rPr>
                <w:webHidden/>
                <w:rStyle w:val="IndexLink"/>
                <w:rtl w:val="true"/>
              </w:rPr>
              <w:t>إشارة إلىٰ كيفيّة معرفة الإمام</w:t>
            </w:r>
            <w:r>
              <w:rPr>
                <w:rStyle w:val="IndexLink"/>
                <w:rtl w:val="true"/>
              </w:rPr>
              <w:tab/>
            </w:r>
            <w:r>
              <w:rPr>
                <w:rStyle w:val="IndexLink"/>
              </w:rPr>
              <w:t>120</w:t>
            </w:r>
          </w:hyperlink>
        </w:p>
        <w:p>
          <w:pPr>
            <w:pStyle w:val="Contents6"/>
            <w:tabs>
              <w:tab w:val="clear" w:pos="7609"/>
              <w:tab w:val="right" w:pos="9026" w:leader="dot"/>
            </w:tabs>
            <w:rPr/>
          </w:pPr>
          <w:hyperlink w:anchor="__RefHeading___Toc894827_2320776876">
            <w:r>
              <w:rPr>
                <w:webHidden/>
                <w:rStyle w:val="IndexLink"/>
                <w:rtl w:val="true"/>
              </w:rPr>
              <w:t>في بيان الحاجة إلى الإمام، حتّىٰ مع كون الشريعة واصلة بالتواتر</w:t>
            </w:r>
            <w:r>
              <w:rPr>
                <w:rStyle w:val="IndexLink"/>
                <w:rtl w:val="true"/>
              </w:rPr>
              <w:tab/>
            </w:r>
            <w:r>
              <w:rPr>
                <w:rStyle w:val="IndexLink"/>
              </w:rPr>
              <w:t>121</w:t>
            </w:r>
          </w:hyperlink>
        </w:p>
        <w:p>
          <w:pPr>
            <w:pStyle w:val="Contents6"/>
            <w:tabs>
              <w:tab w:val="clear" w:pos="7609"/>
              <w:tab w:val="right" w:pos="9026" w:leader="dot"/>
            </w:tabs>
            <w:rPr/>
          </w:pPr>
          <w:hyperlink w:anchor="__RefHeading___Toc894829_2320776876">
            <w:r>
              <w:rPr>
                <w:webHidden/>
                <w:rStyle w:val="IndexLink"/>
                <w:rtl w:val="true"/>
              </w:rPr>
              <w:t>عدم مانعيّة غلبة الخوارج أو وقوع الغيبة، من حفظ الإمام للشرع</w:t>
            </w:r>
            <w:r>
              <w:rPr>
                <w:rStyle w:val="IndexLink"/>
                <w:rtl w:val="true"/>
              </w:rPr>
              <w:tab/>
            </w:r>
            <w:r>
              <w:rPr>
                <w:rStyle w:val="IndexLink"/>
              </w:rPr>
              <w:t>122</w:t>
            </w:r>
          </w:hyperlink>
        </w:p>
        <w:p>
          <w:pPr>
            <w:pStyle w:val="Contents6"/>
            <w:tabs>
              <w:tab w:val="clear" w:pos="7609"/>
              <w:tab w:val="right" w:pos="9026" w:leader="dot"/>
            </w:tabs>
            <w:rPr/>
          </w:pPr>
          <w:hyperlink w:anchor="__RefHeading___Toc894831_2320776876">
            <w:r>
              <w:rPr>
                <w:webHidden/>
                <w:rStyle w:val="IndexLink"/>
                <w:rtl w:val="true"/>
              </w:rPr>
              <w:t>بيان الفرق بين وجود الإمام الغائب و بين عدمه، و أيضاً الفرق بينه و بين جبرئيل</w:t>
            </w:r>
            <w:r>
              <w:rPr>
                <w:rStyle w:val="IndexLink"/>
                <w:rtl w:val="true"/>
              </w:rPr>
              <w:tab/>
            </w:r>
            <w:r>
              <w:rPr>
                <w:rStyle w:val="IndexLink"/>
              </w:rPr>
              <w:t>123</w:t>
            </w:r>
          </w:hyperlink>
        </w:p>
        <w:p>
          <w:pPr>
            <w:pStyle w:val="Contents6"/>
            <w:tabs>
              <w:tab w:val="clear" w:pos="7609"/>
              <w:tab w:val="right" w:pos="9026" w:leader="dot"/>
            </w:tabs>
            <w:rPr/>
          </w:pPr>
          <w:hyperlink w:anchor="__RefHeading___Toc894833_2320776876">
            <w:r>
              <w:rPr>
                <w:webHidden/>
                <w:rStyle w:val="IndexLink"/>
                <w:rtl w:val="true"/>
              </w:rPr>
              <w:t>في بيان أنّ الاستدلال بالإجماع إنّما يصحّ عند عدم تميّز الإمام</w:t>
            </w:r>
            <w:r>
              <w:rPr>
                <w:rStyle w:val="IndexLink"/>
                <w:rtl w:val="true"/>
              </w:rPr>
              <w:tab/>
            </w:r>
            <w:r>
              <w:rPr>
                <w:rStyle w:val="IndexLink"/>
              </w:rPr>
              <w:t>125</w:t>
            </w:r>
          </w:hyperlink>
        </w:p>
        <w:p>
          <w:pPr>
            <w:pStyle w:val="Contents5"/>
            <w:tabs>
              <w:tab w:val="clear" w:pos="7892"/>
              <w:tab w:val="right" w:pos="9026" w:leader="dot"/>
            </w:tabs>
            <w:rPr/>
          </w:pPr>
          <w:hyperlink w:anchor="__RefHeading___Toc894835_2320776876">
            <w:r>
              <w:rPr>
                <w:webHidden/>
                <w:rStyle w:val="IndexLink"/>
                <w:rtl w:val="true"/>
              </w:rPr>
              <w:t>الدليل التاسع في بيان أنّ الحافظ للشرع هو الإمام لا التواتر</w:t>
            </w:r>
            <w:r>
              <w:rPr>
                <w:rStyle w:val="IndexLink"/>
                <w:rtl w:val="true"/>
              </w:rPr>
              <w:tab/>
            </w:r>
            <w:r>
              <w:rPr>
                <w:rStyle w:val="IndexLink"/>
              </w:rPr>
              <w:t>131</w:t>
            </w:r>
          </w:hyperlink>
        </w:p>
        <w:p>
          <w:pPr>
            <w:pStyle w:val="Contents6"/>
            <w:tabs>
              <w:tab w:val="clear" w:pos="7609"/>
              <w:tab w:val="right" w:pos="9026" w:leader="dot"/>
            </w:tabs>
            <w:rPr/>
          </w:pPr>
          <w:hyperlink w:anchor="__RefHeading___Toc894837_232077687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94839_2320776876">
            <w:r>
              <w:rPr>
                <w:webHidden/>
                <w:rStyle w:val="IndexLink"/>
                <w:rtl w:val="true"/>
              </w:rPr>
              <w:t>في بيان اعتبار التواتر و حجّيّته</w:t>
            </w:r>
            <w:r>
              <w:rPr>
                <w:rStyle w:val="IndexLink"/>
                <w:rtl w:val="true"/>
              </w:rPr>
              <w:tab/>
            </w:r>
            <w:r>
              <w:rPr>
                <w:rStyle w:val="IndexLink"/>
              </w:rPr>
              <w:t>132</w:t>
            </w:r>
          </w:hyperlink>
        </w:p>
        <w:p>
          <w:pPr>
            <w:pStyle w:val="Contents6"/>
            <w:tabs>
              <w:tab w:val="clear" w:pos="7609"/>
              <w:tab w:val="right" w:pos="9026" w:leader="dot"/>
            </w:tabs>
            <w:rPr/>
          </w:pPr>
          <w:hyperlink w:anchor="__RefHeading___Toc894841_2320776876">
            <w:r>
              <w:rPr>
                <w:webHidden/>
                <w:rStyle w:val="IndexLink"/>
                <w:rtl w:val="true"/>
              </w:rPr>
              <w:t>في بيان ما يثبت بالتواتر و ما لا يثبت</w:t>
            </w:r>
            <w:r>
              <w:rPr>
                <w:rStyle w:val="IndexLink"/>
                <w:rtl w:val="true"/>
              </w:rPr>
              <w:tab/>
            </w:r>
            <w:r>
              <w:rPr>
                <w:rStyle w:val="IndexLink"/>
              </w:rPr>
              <w:t>135</w:t>
            </w:r>
          </w:hyperlink>
        </w:p>
        <w:p>
          <w:pPr>
            <w:pStyle w:val="Contents6"/>
            <w:tabs>
              <w:tab w:val="clear" w:pos="7609"/>
              <w:tab w:val="right" w:pos="9026" w:leader="dot"/>
            </w:tabs>
            <w:rPr/>
          </w:pPr>
          <w:hyperlink w:anchor="__RefHeading___Toc894843_2320776876">
            <w:r>
              <w:rPr>
                <w:webHidden/>
                <w:rStyle w:val="IndexLink"/>
                <w:rtl w:val="true"/>
              </w:rPr>
              <w:t>جواز الاعتماد على التواتر من دون معرفة الإمام</w:t>
            </w:r>
            <w:r>
              <w:rPr>
                <w:rStyle w:val="IndexLink"/>
                <w:rtl w:val="true"/>
              </w:rPr>
              <w:tab/>
            </w:r>
            <w:r>
              <w:rPr>
                <w:rStyle w:val="IndexLink"/>
              </w:rPr>
              <w:t>139</w:t>
            </w:r>
          </w:hyperlink>
        </w:p>
        <w:p>
          <w:pPr>
            <w:pStyle w:val="Contents5"/>
            <w:tabs>
              <w:tab w:val="clear" w:pos="7892"/>
              <w:tab w:val="right" w:pos="9026" w:leader="dot"/>
            </w:tabs>
            <w:rPr/>
          </w:pPr>
          <w:hyperlink w:anchor="__RefHeading___Toc894845_2320776876">
            <w:r>
              <w:rPr>
                <w:webHidden/>
                <w:rStyle w:val="IndexLink"/>
                <w:rtl w:val="true"/>
              </w:rPr>
              <w:t>الدليل العاشر لزوم التسلسل عند نفي عصمة الإمام</w:t>
            </w:r>
            <w:r>
              <w:rPr>
                <w:rStyle w:val="IndexLink"/>
                <w:rtl w:val="true"/>
              </w:rPr>
              <w:tab/>
            </w:r>
            <w:r>
              <w:rPr>
                <w:rStyle w:val="IndexLink"/>
              </w:rPr>
              <w:t>142</w:t>
            </w:r>
          </w:hyperlink>
        </w:p>
        <w:p>
          <w:pPr>
            <w:pStyle w:val="Contents6"/>
            <w:tabs>
              <w:tab w:val="clear" w:pos="7609"/>
              <w:tab w:val="right" w:pos="9026" w:leader="dot"/>
            </w:tabs>
            <w:rPr/>
          </w:pPr>
          <w:hyperlink w:anchor="__RefHeading___Toc894847_2320776876">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94849_2320776876">
            <w:r>
              <w:rPr>
                <w:webHidden/>
                <w:rStyle w:val="IndexLink"/>
                <w:rtl w:val="true"/>
              </w:rPr>
              <w:t>التقرير الأوّل لدليل عصمة الإمام</w:t>
            </w:r>
            <w:r>
              <w:rPr>
                <w:rStyle w:val="IndexLink"/>
                <w:rtl w:val="true"/>
              </w:rPr>
              <w:tab/>
            </w:r>
            <w:r>
              <w:rPr>
                <w:rStyle w:val="IndexLink"/>
              </w:rPr>
              <w:t>143</w:t>
            </w:r>
          </w:hyperlink>
        </w:p>
        <w:p>
          <w:pPr>
            <w:pStyle w:val="Contents6"/>
            <w:tabs>
              <w:tab w:val="clear" w:pos="7609"/>
              <w:tab w:val="right" w:pos="9026" w:leader="dot"/>
            </w:tabs>
            <w:rPr/>
          </w:pPr>
          <w:hyperlink w:anchor="__RefHeading___Toc894851_2320776876">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894853_2320776876">
            <w:r>
              <w:rPr>
                <w:webHidden/>
                <w:rStyle w:val="IndexLink"/>
                <w:rtl w:val="true"/>
              </w:rPr>
              <w:t>عدم المنافاة بين ثبوت معصومٍ تكون عصمتُه بالإمام، و بين القول بعدم حاجة المعصوم إلىٰ إمام</w:t>
            </w:r>
            <w:r>
              <w:rPr>
                <w:rStyle w:val="IndexLink"/>
                <w:rtl w:val="true"/>
              </w:rPr>
              <w:tab/>
            </w:r>
            <w:r>
              <w:rPr>
                <w:rStyle w:val="IndexLink"/>
              </w:rPr>
              <w:t>145</w:t>
            </w:r>
          </w:hyperlink>
        </w:p>
        <w:p>
          <w:pPr>
            <w:pStyle w:val="Contents6"/>
            <w:tabs>
              <w:tab w:val="clear" w:pos="7609"/>
              <w:tab w:val="right" w:pos="9026" w:leader="dot"/>
            </w:tabs>
            <w:rPr/>
          </w:pPr>
          <w:hyperlink w:anchor="__RefHeading___Toc894855_2320776876">
            <w:r>
              <w:rPr>
                <w:webHidden/>
                <w:rStyle w:val="IndexLink"/>
                <w:rtl w:val="true"/>
              </w:rPr>
              <w:t>في بيان استغناء المعصوم عن الإمام</w:t>
            </w:r>
            <w:r>
              <w:rPr>
                <w:rStyle w:val="IndexLink"/>
                <w:rtl w:val="true"/>
              </w:rPr>
              <w:tab/>
            </w:r>
            <w:r>
              <w:rPr>
                <w:rStyle w:val="IndexLink"/>
              </w:rPr>
              <w:t>147</w:t>
            </w:r>
          </w:hyperlink>
        </w:p>
        <w:p>
          <w:pPr>
            <w:pStyle w:val="Contents6"/>
            <w:tabs>
              <w:tab w:val="clear" w:pos="7609"/>
              <w:tab w:val="right" w:pos="9026" w:leader="dot"/>
            </w:tabs>
            <w:rPr/>
          </w:pPr>
          <w:hyperlink w:anchor="__RefHeading___Toc894857_2320776876">
            <w:r>
              <w:rPr>
                <w:webHidden/>
                <w:rStyle w:val="IndexLink"/>
                <w:rtl w:val="true"/>
              </w:rPr>
              <w:t>شمول التكليف بالمعرفة للمعصومين</w:t>
            </w:r>
            <w:r>
              <w:rPr>
                <w:rStyle w:val="IndexLink"/>
                <w:rtl w:val="true"/>
              </w:rPr>
              <w:tab/>
            </w:r>
            <w:r>
              <w:rPr>
                <w:rStyle w:val="IndexLink"/>
              </w:rPr>
              <w:t>148</w:t>
            </w:r>
          </w:hyperlink>
        </w:p>
        <w:p>
          <w:pPr>
            <w:pStyle w:val="Contents6"/>
            <w:tabs>
              <w:tab w:val="clear" w:pos="7609"/>
              <w:tab w:val="right" w:pos="9026" w:leader="dot"/>
            </w:tabs>
            <w:rPr/>
          </w:pPr>
          <w:hyperlink w:anchor="__RefHeading___Toc894859_2320776876">
            <w:r>
              <w:rPr>
                <w:webHidden/>
                <w:rStyle w:val="IndexLink"/>
                <w:rtl w:val="true"/>
              </w:rPr>
              <w:t>التقرير الثاني لدليل عصمة الإمام</w:t>
            </w:r>
            <w:r>
              <w:rPr>
                <w:rStyle w:val="IndexLink"/>
                <w:rtl w:val="true"/>
              </w:rPr>
              <w:tab/>
            </w:r>
            <w:r>
              <w:rPr>
                <w:rStyle w:val="IndexLink"/>
              </w:rPr>
              <w:t>151</w:t>
            </w:r>
          </w:hyperlink>
        </w:p>
        <w:p>
          <w:pPr>
            <w:pStyle w:val="Contents6"/>
            <w:tabs>
              <w:tab w:val="clear" w:pos="7609"/>
              <w:tab w:val="right" w:pos="9026" w:leader="dot"/>
            </w:tabs>
            <w:rPr/>
          </w:pPr>
          <w:hyperlink w:anchor="__RefHeading___Toc894861_2320776876">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894863_2320776876">
            <w:r>
              <w:rPr>
                <w:webHidden/>
                <w:rStyle w:val="IndexLink"/>
                <w:rtl w:val="true"/>
              </w:rPr>
              <w:t>تجويز حاجة المعصوم إلىٰ إمام في غير فعل الطاعات و تجنّب المقبّحات</w:t>
            </w:r>
            <w:r>
              <w:rPr>
                <w:rStyle w:val="IndexLink"/>
                <w:rtl w:val="true"/>
              </w:rPr>
              <w:tab/>
            </w:r>
            <w:r>
              <w:rPr>
                <w:rStyle w:val="IndexLink"/>
              </w:rPr>
              <w:t>153</w:t>
            </w:r>
          </w:hyperlink>
        </w:p>
        <w:p>
          <w:pPr>
            <w:pStyle w:val="Contents6"/>
            <w:tabs>
              <w:tab w:val="clear" w:pos="7609"/>
              <w:tab w:val="right" w:pos="9026" w:leader="dot"/>
            </w:tabs>
            <w:rPr/>
          </w:pPr>
          <w:hyperlink w:anchor="__RefHeading___Toc894865_2320776876">
            <w:r>
              <w:rPr>
                <w:webHidden/>
                <w:rStyle w:val="IndexLink"/>
                <w:rtl w:val="true"/>
              </w:rPr>
              <w:t>نفي انحصار الحاجة إلى الإمام في أمور أُخرىٰ غير كونه لطفاً في فعل الطاعات و تجنّب المقبَّحات</w:t>
            </w:r>
            <w:r>
              <w:rPr>
                <w:rStyle w:val="IndexLink"/>
                <w:rtl w:val="true"/>
              </w:rPr>
              <w:tab/>
            </w:r>
            <w:r>
              <w:rPr>
                <w:rStyle w:val="IndexLink"/>
              </w:rPr>
              <w:t>155</w:t>
            </w:r>
          </w:hyperlink>
        </w:p>
        <w:p>
          <w:pPr>
            <w:pStyle w:val="Contents6"/>
            <w:tabs>
              <w:tab w:val="clear" w:pos="7609"/>
              <w:tab w:val="right" w:pos="9026" w:leader="dot"/>
            </w:tabs>
            <w:rPr/>
          </w:pPr>
          <w:hyperlink w:anchor="__RefHeading___Toc894867_2320776876">
            <w:r>
              <w:rPr>
                <w:webHidden/>
                <w:rStyle w:val="IndexLink"/>
                <w:rtl w:val="true"/>
              </w:rPr>
              <w:t>بيان الفرق بين الإمام و الأمير في الحاجة إلىٰ إمامٍ و عدمها</w:t>
            </w:r>
            <w:r>
              <w:rPr>
                <w:rStyle w:val="IndexLink"/>
                <w:rtl w:val="true"/>
              </w:rPr>
              <w:tab/>
            </w:r>
            <w:r>
              <w:rPr>
                <w:rStyle w:val="IndexLink"/>
              </w:rPr>
              <w:t>156</w:t>
            </w:r>
          </w:hyperlink>
        </w:p>
        <w:p>
          <w:pPr>
            <w:pStyle w:val="Contents6"/>
            <w:tabs>
              <w:tab w:val="clear" w:pos="7609"/>
              <w:tab w:val="right" w:pos="9026" w:leader="dot"/>
            </w:tabs>
            <w:rPr/>
          </w:pPr>
          <w:hyperlink w:anchor="__RefHeading___Toc894869_2320776876">
            <w:r>
              <w:rPr>
                <w:webHidden/>
                <w:rStyle w:val="IndexLink"/>
                <w:rtl w:val="true"/>
              </w:rPr>
              <w:t>إعادة مختصرة لدليل عصمة الإمام، و بيان أنّ الإمام لم يُصبح إماماً لأجل عصمته</w:t>
            </w:r>
            <w:r>
              <w:rPr>
                <w:rStyle w:val="IndexLink"/>
                <w:rtl w:val="true"/>
              </w:rPr>
              <w:tab/>
            </w:r>
            <w:r>
              <w:rPr>
                <w:rStyle w:val="IndexLink"/>
              </w:rPr>
              <w:t>158</w:t>
            </w:r>
          </w:hyperlink>
        </w:p>
        <w:p>
          <w:pPr>
            <w:pStyle w:val="Contents6"/>
            <w:tabs>
              <w:tab w:val="clear" w:pos="7609"/>
              <w:tab w:val="right" w:pos="9026" w:leader="dot"/>
            </w:tabs>
            <w:rPr/>
          </w:pPr>
          <w:hyperlink w:anchor="__RefHeading___Toc894871_2320776876">
            <w:r>
              <w:rPr>
                <w:webHidden/>
                <w:rStyle w:val="IndexLink"/>
                <w:rtl w:val="true"/>
              </w:rPr>
              <w:t>إثبات عصمة الإمام حتّىٰ مع فرض عدم كونه حجّةً فيما يؤدّيه</w:t>
            </w:r>
            <w:r>
              <w:rPr>
                <w:rStyle w:val="IndexLink"/>
                <w:rtl w:val="true"/>
              </w:rPr>
              <w:tab/>
            </w:r>
            <w:r>
              <w:rPr>
                <w:rStyle w:val="IndexLink"/>
              </w:rPr>
              <w:t>159</w:t>
            </w:r>
          </w:hyperlink>
        </w:p>
        <w:p>
          <w:pPr>
            <w:pStyle w:val="Contents6"/>
            <w:tabs>
              <w:tab w:val="clear" w:pos="7609"/>
              <w:tab w:val="right" w:pos="9026" w:leader="dot"/>
            </w:tabs>
            <w:rPr/>
          </w:pPr>
          <w:hyperlink w:anchor="__RefHeading___Toc894873_2320776876">
            <w:r>
              <w:rPr>
                <w:webHidden/>
                <w:rStyle w:val="IndexLink"/>
                <w:rtl w:val="true"/>
              </w:rPr>
              <w:t>جواز مشاركة الإمام لرعيّته في بعض الصفات، دون ما احتاجوا من أجله إليه</w:t>
            </w:r>
            <w:r>
              <w:rPr>
                <w:rStyle w:val="IndexLink"/>
                <w:rtl w:val="true"/>
              </w:rPr>
              <w:tab/>
            </w:r>
            <w:r>
              <w:rPr>
                <w:rStyle w:val="IndexLink"/>
              </w:rPr>
              <w:t>161</w:t>
            </w:r>
          </w:hyperlink>
        </w:p>
        <w:p>
          <w:pPr>
            <w:pStyle w:val="Contents5"/>
            <w:tabs>
              <w:tab w:val="clear" w:pos="7892"/>
              <w:tab w:val="right" w:pos="9026" w:leader="dot"/>
            </w:tabs>
            <w:rPr/>
          </w:pPr>
          <w:hyperlink w:anchor="__RefHeading___Toc894875_2320776876">
            <w:r>
              <w:rPr>
                <w:webHidden/>
                <w:rStyle w:val="IndexLink"/>
                <w:rtl w:val="true"/>
              </w:rPr>
              <w:t>الدليل الحادي عشر الحاجةُ إلَى الإمامِ لبَيانِ دَلالةِ الكتابِ و السُّنّةِ</w:t>
            </w:r>
            <w:r>
              <w:rPr>
                <w:rStyle w:val="IndexLink"/>
                <w:rtl w:val="true"/>
              </w:rPr>
              <w:tab/>
            </w:r>
            <w:r>
              <w:rPr>
                <w:rStyle w:val="IndexLink"/>
              </w:rPr>
              <w:t>166</w:t>
            </w:r>
          </w:hyperlink>
        </w:p>
        <w:p>
          <w:pPr>
            <w:pStyle w:val="Contents6"/>
            <w:tabs>
              <w:tab w:val="clear" w:pos="7609"/>
              <w:tab w:val="right" w:pos="9026" w:leader="dot"/>
            </w:tabs>
            <w:rPr/>
          </w:pPr>
          <w:hyperlink w:anchor="__RefHeading___Toc894877_2320776876">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894879_2320776876">
            <w:r>
              <w:rPr>
                <w:webHidden/>
                <w:rStyle w:val="IndexLink"/>
                <w:rtl w:val="true"/>
              </w:rPr>
              <w:t>اختلاف أدلّة الشرع من حيث الدلالة، و بيان الحاجة إلى الإمام</w:t>
            </w:r>
            <w:r>
              <w:rPr>
                <w:rStyle w:val="IndexLink"/>
                <w:rtl w:val="true"/>
              </w:rPr>
              <w:tab/>
            </w:r>
            <w:r>
              <w:rPr>
                <w:rStyle w:val="IndexLink"/>
              </w:rPr>
              <w:t>167</w:t>
            </w:r>
          </w:hyperlink>
        </w:p>
        <w:p>
          <w:pPr>
            <w:pStyle w:val="Contents6"/>
            <w:tabs>
              <w:tab w:val="clear" w:pos="7609"/>
              <w:tab w:val="right" w:pos="9026" w:leader="dot"/>
            </w:tabs>
            <w:rPr/>
          </w:pPr>
          <w:hyperlink w:anchor="__RefHeading___Toc894881_2320776876">
            <w:r>
              <w:rPr>
                <w:webHidden/>
                <w:rStyle w:val="IndexLink"/>
                <w:rtl w:val="true"/>
              </w:rPr>
              <w:t>بيان الفرق بين بيان الرسول المتواتر و بيان الإمام لمن غاب عنه</w:t>
            </w:r>
            <w:r>
              <w:rPr>
                <w:rStyle w:val="IndexLink"/>
                <w:rtl w:val="true"/>
              </w:rPr>
              <w:tab/>
            </w:r>
            <w:r>
              <w:rPr>
                <w:rStyle w:val="IndexLink"/>
              </w:rPr>
              <w:t>171</w:t>
            </w:r>
          </w:hyperlink>
        </w:p>
        <w:p>
          <w:pPr>
            <w:pStyle w:val="Contents6"/>
            <w:tabs>
              <w:tab w:val="clear" w:pos="7609"/>
              <w:tab w:val="right" w:pos="9026" w:leader="dot"/>
            </w:tabs>
            <w:rPr/>
          </w:pPr>
          <w:hyperlink w:anchor="__RefHeading___Toc894883_2320776876">
            <w:r>
              <w:rPr>
                <w:webHidden/>
                <w:rStyle w:val="IndexLink"/>
                <w:rtl w:val="true"/>
              </w:rPr>
              <w:t>بيان كيفيّة المعرفة بمراده تعالىٰ في الكتاب</w:t>
            </w:r>
            <w:r>
              <w:rPr>
                <w:rStyle w:val="IndexLink"/>
                <w:rtl w:val="true"/>
              </w:rPr>
              <w:tab/>
            </w:r>
            <w:r>
              <w:rPr>
                <w:rStyle w:val="IndexLink"/>
              </w:rPr>
              <w:t>172</w:t>
            </w:r>
          </w:hyperlink>
        </w:p>
        <w:p>
          <w:pPr>
            <w:pStyle w:val="Contents6"/>
            <w:tabs>
              <w:tab w:val="clear" w:pos="7609"/>
              <w:tab w:val="right" w:pos="9026" w:leader="dot"/>
            </w:tabs>
            <w:rPr/>
          </w:pPr>
          <w:hyperlink w:anchor="__RefHeading___Toc894885_2320776876">
            <w:r>
              <w:rPr>
                <w:webHidden/>
                <w:rStyle w:val="IndexLink"/>
                <w:rtl w:val="true"/>
              </w:rPr>
              <w:t>بيان أنّ الحاجة إلى الإمام ناشئة من وجود الاحتمال في الشرعيّات لا من وجود الاختلاف فيها</w:t>
            </w:r>
            <w:r>
              <w:rPr>
                <w:rStyle w:val="IndexLink"/>
                <w:rtl w:val="true"/>
              </w:rPr>
              <w:tab/>
            </w:r>
            <w:r>
              <w:rPr>
                <w:rStyle w:val="IndexLink"/>
              </w:rPr>
              <w:t>174</w:t>
            </w:r>
          </w:hyperlink>
        </w:p>
        <w:p>
          <w:pPr>
            <w:pStyle w:val="Contents5"/>
            <w:tabs>
              <w:tab w:val="clear" w:pos="7892"/>
              <w:tab w:val="right" w:pos="9026" w:leader="dot"/>
            </w:tabs>
            <w:rPr/>
          </w:pPr>
          <w:hyperlink w:anchor="__RefHeading___Toc894887_2320776876">
            <w:r>
              <w:rPr>
                <w:webHidden/>
                <w:rStyle w:val="IndexLink"/>
                <w:rtl w:val="true"/>
              </w:rPr>
              <w:t>الدليل الثاني عشر لزوم عصمة الإمام للزوم الاقتداء به</w:t>
            </w:r>
            <w:r>
              <w:rPr>
                <w:rStyle w:val="IndexLink"/>
                <w:rtl w:val="true"/>
              </w:rPr>
              <w:tab/>
            </w:r>
            <w:r>
              <w:rPr>
                <w:rStyle w:val="IndexLink"/>
              </w:rPr>
              <w:t>177</w:t>
            </w:r>
          </w:hyperlink>
        </w:p>
        <w:p>
          <w:pPr>
            <w:pStyle w:val="Contents6"/>
            <w:tabs>
              <w:tab w:val="clear" w:pos="7609"/>
              <w:tab w:val="right" w:pos="9026" w:leader="dot"/>
            </w:tabs>
            <w:rPr/>
          </w:pPr>
          <w:hyperlink w:anchor="__RefHeading___Toc894889_232077687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894891_2320776876">
            <w:r>
              <w:rPr>
                <w:webHidden/>
                <w:rStyle w:val="IndexLink"/>
                <w:rtl w:val="true"/>
              </w:rPr>
              <w:t>تقرير المصنّف لدليل عصمة الإمام</w:t>
            </w:r>
            <w:r>
              <w:rPr>
                <w:rStyle w:val="IndexLink"/>
                <w:rtl w:val="true"/>
              </w:rPr>
              <w:tab/>
            </w:r>
            <w:r>
              <w:rPr>
                <w:rStyle w:val="IndexLink"/>
              </w:rPr>
              <w:t>178</w:t>
            </w:r>
          </w:hyperlink>
        </w:p>
        <w:p>
          <w:pPr>
            <w:pStyle w:val="Contents6"/>
            <w:tabs>
              <w:tab w:val="clear" w:pos="7609"/>
              <w:tab w:val="right" w:pos="9026" w:leader="dot"/>
            </w:tabs>
            <w:rPr/>
          </w:pPr>
          <w:hyperlink w:anchor="__RefHeading___Toc894893_2320776876">
            <w:r>
              <w:rPr>
                <w:webHidden/>
                <w:rStyle w:val="IndexLink"/>
                <w:rtl w:val="true"/>
              </w:rPr>
              <w:t>بيان معنى الاقتداء</w:t>
            </w:r>
            <w:r>
              <w:rPr>
                <w:rStyle w:val="IndexLink"/>
                <w:rtl w:val="true"/>
              </w:rPr>
              <w:tab/>
            </w:r>
            <w:r>
              <w:rPr>
                <w:rStyle w:val="IndexLink"/>
              </w:rPr>
              <w:t>179</w:t>
            </w:r>
          </w:hyperlink>
        </w:p>
        <w:p>
          <w:pPr>
            <w:pStyle w:val="Contents6"/>
            <w:tabs>
              <w:tab w:val="clear" w:pos="7609"/>
              <w:tab w:val="right" w:pos="9026" w:leader="dot"/>
            </w:tabs>
            <w:rPr/>
          </w:pPr>
          <w:hyperlink w:anchor="__RefHeading___Toc894895_2320776876">
            <w:r>
              <w:rPr>
                <w:webHidden/>
                <w:rStyle w:val="IndexLink"/>
                <w:rtl w:val="true"/>
              </w:rPr>
              <w:t>بيان أنّ الإمام حجّة في جميع الشرعيّات و العقليّات</w:t>
            </w:r>
            <w:r>
              <w:rPr>
                <w:rStyle w:val="IndexLink"/>
                <w:rtl w:val="true"/>
              </w:rPr>
              <w:tab/>
            </w:r>
            <w:r>
              <w:rPr>
                <w:rStyle w:val="IndexLink"/>
              </w:rPr>
              <w:t>180</w:t>
            </w:r>
          </w:hyperlink>
        </w:p>
        <w:p>
          <w:pPr>
            <w:pStyle w:val="Contents6"/>
            <w:tabs>
              <w:tab w:val="clear" w:pos="7609"/>
              <w:tab w:val="right" w:pos="9026" w:leader="dot"/>
            </w:tabs>
            <w:rPr/>
          </w:pPr>
          <w:hyperlink w:anchor="__RefHeading___Toc894897_2320776876">
            <w:r>
              <w:rPr>
                <w:webHidden/>
                <w:rStyle w:val="IndexLink"/>
                <w:rtl w:val="true"/>
              </w:rPr>
              <w:t>نقد كلام ابن الراوندي</w:t>
            </w:r>
            <w:r>
              <w:rPr>
                <w:rStyle w:val="IndexLink"/>
                <w:rtl w:val="true"/>
              </w:rPr>
              <w:tab/>
            </w:r>
            <w:r>
              <w:rPr>
                <w:rStyle w:val="IndexLink"/>
              </w:rPr>
              <w:t>181</w:t>
            </w:r>
          </w:hyperlink>
        </w:p>
        <w:p>
          <w:pPr>
            <w:pStyle w:val="Contents6"/>
            <w:tabs>
              <w:tab w:val="clear" w:pos="7609"/>
              <w:tab w:val="right" w:pos="9026" w:leader="dot"/>
            </w:tabs>
            <w:rPr/>
          </w:pPr>
          <w:hyperlink w:anchor="__RefHeading___Toc894899_2320776876">
            <w:r>
              <w:rPr>
                <w:webHidden/>
                <w:rStyle w:val="IndexLink"/>
                <w:rtl w:val="true"/>
              </w:rPr>
              <w:t>بيان الفرق بين الإمامة و إمامة الصلاة</w:t>
            </w:r>
            <w:r>
              <w:rPr>
                <w:rStyle w:val="IndexLink"/>
                <w:rtl w:val="true"/>
              </w:rPr>
              <w:tab/>
            </w:r>
            <w:r>
              <w:rPr>
                <w:rStyle w:val="IndexLink"/>
              </w:rPr>
              <w:t>186</w:t>
            </w:r>
          </w:hyperlink>
        </w:p>
        <w:p>
          <w:pPr>
            <w:pStyle w:val="Contents6"/>
            <w:tabs>
              <w:tab w:val="clear" w:pos="7609"/>
              <w:tab w:val="right" w:pos="9026" w:leader="dot"/>
            </w:tabs>
            <w:rPr/>
          </w:pPr>
          <w:hyperlink w:anchor="__RefHeading___Toc894901_2320776876">
            <w:r>
              <w:rPr>
                <w:webHidden/>
                <w:rStyle w:val="IndexLink"/>
                <w:rtl w:val="true"/>
              </w:rPr>
              <w:t>ضرورة وجود مزيّة بين الإمام و مَن هو دونه</w:t>
            </w:r>
            <w:r>
              <w:rPr>
                <w:rStyle w:val="IndexLink"/>
                <w:rtl w:val="true"/>
              </w:rPr>
              <w:tab/>
            </w:r>
            <w:r>
              <w:rPr>
                <w:rStyle w:val="IndexLink"/>
              </w:rPr>
              <w:t>188</w:t>
            </w:r>
          </w:hyperlink>
        </w:p>
        <w:p>
          <w:pPr>
            <w:pStyle w:val="Contents5"/>
            <w:tabs>
              <w:tab w:val="clear" w:pos="7892"/>
              <w:tab w:val="right" w:pos="9026" w:leader="dot"/>
            </w:tabs>
            <w:rPr/>
          </w:pPr>
          <w:hyperlink w:anchor="__RefHeading___Toc894903_2320776876">
            <w:r>
              <w:rPr>
                <w:webHidden/>
                <w:rStyle w:val="IndexLink"/>
                <w:rtl w:val="true"/>
              </w:rPr>
              <w:t>الدليل الثالث عشر في بيان أنّ الإمام يولّي و لا يولّىٰ ، و يَعزل و لا يُعزل، و لزوم العصمة من ذلك</w:t>
            </w:r>
            <w:r>
              <w:rPr>
                <w:rStyle w:val="IndexLink"/>
                <w:rtl w:val="true"/>
              </w:rPr>
              <w:tab/>
            </w:r>
            <w:r>
              <w:rPr>
                <w:rStyle w:val="IndexLink"/>
              </w:rPr>
              <w:t>192</w:t>
            </w:r>
          </w:hyperlink>
        </w:p>
        <w:p>
          <w:pPr>
            <w:pStyle w:val="Contents6"/>
            <w:tabs>
              <w:tab w:val="clear" w:pos="7609"/>
              <w:tab w:val="right" w:pos="9026" w:leader="dot"/>
            </w:tabs>
            <w:rPr/>
          </w:pPr>
          <w:hyperlink w:anchor="__RefHeading___Toc894905_2320776876">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894907_2320776876">
            <w:r>
              <w:rPr>
                <w:webHidden/>
                <w:rStyle w:val="IndexLink"/>
                <w:rtl w:val="true"/>
              </w:rPr>
              <w:t>تفصيل المصنّف لدليل عصمة الإمام</w:t>
            </w:r>
            <w:r>
              <w:rPr>
                <w:rStyle w:val="IndexLink"/>
                <w:rtl w:val="true"/>
              </w:rPr>
              <w:tab/>
            </w:r>
            <w:r>
              <w:rPr>
                <w:rStyle w:val="IndexLink"/>
              </w:rPr>
              <w:t>193</w:t>
            </w:r>
          </w:hyperlink>
        </w:p>
        <w:p>
          <w:pPr>
            <w:pStyle w:val="Contents6"/>
            <w:tabs>
              <w:tab w:val="clear" w:pos="7609"/>
              <w:tab w:val="right" w:pos="9026" w:leader="dot"/>
            </w:tabs>
            <w:rPr/>
          </w:pPr>
          <w:hyperlink w:anchor="__RefHeading___Toc894909_2320776876">
            <w:r>
              <w:rPr>
                <w:webHidden/>
                <w:rStyle w:val="IndexLink"/>
                <w:rtl w:val="true"/>
              </w:rPr>
              <w:t>دلالة كون الإمام ممّن يولّي، على العصمة</w:t>
            </w:r>
            <w:r>
              <w:rPr>
                <w:rStyle w:val="IndexLink"/>
                <w:rtl w:val="true"/>
              </w:rPr>
              <w:tab/>
            </w:r>
            <w:r>
              <w:rPr>
                <w:rStyle w:val="IndexLink"/>
              </w:rPr>
              <w:t>200</w:t>
            </w:r>
          </w:hyperlink>
        </w:p>
        <w:p>
          <w:pPr>
            <w:pStyle w:val="Contents6"/>
            <w:tabs>
              <w:tab w:val="clear" w:pos="7609"/>
              <w:tab w:val="right" w:pos="9026" w:leader="dot"/>
            </w:tabs>
            <w:rPr/>
          </w:pPr>
          <w:hyperlink w:anchor="__RefHeading___Toc894911_2320776876">
            <w:r>
              <w:rPr>
                <w:webHidden/>
                <w:rStyle w:val="IndexLink"/>
                <w:rtl w:val="true"/>
              </w:rPr>
              <w:t>ضرورة وجود مزيّة بين الإمام و الرعيّة في باب الطاعة</w:t>
            </w:r>
            <w:r>
              <w:rPr>
                <w:rStyle w:val="IndexLink"/>
                <w:rtl w:val="true"/>
              </w:rPr>
              <w:tab/>
            </w:r>
            <w:r>
              <w:rPr>
                <w:rStyle w:val="IndexLink"/>
              </w:rPr>
              <w:t>202</w:t>
            </w:r>
          </w:hyperlink>
        </w:p>
        <w:p>
          <w:pPr>
            <w:pStyle w:val="Contents6"/>
            <w:tabs>
              <w:tab w:val="clear" w:pos="7609"/>
              <w:tab w:val="right" w:pos="9026" w:leader="dot"/>
            </w:tabs>
            <w:rPr/>
          </w:pPr>
          <w:hyperlink w:anchor="__RefHeading___Toc894913_2320776876">
            <w:r>
              <w:rPr>
                <w:webHidden/>
                <w:rStyle w:val="IndexLink"/>
                <w:rtl w:val="true"/>
              </w:rPr>
              <w:t>ضرورة وجود مزيّة بين الإمام و الأمير في باب الولاية و العصمة</w:t>
            </w:r>
            <w:r>
              <w:rPr>
                <w:rStyle w:val="IndexLink"/>
                <w:rtl w:val="true"/>
              </w:rPr>
              <w:tab/>
            </w:r>
            <w:r>
              <w:rPr>
                <w:rStyle w:val="IndexLink"/>
              </w:rPr>
              <w:t>204</w:t>
            </w:r>
          </w:hyperlink>
        </w:p>
        <w:p>
          <w:pPr>
            <w:pStyle w:val="Contents6"/>
            <w:tabs>
              <w:tab w:val="clear" w:pos="7609"/>
              <w:tab w:val="right" w:pos="9026" w:leader="dot"/>
            </w:tabs>
            <w:rPr/>
          </w:pPr>
          <w:hyperlink w:anchor="__RefHeading___Toc894915_2320776876">
            <w:r>
              <w:rPr>
                <w:webHidden/>
                <w:rStyle w:val="IndexLink"/>
                <w:rtl w:val="true"/>
              </w:rPr>
              <w:t>كيفيّة دلالة نصّ الرسول على عصمة الإمام</w:t>
            </w:r>
            <w:r>
              <w:rPr>
                <w:rStyle w:val="IndexLink"/>
                <w:rtl w:val="true"/>
              </w:rPr>
              <w:tab/>
            </w:r>
            <w:r>
              <w:rPr>
                <w:rStyle w:val="IndexLink"/>
              </w:rPr>
              <w:t>205</w:t>
            </w:r>
          </w:hyperlink>
        </w:p>
        <w:p>
          <w:pPr>
            <w:pStyle w:val="Contents5"/>
            <w:tabs>
              <w:tab w:val="clear" w:pos="7892"/>
              <w:tab w:val="right" w:pos="9026" w:leader="dot"/>
            </w:tabs>
            <w:rPr/>
          </w:pPr>
          <w:hyperlink w:anchor="__RefHeading___Toc894917_2320776876">
            <w:r>
              <w:rPr>
                <w:webHidden/>
                <w:rStyle w:val="IndexLink"/>
                <w:rtl w:val="true"/>
              </w:rPr>
              <w:t>الدليل الرابع عشر في بيان أنّ الإمامة مستحَقّة</w:t>
            </w:r>
            <w:r>
              <w:rPr>
                <w:rStyle w:val="IndexLink"/>
                <w:rtl w:val="true"/>
              </w:rPr>
              <w:tab/>
            </w:r>
            <w:r>
              <w:rPr>
                <w:rStyle w:val="IndexLink"/>
              </w:rPr>
              <w:t>207</w:t>
            </w:r>
          </w:hyperlink>
        </w:p>
        <w:p>
          <w:pPr>
            <w:pStyle w:val="Contents6"/>
            <w:tabs>
              <w:tab w:val="clear" w:pos="7609"/>
              <w:tab w:val="right" w:pos="9026" w:leader="dot"/>
            </w:tabs>
            <w:rPr/>
          </w:pPr>
          <w:hyperlink w:anchor="__RefHeading___Toc894919_2320776876">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894921_2320776876">
            <w:r>
              <w:rPr>
                <w:webHidden/>
                <w:rStyle w:val="IndexLink"/>
                <w:rtl w:val="true"/>
              </w:rPr>
              <w:t>نفي أن تكون الإمامة مستحقّة</w:t>
            </w:r>
            <w:r>
              <w:rPr>
                <w:rStyle w:val="IndexLink"/>
                <w:rtl w:val="true"/>
              </w:rPr>
              <w:tab/>
            </w:r>
            <w:r>
              <w:rPr>
                <w:rStyle w:val="IndexLink"/>
              </w:rPr>
              <w:t>208</w:t>
            </w:r>
          </w:hyperlink>
        </w:p>
        <w:p>
          <w:pPr>
            <w:pStyle w:val="Contents6"/>
            <w:tabs>
              <w:tab w:val="clear" w:pos="7609"/>
              <w:tab w:val="right" w:pos="9026" w:leader="dot"/>
            </w:tabs>
            <w:rPr/>
          </w:pPr>
          <w:hyperlink w:anchor="__RefHeading___Toc894923_2320776876">
            <w:r>
              <w:rPr>
                <w:webHidden/>
                <w:rStyle w:val="IndexLink"/>
                <w:rtl w:val="true"/>
              </w:rPr>
              <w:t>ما يدلّ عليه الاستحقاق و ما لا يدلّ</w:t>
            </w:r>
            <w:r>
              <w:rPr>
                <w:rStyle w:val="IndexLink"/>
                <w:rtl w:val="true"/>
              </w:rPr>
              <w:tab/>
            </w:r>
            <w:r>
              <w:rPr>
                <w:rStyle w:val="IndexLink"/>
              </w:rPr>
              <w:t>209</w:t>
            </w:r>
          </w:hyperlink>
        </w:p>
        <w:p>
          <w:pPr>
            <w:pStyle w:val="Contents6"/>
            <w:tabs>
              <w:tab w:val="clear" w:pos="7609"/>
              <w:tab w:val="right" w:pos="9026" w:leader="dot"/>
            </w:tabs>
            <w:rPr/>
          </w:pPr>
          <w:hyperlink w:anchor="__RefHeading___Toc894925_2320776876">
            <w:r>
              <w:rPr>
                <w:webHidden/>
                <w:rStyle w:val="IndexLink"/>
                <w:rtl w:val="true"/>
              </w:rPr>
              <w:t>دفاع المصنّف عن القائلين بالاستحقاق من الإماميّة</w:t>
            </w:r>
            <w:r>
              <w:rPr>
                <w:rStyle w:val="IndexLink"/>
                <w:rtl w:val="true"/>
              </w:rPr>
              <w:tab/>
            </w:r>
            <w:r>
              <w:rPr>
                <w:rStyle w:val="IndexLink"/>
              </w:rPr>
              <w:t>211</w:t>
            </w:r>
          </w:hyperlink>
        </w:p>
        <w:p>
          <w:pPr>
            <w:pStyle w:val="Contents2"/>
            <w:tabs>
              <w:tab w:val="clear" w:pos="8743"/>
              <w:tab w:val="right" w:pos="9026" w:leader="dot"/>
            </w:tabs>
            <w:rPr/>
          </w:pPr>
          <w:hyperlink w:anchor="__RefHeading___Toc894927_2320776876">
            <w:r>
              <w:rPr>
                <w:webHidden/>
                <w:rStyle w:val="IndexLink"/>
              </w:rPr>
              <w:t>4</w:t>
            </w:r>
            <w:r>
              <w:rPr>
                <w:rStyle w:val="IndexLink"/>
                <w:rtl w:val="true"/>
              </w:rPr>
              <w:t xml:space="preserve"> </w:t>
            </w:r>
            <w:r>
              <w:rPr>
                <w:rStyle w:val="IndexLink"/>
                <w:rtl w:val="true"/>
              </w:rPr>
              <w:t>فصلٌ في الكلامِ علىٰ ما اعتَمَدَه في دفعِ وجوبِ النَّصِّ مِن جهةِ العقلِ</w:t>
            </w:r>
            <w:r>
              <w:rPr>
                <w:rStyle w:val="IndexLink"/>
                <w:rtl w:val="true"/>
              </w:rPr>
              <w:tab/>
            </w:r>
            <w:r>
              <w:rPr>
                <w:rStyle w:val="IndexLink"/>
              </w:rPr>
              <w:t>215</w:t>
            </w:r>
          </w:hyperlink>
        </w:p>
        <w:p>
          <w:pPr>
            <w:pStyle w:val="Contents3"/>
            <w:tabs>
              <w:tab w:val="clear" w:pos="8459"/>
              <w:tab w:val="right" w:pos="9026" w:leader="dot"/>
            </w:tabs>
            <w:rPr/>
          </w:pPr>
          <w:hyperlink w:anchor="__RefHeading___Toc894929_2320776876">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894931_2320776876">
            <w:r>
              <w:rPr>
                <w:webHidden/>
                <w:rStyle w:val="IndexLink"/>
                <w:rtl w:val="true"/>
              </w:rPr>
              <w:t>مقدّمة في بيان الأدلّة علىٰ وجوب النصّ عقلاً</w:t>
            </w:r>
            <w:r>
              <w:rPr>
                <w:rStyle w:val="IndexLink"/>
                <w:rtl w:val="true"/>
              </w:rPr>
              <w:tab/>
            </w:r>
            <w:r>
              <w:rPr>
                <w:rStyle w:val="IndexLink"/>
              </w:rPr>
              <w:t>217</w:t>
            </w:r>
          </w:hyperlink>
        </w:p>
        <w:p>
          <w:pPr>
            <w:pStyle w:val="Contents4"/>
            <w:tabs>
              <w:tab w:val="clear" w:pos="8176"/>
              <w:tab w:val="right" w:pos="9026" w:leader="dot"/>
            </w:tabs>
            <w:rPr/>
          </w:pPr>
          <w:hyperlink w:anchor="__RefHeading___Toc894933_232077687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94935_2320776876">
            <w:r>
              <w:rPr>
                <w:webHidden/>
                <w:rStyle w:val="IndexLink"/>
                <w:rtl w:val="true"/>
              </w:rPr>
              <w:t>الدليل الأوّل</w:t>
            </w:r>
            <w:r>
              <w:rPr>
                <w:rStyle w:val="IndexLink"/>
                <w:rtl w:val="true"/>
              </w:rPr>
              <w:tab/>
            </w:r>
            <w:r>
              <w:rPr>
                <w:rStyle w:val="IndexLink"/>
              </w:rPr>
              <w:t>217</w:t>
            </w:r>
          </w:hyperlink>
        </w:p>
        <w:p>
          <w:pPr>
            <w:pStyle w:val="Contents4"/>
            <w:tabs>
              <w:tab w:val="clear" w:pos="8176"/>
              <w:tab w:val="right" w:pos="9026" w:leader="dot"/>
            </w:tabs>
            <w:rPr/>
          </w:pPr>
          <w:hyperlink w:anchor="__RefHeading___Toc894937_2320776876">
            <w:r>
              <w:rPr>
                <w:webHidden/>
                <w:rStyle w:val="IndexLink"/>
                <w:rtl w:val="true"/>
              </w:rPr>
              <w:t>الدليل الثاني</w:t>
            </w:r>
            <w:r>
              <w:rPr>
                <w:rStyle w:val="IndexLink"/>
                <w:rtl w:val="true"/>
              </w:rPr>
              <w:tab/>
            </w:r>
            <w:r>
              <w:rPr>
                <w:rStyle w:val="IndexLink"/>
              </w:rPr>
              <w:t>220</w:t>
            </w:r>
          </w:hyperlink>
        </w:p>
        <w:p>
          <w:pPr>
            <w:pStyle w:val="Contents4"/>
            <w:tabs>
              <w:tab w:val="clear" w:pos="8176"/>
              <w:tab w:val="right" w:pos="9026" w:leader="dot"/>
            </w:tabs>
            <w:rPr/>
          </w:pPr>
          <w:hyperlink w:anchor="__RefHeading___Toc894939_2320776876">
            <w:r>
              <w:rPr>
                <w:webHidden/>
                <w:rStyle w:val="IndexLink"/>
                <w:rtl w:val="true"/>
              </w:rPr>
              <w:t>الدليل الثالث</w:t>
            </w:r>
            <w:r>
              <w:rPr>
                <w:rStyle w:val="IndexLink"/>
                <w:rtl w:val="true"/>
              </w:rPr>
              <w:tab/>
            </w:r>
            <w:r>
              <w:rPr>
                <w:rStyle w:val="IndexLink"/>
              </w:rPr>
              <w:t>221</w:t>
            </w:r>
          </w:hyperlink>
        </w:p>
        <w:p>
          <w:pPr>
            <w:pStyle w:val="Contents4"/>
            <w:tabs>
              <w:tab w:val="clear" w:pos="8176"/>
              <w:tab w:val="right" w:pos="9026" w:leader="dot"/>
            </w:tabs>
            <w:rPr/>
          </w:pPr>
          <w:hyperlink w:anchor="__RefHeading___Toc894941_2320776876">
            <w:r>
              <w:rPr>
                <w:webHidden/>
                <w:rStyle w:val="IndexLink"/>
                <w:rtl w:val="true"/>
              </w:rPr>
              <w:t xml:space="preserve">بيان الفرق بين الإمام و الأُمراء و غيرهم المستلزم لوجوب النصّ </w:t>
            </w:r>
            <w:r>
              <w:rPr>
                <w:rStyle w:val="IndexLink"/>
                <w:rtl w:val="true"/>
              </w:rPr>
              <w:t>:</w:t>
              <w:tab/>
            </w:r>
            <w:r>
              <w:rPr>
                <w:rStyle w:val="IndexLink"/>
              </w:rPr>
              <w:t>223</w:t>
            </w:r>
          </w:hyperlink>
        </w:p>
        <w:p>
          <w:pPr>
            <w:pStyle w:val="Contents4"/>
            <w:tabs>
              <w:tab w:val="clear" w:pos="8176"/>
              <w:tab w:val="right" w:pos="9026" w:leader="dot"/>
            </w:tabs>
            <w:rPr/>
          </w:pPr>
          <w:hyperlink w:anchor="__RefHeading___Toc894943_2320776876">
            <w:r>
              <w:rPr>
                <w:webHidden/>
                <w:rStyle w:val="IndexLink"/>
                <w:rtl w:val="true"/>
              </w:rPr>
              <w:t>بيان التسوية بين النبيّ و الإمام في بطلان الاختيار</w:t>
            </w:r>
            <w:r>
              <w:rPr>
                <w:rStyle w:val="IndexLink"/>
                <w:rtl w:val="true"/>
              </w:rPr>
              <w:t>:</w:t>
              <w:tab/>
            </w:r>
            <w:r>
              <w:rPr>
                <w:rStyle w:val="IndexLink"/>
              </w:rPr>
              <w:t>224</w:t>
            </w:r>
          </w:hyperlink>
        </w:p>
        <w:p>
          <w:pPr>
            <w:pStyle w:val="Contents4"/>
            <w:tabs>
              <w:tab w:val="clear" w:pos="8176"/>
              <w:tab w:val="right" w:pos="9026" w:leader="dot"/>
            </w:tabs>
            <w:rPr/>
          </w:pPr>
          <w:hyperlink w:anchor="__RefHeading___Toc894945_2320776876">
            <w:r>
              <w:rPr>
                <w:webHidden/>
                <w:rStyle w:val="IndexLink"/>
                <w:rtl w:val="true"/>
              </w:rPr>
              <w:t>نفي ورود السمع علىٰ صحّة الاختيار في باب الإمامة</w:t>
            </w:r>
            <w:r>
              <w:rPr>
                <w:rStyle w:val="IndexLink"/>
                <w:rtl w:val="true"/>
              </w:rPr>
              <w:tab/>
            </w:r>
            <w:r>
              <w:rPr>
                <w:rStyle w:val="IndexLink"/>
              </w:rPr>
              <w:t>226</w:t>
            </w:r>
          </w:hyperlink>
        </w:p>
        <w:p>
          <w:pPr>
            <w:pStyle w:val="Contents4"/>
            <w:tabs>
              <w:tab w:val="clear" w:pos="8176"/>
              <w:tab w:val="right" w:pos="9026" w:leader="dot"/>
            </w:tabs>
            <w:rPr/>
          </w:pPr>
          <w:hyperlink w:anchor="__RefHeading___Toc894947_2320776876">
            <w:r>
              <w:rPr>
                <w:webHidden/>
                <w:rStyle w:val="IndexLink"/>
                <w:rtl w:val="true"/>
              </w:rPr>
              <w:t>مخالفة جماعة من أجلّة السلف في أصل الاختيار و عدم حصول رضاهم فيما بعد</w:t>
            </w:r>
            <w:r>
              <w:rPr>
                <w:rStyle w:val="IndexLink"/>
                <w:rtl w:val="true"/>
              </w:rPr>
              <w:tab/>
            </w:r>
            <w:r>
              <w:rPr>
                <w:rStyle w:val="IndexLink"/>
              </w:rPr>
              <w:t>226</w:t>
            </w:r>
          </w:hyperlink>
        </w:p>
        <w:p>
          <w:pPr>
            <w:pStyle w:val="Contents2"/>
            <w:tabs>
              <w:tab w:val="clear" w:pos="8743"/>
              <w:tab w:val="right" w:pos="9026" w:leader="dot"/>
            </w:tabs>
            <w:rPr/>
          </w:pPr>
          <w:hyperlink w:anchor="__RefHeading___Toc894949_2320776876">
            <w:r>
              <w:rPr>
                <w:webHidden/>
                <w:rStyle w:val="IndexLink"/>
              </w:rPr>
              <w:t>5</w:t>
            </w:r>
            <w:r>
              <w:rPr>
                <w:rStyle w:val="IndexLink"/>
                <w:rtl w:val="true"/>
              </w:rPr>
              <w:t xml:space="preserve"> </w:t>
            </w:r>
            <w:r>
              <w:rPr>
                <w:rStyle w:val="IndexLink"/>
                <w:rtl w:val="true"/>
              </w:rPr>
              <w:t>فصلٌ في إبطالِ ما طَعَنَ به علىٰ ما حَكاه مِن طُرُقِنا في وجوبِ النَّصِّ</w:t>
            </w:r>
            <w:r>
              <w:rPr>
                <w:rStyle w:val="IndexLink"/>
                <w:rtl w:val="true"/>
              </w:rPr>
              <w:tab/>
            </w:r>
            <w:r>
              <w:rPr>
                <w:rStyle w:val="IndexLink"/>
              </w:rPr>
              <w:t>231</w:t>
            </w:r>
          </w:hyperlink>
        </w:p>
        <w:p>
          <w:pPr>
            <w:pStyle w:val="Contents3"/>
            <w:tabs>
              <w:tab w:val="clear" w:pos="8459"/>
              <w:tab w:val="right" w:pos="9026" w:leader="dot"/>
            </w:tabs>
            <w:rPr/>
          </w:pPr>
          <w:hyperlink w:anchor="__RefHeading___Toc894951_2320776876">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894953_2320776876">
            <w:r>
              <w:rPr>
                <w:webHidden/>
                <w:rStyle w:val="IndexLink"/>
                <w:rtl w:val="true"/>
              </w:rPr>
              <w:t>الدليل الأوّل كونُ الإمام حجّةً و قائماً بمصالح الدين</w:t>
            </w:r>
            <w:r>
              <w:rPr>
                <w:rStyle w:val="IndexLink"/>
                <w:rtl w:val="true"/>
              </w:rPr>
              <w:tab/>
            </w:r>
            <w:r>
              <w:rPr>
                <w:rStyle w:val="IndexLink"/>
              </w:rPr>
              <w:t>233</w:t>
            </w:r>
          </w:hyperlink>
        </w:p>
        <w:p>
          <w:pPr>
            <w:pStyle w:val="Contents3"/>
            <w:tabs>
              <w:tab w:val="clear" w:pos="8459"/>
              <w:tab w:val="right" w:pos="9026" w:leader="dot"/>
            </w:tabs>
            <w:rPr/>
          </w:pPr>
          <w:hyperlink w:anchor="__RefHeading___Toc894955_2320776876">
            <w:r>
              <w:rPr>
                <w:webHidden/>
                <w:rStyle w:val="IndexLink"/>
                <w:rtl w:val="true"/>
              </w:rPr>
              <w:t>الدليل الثاني كونُ الإمام علىٰ صفةٍ لا طريق للاجتهاد فيها، كالعصمة و العلم بجميع الأحكام</w:t>
            </w:r>
            <w:r>
              <w:rPr>
                <w:rStyle w:val="IndexLink"/>
                <w:rtl w:val="true"/>
              </w:rPr>
              <w:tab/>
            </w:r>
            <w:r>
              <w:rPr>
                <w:rStyle w:val="IndexLink"/>
              </w:rPr>
              <w:t>235</w:t>
            </w:r>
          </w:hyperlink>
        </w:p>
        <w:p>
          <w:pPr>
            <w:pStyle w:val="Contents4"/>
            <w:tabs>
              <w:tab w:val="clear" w:pos="8176"/>
              <w:tab w:val="right" w:pos="9026" w:leader="dot"/>
            </w:tabs>
            <w:rPr/>
          </w:pPr>
          <w:hyperlink w:anchor="__RefHeading___Toc894957_2320776876">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894959_2320776876">
            <w:r>
              <w:rPr>
                <w:webHidden/>
                <w:rStyle w:val="IndexLink"/>
                <w:rtl w:val="true"/>
              </w:rPr>
              <w:t>الأدلّة العقليّة علىٰ ضَرورةِ كَونِ الإمامِ عالِماً بجميعِ الأحكامِ</w:t>
            </w:r>
            <w:r>
              <w:rPr>
                <w:rStyle w:val="IndexLink"/>
                <w:rtl w:val="true"/>
              </w:rPr>
              <w:tab/>
            </w:r>
            <w:r>
              <w:rPr>
                <w:rStyle w:val="IndexLink"/>
              </w:rPr>
              <w:t>237</w:t>
            </w:r>
          </w:hyperlink>
        </w:p>
        <w:p>
          <w:pPr>
            <w:pStyle w:val="Contents5"/>
            <w:tabs>
              <w:tab w:val="clear" w:pos="7892"/>
              <w:tab w:val="right" w:pos="9026" w:leader="dot"/>
            </w:tabs>
            <w:rPr/>
          </w:pPr>
          <w:hyperlink w:anchor="__RefHeading___Toc894961_2320776876">
            <w:r>
              <w:rPr>
                <w:webHidden/>
                <w:rStyle w:val="IndexLink"/>
                <w:rtl w:val="true"/>
              </w:rPr>
              <w:t>الدليل الأوّل</w:t>
            </w:r>
            <w:r>
              <w:rPr>
                <w:rStyle w:val="IndexLink"/>
                <w:rtl w:val="true"/>
              </w:rPr>
              <w:tab/>
            </w:r>
            <w:r>
              <w:rPr>
                <w:rStyle w:val="IndexLink"/>
              </w:rPr>
              <w:t>237</w:t>
            </w:r>
          </w:hyperlink>
        </w:p>
        <w:p>
          <w:pPr>
            <w:pStyle w:val="Contents5"/>
            <w:tabs>
              <w:tab w:val="clear" w:pos="7892"/>
              <w:tab w:val="right" w:pos="9026" w:leader="dot"/>
            </w:tabs>
            <w:rPr/>
          </w:pPr>
          <w:hyperlink w:anchor="__RefHeading___Toc894963_2320776876">
            <w:r>
              <w:rPr>
                <w:webHidden/>
                <w:rStyle w:val="IndexLink"/>
                <w:rtl w:val="true"/>
              </w:rPr>
              <w:t>الدليل الثاني</w:t>
            </w:r>
            <w:r>
              <w:rPr>
                <w:rStyle w:val="IndexLink"/>
                <w:rtl w:val="true"/>
              </w:rPr>
              <w:tab/>
            </w:r>
            <w:r>
              <w:rPr>
                <w:rStyle w:val="IndexLink"/>
              </w:rPr>
              <w:t>240</w:t>
            </w:r>
          </w:hyperlink>
        </w:p>
        <w:p>
          <w:pPr>
            <w:pStyle w:val="Contents5"/>
            <w:tabs>
              <w:tab w:val="clear" w:pos="7892"/>
              <w:tab w:val="right" w:pos="9026" w:leader="dot"/>
            </w:tabs>
            <w:rPr/>
          </w:pPr>
          <w:hyperlink w:anchor="__RefHeading___Toc894965_2320776876">
            <w:r>
              <w:rPr>
                <w:webHidden/>
                <w:rStyle w:val="IndexLink"/>
                <w:rtl w:val="true"/>
              </w:rPr>
              <w:t>الدليل الثالث</w:t>
            </w:r>
            <w:r>
              <w:rPr>
                <w:rStyle w:val="IndexLink"/>
                <w:rtl w:val="true"/>
              </w:rPr>
              <w:tab/>
            </w:r>
            <w:r>
              <w:rPr>
                <w:rStyle w:val="IndexLink"/>
              </w:rPr>
              <w:t>243</w:t>
            </w:r>
          </w:hyperlink>
        </w:p>
        <w:p>
          <w:pPr>
            <w:pStyle w:val="Contents4"/>
            <w:tabs>
              <w:tab w:val="clear" w:pos="8176"/>
              <w:tab w:val="right" w:pos="9026" w:leader="dot"/>
            </w:tabs>
            <w:rPr/>
          </w:pPr>
          <w:hyperlink w:anchor="__RefHeading___Toc894967_2320776876">
            <w:r>
              <w:rPr>
                <w:webHidden/>
                <w:rStyle w:val="IndexLink"/>
                <w:rtl w:val="true"/>
              </w:rPr>
              <w:t>قبح الإمامة مع فَقْد العلم، سواء كان هناك سبيل لتحصيل العلم، أم لا</w:t>
            </w:r>
            <w:r>
              <w:rPr>
                <w:rStyle w:val="IndexLink"/>
                <w:rtl w:val="true"/>
              </w:rPr>
              <w:tab/>
            </w:r>
            <w:r>
              <w:rPr>
                <w:rStyle w:val="IndexLink"/>
              </w:rPr>
              <w:t>245</w:t>
            </w:r>
          </w:hyperlink>
        </w:p>
        <w:p>
          <w:pPr>
            <w:pStyle w:val="Contents4"/>
            <w:tabs>
              <w:tab w:val="clear" w:pos="8176"/>
              <w:tab w:val="right" w:pos="9026" w:leader="dot"/>
            </w:tabs>
            <w:rPr/>
          </w:pPr>
          <w:hyperlink w:anchor="__RefHeading___Toc894969_2320776876">
            <w:r>
              <w:rPr>
                <w:webHidden/>
                <w:rStyle w:val="IndexLink"/>
                <w:rtl w:val="true"/>
              </w:rPr>
              <w:t>ضرورة كون الرسول عالماً بجميع الأحكام</w:t>
            </w:r>
            <w:r>
              <w:rPr>
                <w:rStyle w:val="IndexLink"/>
                <w:rtl w:val="true"/>
              </w:rPr>
              <w:tab/>
            </w:r>
            <w:r>
              <w:rPr>
                <w:rStyle w:val="IndexLink"/>
              </w:rPr>
              <w:t>251</w:t>
            </w:r>
          </w:hyperlink>
        </w:p>
        <w:p>
          <w:pPr>
            <w:pStyle w:val="Contents4"/>
            <w:tabs>
              <w:tab w:val="clear" w:pos="8176"/>
              <w:tab w:val="right" w:pos="9026" w:leader="dot"/>
            </w:tabs>
            <w:rPr/>
          </w:pPr>
          <w:hyperlink w:anchor="__RefHeading___Toc894971_2320776876">
            <w:r>
              <w:rPr>
                <w:webHidden/>
                <w:rStyle w:val="IndexLink"/>
                <w:rtl w:val="true"/>
              </w:rPr>
              <w:t>ضرورة علم الإمام بالأحكام، دون بواطن الأُمور</w:t>
            </w:r>
            <w:r>
              <w:rPr>
                <w:rStyle w:val="IndexLink"/>
                <w:rtl w:val="true"/>
              </w:rPr>
              <w:tab/>
            </w:r>
            <w:r>
              <w:rPr>
                <w:rStyle w:val="IndexLink"/>
              </w:rPr>
              <w:t>253</w:t>
            </w:r>
          </w:hyperlink>
        </w:p>
        <w:p>
          <w:pPr>
            <w:pStyle w:val="Contents4"/>
            <w:tabs>
              <w:tab w:val="clear" w:pos="8176"/>
              <w:tab w:val="right" w:pos="9026" w:leader="dot"/>
            </w:tabs>
            <w:rPr/>
          </w:pPr>
          <w:hyperlink w:anchor="__RefHeading___Toc894973_2320776876">
            <w:r>
              <w:rPr>
                <w:webHidden/>
                <w:rStyle w:val="IndexLink"/>
                <w:rtl w:val="true"/>
              </w:rPr>
              <w:t>بيان الفرق بين علم الإمام و علم الأُمراء</w:t>
            </w:r>
            <w:r>
              <w:rPr>
                <w:rStyle w:val="IndexLink"/>
                <w:rtl w:val="true"/>
              </w:rPr>
              <w:tab/>
            </w:r>
            <w:r>
              <w:rPr>
                <w:rStyle w:val="IndexLink"/>
              </w:rPr>
              <w:t>256</w:t>
            </w:r>
          </w:hyperlink>
        </w:p>
        <w:p>
          <w:pPr>
            <w:pStyle w:val="Contents4"/>
            <w:tabs>
              <w:tab w:val="clear" w:pos="8176"/>
              <w:tab w:val="right" w:pos="9026" w:leader="dot"/>
            </w:tabs>
            <w:rPr/>
          </w:pPr>
          <w:hyperlink w:anchor="__RefHeading___Toc894975_2320776876">
            <w:r>
              <w:rPr>
                <w:webHidden/>
                <w:rStyle w:val="IndexLink"/>
                <w:rtl w:val="true"/>
              </w:rPr>
              <w:t>نفي أفضلية الإمام على الرسول في العلم</w:t>
            </w:r>
            <w:r>
              <w:rPr>
                <w:rStyle w:val="IndexLink"/>
                <w:rtl w:val="true"/>
              </w:rPr>
              <w:tab/>
            </w:r>
            <w:r>
              <w:rPr>
                <w:rStyle w:val="IndexLink"/>
              </w:rPr>
              <w:t>259</w:t>
            </w:r>
          </w:hyperlink>
        </w:p>
        <w:p>
          <w:pPr>
            <w:pStyle w:val="Contents4"/>
            <w:tabs>
              <w:tab w:val="clear" w:pos="8176"/>
              <w:tab w:val="right" w:pos="9026" w:leader="dot"/>
            </w:tabs>
            <w:rPr/>
          </w:pPr>
          <w:hyperlink w:anchor="__RefHeading___Toc894977_2320776876">
            <w:r>
              <w:rPr>
                <w:webHidden/>
                <w:rStyle w:val="IndexLink"/>
                <w:rtl w:val="true"/>
              </w:rPr>
              <w:t>الفرق بين ولاية الإمام مع جهله بالأحكام، و بين ولايته مع منعه من إقامة الأحكام</w:t>
            </w:r>
            <w:r>
              <w:rPr>
                <w:rStyle w:val="IndexLink"/>
                <w:rtl w:val="true"/>
              </w:rPr>
              <w:tab/>
            </w:r>
            <w:r>
              <w:rPr>
                <w:rStyle w:val="IndexLink"/>
              </w:rPr>
              <w:t>263</w:t>
            </w:r>
          </w:hyperlink>
        </w:p>
        <w:p>
          <w:pPr>
            <w:pStyle w:val="Contents4"/>
            <w:tabs>
              <w:tab w:val="clear" w:pos="8176"/>
              <w:tab w:val="right" w:pos="9026" w:leader="dot"/>
            </w:tabs>
            <w:rPr/>
          </w:pPr>
          <w:hyperlink w:anchor="__RefHeading___Toc894979_2320776876">
            <w:r>
              <w:rPr>
                <w:webHidden/>
                <w:rStyle w:val="IndexLink"/>
                <w:rtl w:val="true"/>
              </w:rPr>
              <w:t>في بيان أنّ خطأ الولاة المنصوبين من قِبَل المعصومين كان عمديّاً</w:t>
            </w:r>
            <w:r>
              <w:rPr>
                <w:rStyle w:val="IndexLink"/>
                <w:rtl w:val="true"/>
              </w:rPr>
              <w:tab/>
            </w:r>
            <w:r>
              <w:rPr>
                <w:rStyle w:val="IndexLink"/>
              </w:rPr>
              <w:t>264</w:t>
            </w:r>
          </w:hyperlink>
        </w:p>
        <w:p>
          <w:pPr>
            <w:pStyle w:val="Contents4"/>
            <w:tabs>
              <w:tab w:val="clear" w:pos="8176"/>
              <w:tab w:val="right" w:pos="9026" w:leader="dot"/>
            </w:tabs>
            <w:rPr/>
          </w:pPr>
          <w:hyperlink w:anchor="__RefHeading___Toc894981_2320776876">
            <w:r>
              <w:rPr>
                <w:webHidden/>
                <w:rStyle w:val="IndexLink"/>
                <w:rtl w:val="true"/>
              </w:rPr>
              <w:t>تأويل ما دلّ بظاهره علىٰ جهل أمير المؤمِنين عليه السلام ببعض الأحكام</w:t>
            </w:r>
            <w:r>
              <w:rPr>
                <w:rStyle w:val="IndexLink"/>
                <w:rtl w:val="true"/>
              </w:rPr>
              <w:tab/>
            </w:r>
            <w:r>
              <w:rPr>
                <w:rStyle w:val="IndexLink"/>
              </w:rPr>
              <w:t>267</w:t>
            </w:r>
          </w:hyperlink>
        </w:p>
        <w:p>
          <w:pPr>
            <w:pStyle w:val="Contents4"/>
            <w:tabs>
              <w:tab w:val="clear" w:pos="8176"/>
              <w:tab w:val="right" w:pos="9026" w:leader="dot"/>
            </w:tabs>
            <w:rPr/>
          </w:pPr>
          <w:hyperlink w:anchor="__RefHeading___Toc894983_2320776876">
            <w:r>
              <w:rPr>
                <w:webHidden/>
                <w:rStyle w:val="IndexLink"/>
                <w:rtl w:val="true"/>
              </w:rPr>
              <w:t>لزوم علم الأوصياء و الوكلاء بما فُوّض إليهم</w:t>
            </w:r>
            <w:r>
              <w:rPr>
                <w:rStyle w:val="IndexLink"/>
                <w:rtl w:val="true"/>
              </w:rPr>
              <w:tab/>
            </w:r>
            <w:r>
              <w:rPr>
                <w:rStyle w:val="IndexLink"/>
              </w:rPr>
              <w:t>275</w:t>
            </w:r>
          </w:hyperlink>
        </w:p>
        <w:p>
          <w:pPr>
            <w:pStyle w:val="Contents4"/>
            <w:tabs>
              <w:tab w:val="clear" w:pos="8176"/>
              <w:tab w:val="right" w:pos="9026" w:leader="dot"/>
            </w:tabs>
            <w:rPr/>
          </w:pPr>
          <w:hyperlink w:anchor="__RefHeading___Toc894985_2320776876">
            <w:r>
              <w:rPr>
                <w:webHidden/>
                <w:rStyle w:val="IndexLink"/>
                <w:rtl w:val="true"/>
              </w:rPr>
              <w:t>وجه جواز رجوع العامّي إلى العالِم في الفتوىٰ ، مع تجويز الغلط عليه</w:t>
            </w:r>
            <w:r>
              <w:rPr>
                <w:rStyle w:val="IndexLink"/>
                <w:rtl w:val="true"/>
              </w:rPr>
              <w:tab/>
            </w:r>
            <w:r>
              <w:rPr>
                <w:rStyle w:val="IndexLink"/>
              </w:rPr>
              <w:t>277</w:t>
            </w:r>
          </w:hyperlink>
        </w:p>
        <w:p>
          <w:pPr>
            <w:pStyle w:val="Contents3"/>
            <w:tabs>
              <w:tab w:val="clear" w:pos="8459"/>
              <w:tab w:val="right" w:pos="9026" w:leader="dot"/>
            </w:tabs>
            <w:rPr/>
          </w:pPr>
          <w:hyperlink w:anchor="__RefHeading___Toc894987_2320776876">
            <w:r>
              <w:rPr>
                <w:webHidden/>
                <w:rStyle w:val="IndexLink"/>
                <w:rtl w:val="true"/>
              </w:rPr>
              <w:t>الدليل الثالث أفضليّة الإمام</w:t>
            </w:r>
            <w:r>
              <w:rPr>
                <w:rStyle w:val="IndexLink"/>
                <w:rtl w:val="true"/>
              </w:rPr>
              <w:tab/>
            </w:r>
            <w:r>
              <w:rPr>
                <w:rStyle w:val="IndexLink"/>
              </w:rPr>
              <w:t>279</w:t>
            </w:r>
          </w:hyperlink>
        </w:p>
        <w:p>
          <w:pPr>
            <w:pStyle w:val="Contents4"/>
            <w:tabs>
              <w:tab w:val="clear" w:pos="8176"/>
              <w:tab w:val="right" w:pos="9026" w:leader="dot"/>
            </w:tabs>
            <w:rPr/>
          </w:pPr>
          <w:hyperlink w:anchor="__RefHeading___Toc894989_2320776876">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894991_2320776876">
            <w:r>
              <w:rPr>
                <w:webHidden/>
                <w:rStyle w:val="IndexLink"/>
                <w:rtl w:val="true"/>
              </w:rPr>
              <w:t>الأدلّة علىٰ أفضليّة الإمام</w:t>
            </w:r>
            <w:r>
              <w:rPr>
                <w:rStyle w:val="IndexLink"/>
                <w:rtl w:val="true"/>
              </w:rPr>
              <w:tab/>
            </w:r>
            <w:r>
              <w:rPr>
                <w:rStyle w:val="IndexLink"/>
              </w:rPr>
              <w:t>280</w:t>
            </w:r>
          </w:hyperlink>
        </w:p>
        <w:p>
          <w:pPr>
            <w:pStyle w:val="Contents5"/>
            <w:tabs>
              <w:tab w:val="clear" w:pos="7892"/>
              <w:tab w:val="right" w:pos="9026" w:leader="dot"/>
            </w:tabs>
            <w:rPr/>
          </w:pPr>
          <w:hyperlink w:anchor="__RefHeading___Toc894993_2320776876">
            <w:r>
              <w:rPr>
                <w:webHidden/>
                <w:rStyle w:val="IndexLink"/>
                <w:rtl w:val="true"/>
              </w:rPr>
              <w:t>الدليل الأوّل</w:t>
            </w:r>
            <w:r>
              <w:rPr>
                <w:rStyle w:val="IndexLink"/>
                <w:rtl w:val="true"/>
              </w:rPr>
              <w:tab/>
            </w:r>
            <w:r>
              <w:rPr>
                <w:rStyle w:val="IndexLink"/>
              </w:rPr>
              <w:t>280</w:t>
            </w:r>
          </w:hyperlink>
        </w:p>
        <w:p>
          <w:pPr>
            <w:pStyle w:val="Contents6"/>
            <w:tabs>
              <w:tab w:val="clear" w:pos="7609"/>
              <w:tab w:val="right" w:pos="9026" w:leader="dot"/>
            </w:tabs>
            <w:rPr/>
          </w:pPr>
          <w:hyperlink w:anchor="__RefHeading___Toc894995_2320776876">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894997_2320776876">
            <w:r>
              <w:rPr>
                <w:webHidden/>
                <w:rStyle w:val="IndexLink"/>
                <w:rtl w:val="true"/>
              </w:rPr>
              <w:t>دلالة العصمة علىٰ أفضليّة الإمام</w:t>
            </w:r>
            <w:r>
              <w:rPr>
                <w:rStyle w:val="IndexLink"/>
                <w:rtl w:val="true"/>
              </w:rPr>
              <w:tab/>
            </w:r>
            <w:r>
              <w:rPr>
                <w:rStyle w:val="IndexLink"/>
              </w:rPr>
              <w:t>282</w:t>
            </w:r>
          </w:hyperlink>
        </w:p>
        <w:p>
          <w:pPr>
            <w:pStyle w:val="Contents6"/>
            <w:tabs>
              <w:tab w:val="clear" w:pos="7609"/>
              <w:tab w:val="right" w:pos="9026" w:leader="dot"/>
            </w:tabs>
            <w:rPr/>
          </w:pPr>
          <w:hyperlink w:anchor="__RefHeading___Toc894999_2320776876">
            <w:r>
              <w:rPr>
                <w:webHidden/>
                <w:rStyle w:val="IndexLink"/>
                <w:rtl w:val="true"/>
              </w:rPr>
              <w:t>عدم الاستغناء بدليل العصمة عن دليل كثرة الثواب علىٰ وجوب النصّ</w:t>
            </w:r>
            <w:r>
              <w:rPr>
                <w:rStyle w:val="IndexLink"/>
                <w:rtl w:val="true"/>
              </w:rPr>
              <w:tab/>
            </w:r>
            <w:r>
              <w:rPr>
                <w:rStyle w:val="IndexLink"/>
              </w:rPr>
              <w:t>283</w:t>
            </w:r>
          </w:hyperlink>
        </w:p>
        <w:p>
          <w:pPr>
            <w:pStyle w:val="Contents6"/>
            <w:tabs>
              <w:tab w:val="clear" w:pos="7609"/>
              <w:tab w:val="right" w:pos="9026" w:leader="dot"/>
            </w:tabs>
            <w:rPr/>
          </w:pPr>
          <w:hyperlink w:anchor="__RefHeading___Toc895001_2320776876">
            <w:r>
              <w:rPr>
                <w:webHidden/>
                <w:rStyle w:val="IndexLink"/>
                <w:rtl w:val="true"/>
              </w:rPr>
              <w:t>عدم لزوم أن يكون الأُمراء و الحكّام أكثر ثواباً</w:t>
            </w:r>
            <w:r>
              <w:rPr>
                <w:rStyle w:val="IndexLink"/>
                <w:rtl w:val="true"/>
              </w:rPr>
              <w:tab/>
            </w:r>
            <w:r>
              <w:rPr>
                <w:rStyle w:val="IndexLink"/>
              </w:rPr>
              <w:t>285</w:t>
            </w:r>
          </w:hyperlink>
        </w:p>
        <w:p>
          <w:pPr>
            <w:pStyle w:val="Contents6"/>
            <w:tabs>
              <w:tab w:val="clear" w:pos="7609"/>
              <w:tab w:val="right" w:pos="9026" w:leader="dot"/>
            </w:tabs>
            <w:rPr/>
          </w:pPr>
          <w:hyperlink w:anchor="__RefHeading___Toc895003_2320776876">
            <w:r>
              <w:rPr>
                <w:webHidden/>
                <w:rStyle w:val="IndexLink"/>
                <w:rtl w:val="true"/>
              </w:rPr>
              <w:t>بيان الطريق لمعرفة أفضليّة الأُمراء و الحكّام</w:t>
            </w:r>
            <w:r>
              <w:rPr>
                <w:rStyle w:val="IndexLink"/>
                <w:rtl w:val="true"/>
              </w:rPr>
              <w:tab/>
            </w:r>
            <w:r>
              <w:rPr>
                <w:rStyle w:val="IndexLink"/>
              </w:rPr>
              <w:t>286</w:t>
            </w:r>
          </w:hyperlink>
        </w:p>
        <w:p>
          <w:pPr>
            <w:pStyle w:val="Contents5"/>
            <w:tabs>
              <w:tab w:val="clear" w:pos="7892"/>
              <w:tab w:val="right" w:pos="9026" w:leader="dot"/>
            </w:tabs>
            <w:rPr/>
          </w:pPr>
          <w:hyperlink w:anchor="__RefHeading___Toc895005_2320776876">
            <w:r>
              <w:rPr>
                <w:webHidden/>
                <w:rStyle w:val="IndexLink"/>
                <w:rtl w:val="true"/>
              </w:rPr>
              <w:t>الدليل الثاني</w:t>
            </w:r>
            <w:r>
              <w:rPr>
                <w:rStyle w:val="IndexLink"/>
                <w:rtl w:val="true"/>
              </w:rPr>
              <w:tab/>
            </w:r>
            <w:r>
              <w:rPr>
                <w:rStyle w:val="IndexLink"/>
              </w:rPr>
              <w:t>289</w:t>
            </w:r>
          </w:hyperlink>
        </w:p>
        <w:p>
          <w:pPr>
            <w:pStyle w:val="Contents6"/>
            <w:tabs>
              <w:tab w:val="clear" w:pos="7609"/>
              <w:tab w:val="right" w:pos="9026" w:leader="dot"/>
            </w:tabs>
            <w:rPr/>
          </w:pPr>
          <w:hyperlink w:anchor="__RefHeading___Toc895007_2320776876">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895009_2320776876">
            <w:r>
              <w:rPr>
                <w:webHidden/>
                <w:rStyle w:val="IndexLink"/>
                <w:rtl w:val="true"/>
              </w:rPr>
              <w:t>شمول الدليل المعتمَد علىٰ أفضليّة الإمام للرسول أيضاً</w:t>
            </w:r>
            <w:r>
              <w:rPr>
                <w:rStyle w:val="IndexLink"/>
                <w:rtl w:val="true"/>
              </w:rPr>
              <w:tab/>
            </w:r>
            <w:r>
              <w:rPr>
                <w:rStyle w:val="IndexLink"/>
              </w:rPr>
              <w:t>292</w:t>
            </w:r>
          </w:hyperlink>
        </w:p>
        <w:p>
          <w:pPr>
            <w:pStyle w:val="Contents6"/>
            <w:tabs>
              <w:tab w:val="clear" w:pos="7609"/>
              <w:tab w:val="right" w:pos="9026" w:leader="dot"/>
            </w:tabs>
            <w:rPr/>
          </w:pPr>
          <w:hyperlink w:anchor="__RefHeading___Toc895011_2320776876">
            <w:r>
              <w:rPr>
                <w:webHidden/>
                <w:rStyle w:val="IndexLink"/>
                <w:rtl w:val="true"/>
              </w:rPr>
              <w:t>بطلان كون الأُمّة حافظة للشرع، مع تجويز الاتّفاق على الخطأ عليها</w:t>
            </w:r>
            <w:r>
              <w:rPr>
                <w:rStyle w:val="IndexLink"/>
                <w:rtl w:val="true"/>
              </w:rPr>
              <w:tab/>
            </w:r>
            <w:r>
              <w:rPr>
                <w:rStyle w:val="IndexLink"/>
              </w:rPr>
              <w:t>295</w:t>
            </w:r>
          </w:hyperlink>
        </w:p>
        <w:p>
          <w:pPr>
            <w:pStyle w:val="Contents6"/>
            <w:tabs>
              <w:tab w:val="clear" w:pos="7609"/>
              <w:tab w:val="right" w:pos="9026" w:leader="dot"/>
            </w:tabs>
            <w:rPr/>
          </w:pPr>
          <w:hyperlink w:anchor="__RefHeading___Toc895013_2320776876">
            <w:r>
              <w:rPr>
                <w:webHidden/>
                <w:rStyle w:val="IndexLink"/>
                <w:rtl w:val="true"/>
              </w:rPr>
              <w:t>عدم دلالة تولية بعض الصحابة علىٰ بعض، علىٰ جواز تولية المفضول على الفاضل</w:t>
            </w:r>
            <w:r>
              <w:rPr>
                <w:rStyle w:val="IndexLink"/>
                <w:rtl w:val="true"/>
              </w:rPr>
              <w:tab/>
            </w:r>
            <w:r>
              <w:rPr>
                <w:rStyle w:val="IndexLink"/>
              </w:rPr>
              <w:t>297</w:t>
            </w:r>
          </w:hyperlink>
        </w:p>
        <w:p>
          <w:pPr>
            <w:pStyle w:val="Contents3"/>
            <w:tabs>
              <w:tab w:val="clear" w:pos="8459"/>
              <w:tab w:val="right" w:pos="9026" w:leader="dot"/>
            </w:tabs>
            <w:rPr/>
          </w:pPr>
          <w:hyperlink w:anchor="__RefHeading___Toc895015_2320776876">
            <w:r>
              <w:rPr>
                <w:webHidden/>
                <w:rStyle w:val="IndexLink"/>
                <w:rtl w:val="true"/>
              </w:rPr>
              <w:t>الدليل الرابع عصمة الإمام</w:t>
            </w:r>
            <w:r>
              <w:rPr>
                <w:rStyle w:val="IndexLink"/>
                <w:rtl w:val="true"/>
              </w:rPr>
              <w:tab/>
            </w:r>
            <w:r>
              <w:rPr>
                <w:rStyle w:val="IndexLink"/>
              </w:rPr>
              <w:t>299</w:t>
            </w:r>
          </w:hyperlink>
        </w:p>
        <w:p>
          <w:pPr>
            <w:pStyle w:val="Contents4"/>
            <w:tabs>
              <w:tab w:val="clear" w:pos="8176"/>
              <w:tab w:val="right" w:pos="9026" w:leader="dot"/>
            </w:tabs>
            <w:rPr/>
          </w:pPr>
          <w:hyperlink w:anchor="__RefHeading___Toc895017_2320776876">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895019_2320776876">
            <w:r>
              <w:rPr>
                <w:webHidden/>
                <w:rStyle w:val="IndexLink"/>
                <w:rtl w:val="true"/>
              </w:rPr>
              <w:t>جواز إثبات سلامة باطن الرسول و الإمام بدليلَين منفصلَين</w:t>
            </w:r>
            <w:r>
              <w:rPr>
                <w:rStyle w:val="IndexLink"/>
                <w:rtl w:val="true"/>
              </w:rPr>
              <w:tab/>
            </w:r>
            <w:r>
              <w:rPr>
                <w:rStyle w:val="IndexLink"/>
              </w:rPr>
              <w:t>300</w:t>
            </w:r>
          </w:hyperlink>
        </w:p>
        <w:p>
          <w:pPr>
            <w:pStyle w:val="Contents4"/>
            <w:tabs>
              <w:tab w:val="clear" w:pos="8176"/>
              <w:tab w:val="right" w:pos="9026" w:leader="dot"/>
            </w:tabs>
            <w:rPr/>
          </w:pPr>
          <w:hyperlink w:anchor="__RefHeading___Toc895021_2320776876">
            <w:r>
              <w:rPr>
                <w:webHidden/>
                <w:rStyle w:val="IndexLink"/>
                <w:rtl w:val="true"/>
              </w:rPr>
              <w:t>بيان سبب لزوم سلامة باطن الإمام</w:t>
            </w:r>
            <w:r>
              <w:rPr>
                <w:rStyle w:val="IndexLink"/>
                <w:rtl w:val="true"/>
              </w:rPr>
              <w:tab/>
            </w:r>
            <w:r>
              <w:rPr>
                <w:rStyle w:val="IndexLink"/>
              </w:rPr>
              <w:t>301</w:t>
            </w:r>
          </w:hyperlink>
        </w:p>
        <w:p>
          <w:pPr>
            <w:pStyle w:val="Contents3"/>
            <w:tabs>
              <w:tab w:val="clear" w:pos="8459"/>
              <w:tab w:val="right" w:pos="9026" w:leader="dot"/>
            </w:tabs>
            <w:rPr/>
          </w:pPr>
          <w:hyperlink w:anchor="__RefHeading___Toc895023_2320776876">
            <w:r>
              <w:rPr>
                <w:webHidden/>
                <w:rStyle w:val="IndexLink"/>
                <w:rtl w:val="true"/>
              </w:rPr>
              <w:t>الدليل الخامس أنّ الإمامة من أركان الدين</w:t>
            </w:r>
            <w:r>
              <w:rPr>
                <w:rStyle w:val="IndexLink"/>
                <w:rtl w:val="true"/>
              </w:rPr>
              <w:tab/>
            </w:r>
            <w:r>
              <w:rPr>
                <w:rStyle w:val="IndexLink"/>
              </w:rPr>
              <w:t>305</w:t>
            </w:r>
          </w:hyperlink>
        </w:p>
        <w:p>
          <w:pPr>
            <w:pStyle w:val="Contents4"/>
            <w:tabs>
              <w:tab w:val="clear" w:pos="8176"/>
              <w:tab w:val="right" w:pos="9026" w:leader="dot"/>
            </w:tabs>
            <w:rPr/>
          </w:pPr>
          <w:hyperlink w:anchor="__RefHeading___Toc895025_2320776876">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895027_2320776876">
            <w:r>
              <w:rPr>
                <w:webHidden/>
                <w:rStyle w:val="IndexLink"/>
                <w:rtl w:val="true"/>
              </w:rPr>
              <w:t>تقرير المصنّف للدليل الخامس</w:t>
            </w:r>
            <w:r>
              <w:rPr>
                <w:rStyle w:val="IndexLink"/>
                <w:rtl w:val="true"/>
              </w:rPr>
              <w:tab/>
            </w:r>
            <w:r>
              <w:rPr>
                <w:rStyle w:val="IndexLink"/>
              </w:rPr>
              <w:t>306</w:t>
            </w:r>
          </w:hyperlink>
        </w:p>
        <w:p>
          <w:pPr>
            <w:pStyle w:val="Contents4"/>
            <w:tabs>
              <w:tab w:val="clear" w:pos="8176"/>
              <w:tab w:val="right" w:pos="9026" w:leader="dot"/>
            </w:tabs>
            <w:rPr/>
          </w:pPr>
          <w:hyperlink w:anchor="__RefHeading___Toc895029_2320776876">
            <w:r>
              <w:rPr>
                <w:webHidden/>
                <w:rStyle w:val="IndexLink"/>
                <w:rtl w:val="true"/>
              </w:rPr>
              <w:t>بيان الفرق بين الصلاة و الإمام في باب الاختيار و النصّ</w:t>
            </w:r>
            <w:r>
              <w:rPr>
                <w:rStyle w:val="IndexLink"/>
                <w:rtl w:val="true"/>
              </w:rPr>
              <w:tab/>
            </w:r>
            <w:r>
              <w:rPr>
                <w:rStyle w:val="IndexLink"/>
              </w:rPr>
              <w:t>307</w:t>
            </w:r>
          </w:hyperlink>
        </w:p>
        <w:p>
          <w:pPr>
            <w:pStyle w:val="Contents4"/>
            <w:tabs>
              <w:tab w:val="clear" w:pos="8176"/>
              <w:tab w:val="right" w:pos="9026" w:leader="dot"/>
            </w:tabs>
            <w:rPr/>
          </w:pPr>
          <w:hyperlink w:anchor="__RefHeading___Toc895031_2320776876">
            <w:r>
              <w:rPr>
                <w:webHidden/>
                <w:rStyle w:val="IndexLink"/>
                <w:rtl w:val="true"/>
              </w:rPr>
              <w:t>بيان الفرق بين الإمامة و الكفّارات في باب النصّ</w:t>
            </w:r>
            <w:r>
              <w:rPr>
                <w:rStyle w:val="IndexLink"/>
                <w:rtl w:val="true"/>
              </w:rPr>
              <w:tab/>
            </w:r>
            <w:r>
              <w:rPr>
                <w:rStyle w:val="IndexLink"/>
              </w:rPr>
              <w:t>311</w:t>
            </w:r>
          </w:hyperlink>
        </w:p>
        <w:p>
          <w:pPr>
            <w:pStyle w:val="Contents4"/>
            <w:tabs>
              <w:tab w:val="clear" w:pos="8176"/>
              <w:tab w:val="right" w:pos="9026" w:leader="dot"/>
            </w:tabs>
            <w:rPr/>
          </w:pPr>
          <w:hyperlink w:anchor="__RefHeading___Toc895033_2320776876">
            <w:r>
              <w:rPr>
                <w:webHidden/>
                <w:rStyle w:val="IndexLink"/>
                <w:rtl w:val="true"/>
              </w:rPr>
              <w:t>إلزام صاحب المغني القول بوجوب النصّ على الإمام</w:t>
            </w:r>
            <w:r>
              <w:rPr>
                <w:rStyle w:val="IndexLink"/>
                <w:rtl w:val="true"/>
              </w:rPr>
              <w:tab/>
            </w:r>
            <w:r>
              <w:rPr>
                <w:rStyle w:val="IndexLink"/>
              </w:rPr>
              <w:t>314</w:t>
            </w:r>
          </w:hyperlink>
        </w:p>
        <w:p>
          <w:pPr>
            <w:pStyle w:val="Contents2"/>
            <w:tabs>
              <w:tab w:val="clear" w:pos="8743"/>
              <w:tab w:val="right" w:pos="9026" w:leader="dot"/>
            </w:tabs>
            <w:rPr/>
          </w:pPr>
          <w:hyperlink w:anchor="__RefHeading___Toc895035_2320776876">
            <w:r>
              <w:rPr>
                <w:webHidden/>
                <w:rStyle w:val="IndexLink"/>
              </w:rPr>
              <w:t>6</w:t>
            </w:r>
            <w:r>
              <w:rPr>
                <w:rStyle w:val="IndexLink"/>
                <w:rtl w:val="true"/>
              </w:rPr>
              <w:t xml:space="preserve"> </w:t>
            </w:r>
            <w:r>
              <w:rPr>
                <w:rStyle w:val="IndexLink"/>
                <w:rtl w:val="true"/>
              </w:rPr>
              <w:t>فصلٌ في إبطالِ ما دَفَعَ به ثُبوتَ النصِّ و ورودَ السَّمعِ به</w:t>
            </w:r>
            <w:r>
              <w:rPr>
                <w:rStyle w:val="IndexLink"/>
                <w:rtl w:val="true"/>
              </w:rPr>
              <w:tab/>
            </w:r>
            <w:r>
              <w:rPr>
                <w:rStyle w:val="IndexLink"/>
              </w:rPr>
              <w:t>317</w:t>
            </w:r>
          </w:hyperlink>
        </w:p>
        <w:p>
          <w:pPr>
            <w:pStyle w:val="Contents3"/>
            <w:tabs>
              <w:tab w:val="clear" w:pos="8459"/>
              <w:tab w:val="right" w:pos="9026" w:leader="dot"/>
            </w:tabs>
            <w:rPr/>
          </w:pPr>
          <w:hyperlink w:anchor="__RefHeading___Toc895037_2320776876">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895039_2320776876">
            <w:r>
              <w:rPr>
                <w:webHidden/>
                <w:rStyle w:val="IndexLink"/>
                <w:rtl w:val="true"/>
              </w:rPr>
              <w:t>الكلام في النصّ و أقسامه</w:t>
            </w:r>
            <w:r>
              <w:rPr>
                <w:rStyle w:val="IndexLink"/>
                <w:rtl w:val="true"/>
              </w:rPr>
              <w:tab/>
            </w:r>
            <w:r>
              <w:rPr>
                <w:rStyle w:val="IndexLink"/>
              </w:rPr>
              <w:t>319</w:t>
            </w:r>
          </w:hyperlink>
        </w:p>
        <w:p>
          <w:pPr>
            <w:pStyle w:val="Contents3"/>
            <w:tabs>
              <w:tab w:val="clear" w:pos="8459"/>
              <w:tab w:val="right" w:pos="9026" w:leader="dot"/>
            </w:tabs>
            <w:rPr/>
          </w:pPr>
          <w:hyperlink w:anchor="__RefHeading___Toc895041_2320776876">
            <w:r>
              <w:rPr>
                <w:webHidden/>
                <w:rStyle w:val="IndexLink"/>
                <w:rtl w:val="true"/>
              </w:rPr>
              <w:t>الكلام في النصّ الجليّ ، و الطريق إلى إثبات تواتره</w:t>
            </w:r>
            <w:r>
              <w:rPr>
                <w:rStyle w:val="IndexLink"/>
                <w:rtl w:val="true"/>
              </w:rPr>
              <w:tab/>
            </w:r>
            <w:r>
              <w:rPr>
                <w:rStyle w:val="IndexLink"/>
              </w:rPr>
              <w:t>324</w:t>
            </w:r>
          </w:hyperlink>
        </w:p>
        <w:p>
          <w:pPr>
            <w:pStyle w:val="Contents4"/>
            <w:tabs>
              <w:tab w:val="clear" w:pos="8176"/>
              <w:tab w:val="right" w:pos="9026" w:leader="dot"/>
            </w:tabs>
            <w:rPr/>
          </w:pPr>
          <w:hyperlink w:anchor="__RefHeading___Toc895043_2320776876">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895045_2320776876">
            <w:r>
              <w:rPr>
                <w:webHidden/>
                <w:rStyle w:val="IndexLink"/>
                <w:rtl w:val="true"/>
              </w:rPr>
              <w:t>شروط الخبر المتواتر</w:t>
            </w:r>
            <w:r>
              <w:rPr>
                <w:rStyle w:val="IndexLink"/>
                <w:rtl w:val="true"/>
              </w:rPr>
              <w:tab/>
            </w:r>
            <w:r>
              <w:rPr>
                <w:rStyle w:val="IndexLink"/>
              </w:rPr>
              <w:t>324</w:t>
            </w:r>
          </w:hyperlink>
        </w:p>
        <w:p>
          <w:pPr>
            <w:pStyle w:val="Contents4"/>
            <w:tabs>
              <w:tab w:val="clear" w:pos="8176"/>
              <w:tab w:val="right" w:pos="9026" w:leader="dot"/>
            </w:tabs>
            <w:rPr/>
          </w:pPr>
          <w:hyperlink w:anchor="__RefHeading___Toc895047_2320776876">
            <w:r>
              <w:rPr>
                <w:webHidden/>
                <w:rStyle w:val="IndexLink"/>
                <w:rtl w:val="true"/>
              </w:rPr>
              <w:t>تأثير الشروط المذكورة في العلم بصحّة الخبر</w:t>
            </w:r>
            <w:r>
              <w:rPr>
                <w:rStyle w:val="IndexLink"/>
                <w:rtl w:val="true"/>
              </w:rPr>
              <w:tab/>
            </w:r>
            <w:r>
              <w:rPr>
                <w:rStyle w:val="IndexLink"/>
              </w:rPr>
              <w:t>325</w:t>
            </w:r>
          </w:hyperlink>
        </w:p>
        <w:p>
          <w:pPr>
            <w:pStyle w:val="Contents4"/>
            <w:tabs>
              <w:tab w:val="clear" w:pos="8176"/>
              <w:tab w:val="right" w:pos="9026" w:leader="dot"/>
            </w:tabs>
            <w:rPr/>
          </w:pPr>
          <w:hyperlink w:anchor="__RefHeading___Toc895049_2320776876">
            <w:r>
              <w:rPr>
                <w:webHidden/>
                <w:rStyle w:val="IndexLink"/>
                <w:rtl w:val="true"/>
              </w:rPr>
              <w:t>اشتراط توفّر شروط التواتر في الجماعات المتوسّطة</w:t>
            </w:r>
            <w:r>
              <w:rPr>
                <w:rStyle w:val="IndexLink"/>
                <w:rtl w:val="true"/>
              </w:rPr>
              <w:tab/>
            </w:r>
            <w:r>
              <w:rPr>
                <w:rStyle w:val="IndexLink"/>
              </w:rPr>
              <w:t>328</w:t>
            </w:r>
          </w:hyperlink>
        </w:p>
        <w:p>
          <w:pPr>
            <w:pStyle w:val="Contents4"/>
            <w:tabs>
              <w:tab w:val="clear" w:pos="8176"/>
              <w:tab w:val="right" w:pos="9026" w:leader="dot"/>
            </w:tabs>
            <w:rPr/>
          </w:pPr>
          <w:hyperlink w:anchor="__RefHeading___Toc895051_2320776876">
            <w:r>
              <w:rPr>
                <w:webHidden/>
                <w:rStyle w:val="IndexLink"/>
                <w:rtl w:val="true"/>
              </w:rPr>
              <w:t>الطريق إلى العلم بحصول شروط التواتر في الجماعة المخبرة</w:t>
            </w:r>
            <w:r>
              <w:rPr>
                <w:rStyle w:val="IndexLink"/>
                <w:rtl w:val="true"/>
              </w:rPr>
              <w:tab/>
            </w:r>
            <w:r>
              <w:rPr>
                <w:rStyle w:val="IndexLink"/>
              </w:rPr>
              <w:t>330</w:t>
            </w:r>
          </w:hyperlink>
        </w:p>
        <w:p>
          <w:pPr>
            <w:pStyle w:val="Contents4"/>
            <w:tabs>
              <w:tab w:val="clear" w:pos="8176"/>
              <w:tab w:val="right" w:pos="9026" w:leader="dot"/>
            </w:tabs>
            <w:rPr/>
          </w:pPr>
          <w:hyperlink w:anchor="__RefHeading___Toc895053_2320776876">
            <w:r>
              <w:rPr>
                <w:webHidden/>
                <w:rStyle w:val="IndexLink"/>
                <w:rtl w:val="true"/>
              </w:rPr>
              <w:t>الطريق إلى العلم بحصول شروط التواتر في جميع الطبقات</w:t>
            </w:r>
            <w:r>
              <w:rPr>
                <w:rStyle w:val="IndexLink"/>
                <w:rtl w:val="true"/>
              </w:rPr>
              <w:tab/>
            </w:r>
            <w:r>
              <w:rPr>
                <w:rStyle w:val="IndexLink"/>
              </w:rPr>
              <w:t>334</w:t>
            </w:r>
          </w:hyperlink>
        </w:p>
        <w:p>
          <w:pPr>
            <w:pStyle w:val="Contents4"/>
            <w:tabs>
              <w:tab w:val="clear" w:pos="8176"/>
              <w:tab w:val="right" w:pos="9026" w:leader="dot"/>
            </w:tabs>
            <w:rPr/>
          </w:pPr>
          <w:hyperlink w:anchor="__RefHeading___Toc895055_2320776876">
            <w:r>
              <w:rPr>
                <w:webHidden/>
                <w:rStyle w:val="IndexLink"/>
                <w:rtl w:val="true"/>
              </w:rPr>
              <w:t>ثبوتُ شروط التواتر في نقل الشيعة للنصّ الجليّ</w:t>
            </w:r>
            <w:r>
              <w:rPr>
                <w:rStyle w:val="IndexLink"/>
                <w:rtl w:val="true"/>
              </w:rPr>
              <w:tab/>
            </w:r>
            <w:r>
              <w:rPr>
                <w:rStyle w:val="IndexLink"/>
              </w:rPr>
              <w:t>338</w:t>
            </w:r>
          </w:hyperlink>
        </w:p>
        <w:p>
          <w:pPr>
            <w:pStyle w:val="Contents4"/>
            <w:tabs>
              <w:tab w:val="clear" w:pos="8176"/>
              <w:tab w:val="right" w:pos="9026" w:leader="dot"/>
            </w:tabs>
            <w:rPr/>
          </w:pPr>
          <w:hyperlink w:anchor="__RefHeading___Toc895057_2320776876">
            <w:r>
              <w:rPr>
                <w:webHidden/>
                <w:rStyle w:val="IndexLink"/>
                <w:rtl w:val="true"/>
              </w:rPr>
              <w:t>ثبوت شروط التواتر في جميع طبقات الشيعة</w:t>
            </w:r>
            <w:r>
              <w:rPr>
                <w:rStyle w:val="IndexLink"/>
                <w:rtl w:val="true"/>
              </w:rPr>
              <w:tab/>
            </w:r>
            <w:r>
              <w:rPr>
                <w:rStyle w:val="IndexLink"/>
              </w:rPr>
              <w:t>342</w:t>
            </w:r>
          </w:hyperlink>
        </w:p>
        <w:p>
          <w:pPr>
            <w:pStyle w:val="Contents3"/>
            <w:tabs>
              <w:tab w:val="clear" w:pos="8459"/>
              <w:tab w:val="right" w:pos="9026" w:leader="dot"/>
            </w:tabs>
            <w:rPr/>
          </w:pPr>
          <w:hyperlink w:anchor="__RefHeading___Toc895059_2320776876">
            <w:r>
              <w:rPr>
                <w:webHidden/>
                <w:rStyle w:val="IndexLink"/>
                <w:rtl w:val="true"/>
              </w:rPr>
              <w:t>الكلام في حصول العلم بالنصّ</w:t>
            </w:r>
            <w:r>
              <w:rPr>
                <w:rStyle w:val="IndexLink"/>
                <w:rtl w:val="true"/>
              </w:rPr>
              <w:tab/>
            </w:r>
            <w:r>
              <w:rPr>
                <w:rStyle w:val="IndexLink"/>
              </w:rPr>
              <w:t>345</w:t>
            </w:r>
          </w:hyperlink>
        </w:p>
        <w:p>
          <w:pPr>
            <w:pStyle w:val="Contents4"/>
            <w:tabs>
              <w:tab w:val="clear" w:pos="8176"/>
              <w:tab w:val="right" w:pos="9026" w:leader="dot"/>
            </w:tabs>
            <w:rPr/>
          </w:pPr>
          <w:hyperlink w:anchor="__RefHeading___Toc895061_2320776876">
            <w:r>
              <w:rPr>
                <w:webHidden/>
                <w:rStyle w:val="IndexLink"/>
                <w:rtl w:val="true"/>
              </w:rPr>
              <w:t>عدم لزوم عموم العلم بالنصّ المتواتر</w:t>
            </w:r>
            <w:r>
              <w:rPr>
                <w:rStyle w:val="IndexLink"/>
                <w:rtl w:val="true"/>
              </w:rPr>
              <w:tab/>
            </w:r>
            <w:r>
              <w:rPr>
                <w:rStyle w:val="IndexLink"/>
              </w:rPr>
              <w:t>345</w:t>
            </w:r>
          </w:hyperlink>
        </w:p>
        <w:p>
          <w:pPr>
            <w:pStyle w:val="Contents4"/>
            <w:tabs>
              <w:tab w:val="clear" w:pos="8176"/>
              <w:tab w:val="right" w:pos="9026" w:leader="dot"/>
            </w:tabs>
            <w:rPr/>
          </w:pPr>
          <w:hyperlink w:anchor="__RefHeading___Toc895063_2320776876">
            <w:r>
              <w:rPr>
                <w:webHidden/>
                <w:rStyle w:val="IndexLink"/>
                <w:rtl w:val="true"/>
              </w:rPr>
              <w:t>عدم لزوم حصول العلم الضروريّ بالنصّ المتواتر لكلّ مَن سمعه</w:t>
            </w:r>
            <w:r>
              <w:rPr>
                <w:rStyle w:val="IndexLink"/>
                <w:rtl w:val="true"/>
              </w:rPr>
              <w:tab/>
            </w:r>
            <w:r>
              <w:rPr>
                <w:rStyle w:val="IndexLink"/>
              </w:rPr>
              <w:t>364</w:t>
            </w:r>
          </w:hyperlink>
        </w:p>
        <w:p>
          <w:pPr>
            <w:pStyle w:val="Contents4"/>
            <w:tabs>
              <w:tab w:val="clear" w:pos="8176"/>
              <w:tab w:val="right" w:pos="9026" w:leader="dot"/>
            </w:tabs>
            <w:rPr/>
          </w:pPr>
          <w:hyperlink w:anchor="__RefHeading___Toc895065_2320776876">
            <w:r>
              <w:rPr>
                <w:webHidden/>
                <w:rStyle w:val="IndexLink"/>
                <w:rtl w:val="true"/>
              </w:rPr>
              <w:t>في بيان حصول العلم الضروريّ بالنصّ الجليّ أو عدم حصوله</w:t>
            </w:r>
            <w:r>
              <w:rPr>
                <w:rStyle w:val="IndexLink"/>
                <w:rtl w:val="true"/>
              </w:rPr>
              <w:tab/>
            </w:r>
            <w:r>
              <w:rPr>
                <w:rStyle w:val="IndexLink"/>
              </w:rPr>
              <w:t>365</w:t>
            </w:r>
          </w:hyperlink>
        </w:p>
        <w:p>
          <w:pPr>
            <w:pStyle w:val="Contents4"/>
            <w:tabs>
              <w:tab w:val="clear" w:pos="8176"/>
              <w:tab w:val="right" w:pos="9026" w:leader="dot"/>
            </w:tabs>
            <w:rPr/>
          </w:pPr>
          <w:hyperlink w:anchor="__RefHeading___Toc895067_2320776876">
            <w:r>
              <w:rPr>
                <w:webHidden/>
                <w:rStyle w:val="IndexLink"/>
                <w:rtl w:val="true"/>
              </w:rPr>
              <w:t>نفي حصول العلم الضروريّ من التواتر دائماً</w:t>
            </w:r>
            <w:r>
              <w:rPr>
                <w:rStyle w:val="IndexLink"/>
                <w:rtl w:val="true"/>
              </w:rPr>
              <w:tab/>
            </w:r>
            <w:r>
              <w:rPr>
                <w:rStyle w:val="IndexLink"/>
              </w:rPr>
              <w:t>372</w:t>
            </w:r>
          </w:hyperlink>
        </w:p>
        <w:p>
          <w:pPr>
            <w:pStyle w:val="Contents4"/>
            <w:tabs>
              <w:tab w:val="clear" w:pos="8176"/>
              <w:tab w:val="right" w:pos="9026" w:leader="dot"/>
            </w:tabs>
            <w:rPr/>
          </w:pPr>
          <w:hyperlink w:anchor="__RefHeading___Toc895069_2320776876">
            <w:r>
              <w:rPr>
                <w:webHidden/>
                <w:rStyle w:val="IndexLink"/>
                <w:rtl w:val="true"/>
              </w:rPr>
              <w:t>عدم معذوريّة المنكرين للنصّ</w:t>
            </w:r>
            <w:r>
              <w:rPr>
                <w:rStyle w:val="IndexLink"/>
                <w:rtl w:val="true"/>
              </w:rPr>
              <w:tab/>
            </w:r>
            <w:r>
              <w:rPr>
                <w:rStyle w:val="IndexLink"/>
              </w:rPr>
              <w:t>372</w:t>
            </w:r>
          </w:hyperlink>
        </w:p>
        <w:p>
          <w:pPr>
            <w:pStyle w:val="Contents4"/>
            <w:tabs>
              <w:tab w:val="clear" w:pos="8176"/>
              <w:tab w:val="right" w:pos="9026" w:leader="dot"/>
            </w:tabs>
            <w:rPr/>
          </w:pPr>
          <w:hyperlink w:anchor="__RefHeading___Toc895071_2320776876">
            <w:r>
              <w:rPr>
                <w:webHidden/>
                <w:rStyle w:val="IndexLink"/>
                <w:rtl w:val="true"/>
              </w:rPr>
              <w:t>اشتراط العلم الضروريّ بعدم السبق إلى الاعتقاد و عدم الشبهة</w:t>
            </w:r>
            <w:r>
              <w:rPr>
                <w:rStyle w:val="IndexLink"/>
                <w:rtl w:val="true"/>
              </w:rPr>
              <w:tab/>
            </w:r>
            <w:r>
              <w:rPr>
                <w:rStyle w:val="IndexLink"/>
              </w:rPr>
              <w:t>375</w:t>
            </w:r>
          </w:hyperlink>
        </w:p>
        <w:p>
          <w:pPr>
            <w:pStyle w:val="Contents4"/>
            <w:tabs>
              <w:tab w:val="clear" w:pos="8176"/>
              <w:tab w:val="right" w:pos="9026" w:leader="dot"/>
            </w:tabs>
            <w:rPr/>
          </w:pPr>
          <w:hyperlink w:anchor="__RefHeading___Toc895073_2320776876">
            <w:r>
              <w:rPr>
                <w:webHidden/>
                <w:rStyle w:val="IndexLink"/>
                <w:rtl w:val="true"/>
              </w:rPr>
              <w:t>جواز اختصاص العلم الضروريّ مع عموم التكليف</w:t>
            </w:r>
            <w:r>
              <w:rPr>
                <w:rStyle w:val="IndexLink"/>
                <w:rtl w:val="true"/>
              </w:rPr>
              <w:tab/>
            </w:r>
            <w:r>
              <w:rPr>
                <w:rStyle w:val="IndexLink"/>
              </w:rPr>
              <w:t>377</w:t>
            </w:r>
          </w:hyperlink>
        </w:p>
        <w:p>
          <w:pPr>
            <w:pStyle w:val="Contents4"/>
            <w:tabs>
              <w:tab w:val="clear" w:pos="8176"/>
              <w:tab w:val="right" w:pos="9026" w:leader="dot"/>
            </w:tabs>
            <w:rPr/>
          </w:pPr>
          <w:hyperlink w:anchor="__RefHeading___Toc895075_2320776876">
            <w:r>
              <w:rPr>
                <w:webHidden/>
                <w:rStyle w:val="IndexLink"/>
                <w:rtl w:val="true"/>
              </w:rPr>
              <w:t>عدم سقوط التكليف و العذر مع ارتفاع العلم الضروريّ بالنصّ</w:t>
            </w:r>
            <w:r>
              <w:rPr>
                <w:rStyle w:val="IndexLink"/>
                <w:rtl w:val="true"/>
              </w:rPr>
              <w:tab/>
            </w:r>
            <w:r>
              <w:rPr>
                <w:rStyle w:val="IndexLink"/>
              </w:rPr>
              <w:t>381</w:t>
            </w:r>
          </w:hyperlink>
        </w:p>
        <w:p>
          <w:pPr>
            <w:pStyle w:val="Contents4"/>
            <w:tabs>
              <w:tab w:val="clear" w:pos="8176"/>
              <w:tab w:val="right" w:pos="9026" w:leader="dot"/>
            </w:tabs>
            <w:rPr/>
          </w:pPr>
          <w:hyperlink w:anchor="__RefHeading___Toc895077_2320776876">
            <w:r>
              <w:rPr>
                <w:webHidden/>
                <w:rStyle w:val="IndexLink"/>
                <w:rtl w:val="true"/>
              </w:rPr>
              <w:t>جواز اختصاص العلم الضروريّ ببعض الأُمّة، و إن كان مصلحة لسائر الأُمّة</w:t>
            </w:r>
            <w:r>
              <w:rPr>
                <w:rStyle w:val="IndexLink"/>
                <w:rtl w:val="true"/>
              </w:rPr>
              <w:tab/>
            </w:r>
            <w:r>
              <w:rPr>
                <w:rStyle w:val="IndexLink"/>
              </w:rPr>
              <w:t>383</w:t>
            </w:r>
          </w:hyperlink>
        </w:p>
        <w:p>
          <w:pPr>
            <w:pStyle w:val="Contents4"/>
            <w:tabs>
              <w:tab w:val="clear" w:pos="8176"/>
              <w:tab w:val="right" w:pos="9026" w:leader="dot"/>
            </w:tabs>
            <w:rPr/>
          </w:pPr>
          <w:hyperlink w:anchor="__RefHeading___Toc895079_2320776876">
            <w:r>
              <w:rPr>
                <w:webHidden/>
                <w:rStyle w:val="IndexLink"/>
                <w:rtl w:val="true"/>
              </w:rPr>
              <w:t>بيان شرط حصول العلم الضروريّ بالنصّ و عدم معذوريّة مخالفه</w:t>
            </w:r>
            <w:r>
              <w:rPr>
                <w:rStyle w:val="IndexLink"/>
                <w:rtl w:val="true"/>
              </w:rPr>
              <w:tab/>
            </w:r>
            <w:r>
              <w:rPr>
                <w:rStyle w:val="IndexLink"/>
              </w:rPr>
              <w:t>385</w:t>
            </w:r>
          </w:hyperlink>
        </w:p>
        <w:p>
          <w:pPr>
            <w:pStyle w:val="Contents3"/>
            <w:tabs>
              <w:tab w:val="clear" w:pos="8459"/>
              <w:tab w:val="right" w:pos="9026" w:leader="dot"/>
            </w:tabs>
            <w:rPr/>
          </w:pPr>
          <w:hyperlink w:anchor="__RefHeading___Toc895081_2320776876">
            <w:r>
              <w:rPr>
                <w:webHidden/>
                <w:rStyle w:val="IndexLink"/>
                <w:rtl w:val="true"/>
              </w:rPr>
              <w:t>الكلام في النَّصِّ علىٰ إمامةِ أبي بَكرٍ</w:t>
            </w:r>
            <w:r>
              <w:rPr>
                <w:rStyle w:val="IndexLink"/>
                <w:rtl w:val="true"/>
              </w:rPr>
              <w:tab/>
            </w:r>
            <w:r>
              <w:rPr>
                <w:rStyle w:val="IndexLink"/>
              </w:rPr>
              <w:t>391</w:t>
            </w:r>
          </w:hyperlink>
        </w:p>
        <w:p>
          <w:pPr>
            <w:pStyle w:val="Contents4"/>
            <w:tabs>
              <w:tab w:val="clear" w:pos="8176"/>
              <w:tab w:val="right" w:pos="9026" w:leader="dot"/>
            </w:tabs>
            <w:rPr/>
          </w:pPr>
          <w:hyperlink w:anchor="__RefHeading___Toc895083_2320776876">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895085_2320776876">
            <w:r>
              <w:rPr>
                <w:webHidden/>
                <w:rStyle w:val="IndexLink"/>
                <w:rtl w:val="true"/>
              </w:rPr>
              <w:t>الوجوهُ الدالّةُ علىٰ فَسادِ النَّصِّ علىٰ أبي بَكرٍ</w:t>
            </w:r>
            <w:r>
              <w:rPr>
                <w:rStyle w:val="IndexLink"/>
                <w:rtl w:val="true"/>
              </w:rPr>
              <w:tab/>
            </w:r>
            <w:r>
              <w:rPr>
                <w:rStyle w:val="IndexLink"/>
              </w:rPr>
              <w:t>392</w:t>
            </w:r>
          </w:hyperlink>
        </w:p>
        <w:p>
          <w:pPr>
            <w:pStyle w:val="Contents5"/>
            <w:tabs>
              <w:tab w:val="clear" w:pos="7892"/>
              <w:tab w:val="right" w:pos="9026" w:leader="dot"/>
            </w:tabs>
            <w:rPr/>
          </w:pPr>
          <w:hyperlink w:anchor="__RefHeading___Toc895087_2320776876">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895089_2320776876">
            <w:r>
              <w:rPr>
                <w:webHidden/>
                <w:rStyle w:val="IndexLink"/>
                <w:rtl w:val="true"/>
              </w:rPr>
              <w:t>الوجه الأوّل</w:t>
            </w:r>
            <w:r>
              <w:rPr>
                <w:rStyle w:val="IndexLink"/>
                <w:rtl w:val="true"/>
              </w:rPr>
              <w:tab/>
            </w:r>
            <w:r>
              <w:rPr>
                <w:rStyle w:val="IndexLink"/>
              </w:rPr>
              <w:t>392</w:t>
            </w:r>
          </w:hyperlink>
        </w:p>
        <w:p>
          <w:pPr>
            <w:pStyle w:val="Contents5"/>
            <w:tabs>
              <w:tab w:val="clear" w:pos="7892"/>
              <w:tab w:val="right" w:pos="9026" w:leader="dot"/>
            </w:tabs>
            <w:rPr/>
          </w:pPr>
          <w:hyperlink w:anchor="__RefHeading___Toc895091_2320776876">
            <w:r>
              <w:rPr>
                <w:webHidden/>
                <w:rStyle w:val="IndexLink"/>
                <w:rtl w:val="true"/>
              </w:rPr>
              <w:t>الوجه الثاني</w:t>
            </w:r>
            <w:r>
              <w:rPr>
                <w:rStyle w:val="IndexLink"/>
                <w:rtl w:val="true"/>
              </w:rPr>
              <w:tab/>
            </w:r>
            <w:r>
              <w:rPr>
                <w:rStyle w:val="IndexLink"/>
              </w:rPr>
              <w:t>395</w:t>
            </w:r>
          </w:hyperlink>
        </w:p>
        <w:p>
          <w:pPr>
            <w:pStyle w:val="Contents5"/>
            <w:tabs>
              <w:tab w:val="clear" w:pos="7892"/>
              <w:tab w:val="right" w:pos="9026" w:leader="dot"/>
            </w:tabs>
            <w:rPr/>
          </w:pPr>
          <w:hyperlink w:anchor="__RefHeading___Toc895093_2320776876">
            <w:r>
              <w:rPr>
                <w:webHidden/>
                <w:rStyle w:val="IndexLink"/>
                <w:rtl w:val="true"/>
              </w:rPr>
              <w:t>الوجه الثالث</w:t>
            </w:r>
            <w:r>
              <w:rPr>
                <w:rStyle w:val="IndexLink"/>
                <w:rtl w:val="true"/>
              </w:rPr>
              <w:tab/>
            </w:r>
            <w:r>
              <w:rPr>
                <w:rStyle w:val="IndexLink"/>
              </w:rPr>
              <w:t>397</w:t>
            </w:r>
          </w:hyperlink>
        </w:p>
        <w:p>
          <w:pPr>
            <w:pStyle w:val="Contents6"/>
            <w:tabs>
              <w:tab w:val="clear" w:pos="7609"/>
              <w:tab w:val="right" w:pos="9026" w:leader="dot"/>
            </w:tabs>
            <w:rPr/>
          </w:pPr>
          <w:hyperlink w:anchor="__RefHeading___Toc895095_2320776876">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895097_2320776876">
            <w:r>
              <w:rPr>
                <w:webHidden/>
                <w:rStyle w:val="IndexLink"/>
                <w:rtl w:val="true"/>
              </w:rPr>
              <w:t>علّة عدم احتجاج أمير المؤمنين عليه السلام بالنصّ</w:t>
            </w:r>
            <w:r>
              <w:rPr>
                <w:rStyle w:val="IndexLink"/>
                <w:rtl w:val="true"/>
              </w:rPr>
              <w:tab/>
            </w:r>
            <w:r>
              <w:rPr>
                <w:rStyle w:val="IndexLink"/>
              </w:rPr>
              <w:t>399</w:t>
            </w:r>
          </w:hyperlink>
        </w:p>
        <w:p>
          <w:pPr>
            <w:pStyle w:val="Contents6"/>
            <w:tabs>
              <w:tab w:val="clear" w:pos="7609"/>
              <w:tab w:val="right" w:pos="9026" w:leader="dot"/>
            </w:tabs>
            <w:rPr/>
          </w:pPr>
          <w:hyperlink w:anchor="__RefHeading___Toc895099_2320776876">
            <w:r>
              <w:rPr>
                <w:webHidden/>
                <w:rStyle w:val="IndexLink"/>
                <w:rtl w:val="true"/>
              </w:rPr>
              <w:t>أقوال للشيخين دالّة على بطلان النصّ علىٰ أبي بكر</w:t>
            </w:r>
            <w:r>
              <w:rPr>
                <w:rStyle w:val="IndexLink"/>
                <w:rtl w:val="true"/>
              </w:rPr>
              <w:tab/>
            </w:r>
            <w:r>
              <w:rPr>
                <w:rStyle w:val="IndexLink"/>
              </w:rPr>
              <w:t>401</w:t>
            </w:r>
          </w:hyperlink>
        </w:p>
        <w:p>
          <w:pPr>
            <w:pStyle w:val="Contents5"/>
            <w:tabs>
              <w:tab w:val="clear" w:pos="7892"/>
              <w:tab w:val="right" w:pos="9026" w:leader="dot"/>
            </w:tabs>
            <w:rPr/>
          </w:pPr>
          <w:hyperlink w:anchor="__RefHeading___Toc895101_2320776876">
            <w:r>
              <w:rPr>
                <w:webHidden/>
                <w:rStyle w:val="IndexLink"/>
                <w:rtl w:val="true"/>
              </w:rPr>
              <w:t>الوجه الرابع</w:t>
            </w:r>
            <w:r>
              <w:rPr>
                <w:rStyle w:val="IndexLink"/>
                <w:rtl w:val="true"/>
              </w:rPr>
              <w:tab/>
            </w:r>
            <w:r>
              <w:rPr>
                <w:rStyle w:val="IndexLink"/>
              </w:rPr>
              <w:t>404</w:t>
            </w:r>
          </w:hyperlink>
        </w:p>
        <w:p>
          <w:pPr>
            <w:pStyle w:val="Contents5"/>
            <w:tabs>
              <w:tab w:val="clear" w:pos="7892"/>
              <w:tab w:val="right" w:pos="9026" w:leader="dot"/>
            </w:tabs>
            <w:rPr/>
          </w:pPr>
          <w:hyperlink w:anchor="__RefHeading___Toc895103_2320776876">
            <w:r>
              <w:rPr>
                <w:webHidden/>
                <w:rStyle w:val="IndexLink"/>
                <w:rtl w:val="true"/>
              </w:rPr>
              <w:t>الوجه الخامس</w:t>
            </w:r>
            <w:r>
              <w:rPr>
                <w:rStyle w:val="IndexLink"/>
                <w:rtl w:val="true"/>
              </w:rPr>
              <w:tab/>
            </w:r>
            <w:r>
              <w:rPr>
                <w:rStyle w:val="IndexLink"/>
              </w:rPr>
              <w:t>408</w:t>
            </w:r>
          </w:hyperlink>
        </w:p>
        <w:p>
          <w:pPr>
            <w:pStyle w:val="Contents4"/>
            <w:tabs>
              <w:tab w:val="clear" w:pos="8176"/>
              <w:tab w:val="right" w:pos="9026" w:leader="dot"/>
            </w:tabs>
            <w:rPr/>
          </w:pPr>
          <w:hyperlink w:anchor="__RefHeading___Toc895105_2320776876">
            <w:r>
              <w:rPr>
                <w:webHidden/>
                <w:rStyle w:val="IndexLink"/>
                <w:rtl w:val="true"/>
              </w:rPr>
              <w:t>عدم مساواة البكريّة للإماميّة من حيث العدد</w:t>
            </w:r>
            <w:r>
              <w:rPr>
                <w:rStyle w:val="IndexLink"/>
                <w:rtl w:val="true"/>
              </w:rPr>
              <w:tab/>
            </w:r>
            <w:r>
              <w:rPr>
                <w:rStyle w:val="IndexLink"/>
              </w:rPr>
              <w:t>409</w:t>
            </w:r>
          </w:hyperlink>
        </w:p>
        <w:p>
          <w:pPr>
            <w:pStyle w:val="Contents4"/>
            <w:tabs>
              <w:tab w:val="clear" w:pos="8176"/>
              <w:tab w:val="right" w:pos="9026" w:leader="dot"/>
            </w:tabs>
            <w:rPr/>
          </w:pPr>
          <w:hyperlink w:anchor="__RefHeading___Toc895107_2320776876">
            <w:r>
              <w:rPr>
                <w:webHidden/>
                <w:rStyle w:val="IndexLink"/>
                <w:rtl w:val="true"/>
              </w:rPr>
              <w:t>إبطال دعوىٰ أنّ النصّ الجليّ ابتدعه أشخاص معروفون</w:t>
            </w:r>
            <w:r>
              <w:rPr>
                <w:rStyle w:val="IndexLink"/>
                <w:rtl w:val="true"/>
              </w:rPr>
              <w:tab/>
            </w:r>
            <w:r>
              <w:rPr>
                <w:rStyle w:val="IndexLink"/>
              </w:rPr>
              <w:t>410</w:t>
            </w:r>
          </w:hyperlink>
        </w:p>
        <w:p>
          <w:pPr>
            <w:pStyle w:val="Contents3"/>
            <w:tabs>
              <w:tab w:val="clear" w:pos="8459"/>
              <w:tab w:val="right" w:pos="9026" w:leader="dot"/>
            </w:tabs>
            <w:rPr/>
          </w:pPr>
          <w:hyperlink w:anchor="__RefHeading___Toc895109_2320776876">
            <w:r>
              <w:rPr>
                <w:webHidden/>
                <w:rStyle w:val="IndexLink"/>
                <w:rtl w:val="true"/>
              </w:rPr>
              <w:t>الكلام في النصّ علىٰ إمامة العبّاس</w:t>
            </w:r>
            <w:r>
              <w:rPr>
                <w:rStyle w:val="IndexLink"/>
                <w:rtl w:val="true"/>
              </w:rPr>
              <w:tab/>
            </w:r>
            <w:r>
              <w:rPr>
                <w:rStyle w:val="IndexLink"/>
              </w:rPr>
              <w:t>413</w:t>
            </w:r>
          </w:hyperlink>
        </w:p>
        <w:p>
          <w:pPr>
            <w:pStyle w:val="Contents4"/>
            <w:tabs>
              <w:tab w:val="clear" w:pos="8176"/>
              <w:tab w:val="right" w:pos="9026" w:leader="dot"/>
            </w:tabs>
            <w:rPr/>
          </w:pPr>
          <w:hyperlink w:anchor="__RefHeading___Toc895111_2320776876">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95113_2320776876">
            <w:r>
              <w:rPr>
                <w:webHidden/>
                <w:rStyle w:val="IndexLink"/>
                <w:rtl w:val="true"/>
              </w:rPr>
              <w:t>الوجوه الدالّة علىٰ فساد النصّ على العبّاس</w:t>
            </w:r>
            <w:r>
              <w:rPr>
                <w:rStyle w:val="IndexLink"/>
                <w:rtl w:val="true"/>
              </w:rPr>
              <w:tab/>
            </w:r>
            <w:r>
              <w:rPr>
                <w:rStyle w:val="IndexLink"/>
              </w:rPr>
              <w:t>413</w:t>
            </w:r>
          </w:hyperlink>
        </w:p>
        <w:p>
          <w:pPr>
            <w:pStyle w:val="Contents5"/>
            <w:tabs>
              <w:tab w:val="clear" w:pos="7892"/>
              <w:tab w:val="right" w:pos="9026" w:leader="dot"/>
            </w:tabs>
            <w:rPr/>
          </w:pPr>
          <w:hyperlink w:anchor="__RefHeading___Toc895115_2320776876">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895117_2320776876">
            <w:r>
              <w:rPr>
                <w:webHidden/>
                <w:rStyle w:val="IndexLink"/>
                <w:rtl w:val="true"/>
              </w:rPr>
              <w:t>الوجه الأوّل</w:t>
            </w:r>
            <w:r>
              <w:rPr>
                <w:rStyle w:val="IndexLink"/>
                <w:rtl w:val="true"/>
              </w:rPr>
              <w:tab/>
            </w:r>
            <w:r>
              <w:rPr>
                <w:rStyle w:val="IndexLink"/>
              </w:rPr>
              <w:t>414</w:t>
            </w:r>
          </w:hyperlink>
        </w:p>
        <w:p>
          <w:pPr>
            <w:pStyle w:val="Contents5"/>
            <w:tabs>
              <w:tab w:val="clear" w:pos="7892"/>
              <w:tab w:val="right" w:pos="9026" w:leader="dot"/>
            </w:tabs>
            <w:rPr/>
          </w:pPr>
          <w:hyperlink w:anchor="__RefHeading___Toc895119_2320776876">
            <w:r>
              <w:rPr>
                <w:webHidden/>
                <w:rStyle w:val="IndexLink"/>
                <w:rtl w:val="true"/>
              </w:rPr>
              <w:t>الوجه الثاني</w:t>
            </w:r>
            <w:r>
              <w:rPr>
                <w:rStyle w:val="IndexLink"/>
                <w:rtl w:val="true"/>
              </w:rPr>
              <w:tab/>
            </w:r>
            <w:r>
              <w:rPr>
                <w:rStyle w:val="IndexLink"/>
              </w:rPr>
              <w:t>415</w:t>
            </w:r>
          </w:hyperlink>
        </w:p>
        <w:p>
          <w:pPr>
            <w:pStyle w:val="Contents5"/>
            <w:tabs>
              <w:tab w:val="clear" w:pos="7892"/>
              <w:tab w:val="right" w:pos="9026" w:leader="dot"/>
            </w:tabs>
            <w:rPr/>
          </w:pPr>
          <w:hyperlink w:anchor="__RefHeading___Toc895121_2320776876">
            <w:r>
              <w:rPr>
                <w:webHidden/>
                <w:rStyle w:val="IndexLink"/>
                <w:rtl w:val="true"/>
              </w:rPr>
              <w:t>الوجه الثالث</w:t>
            </w:r>
            <w:r>
              <w:rPr>
                <w:rStyle w:val="IndexLink"/>
                <w:rtl w:val="true"/>
              </w:rPr>
              <w:tab/>
            </w:r>
            <w:r>
              <w:rPr>
                <w:rStyle w:val="IndexLink"/>
              </w:rPr>
              <w:t>418</w:t>
            </w:r>
          </w:hyperlink>
        </w:p>
        <w:p>
          <w:pPr>
            <w:pStyle w:val="Contents5"/>
            <w:tabs>
              <w:tab w:val="clear" w:pos="7892"/>
              <w:tab w:val="right" w:pos="9026" w:leader="dot"/>
            </w:tabs>
            <w:rPr/>
          </w:pPr>
          <w:hyperlink w:anchor="__RefHeading___Toc895123_2320776876">
            <w:r>
              <w:rPr>
                <w:webHidden/>
                <w:rStyle w:val="IndexLink"/>
                <w:rtl w:val="true"/>
              </w:rPr>
              <w:t>الوجه الرابع</w:t>
            </w:r>
            <w:r>
              <w:rPr>
                <w:rStyle w:val="IndexLink"/>
                <w:rtl w:val="true"/>
              </w:rPr>
              <w:tab/>
            </w:r>
            <w:r>
              <w:rPr>
                <w:rStyle w:val="IndexLink"/>
              </w:rPr>
              <w:t>418</w:t>
            </w:r>
          </w:hyperlink>
        </w:p>
        <w:p>
          <w:pPr>
            <w:pStyle w:val="Contents5"/>
            <w:tabs>
              <w:tab w:val="clear" w:pos="7892"/>
              <w:tab w:val="right" w:pos="9026" w:leader="dot"/>
            </w:tabs>
            <w:rPr/>
          </w:pPr>
          <w:hyperlink w:anchor="__RefHeading___Toc895125_2320776876">
            <w:r>
              <w:rPr>
                <w:webHidden/>
                <w:rStyle w:val="IndexLink"/>
                <w:rtl w:val="true"/>
              </w:rPr>
              <w:t>الوجه الخامس</w:t>
            </w:r>
            <w:r>
              <w:rPr>
                <w:rStyle w:val="IndexLink"/>
                <w:rtl w:val="true"/>
              </w:rPr>
              <w:tab/>
            </w:r>
            <w:r>
              <w:rPr>
                <w:rStyle w:val="IndexLink"/>
              </w:rPr>
              <w:t>419</w:t>
            </w:r>
          </w:hyperlink>
        </w:p>
        <w:p>
          <w:pPr>
            <w:pStyle w:val="Contents3"/>
            <w:tabs>
              <w:tab w:val="clear" w:pos="8459"/>
              <w:tab w:val="right" w:pos="9026" w:leader="dot"/>
            </w:tabs>
            <w:rPr/>
          </w:pPr>
          <w:hyperlink w:anchor="__RefHeading___Toc895127_2320776876">
            <w:r>
              <w:rPr>
                <w:webHidden/>
                <w:rStyle w:val="IndexLink"/>
                <w:rtl w:val="true"/>
              </w:rPr>
              <w:t>الكلام في موقف الصحابة من النصّ</w:t>
            </w:r>
            <w:r>
              <w:rPr>
                <w:rStyle w:val="IndexLink"/>
                <w:rtl w:val="true"/>
              </w:rPr>
              <w:tab/>
            </w:r>
            <w:r>
              <w:rPr>
                <w:rStyle w:val="IndexLink"/>
              </w:rPr>
              <w:t>421</w:t>
            </w:r>
          </w:hyperlink>
        </w:p>
        <w:p>
          <w:pPr>
            <w:pStyle w:val="Contents4"/>
            <w:tabs>
              <w:tab w:val="clear" w:pos="8176"/>
              <w:tab w:val="right" w:pos="9026" w:leader="dot"/>
            </w:tabs>
            <w:rPr/>
          </w:pPr>
          <w:hyperlink w:anchor="__RefHeading___Toc895129_2320776876">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895131_2320776876">
            <w:r>
              <w:rPr>
                <w:webHidden/>
                <w:rStyle w:val="IndexLink"/>
                <w:rtl w:val="true"/>
              </w:rPr>
              <w:t>بيان سبب إنكار بعض الصحابةِ النصَّ علىٰ أمير المؤمنين عليه السلام</w:t>
            </w:r>
            <w:r>
              <w:rPr>
                <w:rStyle w:val="IndexLink"/>
                <w:rtl w:val="true"/>
              </w:rPr>
              <w:tab/>
            </w:r>
            <w:r>
              <w:rPr>
                <w:rStyle w:val="IndexLink"/>
              </w:rPr>
              <w:t>423</w:t>
            </w:r>
          </w:hyperlink>
        </w:p>
        <w:p>
          <w:pPr>
            <w:pStyle w:val="Contents5"/>
            <w:tabs>
              <w:tab w:val="clear" w:pos="7892"/>
              <w:tab w:val="right" w:pos="9026" w:leader="dot"/>
            </w:tabs>
            <w:rPr/>
          </w:pPr>
          <w:hyperlink w:anchor="__RefHeading___Toc895133_2320776876">
            <w:r>
              <w:rPr>
                <w:webHidden/>
                <w:rStyle w:val="IndexLink"/>
                <w:rtl w:val="true"/>
              </w:rPr>
              <w:t>الوجه الأوّل</w:t>
            </w:r>
            <w:r>
              <w:rPr>
                <w:rStyle w:val="IndexLink"/>
                <w:rtl w:val="true"/>
              </w:rPr>
              <w:tab/>
            </w:r>
            <w:r>
              <w:rPr>
                <w:rStyle w:val="IndexLink"/>
              </w:rPr>
              <w:t>423</w:t>
            </w:r>
          </w:hyperlink>
        </w:p>
        <w:p>
          <w:pPr>
            <w:pStyle w:val="Contents5"/>
            <w:tabs>
              <w:tab w:val="clear" w:pos="7892"/>
              <w:tab w:val="right" w:pos="9026" w:leader="dot"/>
            </w:tabs>
            <w:rPr/>
          </w:pPr>
          <w:hyperlink w:anchor="__RefHeading___Toc895135_2320776876">
            <w:r>
              <w:rPr>
                <w:webHidden/>
                <w:rStyle w:val="IndexLink"/>
                <w:rtl w:val="true"/>
              </w:rPr>
              <w:t>الوجه الثاني</w:t>
            </w:r>
            <w:r>
              <w:rPr>
                <w:rStyle w:val="IndexLink"/>
                <w:rtl w:val="true"/>
              </w:rPr>
              <w:tab/>
            </w:r>
            <w:r>
              <w:rPr>
                <w:rStyle w:val="IndexLink"/>
              </w:rPr>
              <w:t>426</w:t>
            </w:r>
          </w:hyperlink>
        </w:p>
        <w:p>
          <w:pPr>
            <w:pStyle w:val="Contents4"/>
            <w:tabs>
              <w:tab w:val="clear" w:pos="8176"/>
              <w:tab w:val="right" w:pos="9026" w:leader="dot"/>
            </w:tabs>
            <w:rPr/>
          </w:pPr>
          <w:hyperlink w:anchor="__RefHeading___Toc895137_2320776876">
            <w:r>
              <w:rPr>
                <w:webHidden/>
                <w:rStyle w:val="IndexLink"/>
                <w:rtl w:val="true"/>
              </w:rPr>
              <w:t>تجويز التسوية بين النصّ الجليّ و نصّ الغدير في كثرة السامعين</w:t>
            </w:r>
            <w:r>
              <w:rPr>
                <w:rStyle w:val="IndexLink"/>
                <w:rtl w:val="true"/>
              </w:rPr>
              <w:tab/>
            </w:r>
            <w:r>
              <w:rPr>
                <w:rStyle w:val="IndexLink"/>
              </w:rPr>
              <w:t>427</w:t>
            </w:r>
          </w:hyperlink>
        </w:p>
        <w:p>
          <w:pPr>
            <w:pStyle w:val="Contents4"/>
            <w:tabs>
              <w:tab w:val="clear" w:pos="8176"/>
              <w:tab w:val="right" w:pos="9026" w:leader="dot"/>
            </w:tabs>
            <w:rPr/>
          </w:pPr>
          <w:hyperlink w:anchor="__RefHeading___Toc895139_2320776876">
            <w:r>
              <w:rPr>
                <w:webHidden/>
                <w:rStyle w:val="IndexLink"/>
                <w:rtl w:val="true"/>
              </w:rPr>
              <w:t>جواز العدول عن نقل النصِّ الجليِّ للشبهة</w:t>
            </w:r>
            <w:r>
              <w:rPr>
                <w:rStyle w:val="IndexLink"/>
                <w:rtl w:val="true"/>
              </w:rPr>
              <w:tab/>
            </w:r>
            <w:r>
              <w:rPr>
                <w:rStyle w:val="IndexLink"/>
              </w:rPr>
              <w:t>429</w:t>
            </w:r>
          </w:hyperlink>
        </w:p>
        <w:p>
          <w:pPr>
            <w:pStyle w:val="Contents4"/>
            <w:tabs>
              <w:tab w:val="clear" w:pos="8176"/>
              <w:tab w:val="right" w:pos="9026" w:leader="dot"/>
            </w:tabs>
            <w:rPr/>
          </w:pPr>
          <w:hyperlink w:anchor="__RefHeading___Toc895141_2320776876">
            <w:r>
              <w:rPr>
                <w:webHidden/>
                <w:rStyle w:val="IndexLink"/>
                <w:rtl w:val="true"/>
              </w:rPr>
              <w:t>بيان الوجه في عدم نقل أهل الملل النصَّ الجليَّ</w:t>
            </w:r>
            <w:r>
              <w:rPr>
                <w:rStyle w:val="IndexLink"/>
                <w:rtl w:val="true"/>
              </w:rPr>
              <w:tab/>
            </w:r>
            <w:r>
              <w:rPr>
                <w:rStyle w:val="IndexLink"/>
              </w:rPr>
              <w:t>431</w:t>
            </w:r>
          </w:hyperlink>
        </w:p>
        <w:p>
          <w:pPr>
            <w:pStyle w:val="Contents4"/>
            <w:tabs>
              <w:tab w:val="clear" w:pos="8176"/>
              <w:tab w:val="right" w:pos="9026" w:leader="dot"/>
            </w:tabs>
            <w:rPr/>
          </w:pPr>
          <w:hyperlink w:anchor="__RefHeading___Toc895143_2320776876">
            <w:r>
              <w:rPr>
                <w:webHidden/>
                <w:rStyle w:val="IndexLink"/>
                <w:rtl w:val="true"/>
              </w:rPr>
              <w:t>جواز اجتماع العلم بالنصِّ ، و المنازعة في الإمامة</w:t>
            </w:r>
            <w:r>
              <w:rPr>
                <w:rStyle w:val="IndexLink"/>
                <w:rtl w:val="true"/>
              </w:rPr>
              <w:tab/>
            </w:r>
            <w:r>
              <w:rPr>
                <w:rStyle w:val="IndexLink"/>
              </w:rPr>
              <w:t>434</w:t>
            </w:r>
          </w:hyperlink>
        </w:p>
        <w:p>
          <w:pPr>
            <w:pStyle w:val="Contents4"/>
            <w:tabs>
              <w:tab w:val="clear" w:pos="8176"/>
              <w:tab w:val="right" w:pos="9026" w:leader="dot"/>
            </w:tabs>
            <w:rPr/>
          </w:pPr>
          <w:hyperlink w:anchor="__RefHeading___Toc895145_2320776876">
            <w:r>
              <w:rPr>
                <w:webHidden/>
                <w:rStyle w:val="IndexLink"/>
                <w:rtl w:val="true"/>
              </w:rPr>
              <w:t>نماذج من مخالفة سلوك بعض الصحابة للنصوص الدالّة علىٰ فضل أمير المؤمنين عليه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895147_2320776876">
            <w:r>
              <w:rPr>
                <w:webHidden/>
                <w:rStyle w:val="IndexLink"/>
                <w:rtl w:val="true"/>
              </w:rPr>
              <w:t>نفي دخول الشبهة على الصحابة المخالفين لأمير المؤمنين عليه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895149_2320776876">
            <w:r>
              <w:rPr>
                <w:webHidden/>
                <w:rStyle w:val="IndexLink"/>
                <w:rtl w:val="true"/>
              </w:rPr>
              <w:t>عدم جواز القطع علىٰ بواطن الصحابة</w:t>
            </w:r>
            <w:r>
              <w:rPr>
                <w:rStyle w:val="IndexLink"/>
                <w:rtl w:val="true"/>
              </w:rPr>
              <w:tab/>
            </w:r>
            <w:r>
              <w:rPr>
                <w:rStyle w:val="IndexLink"/>
              </w:rPr>
              <w:t>445</w:t>
            </w:r>
          </w:hyperlink>
        </w:p>
        <w:p>
          <w:pPr>
            <w:pStyle w:val="Contents4"/>
            <w:tabs>
              <w:tab w:val="clear" w:pos="8176"/>
              <w:tab w:val="right" w:pos="9026" w:leader="dot"/>
            </w:tabs>
            <w:rPr/>
          </w:pPr>
          <w:hyperlink w:anchor="__RefHeading___Toc895151_2320776876">
            <w:r>
              <w:rPr>
                <w:webHidden/>
                <w:rStyle w:val="IndexLink"/>
                <w:rtl w:val="true"/>
              </w:rPr>
              <w:t>عدم دلالة التعظيم و الإكرام على السلامة في جميع الأحوال</w:t>
            </w:r>
            <w:r>
              <w:rPr>
                <w:rStyle w:val="IndexLink"/>
                <w:rtl w:val="true"/>
              </w:rPr>
              <w:tab/>
            </w:r>
            <w:r>
              <w:rPr>
                <w:rStyle w:val="IndexLink"/>
              </w:rPr>
              <w:t>448</w:t>
            </w:r>
          </w:hyperlink>
        </w:p>
        <w:p>
          <w:pPr>
            <w:pStyle w:val="Contents3"/>
            <w:tabs>
              <w:tab w:val="clear" w:pos="8459"/>
              <w:tab w:val="right" w:pos="9026" w:leader="dot"/>
            </w:tabs>
            <w:rPr/>
          </w:pPr>
          <w:hyperlink w:anchor="__RefHeading___Toc895153_2320776876">
            <w:r>
              <w:rPr>
                <w:webHidden/>
                <w:rStyle w:val="IndexLink"/>
                <w:rtl w:val="true"/>
              </w:rPr>
              <w:t>الكلام في كتمان النصّ ، و مناقشة ما نقله القاضي عن أبي هاشم الجبّائيّ حول ذلك</w:t>
            </w:r>
            <w:r>
              <w:rPr>
                <w:rStyle w:val="IndexLink"/>
                <w:rtl w:val="true"/>
              </w:rPr>
              <w:tab/>
            </w:r>
            <w:r>
              <w:rPr>
                <w:rStyle w:val="IndexLink"/>
              </w:rPr>
              <w:t>451</w:t>
            </w:r>
          </w:hyperlink>
        </w:p>
        <w:p>
          <w:pPr>
            <w:pStyle w:val="Contents4"/>
            <w:tabs>
              <w:tab w:val="clear" w:pos="8176"/>
              <w:tab w:val="right" w:pos="9026" w:leader="dot"/>
            </w:tabs>
            <w:rPr/>
          </w:pPr>
          <w:hyperlink w:anchor="__RefHeading___Toc895155_2320776876">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895157_2320776876">
            <w:r>
              <w:rPr>
                <w:webHidden/>
                <w:rStyle w:val="IndexLink"/>
                <w:rtl w:val="true"/>
              </w:rPr>
              <w:t>جواز انقطاع نقل النصّ من قِبَل بعض الأُمّة</w:t>
            </w:r>
            <w:r>
              <w:rPr>
                <w:rStyle w:val="IndexLink"/>
                <w:rtl w:val="true"/>
              </w:rPr>
              <w:tab/>
            </w:r>
            <w:r>
              <w:rPr>
                <w:rStyle w:val="IndexLink"/>
              </w:rPr>
              <w:t>452</w:t>
            </w:r>
          </w:hyperlink>
        </w:p>
        <w:p>
          <w:pPr>
            <w:pStyle w:val="Contents4"/>
            <w:tabs>
              <w:tab w:val="clear" w:pos="8176"/>
              <w:tab w:val="right" w:pos="9026" w:leader="dot"/>
            </w:tabs>
            <w:rPr/>
          </w:pPr>
          <w:hyperlink w:anchor="__RefHeading___Toc895159_2320776876">
            <w:r>
              <w:rPr>
                <w:webHidden/>
                <w:rStyle w:val="IndexLink"/>
                <w:rtl w:val="true"/>
              </w:rPr>
              <w:t>نفي حصول الاضطرار من النصِّ الجليّ</w:t>
            </w:r>
            <w:r>
              <w:rPr>
                <w:rStyle w:val="IndexLink"/>
                <w:rtl w:val="true"/>
              </w:rPr>
              <w:tab/>
            </w:r>
            <w:r>
              <w:rPr>
                <w:rStyle w:val="IndexLink"/>
              </w:rPr>
              <w:t>455</w:t>
            </w:r>
          </w:hyperlink>
        </w:p>
        <w:p>
          <w:pPr>
            <w:pStyle w:val="Contents4"/>
            <w:tabs>
              <w:tab w:val="clear" w:pos="8176"/>
              <w:tab w:val="right" w:pos="9026" w:leader="dot"/>
            </w:tabs>
            <w:rPr/>
          </w:pPr>
          <w:hyperlink w:anchor="__RefHeading___Toc895161_2320776876">
            <w:r>
              <w:rPr>
                <w:webHidden/>
                <w:rStyle w:val="IndexLink"/>
                <w:rtl w:val="true"/>
              </w:rPr>
              <w:t>بيان الفرق بين دعوى الشيعة و البكريّة للنصِّ</w:t>
            </w:r>
            <w:r>
              <w:rPr>
                <w:rStyle w:val="IndexLink"/>
                <w:rtl w:val="true"/>
              </w:rPr>
              <w:tab/>
            </w:r>
            <w:r>
              <w:rPr>
                <w:rStyle w:val="IndexLink"/>
              </w:rPr>
              <w:t>456</w:t>
            </w:r>
          </w:hyperlink>
        </w:p>
        <w:p>
          <w:pPr>
            <w:pStyle w:val="Contents4"/>
            <w:tabs>
              <w:tab w:val="clear" w:pos="8176"/>
              <w:tab w:val="right" w:pos="9026" w:leader="dot"/>
            </w:tabs>
            <w:rPr/>
          </w:pPr>
          <w:hyperlink w:anchor="__RefHeading___Toc895163_2320776876">
            <w:r>
              <w:rPr>
                <w:webHidden/>
                <w:rStyle w:val="IndexLink"/>
                <w:rtl w:val="true"/>
              </w:rPr>
              <w:t>بيان الاحتمال الصحيح من بين الاحتمالات الموجودة في نقل النصّ</w:t>
            </w:r>
            <w:r>
              <w:rPr>
                <w:rStyle w:val="IndexLink"/>
                <w:rtl w:val="true"/>
              </w:rPr>
              <w:tab/>
            </w:r>
            <w:r>
              <w:rPr>
                <w:rStyle w:val="IndexLink"/>
              </w:rPr>
              <w:t>460</w:t>
            </w:r>
          </w:hyperlink>
        </w:p>
        <w:p>
          <w:pPr>
            <w:pStyle w:val="Contents4"/>
            <w:tabs>
              <w:tab w:val="clear" w:pos="8176"/>
              <w:tab w:val="right" w:pos="9026" w:leader="dot"/>
            </w:tabs>
            <w:rPr/>
          </w:pPr>
          <w:hyperlink w:anchor="__RefHeading___Toc895165_2320776876">
            <w:r>
              <w:rPr>
                <w:webHidden/>
                <w:rStyle w:val="IndexLink"/>
                <w:rtl w:val="true"/>
              </w:rPr>
              <w:t xml:space="preserve">عدم ورود ما ذكره أبو هاشم </w:t>
            </w:r>
            <w:r>
              <w:rPr>
                <w:rStyle w:val="IndexLink"/>
                <w:rtl w:val="true"/>
              </w:rPr>
              <w:t xml:space="preserve">- </w:t>
            </w:r>
            <w:r>
              <w:rPr>
                <w:rStyle w:val="IndexLink"/>
                <w:rtl w:val="true"/>
              </w:rPr>
              <w:t xml:space="preserve">حول كتمان النصّ </w:t>
            </w:r>
            <w:r>
              <w:rPr>
                <w:rStyle w:val="IndexLink"/>
                <w:rtl w:val="true"/>
              </w:rPr>
              <w:t xml:space="preserve">- </w:t>
            </w:r>
            <w:r>
              <w:rPr>
                <w:rStyle w:val="IndexLink"/>
                <w:rtl w:val="true"/>
              </w:rPr>
              <w:t>علىٰ مختار المصنّف</w:t>
            </w:r>
            <w:r>
              <w:rPr>
                <w:rStyle w:val="IndexLink"/>
                <w:rtl w:val="true"/>
              </w:rPr>
              <w:tab/>
            </w:r>
            <w:r>
              <w:rPr>
                <w:rStyle w:val="IndexLink"/>
              </w:rPr>
              <w:t>461</w:t>
            </w:r>
          </w:hyperlink>
        </w:p>
        <w:p>
          <w:pPr>
            <w:pStyle w:val="Contents4"/>
            <w:tabs>
              <w:tab w:val="clear" w:pos="8176"/>
              <w:tab w:val="right" w:pos="9026" w:leader="dot"/>
            </w:tabs>
            <w:rPr/>
          </w:pPr>
          <w:hyperlink w:anchor="__RefHeading___Toc895167_2320776876">
            <w:r>
              <w:rPr>
                <w:webHidden/>
                <w:rStyle w:val="IndexLink"/>
                <w:rtl w:val="true"/>
              </w:rPr>
              <w:t>عدم دلالة البيعة علىٰ بطلان النصّ</w:t>
            </w:r>
            <w:r>
              <w:rPr>
                <w:rStyle w:val="IndexLink"/>
                <w:rtl w:val="true"/>
              </w:rPr>
              <w:tab/>
            </w:r>
            <w:r>
              <w:rPr>
                <w:rStyle w:val="IndexLink"/>
              </w:rPr>
              <w:t>464</w:t>
            </w:r>
          </w:hyperlink>
        </w:p>
        <w:p>
          <w:pPr>
            <w:pStyle w:val="Contents4"/>
            <w:tabs>
              <w:tab w:val="clear" w:pos="8176"/>
              <w:tab w:val="right" w:pos="9026" w:leader="dot"/>
            </w:tabs>
            <w:rPr/>
          </w:pPr>
          <w:hyperlink w:anchor="__RefHeading___Toc895169_2320776876">
            <w:r>
              <w:rPr>
                <w:webHidden/>
                <w:rStyle w:val="IndexLink"/>
                <w:rtl w:val="true"/>
              </w:rPr>
              <w:t>بيان الوجه في عدم الاحتجاج بالنصِّ</w:t>
            </w:r>
            <w:r>
              <w:rPr>
                <w:rStyle w:val="IndexLink"/>
                <w:rtl w:val="true"/>
              </w:rPr>
              <w:tab/>
            </w:r>
            <w:r>
              <w:rPr>
                <w:rStyle w:val="IndexLink"/>
              </w:rPr>
              <w:t>467</w:t>
            </w:r>
          </w:hyperlink>
        </w:p>
        <w:p>
          <w:pPr>
            <w:pStyle w:val="Contents4"/>
            <w:tabs>
              <w:tab w:val="clear" w:pos="8176"/>
              <w:tab w:val="right" w:pos="9026" w:leader="dot"/>
            </w:tabs>
            <w:rPr/>
          </w:pPr>
          <w:hyperlink w:anchor="__RefHeading___Toc895171_2320776876">
            <w:r>
              <w:rPr>
                <w:webHidden/>
                <w:rStyle w:val="IndexLink"/>
                <w:rtl w:val="true"/>
              </w:rPr>
              <w:t>جواب ما ذكره أبو هاشم من شواهد لأجل إبطال النصّ</w:t>
            </w:r>
            <w:r>
              <w:rPr>
                <w:rStyle w:val="IndexLink"/>
                <w:rtl w:val="true"/>
              </w:rPr>
              <w:tab/>
            </w:r>
            <w:r>
              <w:rPr>
                <w:rStyle w:val="IndexLink"/>
              </w:rPr>
              <w:t>470</w:t>
            </w:r>
          </w:hyperlink>
        </w:p>
        <w:p>
          <w:pPr>
            <w:pStyle w:val="Contents4"/>
            <w:tabs>
              <w:tab w:val="clear" w:pos="8176"/>
              <w:tab w:val="right" w:pos="9026" w:leader="dot"/>
            </w:tabs>
            <w:rPr/>
          </w:pPr>
          <w:hyperlink w:anchor="__RefHeading___Toc895173_2320776876">
            <w:r>
              <w:rPr>
                <w:webHidden/>
                <w:rStyle w:val="IndexLink"/>
                <w:rtl w:val="true"/>
              </w:rPr>
              <w:t>بيان وجوه دخول أمير المؤمنين عليه السلام في الشُّورىٰ</w:t>
            </w:r>
            <w:r>
              <w:rPr>
                <w:rStyle w:val="IndexLink"/>
                <w:rtl w:val="true"/>
              </w:rPr>
              <w:tab/>
            </w:r>
            <w:r>
              <w:rPr>
                <w:rStyle w:val="IndexLink"/>
              </w:rPr>
              <w:t>474</w:t>
            </w:r>
          </w:hyperlink>
        </w:p>
        <w:p>
          <w:pPr>
            <w:pStyle w:val="Contents4"/>
            <w:tabs>
              <w:tab w:val="clear" w:pos="8176"/>
              <w:tab w:val="right" w:pos="9026" w:leader="dot"/>
            </w:tabs>
            <w:rPr/>
          </w:pPr>
          <w:hyperlink w:anchor="__RefHeading___Toc895175_2320776876">
            <w:r>
              <w:rPr>
                <w:webHidden/>
                <w:rStyle w:val="IndexLink"/>
                <w:rtl w:val="true"/>
              </w:rPr>
              <w:t>في بيان عدم دلالة صلاة أبي بكر علىٰ إمامته</w:t>
            </w:r>
            <w:r>
              <w:rPr>
                <w:rStyle w:val="IndexLink"/>
                <w:rtl w:val="true"/>
              </w:rPr>
              <w:tab/>
            </w:r>
            <w:r>
              <w:rPr>
                <w:rStyle w:val="IndexLink"/>
              </w:rPr>
              <w:t>481</w:t>
            </w:r>
          </w:hyperlink>
        </w:p>
        <w:p>
          <w:pPr>
            <w:pStyle w:val="Contents4"/>
            <w:tabs>
              <w:tab w:val="clear" w:pos="8176"/>
              <w:tab w:val="right" w:pos="9026" w:leader="dot"/>
            </w:tabs>
            <w:rPr/>
          </w:pPr>
          <w:hyperlink w:anchor="__RefHeading___Toc895177_2320776876">
            <w:r>
              <w:rPr>
                <w:webHidden/>
                <w:rStyle w:val="IndexLink"/>
                <w:rtl w:val="true"/>
              </w:rPr>
              <w:t>ما يستحيل كتمانُه على الجماعة الكثيرة و ما لا يستحيل</w:t>
            </w:r>
            <w:r>
              <w:rPr>
                <w:rStyle w:val="IndexLink"/>
                <w:rtl w:val="true"/>
              </w:rPr>
              <w:tab/>
            </w:r>
            <w:r>
              <w:rPr>
                <w:rStyle w:val="IndexLink"/>
              </w:rPr>
              <w:t>488</w:t>
            </w:r>
          </w:hyperlink>
        </w:p>
        <w:p>
          <w:pPr>
            <w:pStyle w:val="Contents4"/>
            <w:tabs>
              <w:tab w:val="clear" w:pos="8176"/>
              <w:tab w:val="right" w:pos="9026" w:leader="dot"/>
            </w:tabs>
            <w:rPr/>
          </w:pPr>
          <w:hyperlink w:anchor="__RefHeading___Toc895179_2320776876">
            <w:r>
              <w:rPr>
                <w:webHidden/>
                <w:rStyle w:val="IndexLink"/>
                <w:rtl w:val="true"/>
              </w:rPr>
              <w:t>تناقض كلام القاضي مع ما نقله عن أبي هاشم حول كتمان النصّ</w:t>
            </w:r>
            <w:r>
              <w:rPr>
                <w:rStyle w:val="IndexLink"/>
                <w:rtl w:val="true"/>
              </w:rPr>
              <w:tab/>
            </w:r>
            <w:r>
              <w:rPr>
                <w:rStyle w:val="IndexLink"/>
              </w:rPr>
              <w:t>494</w:t>
            </w:r>
          </w:hyperlink>
        </w:p>
        <w:p>
          <w:pPr>
            <w:pStyle w:val="Contents4"/>
            <w:tabs>
              <w:tab w:val="clear" w:pos="8176"/>
              <w:tab w:val="right" w:pos="9026" w:leader="dot"/>
            </w:tabs>
            <w:rPr/>
          </w:pPr>
          <w:hyperlink w:anchor="__RefHeading___Toc895181_2320776876">
            <w:r>
              <w:rPr>
                <w:webHidden/>
                <w:rStyle w:val="IndexLink"/>
                <w:rtl w:val="true"/>
              </w:rPr>
              <w:t>ما يجب ظهورُه مِن أسباب الكتمان و ما لا يجب</w:t>
            </w:r>
            <w:r>
              <w:rPr>
                <w:rStyle w:val="IndexLink"/>
                <w:rtl w:val="true"/>
              </w:rPr>
              <w:tab/>
            </w:r>
            <w:r>
              <w:rPr>
                <w:rStyle w:val="IndexLink"/>
              </w:rPr>
              <w:t>495</w:t>
            </w:r>
          </w:hyperlink>
        </w:p>
        <w:p>
          <w:pPr>
            <w:pStyle w:val="Contents4"/>
            <w:tabs>
              <w:tab w:val="clear" w:pos="8176"/>
              <w:tab w:val="right" w:pos="9026" w:leader="dot"/>
            </w:tabs>
            <w:rPr/>
          </w:pPr>
          <w:hyperlink w:anchor="__RefHeading___Toc895183_2320776876">
            <w:r>
              <w:rPr>
                <w:webHidden/>
                <w:rStyle w:val="IndexLink"/>
                <w:rtl w:val="true"/>
              </w:rPr>
              <w:t>الفرق بين أسباب الكتمان و أسباب الافتعال من حيث الظهور و الخفاء</w:t>
            </w:r>
            <w:r>
              <w:rPr>
                <w:rStyle w:val="IndexLink"/>
                <w:rtl w:val="true"/>
              </w:rPr>
              <w:tab/>
            </w:r>
            <w:r>
              <w:rPr>
                <w:rStyle w:val="IndexLink"/>
              </w:rPr>
              <w:t>497</w:t>
            </w:r>
          </w:hyperlink>
        </w:p>
        <w:p>
          <w:pPr>
            <w:pStyle w:val="Contents4"/>
            <w:tabs>
              <w:tab w:val="clear" w:pos="8176"/>
              <w:tab w:val="right" w:pos="9026" w:leader="dot"/>
            </w:tabs>
            <w:rPr/>
          </w:pPr>
          <w:hyperlink w:anchor="__RefHeading___Toc895185_2320776876">
            <w:r>
              <w:rPr>
                <w:webHidden/>
                <w:rStyle w:val="IndexLink"/>
                <w:rtl w:val="true"/>
              </w:rPr>
              <w:t>بيان الفرق بين كتمان الفرائض و الشرائع و كتمان النصّ</w:t>
            </w:r>
            <w:r>
              <w:rPr>
                <w:rStyle w:val="IndexLink"/>
                <w:rtl w:val="true"/>
              </w:rPr>
              <w:tab/>
            </w:r>
            <w:r>
              <w:rPr>
                <w:rStyle w:val="IndexLink"/>
              </w:rPr>
              <w:t>506</w:t>
            </w:r>
          </w:hyperlink>
        </w:p>
        <w:p>
          <w:pPr>
            <w:pStyle w:val="Contents4"/>
            <w:tabs>
              <w:tab w:val="clear" w:pos="8176"/>
              <w:tab w:val="right" w:pos="9026" w:leader="dot"/>
            </w:tabs>
            <w:rPr/>
          </w:pPr>
          <w:hyperlink w:anchor="__RefHeading___Toc895187_2320776876">
            <w:r>
              <w:rPr>
                <w:webHidden/>
                <w:rStyle w:val="IndexLink"/>
                <w:rtl w:val="true"/>
              </w:rPr>
              <w:t>جواب ما أورده أبو هاشم الجبّائيّ من إشكالات على النصّ</w:t>
            </w:r>
            <w:r>
              <w:rPr>
                <w:rStyle w:val="IndexLink"/>
                <w:rtl w:val="true"/>
              </w:rPr>
              <w:tab/>
            </w:r>
            <w:r>
              <w:rPr>
                <w:rStyle w:val="IndexLink"/>
              </w:rPr>
              <w:t>510</w:t>
            </w:r>
          </w:hyperlink>
        </w:p>
        <w:p>
          <w:pPr>
            <w:pStyle w:val="Contents4"/>
            <w:tabs>
              <w:tab w:val="clear" w:pos="8176"/>
              <w:tab w:val="right" w:pos="9026" w:leader="dot"/>
            </w:tabs>
            <w:rPr/>
          </w:pPr>
          <w:hyperlink w:anchor="__RefHeading___Toc895189_2320776876">
            <w:r>
              <w:rPr>
                <w:webHidden/>
                <w:rStyle w:val="IndexLink"/>
                <w:rtl w:val="true"/>
              </w:rPr>
              <w:t xml:space="preserve">بيان أنّ معنىٰ </w:t>
            </w:r>
            <w:r>
              <w:rPr>
                <w:rStyle w:val="IndexLink"/>
                <w:rtl w:val="true"/>
              </w:rPr>
              <w:t>«</w:t>
            </w:r>
            <w:r>
              <w:rPr>
                <w:rStyle w:val="IndexLink"/>
                <w:rtl w:val="true"/>
              </w:rPr>
              <w:t xml:space="preserve">ضَعف أخبار النصّ </w:t>
            </w:r>
            <w:r>
              <w:rPr>
                <w:rStyle w:val="IndexLink"/>
                <w:rtl w:val="true"/>
              </w:rPr>
              <w:t xml:space="preserve">» </w:t>
            </w:r>
            <w:r>
              <w:rPr>
                <w:rStyle w:val="IndexLink"/>
                <w:rtl w:val="true"/>
              </w:rPr>
              <w:t>قلّة ناقليها لا عدم حجّيّتها</w:t>
            </w:r>
            <w:r>
              <w:rPr>
                <w:rStyle w:val="IndexLink"/>
                <w:rtl w:val="true"/>
              </w:rPr>
              <w:tab/>
            </w:r>
            <w:r>
              <w:rPr>
                <w:rStyle w:val="IndexLink"/>
              </w:rPr>
              <w:t>512</w:t>
            </w:r>
          </w:hyperlink>
        </w:p>
        <w:p>
          <w:pPr>
            <w:pStyle w:val="Contents4"/>
            <w:tabs>
              <w:tab w:val="clear" w:pos="8176"/>
              <w:tab w:val="right" w:pos="9026" w:leader="dot"/>
            </w:tabs>
            <w:rPr/>
          </w:pPr>
          <w:hyperlink w:anchor="__RefHeading___Toc895191_2320776876">
            <w:r>
              <w:rPr>
                <w:webHidden/>
                <w:rStyle w:val="IndexLink"/>
                <w:rtl w:val="true"/>
              </w:rPr>
              <w:t>بيان أنّ ضعف نقل النصّ لا يمنع من حصول العلم به</w:t>
            </w:r>
            <w:r>
              <w:rPr>
                <w:rStyle w:val="IndexLink"/>
                <w:rtl w:val="true"/>
              </w:rPr>
              <w:tab/>
            </w:r>
            <w:r>
              <w:rPr>
                <w:rStyle w:val="IndexLink"/>
              </w:rPr>
              <w:t>513</w:t>
            </w:r>
          </w:hyperlink>
        </w:p>
        <w:p>
          <w:pPr>
            <w:pStyle w:val="Contents4"/>
            <w:tabs>
              <w:tab w:val="clear" w:pos="8176"/>
              <w:tab w:val="right" w:pos="9026" w:leader="dot"/>
            </w:tabs>
            <w:rPr/>
          </w:pPr>
          <w:hyperlink w:anchor="__RefHeading___Toc895193_2320776876">
            <w:r>
              <w:rPr>
                <w:webHidden/>
                <w:rStyle w:val="IndexLink"/>
                <w:rtl w:val="true"/>
              </w:rPr>
              <w:t>عدم سقوط تكليف المخالف بسبب عدم علمه بالنصّ</w:t>
            </w:r>
            <w:r>
              <w:rPr>
                <w:rStyle w:val="IndexLink"/>
                <w:rtl w:val="true"/>
              </w:rPr>
              <w:tab/>
            </w:r>
            <w:r>
              <w:rPr>
                <w:rStyle w:val="IndexLink"/>
              </w:rPr>
              <w:t>514</w:t>
            </w:r>
          </w:hyperlink>
        </w:p>
        <w:p>
          <w:pPr>
            <w:pStyle w:val="Contents4"/>
            <w:tabs>
              <w:tab w:val="clear" w:pos="8176"/>
              <w:tab w:val="right" w:pos="9026" w:leader="dot"/>
            </w:tabs>
            <w:rPr/>
          </w:pPr>
          <w:hyperlink w:anchor="__RefHeading___Toc895195_2320776876">
            <w:r>
              <w:rPr>
                <w:webHidden/>
                <w:rStyle w:val="IndexLink"/>
                <w:rtl w:val="true"/>
              </w:rPr>
              <w:t>بيان الفرق بين نقل رضا الناس بإمامة أمير المؤمنين عليه السلام بعد خلافته و بين نقل النصّ عليه</w:t>
            </w:r>
            <w:r>
              <w:rPr>
                <w:rStyle w:val="IndexLink"/>
                <w:rtl w:val="true"/>
              </w:rPr>
              <w:tab/>
            </w:r>
            <w:r>
              <w:rPr>
                <w:rStyle w:val="IndexLink"/>
              </w:rPr>
              <w:t>514</w:t>
            </w:r>
          </w:hyperlink>
        </w:p>
        <w:p>
          <w:pPr>
            <w:pStyle w:val="Contents4"/>
            <w:tabs>
              <w:tab w:val="clear" w:pos="8176"/>
              <w:tab w:val="right" w:pos="9026" w:leader="dot"/>
            </w:tabs>
            <w:rPr/>
          </w:pPr>
          <w:hyperlink w:anchor="__RefHeading___Toc895197_2320776876">
            <w:r>
              <w:rPr>
                <w:webHidden/>
                <w:rStyle w:val="IndexLink"/>
                <w:rtl w:val="true"/>
              </w:rPr>
              <w:t>النصّ الجليّ في شعر السيّد الحميريّ</w:t>
            </w:r>
            <w:r>
              <w:rPr>
                <w:rStyle w:val="IndexLink"/>
                <w:rtl w:val="true"/>
              </w:rPr>
              <w:tab/>
            </w:r>
            <w:r>
              <w:rPr>
                <w:rStyle w:val="IndexLink"/>
              </w:rPr>
              <w:t>516</w:t>
            </w:r>
          </w:hyperlink>
        </w:p>
        <w:p>
          <w:pPr>
            <w:pStyle w:val="Contents4"/>
            <w:tabs>
              <w:tab w:val="clear" w:pos="8176"/>
              <w:tab w:val="right" w:pos="9026" w:leader="dot"/>
            </w:tabs>
            <w:rPr/>
          </w:pPr>
          <w:hyperlink w:anchor="__RefHeading___Toc895199_2320776876">
            <w:r>
              <w:rPr>
                <w:webHidden/>
                <w:rStyle w:val="IndexLink"/>
                <w:rtl w:val="true"/>
              </w:rPr>
              <w:t>الفرق بين نقل الفضائل و نقل النصّ من حيث الكتمان و الإظهار</w:t>
            </w:r>
            <w:r>
              <w:rPr>
                <w:rStyle w:val="IndexLink"/>
                <w:rtl w:val="true"/>
              </w:rPr>
              <w:tab/>
            </w:r>
            <w:r>
              <w:rPr>
                <w:rStyle w:val="IndexLink"/>
              </w:rPr>
              <w:t>518</w:t>
            </w:r>
          </w:hyperlink>
        </w:p>
        <w:p>
          <w:pPr>
            <w:pStyle w:val="Contents4"/>
            <w:tabs>
              <w:tab w:val="clear" w:pos="8176"/>
              <w:tab w:val="right" w:pos="9026" w:leader="dot"/>
            </w:tabs>
            <w:rPr/>
          </w:pPr>
          <w:hyperlink w:anchor="__RefHeading___Toc895201_2320776876">
            <w:r>
              <w:rPr>
                <w:webHidden/>
                <w:rStyle w:val="IndexLink"/>
                <w:rtl w:val="true"/>
              </w:rPr>
              <w:t>الفرق بين نقل حديث باب خيبر و نقل النصّ</w:t>
            </w:r>
            <w:r>
              <w:rPr>
                <w:rStyle w:val="IndexLink"/>
                <w:rtl w:val="true"/>
              </w:rPr>
              <w:tab/>
            </w:r>
            <w:r>
              <w:rPr>
                <w:rStyle w:val="IndexLink"/>
              </w:rPr>
              <w:t>518</w:t>
            </w:r>
          </w:hyperlink>
        </w:p>
        <w:p>
          <w:pPr>
            <w:pStyle w:val="Contents2"/>
            <w:tabs>
              <w:tab w:val="clear" w:pos="8743"/>
              <w:tab w:val="right" w:pos="9026" w:leader="dot"/>
            </w:tabs>
            <w:rPr/>
          </w:pPr>
          <w:hyperlink w:anchor="__RefHeading___Toc895203_2320776876">
            <w:r>
              <w:rPr>
                <w:webHidden/>
                <w:rStyle w:val="IndexLink"/>
                <w:rtl w:val="true"/>
              </w:rPr>
              <w:t>فهرس المطالب</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15_284724"/>
      <w:bookmarkStart w:id="1" w:name="pg20015_284724"/>
      <w:bookmarkEnd w:id="1"/>
    </w:p>
    <w:p>
      <w:pPr>
        <w:pStyle w:val="Heading2"/>
        <w:numPr>
          <w:ilvl w:val="1"/>
          <w:numId w:val="1"/>
        </w:numPr>
        <w:rPr/>
      </w:pPr>
      <w:bookmarkStart w:id="2" w:name="pg20015_284724"/>
      <w:bookmarkStart w:id="3" w:name="__RefHeading___Toc89471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المرتضی علی‌بن الحسین الموسوی، علم‌الهدی؛ تحقیق محمدحسین الدرایتی؛ تهیه‌کننده 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5946228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721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الشافی فی‌الامامه</w:t>
      </w:r>
    </w:p>
    <w:p>
      <w:pPr>
        <w:pStyle w:val="BookText"/>
        <w:rPr/>
      </w:pPr>
      <w:r>
        <w:rPr>
          <w:rFonts w:ascii="IRNazanin" w:hAnsi="IRNazanin" w:eastAsia="IRNazanin"/>
          <w:color w:val="111111"/>
          <w:sz w:val="28"/>
          <w:sz w:val="28"/>
          <w:szCs w:val="28"/>
          <w:rtl w:val="true"/>
          <w:lang w:bidi="fa-IR"/>
        </w:rPr>
        <w:t>للشریف المرتضی علی‌بن الحسین الموسوی، علم‌الهدی</w:t>
      </w:r>
    </w:p>
    <w:p>
      <w:pPr>
        <w:pStyle w:val="BookText"/>
        <w:rPr/>
      </w:pPr>
      <w:r>
        <w:rPr>
          <w:rFonts w:ascii="IRNazanin" w:hAnsi="IRNazanin" w:eastAsia="IRNazanin"/>
          <w:color w:val="111111"/>
          <w:sz w:val="28"/>
          <w:sz w:val="28"/>
          <w:szCs w:val="28"/>
          <w:rtl w:val="true"/>
          <w:lang w:bidi="fa-IR"/>
        </w:rPr>
        <w:t>تحقیق محمدحسین الدرایتی</w:t>
      </w:r>
    </w:p>
    <w:p>
      <w:pPr>
        <w:pStyle w:val="BookText"/>
        <w:rPr/>
      </w:pPr>
      <w:r>
        <w:rPr>
          <w:rFonts w:ascii="IRNazanin" w:hAnsi="IRNazanin" w:eastAsia="IRNazanin"/>
          <w:color w:val="111111"/>
          <w:sz w:val="28"/>
          <w:sz w:val="28"/>
          <w:szCs w:val="28"/>
          <w:rtl w:val="true"/>
          <w:lang w:bidi="fa-IR"/>
        </w:rPr>
        <w:t>تهیه‌کننده مرکز همایش‌های علمی و پژوهش‌های آزاد دارالحدیث</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bookmarkStart w:id="7" w:name="pg20015_284728"/>
    </w:p>
    <w:p>
      <w:pPr>
        <w:pStyle w:val="Heading2"/>
        <w:numPr>
          <w:ilvl w:val="1"/>
          <w:numId w:val="1"/>
        </w:numPr>
        <w:rPr/>
      </w:pPr>
      <w:bookmarkStart w:id="8" w:name="__RefHeading___Toc894723_2320776876"/>
      <w:bookmarkStart w:id="9" w:name="_Toc3"/>
      <w:bookmarkEnd w:id="7"/>
      <w:bookmarkEnd w:id="8"/>
      <w:r>
        <w:rPr>
          <w:rtl w:val="true"/>
        </w:rPr>
        <w:t>الفهرس الإجمالي</w:t>
      </w:r>
      <w:bookmarkEnd w:id="9"/>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الكلام على اعتراضه علىٰ ما حكاه من أدلّتنا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الكلامُ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مناقشة الحجج التي أقامها صاحب الكتاب لإثبات 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 سَبِيلَ مَنْ أَنٰابَ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يسكن بحبوحة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الحجّة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الحجّة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حال الأُمّة علىٰ عدم اتّفاقهم علىٰ خطإٍ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الحافظ للشرع هو الإمام لا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عند نفي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الإمامِ لبَيانِ دَلالةِ الكتابِ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عصمة الإمام للزوم الاقتداء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 يولّي و لا يولّىٰ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الإمامة مستحَقّة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ما اعتمده في دفع وجوب النصّ من جهة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إبطال ما طعن به علىٰ ما حكاه من طرقنا في وجوب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حجّةً و قائماً بمصالح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علىٰ صفةٍ لا طريق للاجتهاد فيها كالعصمة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من أركان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إبطال ما دفع به ثبوت النصّ و ورود السمع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الكلام في النصّ و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الكلام في النصّ الجليّ ، و الطريق إلى إثبات تواتره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الكلام في حصول العلم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الكلام في النَّصِّ علىٰ إمامةِ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الكلام في النصّ علىٰ إمامة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الكلام في موقف الصحابة من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كتمان النصّ ، و مناقشة ما نقله القاضي عن أبي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10" w:name="pg20015_284730"/>
    </w:p>
    <w:p>
      <w:pPr>
        <w:pStyle w:val="Heading2"/>
        <w:numPr>
          <w:ilvl w:val="1"/>
          <w:numId w:val="1"/>
        </w:numPr>
        <w:rPr/>
      </w:pPr>
      <w:bookmarkStart w:id="11" w:name="__RefHeading___Toc894725_2320776876"/>
      <w:bookmarkStart w:id="12" w:name="_Toc4"/>
      <w:bookmarkEnd w:id="10"/>
      <w:bookmarkEnd w:id="11"/>
      <w:r>
        <w:rPr>
          <w:rtl w:val="true"/>
        </w:rPr>
        <w:t xml:space="preserve">تتمّة </w:t>
      </w:r>
      <w:r>
        <w:rPr/>
        <w:t>3</w:t>
      </w:r>
      <w:r>
        <w:rPr>
          <w:rtl w:val="true"/>
        </w:rPr>
        <w:t xml:space="preserve">. </w:t>
      </w:r>
      <w:r>
        <w:rPr>
          <w:rtl w:val="true"/>
        </w:rPr>
        <w:t>فَصل في الكلامِ علَى اعتِراضِه علىٰ ما حَكاه مِن أدلّتِنا في وجوبِ الإمامةِ و العصمةِ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94727_2320776876"/>
      <w:bookmarkStart w:id="14" w:name="_Toc5"/>
      <w:bookmarkEnd w:id="13"/>
      <w:r>
        <w:rPr>
          <w:rtl w:val="true"/>
        </w:rPr>
        <w:t>اشارة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015_284732"/>
      <w:bookmarkStart w:id="16" w:name="pg20015_284732"/>
      <w:bookmarkEnd w:id="16"/>
    </w:p>
    <w:p>
      <w:pPr>
        <w:pStyle w:val="Heading3"/>
        <w:numPr>
          <w:ilvl w:val="2"/>
          <w:numId w:val="1"/>
        </w:numPr>
        <w:rPr/>
      </w:pPr>
      <w:bookmarkStart w:id="17" w:name="pg20015_284732"/>
      <w:bookmarkStart w:id="18" w:name="__RefHeading___Toc894729_2320776876"/>
      <w:bookmarkStart w:id="19" w:name="_Toc6"/>
      <w:bookmarkEnd w:id="17"/>
      <w:bookmarkEnd w:id="18"/>
      <w:r>
        <w:rPr>
          <w:rtl w:val="true"/>
        </w:rPr>
        <w:t>الكلامُ في الإجماعِ</w:t>
      </w:r>
      <w:bookmarkEnd w:id="19"/>
    </w:p>
    <w:p>
      <w:pPr>
        <w:pStyle w:val="Heading4"/>
        <w:numPr>
          <w:ilvl w:val="3"/>
          <w:numId w:val="1"/>
        </w:numPr>
        <w:rPr/>
      </w:pPr>
      <w:bookmarkStart w:id="20" w:name="__RefHeading___Toc894731_2320776876"/>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الكلامُ في الإجماعِ </w:t>
      </w:r>
      <w:r>
        <w:rPr>
          <w:rStyle w:val="FootnoteAnchor"/>
          <w:rtl w:val="true"/>
        </w:rPr>
        <w:footnoteReference w:id="2"/>
      </w:r>
    </w:p>
    <w:p>
      <w:pPr>
        <w:pStyle w:val="Heading4"/>
        <w:numPr>
          <w:ilvl w:val="3"/>
          <w:numId w:val="1"/>
        </w:numPr>
        <w:rPr/>
      </w:pPr>
      <w:bookmarkStart w:id="22" w:name="__RefHeading___Toc894733_2320776876"/>
      <w:bookmarkStart w:id="23" w:name="_Toc8"/>
      <w:bookmarkEnd w:id="22"/>
      <w:r>
        <w:rPr>
          <w:rtl w:val="true"/>
        </w:rPr>
        <w:t>مناقشة حجج صاحب الكتاب في حجّية الإجماع</w:t>
      </w:r>
      <w:bookmarkEnd w:id="23"/>
    </w:p>
    <w:p>
      <w:pPr>
        <w:pStyle w:val="Heading5"/>
        <w:numPr>
          <w:ilvl w:val="4"/>
          <w:numId w:val="1"/>
        </w:numPr>
        <w:rPr/>
      </w:pPr>
      <w:bookmarkStart w:id="24" w:name="__RefHeading___Toc894735_2320776876"/>
      <w:bookmarkStart w:id="25" w:name="_Toc9"/>
      <w:bookmarkEnd w:id="24"/>
      <w:r>
        <w:rPr>
          <w:rtl w:val="true"/>
        </w:rPr>
        <w:t xml:space="preserve">الحجّة الأُولىٰ  قوله تعالىٰ </w:t>
      </w:r>
      <w:r>
        <w:rPr>
          <w:rtl w:val="true"/>
        </w:rPr>
        <w:t>: (</w:t>
      </w:r>
      <w:r>
        <w:rPr>
          <w:rtl w:val="true"/>
        </w:rPr>
        <w:t xml:space="preserve">وَ مَنْ يُشٰاقِقِ الرَّسُولَ </w:t>
      </w:r>
      <w:r>
        <w:rPr>
          <w:rtl w:val="true"/>
        </w:rPr>
        <w:t>...)</w:t>
      </w:r>
      <w:bookmarkEnd w:id="25"/>
    </w:p>
    <w:p>
      <w:pPr>
        <w:pStyle w:val="Heading6"/>
        <w:numPr>
          <w:ilvl w:val="5"/>
          <w:numId w:val="1"/>
        </w:numPr>
        <w:rPr/>
      </w:pPr>
      <w:bookmarkStart w:id="26" w:name="__RefHeading___Toc894737_2320776876"/>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الحجّة الأُولىٰ </w:t>
      </w:r>
      <w:r>
        <w:rPr>
          <w:rStyle w:val="FootnoteAnchor"/>
          <w:rtl w:val="true"/>
        </w:rPr>
        <w:footnoteReference w:id="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ما اعتَمَده في الدَّلالةِ علىٰ أنّ الأُمّةَ لا تَجتَمِعُ علىٰ خطإٍ و أكَّدَ عندَه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w:t>
      </w:r>
      <w:r>
        <w:rPr>
          <w:rStyle w:val="FootnoteAnchor"/>
          <w:rtl w:val="true"/>
        </w:rPr>
        <w:footnoteReference w:id="4"/>
      </w:r>
      <w:r>
        <w:rPr>
          <w:rFonts w:ascii="Amiri" w:hAnsi="Amiri" w:eastAsia="Amiri" w:cs="Amiri"/>
          <w:color w:val="111111"/>
          <w:sz w:val="28"/>
          <w:sz w:val="28"/>
          <w:szCs w:val="28"/>
          <w:rtl w:val="true"/>
          <w:lang w:bidi="ar-SA"/>
        </w:rPr>
        <w:t>جَهَنَّمَ وَ سٰاءَتْ مَصِيراً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أنّه لمّا تَوعَّدَ تَعالىٰ‌</w:t>
      </w:r>
      <w:r>
        <w:rPr>
          <w:rStyle w:val="FootnoteAnchor"/>
          <w:rtl w:val="true"/>
        </w:rPr>
        <w:footnoteReference w:id="6"/>
      </w:r>
      <w:r>
        <w:rPr>
          <w:rFonts w:ascii="Amiri" w:hAnsi="Amiri" w:eastAsia="Amiri" w:cs="Amiri"/>
          <w:color w:val="111111"/>
          <w:sz w:val="28"/>
          <w:sz w:val="28"/>
          <w:szCs w:val="28"/>
          <w:rtl w:val="true"/>
          <w:lang w:bidi="ar-SA"/>
        </w:rPr>
        <w:t xml:space="preserve">علَى العُدولِ عن اتّباعِ سَبيلِ المؤمنينَ كما تَوعَّدَ علىٰ مُشاقّةِ الرسولِ بَعدَ البيانِ ، وَجَبَ </w:t>
      </w:r>
      <w:r>
        <w:rPr>
          <w:rStyle w:val="FootnoteAnchor"/>
          <w:rtl w:val="true"/>
        </w:rPr>
        <w:footnoteReference w:id="7"/>
      </w:r>
      <w:r>
        <w:rPr>
          <w:rFonts w:ascii="Amiri" w:hAnsi="Amiri" w:eastAsia="Amiri" w:cs="Amiri"/>
          <w:color w:val="111111"/>
          <w:sz w:val="28"/>
          <w:sz w:val="28"/>
          <w:szCs w:val="28"/>
          <w:rtl w:val="true"/>
          <w:lang w:bidi="ar-SA"/>
        </w:rPr>
        <w:t xml:space="preserve">أن يَدُلَّ علىٰ أنّ اتّباعَ سَبيلِهم صوابٌ </w:t>
      </w:r>
      <w:r>
        <w:rPr>
          <w:rStyle w:val="FootnoteAnchor"/>
          <w:rtl w:val="true"/>
        </w:rPr>
        <w:footnoteReference w:id="8"/>
      </w:r>
      <w:r>
        <w:rPr>
          <w:rFonts w:ascii="Amiri" w:hAnsi="Amiri" w:eastAsia="Amiri" w:cs="Amiri"/>
          <w:color w:val="111111"/>
          <w:sz w:val="28"/>
          <w:sz w:val="28"/>
          <w:szCs w:val="28"/>
          <w:rtl w:val="true"/>
          <w:lang w:bidi="ar-SA"/>
        </w:rPr>
        <w:t xml:space="preserve">، و لا يَكونُ سَبيلُهم بهذه </w:t>
      </w:r>
    </w:p>
    <w:p>
      <w:pPr>
        <w:pStyle w:val="BookText"/>
        <w:rPr/>
      </w:pPr>
      <w:r>
        <w:rPr>
          <w:rFonts w:ascii="Amiri" w:hAnsi="Amiri" w:eastAsia="Amiri" w:cs="Amiri"/>
          <w:color w:val="111111"/>
          <w:sz w:val="28"/>
          <w:sz w:val="28"/>
          <w:szCs w:val="28"/>
          <w:rtl w:val="true"/>
          <w:lang w:bidi="ar-SA"/>
        </w:rPr>
        <w:t xml:space="preserve">الصفةِ إلّاو هُم حُجّةٌ فيما يَتَّفِقونَ </w:t>
      </w:r>
      <w:r>
        <w:rPr>
          <w:rStyle w:val="FootnoteAnchor"/>
          <w:rtl w:val="true"/>
        </w:rPr>
        <w:footnoteReference w:id="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هذه الآيةُ لا يُمكِنُ التعلُّقُ بها؛ مِن وجوهٍ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عُمومُه لكُلِّ مؤمنٍ‌، بل الحقيقةُ‌</w:t>
      </w:r>
      <w:r>
        <w:rPr>
          <w:rStyle w:val="FootnoteAnchor"/>
          <w:rtl w:val="true"/>
        </w:rPr>
        <w:footnoteReference w:id="11"/>
      </w:r>
      <w:r>
        <w:rPr>
          <w:rFonts w:ascii="Amiri" w:hAnsi="Amiri" w:eastAsia="Amiri" w:cs="Amiri"/>
          <w:color w:val="111111"/>
          <w:sz w:val="28"/>
          <w:sz w:val="28"/>
          <w:szCs w:val="28"/>
          <w:rtl w:val="true"/>
          <w:lang w:bidi="ar-SA"/>
        </w:rPr>
        <w:t>فيه تَناوُلُه لثلاثةٍ فصاعدًا، فتَناوُلُه لثلاثةٍ مقطوعٌ عليه، و ما عدا الثلاثةِ مُجوَّزٌ</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مَواضِعَ أنّ هذا اللفظَ لَيسَ‌</w:t>
      </w:r>
      <w:r>
        <w:rPr>
          <w:rStyle w:val="FootnoteAnchor"/>
          <w:rtl w:val="true"/>
        </w:rPr>
        <w:footnoteReference w:id="13"/>
      </w:r>
      <w:r>
        <w:rPr>
          <w:rFonts w:ascii="Amiri" w:hAnsi="Amiri" w:eastAsia="Amiri" w:cs="Amiri"/>
          <w:color w:val="111111"/>
          <w:sz w:val="28"/>
          <w:sz w:val="28"/>
          <w:szCs w:val="28"/>
          <w:rtl w:val="true"/>
          <w:lang w:bidi="ar-SA"/>
        </w:rPr>
        <w:t xml:space="preserve">مِن ألفاظِ العُمومِ المُستَغرِقةِ للجنسِ‌، بل لا لفظَ في اللُّغةِ يَستَغرِقُ الجنسَ </w:t>
      </w:r>
      <w:r>
        <w:rPr>
          <w:rStyle w:val="FootnoteAnchor"/>
          <w:rtl w:val="true"/>
        </w:rPr>
        <w:footnoteReference w:id="14"/>
      </w:r>
      <w:r>
        <w:rPr>
          <w:rFonts w:ascii="Amiri" w:hAnsi="Amiri" w:eastAsia="Amiri" w:cs="Amiri"/>
          <w:color w:val="111111"/>
          <w:sz w:val="28"/>
          <w:sz w:val="28"/>
          <w:szCs w:val="28"/>
          <w:rtl w:val="true"/>
          <w:lang w:bidi="ar-SA"/>
        </w:rPr>
        <w:t>بصيغتِه و وضعِه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يُعقَلْ مِن ظاهرِ 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لجميعِهم، لَم يَسُغِ التعلُّقُ بها في الإجماعِ علَى الوجهِ الذي يَدَّعيه الخُصومُ‌، و جَرَتِ الآيةُ مَجرَى المُجمَلِ الذي يَحتاجُ في تفسيرِه و تفصيلِه إلىٰ بيانٍ‌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يَسُغْ للقَومِ حَملُها علَى الكُلِّ لَم يَسُغْ أيضاً لهم</w:t>
      </w:r>
      <w:r>
        <w:rPr>
          <w:rStyle w:val="FootnoteAnchor"/>
          <w:rtl w:val="true"/>
        </w:rPr>
        <w:footnoteReference w:id="17"/>
      </w:r>
      <w:r>
        <w:rPr>
          <w:rFonts w:ascii="Amiri" w:hAnsi="Amiri" w:eastAsia="Amiri" w:cs="Amiri"/>
          <w:color w:val="111111"/>
          <w:sz w:val="28"/>
          <w:sz w:val="28"/>
          <w:szCs w:val="28"/>
          <w:rtl w:val="true"/>
          <w:lang w:bidi="ar-SA"/>
        </w:rPr>
        <w:t>حَملُها علَى البعضِ‌</w:t>
      </w:r>
      <w:r>
        <w:rPr>
          <w:rStyle w:val="FootnoteAnchor"/>
          <w:rtl w:val="true"/>
        </w:rPr>
        <w:footnoteReference w:id="18"/>
      </w:r>
      <w:r>
        <w:rPr>
          <w:rFonts w:ascii="Amiri" w:hAnsi="Amiri" w:eastAsia="Amiri" w:cs="Amiri"/>
          <w:color w:val="111111"/>
          <w:sz w:val="28"/>
          <w:sz w:val="28"/>
          <w:szCs w:val="28"/>
          <w:rtl w:val="true"/>
          <w:lang w:bidi="ar-SA"/>
        </w:rPr>
        <w:t xml:space="preserve">لأنّه لا شيءَ يَقتَضي حَملَها علىٰ بعضٍ مُعيَّنٍ </w:t>
      </w:r>
      <w:r>
        <w:rPr>
          <w:rStyle w:val="FootnoteAnchor"/>
          <w:rtl w:val="true"/>
        </w:rPr>
        <w:footnoteReference w:id="19"/>
      </w:r>
      <w:r>
        <w:rPr>
          <w:rFonts w:ascii="Amiri" w:hAnsi="Amiri" w:eastAsia="Amiri" w:cs="Amiri"/>
          <w:color w:val="111111"/>
          <w:sz w:val="28"/>
          <w:sz w:val="28"/>
          <w:szCs w:val="28"/>
          <w:rtl w:val="true"/>
          <w:lang w:bidi="ar-SA"/>
        </w:rPr>
        <w:t xml:space="preserve">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ساغَ ذلكَ لَكُنّا نَحنُ أحَقَّ به</w:t>
      </w:r>
      <w:r>
        <w:rPr>
          <w:rStyle w:val="FootnoteAnchor"/>
          <w:rtl w:val="true"/>
        </w:rPr>
        <w:footnoteReference w:id="20"/>
      </w:r>
      <w:r>
        <w:rPr>
          <w:rFonts w:ascii="Amiri" w:hAnsi="Amiri" w:eastAsia="Amiri" w:cs="Amiri"/>
          <w:color w:val="111111"/>
          <w:sz w:val="28"/>
          <w:sz w:val="28"/>
          <w:szCs w:val="28"/>
          <w:rtl w:val="true"/>
          <w:lang w:bidi="ar-SA"/>
        </w:rPr>
        <w:t>إذا حَمَلناها علَى الأئمّةِ مِن آلِ محمّدٍ صَلَواتُ اللّٰهِ عَلَيهم</w:t>
      </w:r>
      <w:r>
        <w:rPr>
          <w:rStyle w:val="FootnoteAnchor"/>
          <w:rtl w:val="true"/>
        </w:rPr>
        <w:footnoteReference w:id="21"/>
      </w:r>
      <w:r>
        <w:rPr>
          <w:rFonts w:ascii="Amiri" w:hAnsi="Amiri" w:eastAsia="Amiri" w:cs="Amiri"/>
          <w:color w:val="111111"/>
          <w:sz w:val="28"/>
          <w:sz w:val="28"/>
          <w:szCs w:val="28"/>
          <w:rtl w:val="true"/>
          <w:lang w:bidi="ar-SA"/>
        </w:rPr>
        <w:t xml:space="preserve">مِن حَيثُ ثَبَتَت عصمتُهم و طهارتُهم، و أمِنّا وقوعَ شيءٍ مِن الخطأ مِنهم، و كانوا مِن هذا الوجهِ أحَقَّ بأن يَتناوَلَهم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22"/>
      </w:r>
      <w:r>
        <w:rPr>
          <w:rFonts w:ascii="Amiri" w:hAnsi="Amiri" w:eastAsia="Amiri" w:cs="Amiri"/>
          <w:color w:val="111111"/>
          <w:sz w:val="28"/>
          <w:sz w:val="28"/>
          <w:szCs w:val="28"/>
          <w:rtl w:val="true"/>
          <w:lang w:bidi="ar-SA"/>
        </w:rPr>
        <w:t xml:space="preserve">الوحدةَ‌، و لا يَجِبُ حَملُها علىٰ كُلِّ سَبيلٍ </w:t>
      </w:r>
      <w:r>
        <w:rPr>
          <w:rStyle w:val="FootnoteAnchor"/>
          <w:rtl w:val="true"/>
        </w:rPr>
        <w:footnoteReference w:id="23"/>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إذا استعمل في غيره كان مجازاً، بل كلّ ما يُدّعىٰ من ذلك مشترك بين الخصوص و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يُمكِنُ الاستدلالُ بالآيةِ علىٰ أنّ كُلَّ سَبيلٍ للمؤمنينَ صَوابٌ يَجِبُ اتّباعُه ؟</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نَحمِلُ هذه اللفظةَ علَى الجميعِ مِن حَيثُ </w:t>
      </w:r>
      <w:r>
        <w:rPr>
          <w:rStyle w:val="FootnoteAnchor"/>
          <w:rtl w:val="true"/>
        </w:rPr>
        <w:footnoteReference w:id="24"/>
      </w:r>
      <w:r>
        <w:rPr>
          <w:rFonts w:ascii="Amiri" w:hAnsi="Amiri" w:eastAsia="Amiri" w:cs="Amiri"/>
          <w:color w:val="111111"/>
          <w:sz w:val="28"/>
          <w:sz w:val="28"/>
          <w:szCs w:val="28"/>
          <w:rtl w:val="true"/>
          <w:lang w:bidi="ar-SA"/>
        </w:rPr>
        <w:t xml:space="preserve">لَم تَختَصَّ سَبيلاً دونَ سَبيلٍ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تَحكُّمٌ‌؛ لأنّه كما لَم تَتناوَلِ اللفظةُ‌</w:t>
      </w:r>
      <w:r>
        <w:rPr>
          <w:rStyle w:val="FootnoteAnchor"/>
          <w:rtl w:val="true"/>
        </w:rPr>
        <w:footnoteReference w:id="26"/>
      </w:r>
      <w:r>
        <w:rPr>
          <w:rFonts w:ascii="Amiri" w:hAnsi="Amiri" w:eastAsia="Amiri" w:cs="Amiri"/>
          <w:color w:val="111111"/>
          <w:sz w:val="28"/>
          <w:sz w:val="28"/>
          <w:szCs w:val="28"/>
          <w:rtl w:val="true"/>
          <w:lang w:bidi="ar-SA"/>
        </w:rPr>
        <w:t>سَبيلاً دونَ سَبيلٍ بظاهرِها</w:t>
      </w:r>
      <w:r>
        <w:rPr>
          <w:rStyle w:val="FootnoteAnchor"/>
          <w:rtl w:val="true"/>
        </w:rPr>
        <w:footnoteReference w:id="27"/>
      </w:r>
      <w:r>
        <w:rPr>
          <w:rFonts w:ascii="Amiri" w:hAnsi="Amiri" w:eastAsia="Amiri" w:cs="Amiri"/>
          <w:color w:val="111111"/>
          <w:sz w:val="28"/>
          <w:sz w:val="28"/>
          <w:szCs w:val="28"/>
          <w:rtl w:val="true"/>
          <w:lang w:bidi="ar-SA"/>
        </w:rPr>
        <w:t>، فلَم تَتناوَلْ‌</w:t>
      </w:r>
      <w:r>
        <w:rPr>
          <w:rStyle w:val="FootnoteAnchor"/>
          <w:rtl w:val="true"/>
        </w:rPr>
        <w:footnoteReference w:id="28"/>
      </w:r>
      <w:r>
        <w:rPr>
          <w:rFonts w:ascii="Amiri" w:hAnsi="Amiri" w:eastAsia="Amiri" w:cs="Amiri"/>
          <w:color w:val="111111"/>
          <w:sz w:val="28"/>
          <w:sz w:val="28"/>
          <w:szCs w:val="28"/>
          <w:rtl w:val="true"/>
          <w:lang w:bidi="ar-SA"/>
        </w:rPr>
        <w:t>أيضاً بظاهرِها</w:t>
      </w:r>
      <w:r>
        <w:rPr>
          <w:rStyle w:val="FootnoteAnchor"/>
          <w:rtl w:val="true"/>
        </w:rPr>
        <w:footnoteReference w:id="29"/>
      </w:r>
      <w:r>
        <w:rPr>
          <w:rFonts w:ascii="Amiri" w:hAnsi="Amiri" w:eastAsia="Amiri" w:cs="Amiri"/>
          <w:color w:val="111111"/>
          <w:sz w:val="28"/>
          <w:sz w:val="28"/>
          <w:szCs w:val="28"/>
          <w:rtl w:val="true"/>
          <w:lang w:bidi="ar-SA"/>
        </w:rPr>
        <w:t>جميعَ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إذا فَقَدنا دَلالةَ اختصاصِها ببعضِ السُّبُلِ‌</w:t>
      </w:r>
      <w:r>
        <w:rPr>
          <w:rStyle w:val="FootnoteAnchor"/>
          <w:rtl w:val="true"/>
        </w:rPr>
        <w:footnoteReference w:id="30"/>
      </w:r>
      <w:r>
        <w:rPr>
          <w:rFonts w:ascii="Amiri" w:hAnsi="Amiri" w:eastAsia="Amiri" w:cs="Amiri"/>
          <w:color w:val="111111"/>
          <w:sz w:val="28"/>
          <w:sz w:val="28"/>
          <w:szCs w:val="28"/>
          <w:rtl w:val="true"/>
          <w:lang w:bidi="ar-SA"/>
        </w:rPr>
        <w:t>أن نَقِفَ و نَنتَظِرَ البيانَ‌، و لا يَجِبُ مِن حَيثُ عَدِمنا الاختصاصَ أن نَدَّعيَ عُمومَها بغَيرِ دليلٍ‌</w:t>
      </w:r>
      <w:r>
        <w:rPr>
          <w:rStyle w:val="FootnoteAnchor"/>
          <w:rtl w:val="true"/>
        </w:rPr>
        <w:footnoteReference w:id="31"/>
      </w:r>
      <w:r>
        <w:rPr>
          <w:rFonts w:ascii="Amiri" w:hAnsi="Amiri" w:eastAsia="Amiri" w:cs="Amiri"/>
          <w:color w:val="111111"/>
          <w:sz w:val="28"/>
          <w:sz w:val="28"/>
          <w:szCs w:val="28"/>
          <w:rtl w:val="true"/>
          <w:lang w:bidi="ar-SA"/>
        </w:rPr>
        <w:t>، كما لا يَجِبُ إذا عَدِمنا العُمومَ فيها أن نَدَّعيَ الاختصاصَ‌، و أحَدُ القَولَينِ مع فَقدِ الدَّلالةِ هو</w:t>
      </w:r>
      <w:r>
        <w:rPr>
          <w:rStyle w:val="FootnoteAnchor"/>
          <w:rtl w:val="true"/>
        </w:rPr>
        <w:footnoteReference w:id="32"/>
      </w:r>
      <w:r>
        <w:rPr>
          <w:rFonts w:ascii="Amiri" w:hAnsi="Amiri" w:eastAsia="Amiri" w:cs="Amiri"/>
          <w:color w:val="111111"/>
          <w:sz w:val="28"/>
          <w:sz w:val="28"/>
          <w:szCs w:val="28"/>
          <w:rtl w:val="true"/>
          <w:lang w:bidi="ar-SA"/>
        </w:rPr>
        <w:t>كالآخَرِ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الإضافة تفيد الاستغراق الآحاديّ لا المجموعيّ ؛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 عن كلّ واحد، أي على الانفراد، بحيث يكون الحكم متعلّقاً بكلّ منها على حدة؛ و لذا تدلّ علىٰ كون الأمر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w:t>
      </w:r>
      <w:r>
        <w:rPr>
          <w:rStyle w:val="FootnoteAnchor"/>
          <w:rtl w:val="true"/>
        </w:rPr>
        <w:footnoteReference w:id="33"/>
      </w:r>
      <w:r>
        <w:rPr>
          <w:rFonts w:ascii="Amiri" w:hAnsi="Amiri" w:eastAsia="Amiri" w:cs="Amiri"/>
          <w:color w:val="111111"/>
          <w:sz w:val="28"/>
          <w:sz w:val="28"/>
          <w:szCs w:val="28"/>
          <w:rtl w:val="true"/>
          <w:lang w:bidi="ar-SA"/>
        </w:rPr>
        <w:t>تَوعَّدَ</w:t>
      </w:r>
      <w:r>
        <w:rPr>
          <w:rStyle w:val="FootnoteAnchor"/>
          <w:rtl w:val="true"/>
        </w:rPr>
        <w:footnoteReference w:id="34"/>
      </w:r>
      <w:r>
        <w:rPr>
          <w:rFonts w:ascii="Amiri" w:hAnsi="Amiri" w:eastAsia="Amiri" w:cs="Amiri"/>
          <w:color w:val="111111"/>
          <w:sz w:val="28"/>
          <w:sz w:val="28"/>
          <w:szCs w:val="28"/>
          <w:rtl w:val="true"/>
          <w:lang w:bidi="ar-SA"/>
        </w:rPr>
        <w:t xml:space="preserve">علَى اتّباعِ غيرِ سَبيلِ المؤمِنينَ </w:t>
      </w:r>
      <w:r>
        <w:rPr>
          <w:rStyle w:val="FootnoteAnchor"/>
          <w:rtl w:val="true"/>
        </w:rPr>
        <w:footnoteReference w:id="35"/>
      </w:r>
      <w:r>
        <w:rPr>
          <w:rFonts w:ascii="Amiri" w:hAnsi="Amiri" w:eastAsia="Amiri" w:cs="Amiri"/>
          <w:color w:val="111111"/>
          <w:sz w:val="28"/>
          <w:sz w:val="28"/>
          <w:szCs w:val="28"/>
          <w:rtl w:val="true"/>
          <w:lang w:bidi="ar-SA"/>
        </w:rPr>
        <w:t xml:space="preserve">، و لَيسَ في ذلكَ دَلالةٌ </w:t>
      </w:r>
      <w:r>
        <w:rPr>
          <w:rStyle w:val="FootnoteAnchor"/>
          <w:rtl w:val="true"/>
        </w:rPr>
        <w:footnoteReference w:id="36"/>
      </w:r>
      <w:r>
        <w:rPr>
          <w:rFonts w:ascii="Amiri" w:hAnsi="Amiri" w:eastAsia="Amiri" w:cs="Amiri"/>
          <w:color w:val="111111"/>
          <w:sz w:val="28"/>
          <w:sz w:val="28"/>
          <w:szCs w:val="28"/>
          <w:rtl w:val="true"/>
          <w:lang w:bidi="ar-SA"/>
        </w:rPr>
        <w:t xml:space="preserve">علىٰ وجوبِ اتّباعِ سَبيلِهم، فيَجِبُ أن يَكونَ اتّباعُ سَبيلِهم مَوقوفاً علَى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لا تَدُلُّ علىٰ وجوبِ اتّباعِهم في كُلِّ عصرٍ، بَل هو كالمُجمَلِ المُفتَقِرِ إلىٰ بيانٍ </w:t>
      </w:r>
      <w:r>
        <w:rPr>
          <w:rStyle w:val="FootnoteAnchor"/>
          <w:rtl w:val="true"/>
        </w:rPr>
        <w:footnoteReference w:id="37"/>
      </w:r>
      <w:r>
        <w:rPr>
          <w:rFonts w:ascii="IRNazanin" w:hAnsi="IRNazanin" w:eastAsia="IRNazanin"/>
          <w:color w:val="111111"/>
          <w:sz w:val="28"/>
          <w:sz w:val="28"/>
          <w:szCs w:val="28"/>
          <w:rtl w:val="true"/>
          <w:lang w:bidi="fa-IR"/>
        </w:rPr>
        <w:t>، فلا</w:t>
      </w:r>
      <w:r>
        <w:rPr>
          <w:rStyle w:val="FootnoteAnchor"/>
          <w:rtl w:val="true"/>
        </w:rPr>
        <w:footnoteReference w:id="38"/>
      </w:r>
      <w:r>
        <w:rPr>
          <w:rFonts w:ascii="Amiri" w:hAnsi="Amiri" w:eastAsia="Amiri" w:cs="Amiri"/>
          <w:color w:val="111111"/>
          <w:sz w:val="28"/>
          <w:sz w:val="28"/>
          <w:szCs w:val="28"/>
          <w:rtl w:val="true"/>
          <w:lang w:bidi="ar-SA"/>
        </w:rPr>
        <w:t>يَصِحُّ التعلُّقُ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أحمِلُه علىٰ كُلِّ عصرٍ؛ مِن حَيثُ لَم يَكُن اللفظُ مُختَصّاً بعَصرٍ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الدعوىٰ نَظيرةُ الدَّعوَى</w:t>
      </w:r>
      <w:r>
        <w:rPr>
          <w:rStyle w:val="FootnoteAnchor"/>
          <w:rtl w:val="true"/>
        </w:rPr>
        <w:footnoteReference w:id="39"/>
      </w:r>
      <w:r>
        <w:rPr>
          <w:rFonts w:ascii="Amiri" w:hAnsi="Amiri" w:eastAsia="Amiri" w:cs="Amiri"/>
          <w:color w:val="111111"/>
          <w:sz w:val="28"/>
          <w:sz w:val="28"/>
          <w:szCs w:val="28"/>
          <w:rtl w:val="true"/>
          <w:lang w:bidi="ar-SA"/>
        </w:rPr>
        <w:t>التي قَدَّمناها</w:t>
      </w:r>
      <w:r>
        <w:rPr>
          <w:rStyle w:val="FootnoteAnchor"/>
          <w:rtl w:val="true"/>
        </w:rPr>
        <w:footnoteReference w:id="40"/>
      </w:r>
      <w:r>
        <w:rPr>
          <w:rFonts w:ascii="Amiri" w:hAnsi="Amiri" w:eastAsia="Amiri" w:cs="Amiri"/>
          <w:color w:val="111111"/>
          <w:sz w:val="28"/>
          <w:sz w:val="28"/>
          <w:szCs w:val="28"/>
          <w:rtl w:val="true"/>
          <w:lang w:bidi="ar-SA"/>
        </w:rPr>
        <w:t>، و قَد</w:t>
      </w:r>
      <w:r>
        <w:rPr>
          <w:rStyle w:val="FootnoteAnchor"/>
          <w:rtl w:val="true"/>
        </w:rPr>
        <w:footnoteReference w:id="41"/>
      </w:r>
      <w:r>
        <w:rPr>
          <w:rFonts w:ascii="Amiri" w:hAnsi="Amiri" w:eastAsia="Amiri" w:cs="Amiri"/>
          <w:color w:val="111111"/>
          <w:sz w:val="28"/>
          <w:sz w:val="28"/>
          <w:szCs w:val="28"/>
          <w:rtl w:val="true"/>
          <w:lang w:bidi="ar-SA"/>
        </w:rPr>
        <w:t>بيّنّا فَسادَها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أعلَمُ عُمومَ وجوبِ اتّباعِهم في الأعصارِ كُلِّها بما عَلِمتُ به وجوبَ اتّباعِ النبيِّ صَلَّى اللّٰهُ عليه و آلِه في كُلِّ عَصرٍ، فما قَدَحَ في عُمومِ أحَدِ الأمرَينِ قَدَحَ في عُمومِ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لا نَعلَمُ </w:t>
      </w:r>
      <w:r>
        <w:rPr>
          <w:rStyle w:val="FootnoteAnchor"/>
          <w:rtl w:val="true"/>
        </w:rPr>
        <w:footnoteReference w:id="43"/>
      </w:r>
      <w:r>
        <w:rPr>
          <w:rFonts w:ascii="Amiri" w:hAnsi="Amiri" w:eastAsia="Amiri" w:cs="Amiri"/>
          <w:color w:val="111111"/>
          <w:sz w:val="28"/>
          <w:sz w:val="28"/>
          <w:szCs w:val="28"/>
          <w:rtl w:val="true"/>
          <w:lang w:bidi="ar-SA"/>
        </w:rPr>
        <w:t xml:space="preserve">عُمومَ </w:t>
      </w:r>
      <w:r>
        <w:rPr>
          <w:rStyle w:val="FootnoteAnchor"/>
          <w:rtl w:val="true"/>
        </w:rPr>
        <w:footnoteReference w:id="44"/>
      </w:r>
      <w:r>
        <w:rPr>
          <w:rFonts w:ascii="Amiri" w:hAnsi="Amiri" w:eastAsia="Amiri" w:cs="Amiri"/>
          <w:color w:val="111111"/>
          <w:sz w:val="28"/>
          <w:sz w:val="28"/>
          <w:szCs w:val="28"/>
          <w:rtl w:val="true"/>
          <w:lang w:bidi="ar-SA"/>
        </w:rPr>
        <w:t xml:space="preserve">وجوبِ اتّباعِ الرسولِ صَلَّى اللّٰهُ عليه و آلِه في كُلِّ عَصرٍ بظاهرِ الخِطابِ ، بَل بدَلالةٍ لا يُمكِنُ دَفعُها؛ فمَن ادَّعىٰ في عُمومِ وجوبِ اتّباعِ المؤمنينَ </w:t>
      </w:r>
      <w:r>
        <w:rPr>
          <w:rStyle w:val="FootnoteAnchor"/>
          <w:rtl w:val="true"/>
        </w:rPr>
        <w:footnoteReference w:id="45"/>
      </w:r>
      <w:r>
        <w:rPr>
          <w:rFonts w:ascii="Amiri" w:hAnsi="Amiri" w:eastAsia="Amiri" w:cs="Amiri"/>
          <w:color w:val="111111"/>
          <w:sz w:val="28"/>
          <w:sz w:val="28"/>
          <w:szCs w:val="28"/>
          <w:rtl w:val="true"/>
          <w:lang w:bidi="ar-SA"/>
        </w:rPr>
        <w:t>دَلالةً فليُحضِرْها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حَذَّرَ مِن مُخالَفةِ سَبيلِ المؤمنينَ </w:t>
      </w:r>
      <w:r>
        <w:rPr>
          <w:rStyle w:val="FootnoteAnchor"/>
          <w:rtl w:val="true"/>
        </w:rPr>
        <w:footnoteReference w:id="46"/>
      </w:r>
      <w:r>
        <w:rPr>
          <w:rFonts w:ascii="Amiri" w:hAnsi="Amiri" w:eastAsia="Amiri" w:cs="Amiri"/>
          <w:color w:val="111111"/>
          <w:sz w:val="28"/>
          <w:sz w:val="28"/>
          <w:szCs w:val="28"/>
          <w:rtl w:val="true"/>
          <w:lang w:bidi="ar-SA"/>
        </w:rPr>
        <w:t>، و عَلَّقَ الكلامَ بصفةِ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لخُصومِنا أنّهم لا يَخرُجونَ عن كَونِهم مؤمنينَ ، و هُم إذا خَرَجوا عن</w:t>
      </w:r>
      <w:r>
        <w:rPr>
          <w:rStyle w:val="FootnoteAnchor"/>
          <w:rtl w:val="true"/>
        </w:rPr>
        <w:footnoteReference w:id="47"/>
      </w:r>
      <w:r>
        <w:rPr>
          <w:rFonts w:ascii="Amiri" w:hAnsi="Amiri" w:eastAsia="Amiri" w:cs="Amiri"/>
          <w:color w:val="111111"/>
          <w:sz w:val="28"/>
          <w:sz w:val="28"/>
          <w:szCs w:val="28"/>
          <w:rtl w:val="true"/>
          <w:lang w:bidi="ar-SA"/>
        </w:rPr>
        <w:t>الإيمانِ خَرَجوا عن الصفةِ التي تَعلَّقَ الوعيدُ بخِلافِ مَن كانَ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يُريدَ به المُصدِّقينَ بالرسولِ عليه السلامُ‌، أو أن يُريدَ</w:t>
      </w:r>
      <w:r>
        <w:rPr>
          <w:rStyle w:val="FootnoteAnchor"/>
          <w:rtl w:val="true"/>
        </w:rPr>
        <w:footnoteReference w:id="48"/>
      </w:r>
      <w:r>
        <w:rPr>
          <w:rFonts w:ascii="Amiri" w:hAnsi="Amiri" w:eastAsia="Amiri" w:cs="Amiri"/>
          <w:color w:val="111111"/>
          <w:sz w:val="28"/>
          <w:sz w:val="28"/>
          <w:szCs w:val="28"/>
          <w:rtl w:val="true"/>
          <w:lang w:bidi="ar-SA"/>
        </w:rPr>
        <w:t>المُستَحِقّينَ للثوابِ علَى الحقيقةِ‌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بَطَلَ ؛ لأنّ الآيةَ تَقتَضي</w:t>
      </w:r>
      <w:r>
        <w:rPr>
          <w:rStyle w:val="FootnoteAnchor"/>
          <w:rtl w:val="true"/>
        </w:rPr>
        <w:footnoteReference w:id="50"/>
      </w:r>
      <w:r>
        <w:rPr>
          <w:rFonts w:ascii="Amiri" w:hAnsi="Amiri" w:eastAsia="Amiri" w:cs="Amiri"/>
          <w:color w:val="111111"/>
          <w:sz w:val="28"/>
          <w:sz w:val="28"/>
          <w:szCs w:val="28"/>
          <w:rtl w:val="true"/>
          <w:lang w:bidi="ar-SA"/>
        </w:rPr>
        <w:t>التعظيمَ و المَدحَ لِمَن تَعلَّقَت به مِن حَيثُ أَوجَبَت</w:t>
      </w:r>
      <w:r>
        <w:rPr>
          <w:rStyle w:val="FootnoteAnchor"/>
          <w:rtl w:val="true"/>
        </w:rPr>
        <w:footnoteReference w:id="51"/>
      </w:r>
      <w:r>
        <w:rPr>
          <w:rFonts w:ascii="Amiri" w:hAnsi="Amiri" w:eastAsia="Amiri" w:cs="Amiri"/>
          <w:color w:val="111111"/>
          <w:sz w:val="28"/>
          <w:sz w:val="28"/>
          <w:szCs w:val="28"/>
          <w:rtl w:val="true"/>
          <w:lang w:bidi="ar-SA"/>
        </w:rPr>
        <w:t xml:space="preserve">اتّباعَه و تَركَ خِلافِه، و لا يَجوزُ أن يَتَوجَّهَ </w:t>
      </w:r>
      <w:r>
        <w:rPr>
          <w:rStyle w:val="FootnoteAnchor"/>
          <w:rtl w:val="true"/>
        </w:rPr>
        <w:footnoteReference w:id="52"/>
      </w:r>
      <w:r>
        <w:rPr>
          <w:rFonts w:ascii="Amiri" w:hAnsi="Amiri" w:eastAsia="Amiri" w:cs="Amiri"/>
          <w:color w:val="111111"/>
          <w:sz w:val="28"/>
          <w:sz w:val="28"/>
          <w:szCs w:val="28"/>
          <w:rtl w:val="true"/>
          <w:lang w:bidi="ar-SA"/>
        </w:rPr>
        <w:t xml:space="preserve">إلىٰ مَن لا يَستَحِقُّ التعظيمَ و المَدحَ ، و في الأُمّةِ مَن يُقطَعُ </w:t>
      </w:r>
      <w:r>
        <w:rPr>
          <w:rStyle w:val="FootnoteAnchor"/>
          <w:rtl w:val="true"/>
        </w:rPr>
        <w:footnoteReference w:id="53"/>
      </w:r>
      <w:r>
        <w:rPr>
          <w:rFonts w:ascii="Amiri" w:hAnsi="Amiri" w:eastAsia="Amiri" w:cs="Amiri"/>
          <w:color w:val="111111"/>
          <w:sz w:val="28"/>
          <w:sz w:val="28"/>
          <w:szCs w:val="28"/>
          <w:rtl w:val="true"/>
          <w:lang w:bidi="ar-SA"/>
        </w:rPr>
        <w:t>علىٰ كُفرِه و أنّه لا يَستَحِقُّ شيئاً مِنهما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لأنّه كانَ يَجِبُ لَو كانَ المُرادُ بالقَولِ المُصدِّقينَ دونَ المُستَحِقّينَ للثوابِ أن يُعتَبَرَ في</w:t>
      </w:r>
      <w:r>
        <w:rPr>
          <w:rStyle w:val="FootnoteAnchor"/>
          <w:rtl w:val="true"/>
        </w:rPr>
        <w:footnoteReference w:id="55"/>
      </w:r>
      <w:r>
        <w:rPr>
          <w:rFonts w:ascii="Amiri" w:hAnsi="Amiri" w:eastAsia="Amiri" w:cs="Amiri"/>
          <w:color w:val="111111"/>
          <w:sz w:val="28"/>
          <w:sz w:val="28"/>
          <w:szCs w:val="28"/>
          <w:rtl w:val="true"/>
          <w:lang w:bidi="ar-SA"/>
        </w:rPr>
        <w:t>الإجماعِ دُخولُ كُلِّ مُصدِّقٍ فيه في شَرقٍ و غَربٍ‌، و هذا ممّا يُعلَمُ تَعذُّرُه، و عُمومُ القَولِ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يَذهَبُ صاحبُ الكتابِ و أهلُ نِحلَتِه إلىٰ هذا الوجهِ‌، فنُطنِبَ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بالمؤمنينَ مُستَحِقّي الثوابِ و المَدحِ و التعظيمِ‌، فمِن أينَ ثُبوتُ مؤمنينَ‌</w:t>
      </w:r>
      <w:r>
        <w:rPr>
          <w:rStyle w:val="FootnoteAnchor"/>
          <w:rtl w:val="true"/>
        </w:rPr>
        <w:footnoteReference w:id="56"/>
      </w:r>
      <w:r>
        <w:rPr>
          <w:rFonts w:ascii="Amiri" w:hAnsi="Amiri" w:eastAsia="Amiri" w:cs="Amiri"/>
          <w:color w:val="111111"/>
          <w:sz w:val="28"/>
          <w:sz w:val="28"/>
          <w:szCs w:val="28"/>
          <w:rtl w:val="true"/>
          <w:lang w:bidi="ar-SA"/>
        </w:rPr>
        <w:t>بهذه الصفةِ في كُلِّ عَصرٍ يَجِبُ اتّباعُهم‌؟ و يَجِبُ أيضاً أن لا يَثبُتَ الإجماعُ إلّابَعدَ القَطعِ علىٰ أنّ كُلَّ مُستَحِقٍّ للثوابِ في بَرٍّ و بَحرٍ</w:t>
      </w:r>
      <w:r>
        <w:rPr>
          <w:rStyle w:val="FootnoteAnchor"/>
          <w:rtl w:val="true"/>
        </w:rPr>
        <w:footnoteReference w:id="57"/>
      </w:r>
      <w:r>
        <w:rPr>
          <w:rFonts w:ascii="Amiri" w:hAnsi="Amiri" w:eastAsia="Amiri" w:cs="Amiri"/>
          <w:color w:val="111111"/>
          <w:sz w:val="28"/>
          <w:sz w:val="28"/>
          <w:szCs w:val="28"/>
          <w:rtl w:val="true"/>
          <w:lang w:bidi="ar-SA"/>
        </w:rPr>
        <w:t>و سَهلٍ و جَبَلٍ قد دَخَلَ فيه؛ لأنّ عُمومَ القَولِ يَقتَضيه، و هذا يؤدّي إلىٰ أن لا يَثبُتَ الإجماعُ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حُمِلَ علىٰ بعضِ المؤمنينَ </w:t>
      </w:r>
      <w:r>
        <w:rPr>
          <w:rStyle w:val="FootnoteAnchor"/>
          <w:rtl w:val="true"/>
        </w:rPr>
        <w:footnoteReference w:id="58"/>
      </w:r>
      <w:r>
        <w:rPr>
          <w:rFonts w:ascii="Amiri" w:hAnsi="Amiri" w:eastAsia="Amiri" w:cs="Amiri"/>
          <w:color w:val="111111"/>
          <w:sz w:val="28"/>
          <w:sz w:val="28"/>
          <w:szCs w:val="28"/>
          <w:rtl w:val="true"/>
          <w:lang w:bidi="ar-SA"/>
        </w:rPr>
        <w:t xml:space="preserve">دونَ بعضٍ و علىٰ مَن عَرَفناه دونَ مَن لَم نَعرِفْه، خَرَجنا عن موجَبِ العُمومِ ، و جازَ حَملُه علىٰ طائفةٍ مِن المؤمنينَ ، و هُم أئمّتُنا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بالمؤمنينَ مَن كان في الظاهرِ يَستَحِقُّ التعظيمَ و المَدحَ ، و إن لَم يَكُنْ </w:t>
      </w:r>
      <w:r>
        <w:rPr>
          <w:rStyle w:val="FootnoteAnchor"/>
          <w:rtl w:val="true"/>
        </w:rPr>
        <w:footnoteReference w:id="59"/>
      </w:r>
      <w:r>
        <w:rPr>
          <w:rFonts w:ascii="Amiri" w:hAnsi="Amiri" w:eastAsia="Amiri" w:cs="Amiri"/>
          <w:color w:val="111111"/>
          <w:sz w:val="28"/>
          <w:sz w:val="28"/>
          <w:szCs w:val="28"/>
          <w:rtl w:val="true"/>
          <w:lang w:bidi="ar-SA"/>
        </w:rPr>
        <w:t xml:space="preserve">في الحقيقةِ كذلكَ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باطلٌ ؛ لأنّه خُروجٌ في هذا الاسمِ عن اللُّغةِ و عمّا يُدَّعىٰ أنّه نُقِلَ إليه في الشرعِ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الآيةَ تَقتَضي المَدحَ و التعظيمَ مِن حَيثُ أوجَبَت</w:t>
      </w:r>
      <w:r>
        <w:rPr>
          <w:rStyle w:val="FootnoteAnchor"/>
          <w:rtl w:val="true"/>
        </w:rPr>
        <w:footnoteReference w:id="60"/>
      </w:r>
      <w:r>
        <w:rPr>
          <w:rFonts w:ascii="Amiri" w:hAnsi="Amiri" w:eastAsia="Amiri" w:cs="Amiri"/>
          <w:color w:val="111111"/>
          <w:sz w:val="28"/>
          <w:sz w:val="28"/>
          <w:szCs w:val="28"/>
          <w:rtl w:val="true"/>
          <w:lang w:bidi="ar-SA"/>
        </w:rPr>
        <w:t xml:space="preserve">علينا اتّباعَ مَن تَعلَّقَت به، و مَن أظهَرَ الإيمانَ و لَم يُبطِنْه لا يَستَحِقُّ </w:t>
      </w:r>
      <w:r>
        <w:rPr>
          <w:rStyle w:val="FootnoteAnchor"/>
          <w:rtl w:val="true"/>
        </w:rPr>
        <w:footnoteReference w:id="61"/>
      </w:r>
      <w:r>
        <w:rPr>
          <w:rFonts w:ascii="Amiri" w:hAnsi="Amiri" w:eastAsia="Amiri" w:cs="Amiri"/>
          <w:color w:val="111111"/>
          <w:sz w:val="28"/>
          <w:sz w:val="28"/>
          <w:szCs w:val="28"/>
          <w:rtl w:val="true"/>
          <w:lang w:bidi="ar-SA"/>
        </w:rPr>
        <w:t xml:space="preserve">التعظيمَ في الحقيقةِ ، </w:t>
      </w:r>
      <w:bookmarkStart w:id="28" w:name="pg20015_284739"/>
    </w:p>
    <w:p>
      <w:pPr>
        <w:pStyle w:val="BookText"/>
        <w:rPr/>
      </w:pPr>
      <w:bookmarkEnd w:id="28"/>
      <w:r>
        <w:rPr>
          <w:rFonts w:ascii="Amiri" w:hAnsi="Amiri" w:eastAsia="Amiri" w:cs="Amiri"/>
          <w:color w:val="111111"/>
          <w:sz w:val="28"/>
          <w:sz w:val="28"/>
          <w:szCs w:val="28"/>
          <w:rtl w:val="true"/>
          <w:lang w:bidi="ar-SA"/>
        </w:rPr>
        <w:t>و لهذا تُعُبِّدنا</w:t>
      </w:r>
      <w:r>
        <w:rPr>
          <w:rStyle w:val="FootnoteAnchor"/>
          <w:rtl w:val="true"/>
        </w:rPr>
        <w:footnoteReference w:id="62"/>
      </w:r>
      <w:r>
        <w:rPr>
          <w:rFonts w:ascii="Amiri" w:hAnsi="Amiri" w:eastAsia="Amiri" w:cs="Amiri"/>
          <w:color w:val="111111"/>
          <w:sz w:val="28"/>
          <w:sz w:val="28"/>
          <w:szCs w:val="28"/>
          <w:rtl w:val="true"/>
          <w:lang w:bidi="ar-SA"/>
        </w:rPr>
        <w:t>بمَدحِه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هذا الوجهِ أيضاً أن يُعتَبَرَ في الإجماعِ دُخولُ كُلِّ مُظهِرٍ للإيمانِ ، و</w:t>
      </w:r>
      <w:r>
        <w:rPr>
          <w:rStyle w:val="FootnoteAnchor"/>
          <w:rtl w:val="true"/>
        </w:rPr>
        <w:footnoteReference w:id="63"/>
      </w:r>
      <w:r>
        <w:rPr>
          <w:rFonts w:ascii="Amiri" w:hAnsi="Amiri" w:eastAsia="Amiri" w:cs="Amiri"/>
          <w:color w:val="111111"/>
          <w:sz w:val="28"/>
          <w:sz w:val="28"/>
          <w:szCs w:val="28"/>
          <w:rtl w:val="true"/>
          <w:lang w:bidi="ar-SA"/>
        </w:rPr>
        <w:t xml:space="preserve">مُستَحِقٍّ في الظاهرِ للتعظيمِ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w:t>
      </w:r>
      <w:r>
        <w:rPr>
          <w:rStyle w:val="FootnoteAnchor"/>
          <w:rtl w:val="true"/>
        </w:rPr>
        <w:footnoteReference w:id="65"/>
      </w:r>
      <w:r>
        <w:rPr>
          <w:rFonts w:ascii="Amiri" w:hAnsi="Amiri" w:eastAsia="Amiri" w:cs="Amiri"/>
          <w:color w:val="111111"/>
          <w:sz w:val="28"/>
          <w:sz w:val="28"/>
          <w:szCs w:val="28"/>
          <w:rtl w:val="true"/>
          <w:lang w:bidi="ar-SA"/>
        </w:rPr>
        <w:t>تَجاوَزنا عن جميعِ ما ذَكَرناه، لَم يَكُن في</w:t>
      </w:r>
      <w:r>
        <w:rPr>
          <w:rStyle w:val="FootnoteAnchor"/>
          <w:rtl w:val="true"/>
        </w:rPr>
        <w:footnoteReference w:id="66"/>
      </w:r>
      <w:r>
        <w:rPr>
          <w:rFonts w:ascii="Amiri" w:hAnsi="Amiri" w:eastAsia="Amiri" w:cs="Amiri"/>
          <w:color w:val="111111"/>
          <w:sz w:val="28"/>
          <w:sz w:val="28"/>
          <w:szCs w:val="28"/>
          <w:rtl w:val="true"/>
          <w:lang w:bidi="ar-SA"/>
        </w:rPr>
        <w:t>الآيةِ دَلالةٌ تَتناوَلُ‌</w:t>
      </w:r>
      <w:r>
        <w:rPr>
          <w:rStyle w:val="FootnoteAnchor"/>
          <w:rtl w:val="true"/>
        </w:rPr>
        <w:footnoteReference w:id="67"/>
      </w:r>
      <w:r>
        <w:rPr>
          <w:rFonts w:ascii="Amiri" w:hAnsi="Amiri" w:eastAsia="Amiri" w:cs="Amiri"/>
          <w:color w:val="111111"/>
          <w:sz w:val="28"/>
          <w:sz w:val="28"/>
          <w:szCs w:val="28"/>
          <w:rtl w:val="true"/>
          <w:lang w:bidi="ar-SA"/>
        </w:rPr>
        <w:t>الخِلافَ في الحقيقةِ‌؛ لأنّه جائزٌ أن يَكونَ تَعالىٰ إنّما أمَرَنا باتّباعِ المؤمنينَ مِن حَيثُ ثَبَتَ بالعقولِ أنّ في جُملةِ المؤمنينَ في كُلِّ عصرٍ إماماً معصوماً لا يَجوزُ عليه الخطأُ، و إذا جازَ ما ذَكَرناه سَقَطَ غرضُهم في الاستدلالِ علىٰ صحّةِ الإجماعِ ؛ لأنّهم إنّما أَجرَوا</w:t>
      </w:r>
      <w:r>
        <w:rPr>
          <w:rStyle w:val="FootnoteAnchor"/>
          <w:rtl w:val="true"/>
        </w:rPr>
        <w:footnoteReference w:id="68"/>
      </w:r>
      <w:r>
        <w:rPr>
          <w:rFonts w:ascii="Amiri" w:hAnsi="Amiri" w:eastAsia="Amiri" w:cs="Amiri"/>
          <w:color w:val="111111"/>
          <w:sz w:val="28"/>
          <w:sz w:val="28"/>
          <w:szCs w:val="28"/>
          <w:rtl w:val="true"/>
          <w:lang w:bidi="ar-SA"/>
        </w:rPr>
        <w:t xml:space="preserve">بذلكَ إلىٰ أن يَصِحَّ الإجماعُ فيُحفَظَ الشرعُ به و يُستَغنىٰ عن الإمامِ ، و إذا كانَ </w:t>
      </w:r>
      <w:r>
        <w:rPr>
          <w:rStyle w:val="FootnoteAnchor"/>
          <w:rtl w:val="true"/>
        </w:rPr>
        <w:footnoteReference w:id="69"/>
      </w:r>
      <w:r>
        <w:rPr>
          <w:rFonts w:ascii="Amiri" w:hAnsi="Amiri" w:eastAsia="Amiri" w:cs="Amiri"/>
          <w:color w:val="111111"/>
          <w:sz w:val="28"/>
          <w:sz w:val="28"/>
          <w:szCs w:val="28"/>
          <w:rtl w:val="true"/>
          <w:lang w:bidi="ar-SA"/>
        </w:rPr>
        <w:t xml:space="preserve">ما استَدَلّوا به علىٰ صحّةِ الإجماعِ يَحتَمِلُ </w:t>
      </w:r>
      <w:r>
        <w:rPr>
          <w:rStyle w:val="FootnoteAnchor"/>
          <w:rtl w:val="true"/>
        </w:rPr>
        <w:footnoteReference w:id="70"/>
      </w:r>
      <w:r>
        <w:rPr>
          <w:rFonts w:ascii="Amiri" w:hAnsi="Amiri" w:eastAsia="Amiri" w:cs="Amiri"/>
          <w:color w:val="111111"/>
          <w:sz w:val="28"/>
          <w:sz w:val="28"/>
          <w:szCs w:val="28"/>
          <w:rtl w:val="true"/>
          <w:lang w:bidi="ar-SA"/>
        </w:rPr>
        <w:t>ما ذَكَرناه فَسَدَ التعَلُّقُ به</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894739_2320776876"/>
      <w:bookmarkStart w:id="30" w:name="_Toc11"/>
      <w:bookmarkEnd w:id="29"/>
      <w:r>
        <w:rPr>
          <w:rtl w:val="true"/>
        </w:rPr>
        <w:t>عدم التلازم بين النهي عن اتّباع غير سبيل المؤمنين، و بين الأمر باتّباع سبيلهم</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71"/>
      </w:r>
      <w:r>
        <w:rPr>
          <w:rFonts w:ascii="Amiri" w:hAnsi="Amiri" w:eastAsia="Amiri" w:cs="Amiri"/>
          <w:color w:val="111111"/>
          <w:sz w:val="28"/>
          <w:sz w:val="28"/>
          <w:szCs w:val="28"/>
          <w:rtl w:val="true"/>
          <w:lang w:bidi="ar-SA"/>
        </w:rPr>
        <w:t xml:space="preserve">قَولُه في نُصرةِ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لِما سَألَ عنه نفسَه</w:t>
      </w:r>
      <w:r>
        <w:rPr>
          <w:rStyle w:val="FootnoteAnchor"/>
          <w:rtl w:val="true"/>
        </w:rPr>
        <w:footnoteReference w:id="72"/>
      </w:r>
      <w:r>
        <w:rPr>
          <w:rFonts w:ascii="Amiri" w:hAnsi="Amiri" w:eastAsia="Amiri" w:cs="Amiri"/>
          <w:color w:val="111111"/>
          <w:sz w:val="28"/>
          <w:sz w:val="28"/>
          <w:szCs w:val="28"/>
          <w:rtl w:val="true"/>
          <w:lang w:bidi="ar-SA"/>
        </w:rPr>
        <w:t xml:space="preserve">، مِن أنّ الآيةَ </w:t>
      </w:r>
    </w:p>
    <w:p>
      <w:pPr>
        <w:pStyle w:val="BookText"/>
        <w:rPr/>
      </w:pPr>
      <w:r>
        <w:rPr>
          <w:rFonts w:ascii="Amiri" w:hAnsi="Amiri" w:eastAsia="Amiri" w:cs="Amiri"/>
          <w:color w:val="111111"/>
          <w:sz w:val="28"/>
          <w:sz w:val="28"/>
          <w:szCs w:val="28"/>
          <w:rtl w:val="true"/>
          <w:lang w:bidi="ar-SA"/>
        </w:rPr>
        <w:t>تَقتَضي</w:t>
      </w:r>
      <w:r>
        <w:rPr>
          <w:rStyle w:val="FootnoteAnchor"/>
          <w:rtl w:val="true"/>
        </w:rPr>
        <w:footnoteReference w:id="73"/>
      </w:r>
      <w:r>
        <w:rPr>
          <w:rFonts w:ascii="Amiri" w:hAnsi="Amiri" w:eastAsia="Amiri" w:cs="Amiri"/>
          <w:color w:val="111111"/>
          <w:sz w:val="28"/>
          <w:sz w:val="28"/>
          <w:szCs w:val="28"/>
          <w:rtl w:val="true"/>
          <w:lang w:bidi="ar-SA"/>
        </w:rPr>
        <w:t xml:space="preserve">الوعيدَ علَى اتّباعِ غيرِ سَبيلِ المؤمنينَ و لَم يُذكَرْ ما حالُ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الوعيدَ لمّا علَّقَه تَعالىٰ‌</w:t>
      </w:r>
      <w:r>
        <w:rPr>
          <w:rStyle w:val="FootnoteAnchor"/>
          <w:rtl w:val="true"/>
        </w:rPr>
        <w:footnoteReference w:id="74"/>
      </w:r>
      <w:r>
        <w:rPr>
          <w:rFonts w:ascii="Amiri" w:hAnsi="Amiri" w:eastAsia="Amiri" w:cs="Amiri"/>
          <w:color w:val="111111"/>
          <w:sz w:val="28"/>
          <w:sz w:val="28"/>
          <w:szCs w:val="28"/>
          <w:rtl w:val="true"/>
          <w:lang w:bidi="ar-SA"/>
        </w:rPr>
        <w:t>بغَيرِ سَبيلِ المؤمِنينَ ، حَلَّ مَحَلَّ أن يُعلِّقَه بالعُدولِ عن سَبيلِ المؤمِنينَ و تَركِ اتّباعِهم</w:t>
      </w:r>
      <w:r>
        <w:rPr>
          <w:rStyle w:val="FootnoteAnchor"/>
          <w:rtl w:val="true"/>
        </w:rPr>
        <w:footnoteReference w:id="75"/>
      </w:r>
      <w:r>
        <w:rPr>
          <w:rFonts w:ascii="Amiri" w:hAnsi="Amiri" w:eastAsia="Amiri" w:cs="Amiri"/>
          <w:color w:val="111111"/>
          <w:sz w:val="28"/>
          <w:sz w:val="28"/>
          <w:szCs w:val="28"/>
          <w:rtl w:val="true"/>
          <w:lang w:bidi="ar-SA"/>
        </w:rPr>
        <w:t xml:space="preserve">، في أنّه يَقتَضي لا مَحالةَ أنّ اتّباعَ سَبيلِ المؤمنينَ صَوابٌ ، و أنّ </w:t>
      </w:r>
      <w:r>
        <w:rPr>
          <w:rStyle w:val="FootnoteAnchor"/>
          <w:rtl w:val="true"/>
        </w:rPr>
        <w:footnoteReference w:id="76"/>
      </w:r>
      <w:r>
        <w:rPr>
          <w:rFonts w:ascii="Amiri" w:hAnsi="Amiri" w:eastAsia="Amiri" w:cs="Amiri"/>
          <w:color w:val="111111"/>
          <w:sz w:val="28"/>
          <w:sz w:val="28"/>
          <w:szCs w:val="28"/>
          <w:rtl w:val="true"/>
          <w:lang w:bidi="ar-SA"/>
        </w:rPr>
        <w:t>الوعيدَ واجبٌ لتَركِه و مُفارَقَتِه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فتَحكُّمٌ‌</w:t>
      </w:r>
      <w:r>
        <w:rPr>
          <w:rStyle w:val="FootnoteAnchor"/>
          <w:rtl w:val="true"/>
        </w:rPr>
        <w:footnoteReference w:id="78"/>
      </w:r>
      <w:r>
        <w:rPr>
          <w:rFonts w:ascii="Amiri" w:hAnsi="Amiri" w:eastAsia="Amiri" w:cs="Amiri"/>
          <w:color w:val="111111"/>
          <w:sz w:val="28"/>
          <w:sz w:val="28"/>
          <w:szCs w:val="28"/>
          <w:rtl w:val="true"/>
          <w:lang w:bidi="ar-SA"/>
        </w:rPr>
        <w:t>ظاهرٌ، و دَعوىً مَحضةٌ‌؛ لأنّه غيرُ مُمتَنِعٍ أن يَكونَ اتّباعُ غيرِ سَبيلِهم مُحرَّماً، و اتّباعُ‌</w:t>
      </w:r>
      <w:r>
        <w:rPr>
          <w:rStyle w:val="FootnoteAnchor"/>
          <w:rtl w:val="true"/>
        </w:rPr>
        <w:footnoteReference w:id="79"/>
      </w:r>
      <w:r>
        <w:rPr>
          <w:rFonts w:ascii="Amiri" w:hAnsi="Amiri" w:eastAsia="Amiri" w:cs="Amiri"/>
          <w:color w:val="111111"/>
          <w:sz w:val="28"/>
          <w:sz w:val="28"/>
          <w:szCs w:val="28"/>
          <w:rtl w:val="true"/>
          <w:lang w:bidi="ar-SA"/>
        </w:rPr>
        <w:t>سَبيلِهم مُباحاً أو مُحرَّماً أيضاً، و ليس هذا ممّا يَتَنافىٰ‌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w:t>
      </w:r>
      <w:r>
        <w:rPr>
          <w:rStyle w:val="FootnoteAnchor"/>
          <w:rtl w:val="true"/>
        </w:rPr>
        <w:footnoteReference w:id="80"/>
      </w:r>
      <w:r>
        <w:rPr>
          <w:rFonts w:ascii="Amiri" w:hAnsi="Amiri" w:eastAsia="Amiri" w:cs="Amiri"/>
          <w:color w:val="111111"/>
          <w:sz w:val="28"/>
          <w:sz w:val="28"/>
          <w:szCs w:val="28"/>
          <w:rtl w:val="true"/>
          <w:lang w:bidi="ar-SA"/>
        </w:rPr>
        <w:t>ذلكَ أنّه لَو صَرَّحَ بما تأوَّلناه</w:t>
      </w:r>
      <w:r>
        <w:rPr>
          <w:rStyle w:val="FootnoteAnchor"/>
          <w:rtl w:val="true"/>
        </w:rPr>
        <w:footnoteReference w:id="81"/>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غيرِ سَبيلِ المؤمنينَ محظورٌ عَلَيكم و قَبيحٌ مِنكم، و اتّباعُ سَبيلِهم يَجوزُ أن يَكونَ قَبيحاً و غيرَ قَبيحٍ‌،</w:t>
      </w:r>
    </w:p>
    <w:p>
      <w:pPr>
        <w:pStyle w:val="BookText"/>
        <w:rPr/>
      </w:pPr>
      <w:r>
        <w:rPr>
          <w:rFonts w:ascii="Amiri" w:hAnsi="Amiri" w:eastAsia="Amiri" w:cs="Amiri"/>
          <w:color w:val="111111"/>
          <w:sz w:val="28"/>
          <w:sz w:val="28"/>
          <w:szCs w:val="28"/>
          <w:rtl w:val="true"/>
          <w:lang w:bidi="ar-SA"/>
        </w:rPr>
        <w:t>فاعمَلوا فيه بحَسَبِ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اتّباعُ سَبيلِهم مُباحٌ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لَساغَ </w:t>
      </w:r>
      <w:r>
        <w:rPr>
          <w:rStyle w:val="FootnoteAnchor"/>
          <w:rtl w:val="true"/>
        </w:rPr>
        <w:footnoteReference w:id="82"/>
      </w:r>
      <w:r>
        <w:rPr>
          <w:rFonts w:ascii="Amiri" w:hAnsi="Amiri" w:eastAsia="Amiri" w:cs="Amiri"/>
          <w:color w:val="111111"/>
          <w:sz w:val="28"/>
          <w:sz w:val="28"/>
          <w:szCs w:val="28"/>
          <w:rtl w:val="true"/>
          <w:lang w:bidi="ar-SA"/>
        </w:rPr>
        <w:t>هذا الكلامُ و لَم يَتَناقَضْ ، و إذا كانَ سائغاً بَطَلَ قَولُ مَن ادَّعىٰ أنّ النهيَ عن اتّباعِ غيرِ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بخلافه، فكأنّه تعالىٰ يبيّن أنّ خلاف طريقة المؤمنين يحرم اتّباعه و يستحقّ من يتّبع ذلك الوعيد، و لم يعرض لذكر سبيل المؤمنين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سَبيلِ المؤمنينَ موجِبٌ لاتّباعِ سَبيلِهم، و أنّه يَجري مَجرَى التحريمِ لمُفارَقةِ سَبيلِهم و العُدولِ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يَتَّبِعْ غيرَ سَبيلِ المؤمنينَ فلا بُدَّ أن يَكونَ مُتَّبِعاً لسَبيلِهم؛ فمِن هاهُنا حَكَمنا بأنّ النهيَ عن أحَدِ الأمرَينِ إيجابٌ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الأمرَينِ واسطةً ؛ فقَد يَجوزُ أن يَخرُجَ المُكلَّفُ مِن اتّباعِ غيرِ سَبيلِهم و اتّباعِ سَبيلِهم معاً؛ بأن لا يَكونَ مُتَّبِعاً سَبيلَ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عَلَّقَ الوعيدَ بما يَجري</w:t>
      </w:r>
      <w:r>
        <w:rPr>
          <w:rStyle w:val="FootnoteAnchor"/>
          <w:rtl w:val="true"/>
        </w:rPr>
        <w:footnoteReference w:id="84"/>
      </w:r>
      <w:r>
        <w:rPr>
          <w:rFonts w:ascii="Amiri" w:hAnsi="Amiri" w:eastAsia="Amiri" w:cs="Amiri"/>
          <w:color w:val="111111"/>
          <w:sz w:val="28"/>
          <w:sz w:val="28"/>
          <w:szCs w:val="28"/>
          <w:rtl w:val="true"/>
          <w:lang w:bidi="ar-SA"/>
        </w:rPr>
        <w:t>مَجرَى الاستثناءِ مِن سَبيلِ المؤمنينَ‌؛ حتّىٰ لا يَتِمَّ‌</w:t>
      </w:r>
      <w:r>
        <w:rPr>
          <w:rStyle w:val="FootnoteAnchor"/>
          <w:rtl w:val="true"/>
        </w:rPr>
        <w:footnoteReference w:id="85"/>
      </w:r>
      <w:r>
        <w:rPr>
          <w:rFonts w:ascii="Amiri" w:hAnsi="Amiri" w:eastAsia="Amiri" w:cs="Amiri"/>
          <w:color w:val="111111"/>
          <w:sz w:val="28"/>
          <w:sz w:val="28"/>
          <w:szCs w:val="28"/>
          <w:rtl w:val="true"/>
          <w:lang w:bidi="ar-SA"/>
        </w:rPr>
        <w:t>معرفتُه إلّابمعرفةِ سبيلِ المؤمنينَ‌</w:t>
      </w:r>
      <w:r>
        <w:rPr>
          <w:rStyle w:val="FootnoteAnchor"/>
          <w:rtl w:val="true"/>
        </w:rPr>
        <w:footnoteReference w:id="86"/>
      </w:r>
      <w:r>
        <w:rPr>
          <w:rFonts w:ascii="Amiri" w:hAnsi="Amiri" w:eastAsia="Amiri" w:cs="Amiri"/>
          <w:color w:val="111111"/>
          <w:sz w:val="28"/>
          <w:sz w:val="28"/>
          <w:szCs w:val="28"/>
          <w:rtl w:val="true"/>
          <w:lang w:bidi="ar-SA"/>
        </w:rPr>
        <w:t>، فكأنّه</w:t>
      </w:r>
      <w:r>
        <w:rPr>
          <w:rStyle w:val="FootnoteAnchor"/>
          <w:rtl w:val="true"/>
        </w:rPr>
        <w:footnoteReference w:id="87"/>
      </w:r>
      <w:r>
        <w:rPr>
          <w:rFonts w:ascii="Amiri" w:hAnsi="Amiri" w:eastAsia="Amiri" w:cs="Amiri"/>
          <w:color w:val="111111"/>
          <w:sz w:val="28"/>
          <w:sz w:val="28"/>
          <w:szCs w:val="28"/>
          <w:rtl w:val="true"/>
          <w:lang w:bidi="ar-SA"/>
        </w:rPr>
        <w:t>تَعالىٰ أرادَ ما يَجري مَجرَى النفيِ و إن كانَ‌</w:t>
      </w:r>
      <w:r>
        <w:rPr>
          <w:rStyle w:val="FootnoteAnchor"/>
          <w:rtl w:val="true"/>
        </w:rPr>
        <w:footnoteReference w:id="88"/>
      </w:r>
      <w:r>
        <w:rPr>
          <w:rFonts w:ascii="Amiri" w:hAnsi="Amiri" w:eastAsia="Amiri" w:cs="Amiri"/>
          <w:color w:val="111111"/>
          <w:sz w:val="28"/>
          <w:sz w:val="28"/>
          <w:szCs w:val="28"/>
          <w:rtl w:val="true"/>
          <w:lang w:bidi="ar-SA"/>
        </w:rPr>
        <w:t>بصورةِ الإثباتِ‌؛ لأنّه لا فَرقَ بَينَ ذلكَ 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يَتَّبِعْ‌</w:t>
      </w:r>
      <w:r>
        <w:rPr>
          <w:rStyle w:val="FootnoteAnchor"/>
          <w:rtl w:val="true"/>
        </w:rPr>
        <w:footnoteReference w:id="89"/>
      </w:r>
      <w:r>
        <w:rPr>
          <w:rFonts w:ascii="Amiri" w:hAnsi="Amiri" w:eastAsia="Amiri" w:cs="Amiri"/>
          <w:color w:val="111111"/>
          <w:sz w:val="28"/>
          <w:sz w:val="28"/>
          <w:szCs w:val="28"/>
          <w:rtl w:val="true"/>
          <w:lang w:bidi="ar-SA"/>
        </w:rPr>
        <w:t>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في</w:t>
      </w:r>
      <w:r>
        <w:rPr>
          <w:rStyle w:val="FootnoteAnchor"/>
          <w:rtl w:val="true"/>
        </w:rPr>
        <w:footnoteReference w:id="90"/>
      </w:r>
      <w:r>
        <w:rPr>
          <w:rFonts w:ascii="Amiri" w:hAnsi="Amiri" w:eastAsia="Amiri" w:cs="Amiri"/>
          <w:color w:val="111111"/>
          <w:sz w:val="28"/>
          <w:sz w:val="28"/>
          <w:szCs w:val="28"/>
          <w:rtl w:val="true"/>
          <w:lang w:bidi="ar-SA"/>
        </w:rPr>
        <w:t>التعارُفِ‌</w:t>
      </w:r>
      <w:r>
        <w:rPr>
          <w:rStyle w:val="FootnoteAnchor"/>
          <w:rtl w:val="true"/>
        </w:rPr>
        <w:footnoteReference w:id="91"/>
      </w:r>
      <w:r>
        <w:rPr>
          <w:rFonts w:ascii="Amiri" w:hAnsi="Amiri" w:eastAsia="Amiri" w:cs="Amiri"/>
          <w:color w:val="111111"/>
          <w:sz w:val="28"/>
          <w:sz w:val="28"/>
          <w:szCs w:val="28"/>
          <w:rtl w:val="true"/>
          <w:lang w:bidi="ar-SA"/>
        </w:rPr>
        <w:t>لأنّ أحَدَنا لَو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غيرَ طعامي</w:t>
      </w:r>
      <w:r>
        <w:rPr>
          <w:rStyle w:val="FootnoteAnchor"/>
          <w:rtl w:val="true"/>
        </w:rPr>
        <w:footnoteReference w:id="92"/>
      </w:r>
      <w:r>
        <w:rPr>
          <w:rFonts w:ascii="Amiri" w:hAnsi="Amiri" w:eastAsia="Amiri" w:cs="Amiri"/>
          <w:color w:val="111111"/>
          <w:sz w:val="28"/>
          <w:sz w:val="28"/>
          <w:szCs w:val="28"/>
          <w:rtl w:val="true"/>
          <w:lang w:bidi="ar-SA"/>
        </w:rPr>
        <w:t>فله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فالمتعارَفُ مِن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93"/>
      </w:r>
      <w:r>
        <w:rPr>
          <w:rFonts w:ascii="Amiri" w:hAnsi="Amiri" w:eastAsia="Amiri" w:cs="Amiri"/>
          <w:color w:val="111111"/>
          <w:sz w:val="28"/>
          <w:sz w:val="28"/>
          <w:szCs w:val="28"/>
          <w:rtl w:val="true"/>
          <w:lang w:bidi="ar-SA"/>
        </w:rPr>
        <w:t xml:space="preserve">أنّ آكِلَ </w:t>
      </w:r>
      <w:r>
        <w:rPr>
          <w:rStyle w:val="FootnoteAnchor"/>
          <w:rtl w:val="true"/>
        </w:rPr>
        <w:footnoteReference w:id="94"/>
      </w:r>
      <w:r>
        <w:rPr>
          <w:rFonts w:ascii="Amiri" w:hAnsi="Amiri" w:eastAsia="Amiri" w:cs="Amiri"/>
          <w:color w:val="111111"/>
          <w:sz w:val="28"/>
          <w:sz w:val="28"/>
          <w:szCs w:val="28"/>
          <w:rtl w:val="true"/>
          <w:lang w:bidi="ar-SA"/>
        </w:rPr>
        <w:t>طعامِه مُخالِفٌ لذلكَ ، و أنّ العُقوبةَ إنّما تَتعلَّقُ بخُروجِه عن أن يَكونَ آكِلاً لطعامِه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لَيسَ بواجبٍ‌</w:t>
      </w:r>
      <w:r>
        <w:rPr>
          <w:rStyle w:val="FootnoteAnchor"/>
          <w:rtl w:val="true"/>
        </w:rPr>
        <w:footnoteReference w:id="96"/>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للاستثناءِ‌، بَل جائزٌ أن يَكونَ‌</w:t>
      </w:r>
      <w:r>
        <w:rPr>
          <w:rStyle w:val="FootnoteAnchor"/>
          <w:rtl w:val="true"/>
        </w:rPr>
        <w:footnoteReference w:id="97"/>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w:t>
      </w:r>
      <w:r>
        <w:rPr>
          <w:rStyle w:val="FootnoteAnchor"/>
          <w:rtl w:val="true"/>
        </w:rPr>
        <w:footnoteReference w:id="98"/>
      </w:r>
      <w:r>
        <w:rPr>
          <w:rFonts w:ascii="Amiri" w:hAnsi="Amiri" w:eastAsia="Amiri" w:cs="Amiri"/>
          <w:color w:val="111111"/>
          <w:sz w:val="28"/>
          <w:sz w:val="28"/>
          <w:szCs w:val="28"/>
          <w:rtl w:val="true"/>
          <w:lang w:bidi="ar-SA"/>
        </w:rPr>
        <w:t>تَعالىٰ قالَ‌</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w:t>
      </w:r>
      <w:r>
        <w:rPr>
          <w:rStyle w:val="FootnoteAnchor"/>
          <w:rtl w:val="true"/>
        </w:rPr>
        <w:footnoteReference w:id="100"/>
      </w:r>
      <w:r>
        <w:rPr>
          <w:rFonts w:ascii="Amiri" w:hAnsi="Amiri" w:eastAsia="Amiri" w:cs="Amiri"/>
          <w:color w:val="111111"/>
          <w:sz w:val="28"/>
          <w:sz w:val="28"/>
          <w:szCs w:val="28"/>
          <w:rtl w:val="true"/>
          <w:lang w:bidi="ar-SA"/>
        </w:rPr>
        <w:t>خِلافَ سَبيلِ المؤمنينَ و</w:t>
      </w:r>
      <w:r>
        <w:rPr>
          <w:rStyle w:val="FootnoteAnchor"/>
          <w:rtl w:val="true"/>
        </w:rPr>
        <w:footnoteReference w:id="101"/>
      </w:r>
      <w:r>
        <w:rPr>
          <w:rFonts w:ascii="Amiri" w:hAnsi="Amiri" w:eastAsia="Amiri" w:cs="Amiri"/>
          <w:color w:val="111111"/>
          <w:sz w:val="28"/>
          <w:sz w:val="28"/>
          <w:szCs w:val="28"/>
          <w:rtl w:val="true"/>
          <w:lang w:bidi="ar-SA"/>
        </w:rPr>
        <w:t>ما هو غيرٌ لسَبيلِهم</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w:t>
      </w:r>
      <w:r>
        <w:rPr>
          <w:rStyle w:val="FootnoteAnchor"/>
          <w:rtl w:val="true"/>
        </w:rPr>
        <w:footnoteReference w:id="103"/>
      </w:r>
      <w:r>
        <w:rPr>
          <w:rFonts w:ascii="Amiri" w:hAnsi="Amiri" w:eastAsia="Amiri" w:cs="Amiri"/>
          <w:color w:val="111111"/>
          <w:sz w:val="28"/>
          <w:sz w:val="28"/>
          <w:szCs w:val="28"/>
          <w:rtl w:val="true"/>
          <w:lang w:bidi="ar-SA"/>
        </w:rPr>
        <w:t>إلّاسَبيلَهم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الغَيرِ المحظورِ</w:t>
      </w:r>
      <w:r>
        <w:rPr>
          <w:rStyle w:val="FootnoteAnchor"/>
          <w:rtl w:val="true"/>
        </w:rPr>
        <w:footnoteReference w:id="104"/>
      </w:r>
      <w:r>
        <w:rPr>
          <w:rFonts w:ascii="Amiri" w:hAnsi="Amiri" w:eastAsia="Amiri" w:cs="Amiri"/>
          <w:color w:val="111111"/>
          <w:sz w:val="28"/>
          <w:sz w:val="28"/>
          <w:szCs w:val="28"/>
          <w:rtl w:val="true"/>
          <w:lang w:bidi="ar-SA"/>
        </w:rPr>
        <w:t>اتّباعُه و إن كانَت لا تَتِمُّ إلّابمعرفةِ سَبيلِهم علىٰ ما ذَكَرَ،</w:t>
      </w:r>
    </w:p>
    <w:p>
      <w:pPr>
        <w:pStyle w:val="BookText"/>
        <w:rPr/>
      </w:pPr>
      <w:r>
        <w:rPr>
          <w:rFonts w:ascii="Amiri" w:hAnsi="Amiri" w:eastAsia="Amiri" w:cs="Amiri"/>
          <w:color w:val="111111"/>
          <w:sz w:val="28"/>
          <w:sz w:val="28"/>
          <w:szCs w:val="28"/>
          <w:rtl w:val="true"/>
          <w:lang w:bidi="ar-SA"/>
        </w:rPr>
        <w:t>فغَيرُ مُمتَنِعٍ أن يَكونَ حُكمُه موافِقاً لحُكمِ اتّباعِ سَبيلِهم في الحَظْرِ</w:t>
      </w:r>
      <w:r>
        <w:rPr>
          <w:rStyle w:val="FootnoteAnchor"/>
          <w:rtl w:val="true"/>
        </w:rPr>
        <w:footnoteReference w:id="105"/>
      </w:r>
      <w:r>
        <w:rPr>
          <w:rFonts w:ascii="Amiri" w:hAnsi="Amiri" w:eastAsia="Amiri" w:cs="Amiri"/>
          <w:color w:val="111111"/>
          <w:sz w:val="28"/>
          <w:sz w:val="28"/>
          <w:szCs w:val="28"/>
          <w:rtl w:val="true"/>
          <w:lang w:bidi="ar-SA"/>
        </w:rPr>
        <w:t>، و لا يَجِبُ أن يَكونَ واجِباً مِن حَيثُ كانَ الأوّلُ محظوراً و كانَت معرفتُه لا تَتِمُّ إلّابمعرفتِه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بَينَ ذلكَ و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يَتَّبِعْ </w:t>
      </w:r>
      <w:r>
        <w:rPr>
          <w:rStyle w:val="FootnoteAnchor"/>
          <w:rtl w:val="true"/>
        </w:rPr>
        <w:footnoteReference w:id="106"/>
      </w:r>
      <w:r>
        <w:rPr>
          <w:rFonts w:ascii="Amiri" w:hAnsi="Amiri" w:eastAsia="Amiri" w:cs="Amiri"/>
          <w:color w:val="111111"/>
          <w:sz w:val="28"/>
          <w:sz w:val="28"/>
          <w:szCs w:val="28"/>
          <w:rtl w:val="true"/>
          <w:lang w:bidi="ar-SA"/>
        </w:rPr>
        <w:t xml:space="preserve">غيرَ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ظَنَّ أنّه لَو استَعمَلَ هذا اللفظَ لَفَهِمنا مِنه ما ادَّعاه </w:t>
      </w:r>
    </w:p>
    <w:p>
      <w:pPr>
        <w:pStyle w:val="BookText"/>
        <w:rPr/>
      </w:pPr>
      <w:r>
        <w:rPr>
          <w:rFonts w:ascii="Amiri" w:hAnsi="Amiri" w:eastAsia="Amiri" w:cs="Amiri"/>
          <w:color w:val="111111"/>
          <w:sz w:val="28"/>
          <w:sz w:val="28"/>
          <w:szCs w:val="28"/>
          <w:rtl w:val="true"/>
          <w:lang w:bidi="ar-SA"/>
        </w:rPr>
        <w:t>مِن إيجابِ‌</w:t>
      </w:r>
      <w:r>
        <w:rPr>
          <w:rStyle w:val="FootnoteAnchor"/>
          <w:rtl w:val="true"/>
        </w:rPr>
        <w:footnoteReference w:id="107"/>
      </w:r>
      <w:r>
        <w:rPr>
          <w:rFonts w:ascii="Amiri" w:hAnsi="Amiri" w:eastAsia="Amiri" w:cs="Amiri"/>
          <w:color w:val="111111"/>
          <w:sz w:val="28"/>
          <w:sz w:val="28"/>
          <w:szCs w:val="28"/>
          <w:rtl w:val="true"/>
          <w:lang w:bidi="ar-SA"/>
        </w:rPr>
        <w:t>اتّباعِ سَبيلِهم، و لَيسَ الأمرُ كما ظَنَّ‌، بَل التأويلُ الذي تأوَّلناه و دَلَّلنا علَى احتمالِ اللفظِ الأوّلِ له قائمٌ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المَثَلِ الذي ضَرَبَه أيضاً هذا الحُكمُ‌؛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غيرَ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غيرَ طعامي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ظاهرِ لفظِه و مُجرَّدِه</w:t>
      </w:r>
      <w:r>
        <w:rPr>
          <w:rStyle w:val="FootnoteAnchor"/>
          <w:rtl w:val="true"/>
        </w:rPr>
        <w:footnoteReference w:id="108"/>
      </w:r>
      <w:r>
        <w:rPr>
          <w:rFonts w:ascii="Amiri" w:hAnsi="Amiri" w:eastAsia="Amiri" w:cs="Amiri"/>
          <w:color w:val="111111"/>
          <w:sz w:val="28"/>
          <w:sz w:val="28"/>
          <w:szCs w:val="28"/>
          <w:rtl w:val="true"/>
          <w:lang w:bidi="ar-SA"/>
        </w:rPr>
        <w:t xml:space="preserve">إيجابُ أكلِ طعامِه، بَل المفهومُ حَظْرُ أكلِ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لطعامِه</w:t>
      </w:r>
      <w:r>
        <w:rPr>
          <w:rStyle w:val="FootnoteAnchor"/>
          <w:rtl w:val="true"/>
        </w:rPr>
        <w:footnoteReference w:id="109"/>
      </w:r>
      <w:r>
        <w:rPr>
          <w:rFonts w:ascii="Amiri" w:hAnsi="Amiri" w:eastAsia="Amiri" w:cs="Amiri"/>
          <w:color w:val="111111"/>
          <w:sz w:val="28"/>
          <w:sz w:val="28"/>
          <w:szCs w:val="28"/>
          <w:rtl w:val="true"/>
          <w:lang w:bidi="ar-SA"/>
        </w:rPr>
        <w:t>، و حالُ طعامِه في الحَظْرِ أو</w:t>
      </w:r>
      <w:r>
        <w:rPr>
          <w:rStyle w:val="FootnoteAnchor"/>
          <w:rtl w:val="true"/>
        </w:rPr>
        <w:footnoteReference w:id="110"/>
      </w:r>
      <w:r>
        <w:rPr>
          <w:rFonts w:ascii="Amiri" w:hAnsi="Amiri" w:eastAsia="Amiri" w:cs="Amiri"/>
          <w:color w:val="111111"/>
          <w:sz w:val="28"/>
          <w:sz w:val="28"/>
          <w:szCs w:val="28"/>
          <w:rtl w:val="true"/>
          <w:lang w:bidi="ar-SA"/>
        </w:rPr>
        <w:t>الإباحةِ أو الإيجابِ‌</w:t>
      </w:r>
      <w:r>
        <w:rPr>
          <w:rStyle w:val="FootnoteAnchor"/>
          <w:rtl w:val="true"/>
        </w:rPr>
        <w:footnoteReference w:id="111"/>
      </w:r>
      <w:r>
        <w:rPr>
          <w:rFonts w:ascii="Amiri" w:hAnsi="Amiri" w:eastAsia="Amiri" w:cs="Amiri"/>
          <w:color w:val="111111"/>
          <w:sz w:val="28"/>
          <w:sz w:val="28"/>
          <w:szCs w:val="28"/>
          <w:rtl w:val="true"/>
          <w:lang w:bidi="ar-SA"/>
        </w:rPr>
        <w:t xml:space="preserve">موقوفةٌ علَى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أحوالِ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ذَهَبَ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 الاستثناءِ و غيرِه، و أنّ ظاهرَها لا يُفيدُ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مُحتَمِلاً لِما ذَكَرناه مِن حَظْرِ أكلِ غيرِ طعامِه، و مُحتَمِلاً لإيجابِ أكلِ طَعامِه و 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يُفهَمُ في بعضِ المَواضعِ عن مُستَعمِلِ هذا اللفظِ إيجابَ أكلِ طعامِه لا بمُجرَّدِ اللفظِ؛ بَل بأن يُعرَفَ قَصدُه إلَى الإيجابِ ، أو بغَيرِ</w:t>
      </w:r>
      <w:r>
        <w:rPr>
          <w:rStyle w:val="FootnoteAnchor"/>
          <w:rtl w:val="true"/>
        </w:rPr>
        <w:footnoteReference w:id="112"/>
      </w:r>
      <w:r>
        <w:rPr>
          <w:rFonts w:ascii="Amiri" w:hAnsi="Amiri" w:eastAsia="Amiri" w:cs="Amiri"/>
          <w:color w:val="111111"/>
          <w:sz w:val="28"/>
          <w:sz w:val="28"/>
          <w:szCs w:val="28"/>
          <w:rtl w:val="true"/>
          <w:lang w:bidi="ar-SA"/>
        </w:rPr>
        <w:t xml:space="preserve">ذلكَ مِن الدلائلِ المُقتَرِنةِ </w:t>
      </w:r>
      <w:r>
        <w:rPr>
          <w:rStyle w:val="FootnoteAnchor"/>
          <w:rtl w:val="true"/>
        </w:rPr>
        <w:footnoteReference w:id="113"/>
      </w:r>
      <w:r>
        <w:rPr>
          <w:rFonts w:ascii="Amiri" w:hAnsi="Amiri" w:eastAsia="Amiri" w:cs="Amiri"/>
          <w:color w:val="111111"/>
          <w:sz w:val="28"/>
          <w:sz w:val="28"/>
          <w:szCs w:val="28"/>
          <w:rtl w:val="true"/>
          <w:lang w:bidi="ar-SA"/>
        </w:rPr>
        <w:t>إلَى اللفظِ</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أنّ الأمرَ علىٰ ما ذَكَرناه لَما حَسُنَ أن يَقولَ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غيرَ طعامي عاقَبْتُه و مَن أكَلَ طعامي أيضاً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يَجِبُ أن يَكونَ نَقضاً </w:t>
      </w:r>
      <w:bookmarkStart w:id="31" w:name="pg20015_284744"/>
    </w:p>
    <w:p>
      <w:pPr>
        <w:pStyle w:val="BookText"/>
        <w:rPr/>
      </w:pPr>
      <w:bookmarkEnd w:id="31"/>
      <w:r>
        <w:rPr>
          <w:rFonts w:ascii="Amiri" w:hAnsi="Amiri" w:eastAsia="Amiri" w:cs="Amiri"/>
          <w:color w:val="111111"/>
          <w:sz w:val="28"/>
          <w:sz w:val="28"/>
          <w:szCs w:val="28"/>
          <w:rtl w:val="true"/>
          <w:lang w:bidi="ar-SA"/>
        </w:rPr>
        <w:t>و جارياً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إلّاطعامي عاقَبْتُه و مَن أكَلَ طعامي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حَسُنَ ذلكَ مع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يَحسُنْ مع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علىٰ صحّةِ قَولِنا</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94741_2320776876"/>
      <w:bookmarkStart w:id="33" w:name="_Toc12"/>
      <w:bookmarkEnd w:id="32"/>
      <w:r>
        <w:rPr>
          <w:rtl w:val="true"/>
        </w:rPr>
        <w:t>توجيه معنى الآية بناء علىٰ رفض دلالتها علىٰ وجوب اتّباع سبيل المؤمنين</w:t>
      </w:r>
      <w:bookmarkEnd w:id="3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w:t>
      </w:r>
      <w:r>
        <w:rPr>
          <w:rStyle w:val="FootnoteAnchor"/>
          <w:rtl w:val="true"/>
        </w:rPr>
        <w:footnoteReference w:id="114"/>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سَبيلِ المؤمنينَ لَو</w:t>
      </w:r>
      <w:r>
        <w:rPr>
          <w:rStyle w:val="FootnoteAnchor"/>
          <w:rtl w:val="true"/>
        </w:rPr>
        <w:footnoteReference w:id="115"/>
      </w:r>
      <w:r>
        <w:rPr>
          <w:rFonts w:ascii="Amiri" w:hAnsi="Amiri" w:eastAsia="Amiri" w:cs="Amiri"/>
          <w:color w:val="111111"/>
          <w:sz w:val="28"/>
          <w:sz w:val="28"/>
          <w:szCs w:val="28"/>
          <w:rtl w:val="true"/>
          <w:lang w:bidi="ar-SA"/>
        </w:rPr>
        <w:t>لَم يَكُنْ حُجّةً و صَواباً،</w:t>
      </w:r>
      <w:r>
        <w:rPr>
          <w:rStyle w:val="FootnoteAnchor"/>
          <w:rtl w:val="true"/>
        </w:rPr>
        <w:footnoteReference w:id="116"/>
      </w:r>
      <w:r>
        <w:rPr>
          <w:rFonts w:ascii="Amiri" w:hAnsi="Amiri" w:eastAsia="Amiri" w:cs="Amiri"/>
          <w:color w:val="111111"/>
          <w:sz w:val="28"/>
          <w:sz w:val="28"/>
          <w:szCs w:val="28"/>
          <w:rtl w:val="true"/>
          <w:lang w:bidi="ar-SA"/>
        </w:rPr>
        <w:t>لَكانَ حالُه في أنّه قد يَكونُ صَواباً و خطأً بحَسَبِ قيامِ الدَّلالةِ علىٰ ذلكَ‌</w:t>
      </w:r>
      <w:r>
        <w:rPr>
          <w:rStyle w:val="FootnoteAnchor"/>
          <w:rtl w:val="true"/>
        </w:rPr>
        <w:footnoteReference w:id="117"/>
      </w:r>
      <w:r>
        <w:rPr>
          <w:rFonts w:ascii="Amiri" w:hAnsi="Amiri" w:eastAsia="Amiri" w:cs="Amiri"/>
          <w:color w:val="111111"/>
          <w:sz w:val="28"/>
          <w:sz w:val="28"/>
          <w:szCs w:val="28"/>
          <w:rtl w:val="true"/>
          <w:lang w:bidi="ar-SA"/>
        </w:rPr>
        <w:t>حالَ اتّباعِ‌</w:t>
      </w:r>
      <w:r>
        <w:rPr>
          <w:rStyle w:val="FootnoteAnchor"/>
          <w:rtl w:val="true"/>
        </w:rPr>
        <w:footnoteReference w:id="118"/>
      </w:r>
      <w:r>
        <w:rPr>
          <w:rFonts w:ascii="Amiri" w:hAnsi="Amiri" w:eastAsia="Amiri" w:cs="Amiri"/>
          <w:color w:val="111111"/>
          <w:sz w:val="28"/>
          <w:sz w:val="28"/>
          <w:szCs w:val="28"/>
          <w:rtl w:val="true"/>
          <w:lang w:bidi="ar-SA"/>
        </w:rPr>
        <w:t xml:space="preserve">غيرِ سَبيلِهم في أنّه قد يَكونُ صَواباً و خطأً، و لَو كانَ كذلكَ لَم يَصِحَّ أن يُعلَّقَ </w:t>
      </w:r>
      <w:r>
        <w:rPr>
          <w:rStyle w:val="FootnoteAnchor"/>
          <w:rtl w:val="true"/>
        </w:rPr>
        <w:footnoteReference w:id="119"/>
      </w:r>
      <w:r>
        <w:rPr>
          <w:rFonts w:ascii="Amiri" w:hAnsi="Amiri" w:eastAsia="Amiri" w:cs="Amiri"/>
          <w:color w:val="111111"/>
          <w:sz w:val="28"/>
          <w:sz w:val="28"/>
          <w:szCs w:val="28"/>
          <w:rtl w:val="true"/>
          <w:lang w:bidi="ar-SA"/>
        </w:rPr>
        <w:t xml:space="preserve">الوعيدُ باتّباعِ </w:t>
      </w:r>
      <w:r>
        <w:rPr>
          <w:rStyle w:val="FootnoteAnchor"/>
          <w:rtl w:val="true"/>
        </w:rPr>
        <w:footnoteReference w:id="120"/>
      </w:r>
      <w:r>
        <w:rPr>
          <w:rFonts w:ascii="Amiri" w:hAnsi="Amiri" w:eastAsia="Amiri" w:cs="Amiri"/>
          <w:color w:val="111111"/>
          <w:sz w:val="28"/>
          <w:sz w:val="28"/>
          <w:szCs w:val="28"/>
          <w:rtl w:val="true"/>
          <w:lang w:bidi="ar-SA"/>
        </w:rPr>
        <w:t>غيرِ سَبيلِهم، دونَ اتّباعِ سَبيلِهم</w:t>
      </w:r>
      <w:r>
        <w:rPr>
          <w:rStyle w:val="FootnoteAnchor"/>
          <w:rtl w:val="true"/>
        </w:rPr>
        <w:footnoteReference w:id="121"/>
      </w:r>
      <w:r>
        <w:rPr>
          <w:rFonts w:ascii="Amiri" w:hAnsi="Amiri" w:eastAsia="Amiri" w:cs="Amiri"/>
          <w:color w:val="111111"/>
          <w:sz w:val="28"/>
          <w:sz w:val="28"/>
          <w:szCs w:val="28"/>
          <w:rtl w:val="true"/>
          <w:lang w:bidi="ar-SA"/>
        </w:rPr>
        <w:t xml:space="preserve">فكانَ </w:t>
      </w:r>
      <w:r>
        <w:rPr>
          <w:rStyle w:val="FootnoteAnchor"/>
          <w:rtl w:val="true"/>
        </w:rPr>
        <w:footnoteReference w:id="122"/>
      </w:r>
      <w:r>
        <w:rPr>
          <w:rFonts w:ascii="Amiri" w:hAnsi="Amiri" w:eastAsia="Amiri" w:cs="Amiri"/>
          <w:color w:val="111111"/>
          <w:sz w:val="28"/>
          <w:sz w:val="28"/>
          <w:szCs w:val="28"/>
          <w:rtl w:val="true"/>
          <w:lang w:bidi="ar-SA"/>
        </w:rPr>
        <w:t xml:space="preserve">يَبطُلُ معنَى الكلامِ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مُنكَرٍ</w:t>
      </w:r>
      <w:r>
        <w:rPr>
          <w:rStyle w:val="FootnoteAnchor"/>
          <w:rtl w:val="true"/>
        </w:rPr>
        <w:footnoteReference w:id="124"/>
      </w:r>
      <w:r>
        <w:rPr>
          <w:rFonts w:ascii="Amiri" w:hAnsi="Amiri" w:eastAsia="Amiri" w:cs="Amiri"/>
          <w:color w:val="111111"/>
          <w:sz w:val="28"/>
          <w:sz w:val="28"/>
          <w:szCs w:val="28"/>
          <w:rtl w:val="true"/>
          <w:lang w:bidi="ar-SA"/>
        </w:rPr>
        <w:t>أن يُعلَّقَ الوعيدُ باتّباعِ غيرِ سَبيلِهم، و كانَ لا يَبطُلُ معنَى الكلامِ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مِن حَيثُ عُلِمَ أنّ ذلكَ لا يَكونُ إلّاخطأً، و يَكونُ اتّباعُ سَبيلِهم مِمّا يَجوزُ أن يَكونَ خطأً و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كذلكَ‌، و كانَ الأمرانِ مُتَساويَينِ‌، لَجازَ أن يُعلَّقَ الوعيدُ بأحَدِهما دونَ الآخَرِ، و يَكونَ الصَّلاحُ للمُكَلَّفينَ أن يَعلَموا حَظْرَ اتّباعِ غيرِ سَبيلِهم بهذا اللفظِ، و يَعلَموا مُساواةَ اتّباعِ سَبيلِهم له في الحَظْرِ بدليلٍ آخَرَ، كما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خُصومِنا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w:t>
      </w:r>
      <w:r>
        <w:rPr>
          <w:rStyle w:val="FootnoteAnchor"/>
          <w:rtl w:val="true"/>
        </w:rPr>
        <w:footnoteReference w:id="128"/>
      </w:r>
      <w:r>
        <w:rPr>
          <w:rFonts w:ascii="Amiri" w:hAnsi="Amiri" w:eastAsia="Amiri" w:cs="Amiri"/>
          <w:color w:val="111111"/>
          <w:sz w:val="28"/>
          <w:sz w:val="28"/>
          <w:szCs w:val="28"/>
          <w:rtl w:val="true"/>
          <w:lang w:bidi="ar-SA"/>
        </w:rPr>
        <w:t>الغَنَمِ الزكاةُ‌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لا يَجِبُ أن يُفهَمَ مِنه رَفعُ الزكاةِ عمّا لَيسَ بسائمٍ و مُفارَقةُ حالِه لحالِ السائمةِ‌، بَل يَجوزُ أن يَكونَ الحُكمُ واحداً، نَعلَمُه</w:t>
      </w:r>
      <w:r>
        <w:rPr>
          <w:rStyle w:val="FootnoteAnchor"/>
          <w:rtl w:val="true"/>
        </w:rPr>
        <w:footnoteReference w:id="130"/>
      </w:r>
      <w:r>
        <w:rPr>
          <w:rFonts w:ascii="Amiri" w:hAnsi="Amiri" w:eastAsia="Amiri" w:cs="Amiri"/>
          <w:color w:val="111111"/>
          <w:sz w:val="28"/>
          <w:sz w:val="28"/>
          <w:szCs w:val="28"/>
          <w:rtl w:val="true"/>
          <w:lang w:bidi="ar-SA"/>
        </w:rPr>
        <w:t>في السائمةِ بهذا القَولِ‌، و في غيرِها بدليلٍ آخَرَ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هذه الشُّبهةِ التي تَشبَّثَ بها صاحبُ الكتابِ يَتعلَّقُ </w:t>
      </w:r>
      <w:r>
        <w:rPr>
          <w:rStyle w:val="FootnoteAnchor"/>
          <w:rtl w:val="true"/>
        </w:rPr>
        <w:footnoteReference w:id="131"/>
      </w:r>
      <w:r>
        <w:rPr>
          <w:rFonts w:ascii="Amiri" w:hAnsi="Amiri" w:eastAsia="Amiri" w:cs="Amiri"/>
          <w:color w:val="111111"/>
          <w:sz w:val="28"/>
          <w:sz w:val="28"/>
          <w:szCs w:val="28"/>
          <w:rtl w:val="true"/>
          <w:lang w:bidi="ar-SA"/>
        </w:rPr>
        <w:t>مَن خالَفَنا</w:t>
      </w:r>
      <w:r>
        <w:rPr>
          <w:rStyle w:val="FootnoteAnchor"/>
          <w:rtl w:val="true"/>
        </w:rPr>
        <w:footnoteReference w:id="13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الخِطابِ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حُكمَ ما لَيسَ بسائمٍ مُخالِفٌ للسائمِ </w:t>
      </w:r>
      <w:bookmarkStart w:id="34" w:name="pg20015_284746"/>
    </w:p>
    <w:p>
      <w:pPr>
        <w:pStyle w:val="BookText"/>
        <w:rPr/>
      </w:pPr>
      <w:bookmarkEnd w:id="34"/>
      <w:r>
        <w:rPr>
          <w:rFonts w:ascii="Amiri" w:hAnsi="Amiri" w:eastAsia="Amiri" w:cs="Amiri"/>
          <w:color w:val="111111"/>
          <w:sz w:val="28"/>
          <w:sz w:val="28"/>
          <w:szCs w:val="28"/>
          <w:rtl w:val="true"/>
          <w:lang w:bidi="ar-SA"/>
        </w:rPr>
        <w:t>لَم يَكُنْ‌</w:t>
      </w:r>
      <w:r>
        <w:rPr>
          <w:rStyle w:val="FootnoteAnchor"/>
          <w:rtl w:val="true"/>
        </w:rPr>
        <w:footnoteReference w:id="134"/>
      </w:r>
      <w:r>
        <w:rPr>
          <w:rFonts w:ascii="Amiri" w:hAnsi="Amiri" w:eastAsia="Amiri" w:cs="Amiri"/>
          <w:color w:val="111111"/>
          <w:sz w:val="28"/>
          <w:sz w:val="28"/>
          <w:szCs w:val="28"/>
          <w:rtl w:val="true"/>
          <w:lang w:bidi="ar-SA"/>
        </w:rPr>
        <w:t>لتعليقِ‌</w:t>
      </w:r>
      <w:r>
        <w:rPr>
          <w:rStyle w:val="FootnoteAnchor"/>
          <w:rtl w:val="true"/>
        </w:rPr>
        <w:footnoteReference w:id="135"/>
      </w:r>
      <w:r>
        <w:rPr>
          <w:rFonts w:ascii="Amiri" w:hAnsi="Amiri" w:eastAsia="Amiri" w:cs="Amiri"/>
          <w:color w:val="111111"/>
          <w:sz w:val="28"/>
          <w:sz w:val="28"/>
          <w:szCs w:val="28"/>
          <w:rtl w:val="true"/>
          <w:lang w:bidi="ar-SA"/>
        </w:rPr>
        <w:t>الزكاةِ بالسائمةِ معنىً‌، و إذا عُلِّقَ بالسائمةِ وَجَبَ أن يُخالِفَ‌</w:t>
      </w:r>
    </w:p>
    <w:p>
      <w:pPr>
        <w:pStyle w:val="BookText"/>
        <w:rPr/>
      </w:pPr>
      <w:r>
        <w:rPr>
          <w:rFonts w:ascii="Amiri" w:hAnsi="Amiri" w:eastAsia="Amiri" w:cs="Amiri"/>
          <w:color w:val="111111"/>
          <w:sz w:val="28"/>
          <w:sz w:val="28"/>
          <w:szCs w:val="28"/>
          <w:rtl w:val="true"/>
          <w:lang w:bidi="ar-SA"/>
        </w:rPr>
        <w:t>حُكمُها حُكمَ ما لَيسَ بسائمٍ‌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لجميعِنا إلىٰ إبطالِ‌</w:t>
      </w:r>
      <w:r>
        <w:rPr>
          <w:rStyle w:val="FootnoteAnchor"/>
          <w:rtl w:val="true"/>
        </w:rPr>
        <w:footnoteReference w:id="136"/>
      </w:r>
      <w:r>
        <w:rPr>
          <w:rFonts w:ascii="Amiri" w:hAnsi="Amiri" w:eastAsia="Amiri" w:cs="Amiri"/>
          <w:color w:val="111111"/>
          <w:sz w:val="28"/>
          <w:sz w:val="28"/>
          <w:szCs w:val="28"/>
          <w:rtl w:val="true"/>
          <w:lang w:bidi="ar-SA"/>
        </w:rPr>
        <w:t xml:space="preserve">هذه الطريقةِ إذا تَعلَّقَ بها الناصرُ لدليلِ الخِطابِ ، إلّاما سَلَكناه في دَفعِ ما أَورَدَه في نُصرةِ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هؤلاءِ القَومُ علىٰ سَنَنٍ مِن نُصرةِ مَذاهبِهم و الذَّبِّ عنها، حتّىٰ إذا وَقَعوا</w:t>
      </w:r>
      <w:r>
        <w:rPr>
          <w:rStyle w:val="FootnoteAnchor"/>
          <w:rtl w:val="true"/>
        </w:rPr>
        <w:footnoteReference w:id="137"/>
      </w:r>
      <w:r>
        <w:rPr>
          <w:rFonts w:ascii="Amiri" w:hAnsi="Amiri" w:eastAsia="Amiri" w:cs="Amiri"/>
          <w:color w:val="111111"/>
          <w:sz w:val="28"/>
          <w:sz w:val="28"/>
          <w:szCs w:val="28"/>
          <w:rtl w:val="true"/>
          <w:lang w:bidi="ar-SA"/>
        </w:rPr>
        <w:t xml:space="preserve">إلَى الكلامِ </w:t>
      </w:r>
      <w:r>
        <w:rPr>
          <w:rStyle w:val="FootnoteAnchor"/>
          <w:rtl w:val="true"/>
        </w:rPr>
        <w:footnoteReference w:id="138"/>
      </w:r>
      <w:r>
        <w:rPr>
          <w:rFonts w:ascii="Amiri" w:hAnsi="Amiri" w:eastAsia="Amiri" w:cs="Amiri"/>
          <w:color w:val="111111"/>
          <w:sz w:val="28"/>
          <w:sz w:val="28"/>
          <w:szCs w:val="28"/>
          <w:rtl w:val="true"/>
          <w:lang w:bidi="ar-SA"/>
        </w:rPr>
        <w:t>في الإمامةِ و ما يَتَّصِلُ بها، نَسوا</w:t>
      </w:r>
      <w:r>
        <w:rPr>
          <w:rStyle w:val="FootnoteAnchor"/>
          <w:rtl w:val="true"/>
        </w:rPr>
        <w:footnoteReference w:id="139"/>
      </w:r>
      <w:r>
        <w:rPr>
          <w:rFonts w:ascii="Amiri" w:hAnsi="Amiri" w:eastAsia="Amiri" w:cs="Amiri"/>
          <w:color w:val="111111"/>
          <w:sz w:val="28"/>
          <w:sz w:val="28"/>
          <w:szCs w:val="28"/>
          <w:rtl w:val="true"/>
          <w:lang w:bidi="ar-SA"/>
        </w:rPr>
        <w:t>كُلَّ ذلكَ و أعرَضوا عنه، و قَدَحوا فيها</w:t>
      </w:r>
      <w:r>
        <w:rPr>
          <w:rStyle w:val="FootnoteAnchor"/>
          <w:rtl w:val="true"/>
        </w:rPr>
        <w:footnoteReference w:id="140"/>
      </w:r>
      <w:r>
        <w:rPr>
          <w:rFonts w:ascii="Amiri" w:hAnsi="Amiri" w:eastAsia="Amiri" w:cs="Amiri"/>
          <w:color w:val="111111"/>
          <w:sz w:val="28"/>
          <w:sz w:val="28"/>
          <w:szCs w:val="28"/>
          <w:rtl w:val="true"/>
          <w:lang w:bidi="ar-SA"/>
        </w:rPr>
        <w:t xml:space="preserve">بما يَقدَحُ في أُصولِهم و يَعتَرِضُ علىٰ مَذاهبِهم، و لَيسَ يُزيِّنُ هذا إلّا الهَوىٰ و قُوّةُ العَصَبيّةِ </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894743_2320776876"/>
      <w:bookmarkStart w:id="36" w:name="_Toc13"/>
      <w:bookmarkEnd w:id="35"/>
      <w:r>
        <w:rPr>
          <w:rtl w:val="true"/>
        </w:rPr>
        <w:t>عدم التلازم بين اتّباع غير سبيل المؤمنين، و بين الخروج عن سبيلهم</w:t>
      </w:r>
      <w:bookmarkEnd w:id="3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خَرَجَ مِن أن يَكونَ سَبيلاً للمؤمِنينَ إذا حَرُمَ اتّباعُه، فإنّما وَجَبَ ذلكَ فيه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لسَبيلِهم علىٰ ما يَقتَضيه اللفظُ، 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لسَبيلِهم بمَنزلةِ كَونِه</w:t>
      </w:r>
      <w:r>
        <w:rPr>
          <w:rStyle w:val="FootnoteAnchor"/>
          <w:rtl w:val="true"/>
        </w:rPr>
        <w:footnoteReference w:id="141"/>
      </w:r>
      <w:r>
        <w:rPr>
          <w:rFonts w:ascii="Amiri" w:hAnsi="Amiri" w:eastAsia="Amiri" w:cs="Amiri"/>
          <w:color w:val="111111"/>
          <w:sz w:val="28"/>
          <w:sz w:val="28"/>
          <w:szCs w:val="28"/>
          <w:rtl w:val="true"/>
          <w:lang w:bidi="ar-SA"/>
        </w:rPr>
        <w:t xml:space="preserve">تَركاً لسَبيلِهم و خارجاً عن سَبيلِهم؛ فلا بُدَّ مِن أن يَدُلَّ علىٰ أنّ اتّباعَ سَبيلِهم هو الواجبُ ليَخرُجَ </w:t>
      </w:r>
      <w:r>
        <w:rPr>
          <w:rStyle w:val="FootnoteAnchor"/>
          <w:rtl w:val="true"/>
        </w:rPr>
        <w:footnoteReference w:id="142"/>
      </w:r>
      <w:r>
        <w:rPr>
          <w:rFonts w:ascii="Amiri" w:hAnsi="Amiri" w:eastAsia="Amiri" w:cs="Amiri"/>
          <w:color w:val="111111"/>
          <w:sz w:val="28"/>
          <w:sz w:val="28"/>
          <w:szCs w:val="28"/>
          <w:rtl w:val="true"/>
          <w:lang w:bidi="ar-SA"/>
        </w:rPr>
        <w:t>به مِن</w:t>
      </w:r>
      <w:r>
        <w:rPr>
          <w:rStyle w:val="FootnoteAnchor"/>
          <w:rtl w:val="true"/>
        </w:rPr>
        <w:footnoteReference w:id="143"/>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يَكونَ‌</w:t>
      </w:r>
      <w:r>
        <w:rPr>
          <w:rStyle w:val="FootnoteAnchor"/>
          <w:rtl w:val="true"/>
        </w:rPr>
        <w:footnoteReference w:id="144"/>
      </w:r>
      <w:r>
        <w:rPr>
          <w:rFonts w:ascii="Amiri" w:hAnsi="Amiri" w:eastAsia="Amiri" w:cs="Amiri"/>
          <w:color w:val="111111"/>
          <w:sz w:val="28"/>
          <w:sz w:val="28"/>
          <w:szCs w:val="28"/>
          <w:rtl w:val="true"/>
          <w:lang w:bidi="ar-SA"/>
        </w:rPr>
        <w:t>مُتَّبِعاً غيرَ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 أحَدِنا لغَيرِه</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خِلافَ طريقةِ </w:t>
      </w:r>
      <w:r>
        <w:rPr>
          <w:rStyle w:val="FootnoteAnchor"/>
          <w:rtl w:val="true"/>
        </w:rPr>
        <w:footnoteReference w:id="146"/>
      </w:r>
      <w:r>
        <w:rPr>
          <w:rFonts w:ascii="Amiri" w:hAnsi="Amiri" w:eastAsia="Amiri" w:cs="Amiri"/>
          <w:color w:val="111111"/>
          <w:sz w:val="28"/>
          <w:sz w:val="28"/>
          <w:szCs w:val="28"/>
          <w:rtl w:val="true"/>
          <w:lang w:bidi="ar-SA"/>
        </w:rPr>
        <w:t>الصالحينَ و غيرَ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بَعثٌ </w:t>
      </w:r>
      <w:r>
        <w:rPr>
          <w:rStyle w:val="FootnoteAnchor"/>
          <w:rtl w:val="true"/>
        </w:rPr>
        <w:footnoteReference w:id="147"/>
      </w:r>
      <w:r>
        <w:rPr>
          <w:rFonts w:ascii="Amiri" w:hAnsi="Amiri" w:eastAsia="Amiri" w:cs="Amiri"/>
          <w:color w:val="111111"/>
          <w:sz w:val="28"/>
          <w:sz w:val="28"/>
          <w:szCs w:val="28"/>
          <w:rtl w:val="true"/>
          <w:lang w:bidi="ar-SA"/>
        </w:rPr>
        <w:t xml:space="preserve">له علَى اتّباعِ سَبيلِ الصالحينَ و أن لا يَخرُجَ عن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أن يَذكُرَه و يوجِبَ اتّباعَه، أو يَتوعَّدَ علىٰ غيرِهِ و خِلافِه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يَزِدْ فيه علَى الدَّعوىٰ‌، و لَو سَلَّمنا له ما ادَّعاه مِن التعليلِ‌، لَم يَجِبْ أن يَكونَ اتّباعُ غيرِ سَبيلِهم بمَنزلةِ الخُروجِ عن سَبيلِهم؛ لأنّ اتّباعَ غيرِ سَبيلِهم لا بُدَّ أن يَكونَ اتّباعاً لسَبيلٍ مّا لَيسَت</w:t>
      </w:r>
      <w:r>
        <w:rPr>
          <w:rStyle w:val="FootnoteAnchor"/>
          <w:rtl w:val="true"/>
        </w:rPr>
        <w:footnoteReference w:id="149"/>
      </w:r>
      <w:r>
        <w:rPr>
          <w:rFonts w:ascii="Amiri" w:hAnsi="Amiri" w:eastAsia="Amiri" w:cs="Amiri"/>
          <w:color w:val="111111"/>
          <w:sz w:val="28"/>
          <w:sz w:val="28"/>
          <w:szCs w:val="28"/>
          <w:rtl w:val="true"/>
          <w:lang w:bidi="ar-SA"/>
        </w:rPr>
        <w:t>سَبيلاً لهم، و الخُروجَ عن اتّباعِ سَبيلِهم لَيسَ كذلكَ‌؛ لأنّه قد يَخرُجُ عن اتّباعِ سَبيلِهم و غيرِ سَبيلِهم بأن لا يَكونَ مُتَّبِعاً لسَبيلِ أحَدٍ؛ لأنّ‌</w:t>
      </w:r>
    </w:p>
    <w:p>
      <w:pPr>
        <w:pStyle w:val="BookText"/>
        <w:rPr/>
      </w:pPr>
      <w:r>
        <w:rPr>
          <w:rFonts w:ascii="Amiri" w:hAnsi="Amiri" w:eastAsia="Amiri" w:cs="Amiri"/>
          <w:color w:val="111111"/>
          <w:sz w:val="28"/>
          <w:sz w:val="28"/>
          <w:szCs w:val="28"/>
          <w:rtl w:val="true"/>
          <w:lang w:bidi="ar-SA"/>
        </w:rPr>
        <w:t>الاتّباعَ الذي أُريدَ هاهُنا</w:t>
      </w:r>
      <w:r>
        <w:rPr>
          <w:rStyle w:val="FootnoteAnchor"/>
          <w:rtl w:val="true"/>
        </w:rPr>
        <w:footnoteReference w:id="150"/>
      </w:r>
      <w:r>
        <w:rPr>
          <w:rFonts w:ascii="Amiri" w:hAnsi="Amiri" w:eastAsia="Amiri" w:cs="Amiri"/>
          <w:color w:val="111111"/>
          <w:sz w:val="28"/>
          <w:sz w:val="28"/>
          <w:szCs w:val="28"/>
          <w:rtl w:val="true"/>
          <w:lang w:bidi="ar-SA"/>
        </w:rPr>
        <w:t>، أن يَفعَلَ الفِعلَ لأجلِ فِعلِ المُتَّبَعِ علىٰ‌</w:t>
      </w:r>
      <w:r>
        <w:rPr>
          <w:rStyle w:val="FootnoteAnchor"/>
          <w:rtl w:val="true"/>
        </w:rPr>
        <w:footnoteReference w:id="151"/>
      </w:r>
      <w:r>
        <w:rPr>
          <w:rFonts w:ascii="Amiri" w:hAnsi="Amiri" w:eastAsia="Amiri" w:cs="Amiri"/>
          <w:color w:val="111111"/>
          <w:sz w:val="28"/>
          <w:sz w:val="28"/>
          <w:szCs w:val="28"/>
          <w:rtl w:val="true"/>
          <w:lang w:bidi="ar-SA"/>
        </w:rPr>
        <w:t>جهةِ التأسّي به، و قد يَجوزُ أن يَحظُرَ اللّٰهُ تَعالىٰ‌</w:t>
      </w:r>
      <w:r>
        <w:rPr>
          <w:rStyle w:val="FootnoteAnchor"/>
          <w:rtl w:val="true"/>
        </w:rPr>
        <w:footnoteReference w:id="152"/>
      </w:r>
      <w:r>
        <w:rPr>
          <w:rFonts w:ascii="Amiri" w:hAnsi="Amiri" w:eastAsia="Amiri" w:cs="Amiri"/>
          <w:color w:val="111111"/>
          <w:sz w:val="28"/>
          <w:sz w:val="28"/>
          <w:szCs w:val="28"/>
          <w:rtl w:val="true"/>
          <w:lang w:bidi="ar-SA"/>
        </w:rPr>
        <w:t>علَى المُكلَّفِ اتّباعَ سَبيلِ المؤمنينَ و غيرِ المؤمنينَ علىٰ هذا الوجهِ‌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153"/>
      </w:r>
      <w:r>
        <w:rPr>
          <w:rFonts w:ascii="Amiri" w:hAnsi="Amiri" w:eastAsia="Amiri" w:cs="Amiri"/>
          <w:color w:val="111111"/>
          <w:sz w:val="28"/>
          <w:sz w:val="28"/>
          <w:szCs w:val="28"/>
          <w:rtl w:val="true"/>
          <w:lang w:bidi="ar-SA"/>
        </w:rPr>
        <w:t>صَحَّ ما ذَكَرناه فَسَدَ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أن يَدُلَّ‌</w:t>
      </w:r>
      <w:r>
        <w:rPr>
          <w:rStyle w:val="FootnoteAnchor"/>
          <w:rtl w:val="true"/>
        </w:rPr>
        <w:footnoteReference w:id="154"/>
      </w:r>
      <w:r>
        <w:rPr>
          <w:rFonts w:ascii="Amiri" w:hAnsi="Amiri" w:eastAsia="Amiri" w:cs="Amiri"/>
          <w:color w:val="111111"/>
          <w:sz w:val="28"/>
          <w:sz w:val="28"/>
          <w:szCs w:val="28"/>
          <w:rtl w:val="true"/>
          <w:lang w:bidi="ar-SA"/>
        </w:rPr>
        <w:t>علىٰ أنّ‌</w:t>
      </w:r>
      <w:r>
        <w:rPr>
          <w:rStyle w:val="FootnoteAnchor"/>
          <w:rtl w:val="true"/>
        </w:rPr>
        <w:footnoteReference w:id="155"/>
      </w:r>
      <w:r>
        <w:rPr>
          <w:rFonts w:ascii="Amiri" w:hAnsi="Amiri" w:eastAsia="Amiri" w:cs="Amiri"/>
          <w:color w:val="111111"/>
          <w:sz w:val="28"/>
          <w:sz w:val="28"/>
          <w:szCs w:val="28"/>
          <w:rtl w:val="true"/>
          <w:lang w:bidi="ar-SA"/>
        </w:rPr>
        <w:t xml:space="preserve">اتّباعَ سَبيلِهم </w:t>
      </w:r>
    </w:p>
    <w:p>
      <w:pPr>
        <w:pStyle w:val="BookText"/>
        <w:rPr/>
      </w:pPr>
      <w:r>
        <w:rPr>
          <w:rFonts w:ascii="Amiri" w:hAnsi="Amiri" w:eastAsia="Amiri" w:cs="Amiri"/>
          <w:color w:val="111111"/>
          <w:sz w:val="28"/>
          <w:sz w:val="28"/>
          <w:szCs w:val="28"/>
          <w:rtl w:val="true"/>
          <w:lang w:bidi="ar-SA"/>
        </w:rPr>
        <w:t xml:space="preserve">هو الواجبُ‌، ليَخرُجَ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مُتَّبِعاً غيرَ</w:t>
      </w:r>
      <w:r>
        <w:rPr>
          <w:rStyle w:val="FootnoteAnchor"/>
          <w:rtl w:val="true"/>
        </w:rPr>
        <w:footnoteReference w:id="156"/>
      </w:r>
      <w:r>
        <w:rPr>
          <w:rFonts w:ascii="Amiri" w:hAnsi="Amiri" w:eastAsia="Amiri" w:cs="Amiri"/>
          <w:color w:val="111111"/>
          <w:sz w:val="28"/>
          <w:sz w:val="28"/>
          <w:szCs w:val="28"/>
          <w:rtl w:val="true"/>
          <w:lang w:bidi="ar-SA"/>
        </w:rPr>
        <w:t>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بيّنّا أنّه قد يَصِحُّ خُروجُه عن اتّباعِ غيرِ سَبيلِهم بأن لا يَكونَ مُتَّبعاً سَبيلَهم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فأمّا قَولُ أحَدِنا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خِلافَ طريقةِ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فيه كالقَولِ فيما تَقدَّمَ‌، و ظاهرُ اللفظِ و إطلاقُه لا يَدُلُّ علىٰ وجوبِ اتّباعِ طريقةِ الصالحينَ‌، و إنّما يُعقَلُ بالدَّلالةِ‌؛ و لأنّ المُخاطِبَ بهذا القَولِ إذا كانَ حَكيماً عُلِمَ مِن حالِه أنّه لا بُدَّ أن يوجِبَ اتّباعَ طريقةِ الصالحينَ و يَحُثَّ عَلَيها، و ما يُعلَمُ لا</w:t>
      </w:r>
      <w:r>
        <w:rPr>
          <w:rStyle w:val="FootnoteAnchor"/>
          <w:rtl w:val="true"/>
        </w:rPr>
        <w:footnoteReference w:id="158"/>
      </w:r>
      <w:r>
        <w:rPr>
          <w:rFonts w:ascii="Amiri" w:hAnsi="Amiri" w:eastAsia="Amiri" w:cs="Amiri"/>
          <w:color w:val="111111"/>
          <w:sz w:val="28"/>
          <w:sz w:val="28"/>
          <w:szCs w:val="28"/>
          <w:rtl w:val="true"/>
          <w:lang w:bidi="ar-SA"/>
        </w:rPr>
        <w:t>مِن حَيثُ ظاهرِ اللفظِ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أحَدَنا</w:t>
      </w:r>
      <w:r>
        <w:rPr>
          <w:rStyle w:val="FootnoteAnchor"/>
          <w:rtl w:val="true"/>
        </w:rPr>
        <w:footnoteReference w:id="159"/>
      </w:r>
      <w:r>
        <w:rPr>
          <w:rFonts w:ascii="Amiri" w:hAnsi="Amiri" w:eastAsia="Amiri" w:cs="Amiri"/>
          <w:color w:val="111111"/>
          <w:sz w:val="28"/>
          <w:sz w:val="28"/>
          <w:szCs w:val="28"/>
          <w:rtl w:val="true"/>
          <w:lang w:bidi="ar-SA"/>
        </w:rPr>
        <w:t xml:space="preserve">قالَ بَدَلاً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خِلافَ طريقةِ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يَجِبْ أن يُفهَمَ مِن إطلاقِ لفظِه إيجابَ اتّباعِ طريقتِه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أنّ الأمرَ فيما تَقدَّمَ علىٰ ما قُلناه، دونَ ما ادَّعاه صاحبُ الكتابِ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سَبيلِ المؤمنينَ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بمنزلةِ الخُروجِ عنها، لَوَجَبَ فيمَن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مُناقِضاً في كلامِه؛ مِن حَيثُ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لِضَربِه،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حَظْراً لذلكَ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العِلمِ بصحّةِ هذا القَولِ مِن مُستَعمِلِه، و أنّه غيرُ جارٍ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 و</w:t>
      </w:r>
      <w:r>
        <w:rPr>
          <w:rStyle w:val="FootnoteAnchor"/>
          <w:rtl w:val="true"/>
        </w:rPr>
        <w:footnoteReference w:id="162"/>
      </w:r>
      <w:r>
        <w:rPr>
          <w:rFonts w:ascii="Amiri" w:hAnsi="Amiri" w:eastAsia="Amiri" w:cs="Amiri"/>
          <w:color w:val="111111"/>
          <w:sz w:val="28"/>
          <w:sz w:val="28"/>
          <w:szCs w:val="28"/>
          <w:rtl w:val="true"/>
          <w:lang w:bidi="ar-SA"/>
        </w:rPr>
        <w:t>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استقامةِ تأويلِنا للآيةِ </w:t>
      </w:r>
      <w:r>
        <w:rPr>
          <w:rFonts w:eastAsia="Amiri" w:cs="Amiri" w:ascii="Amiri" w:hAnsi="Amiri"/>
          <w:color w:val="111111"/>
          <w:sz w:val="28"/>
          <w:szCs w:val="28"/>
          <w:rtl w:val="true"/>
          <w:lang w:bidi="ar-SA"/>
        </w:rPr>
        <w:t xml:space="preserve">. </w:t>
      </w:r>
      <w:bookmarkStart w:id="37" w:name="pg20015_284749"/>
    </w:p>
    <w:p>
      <w:pPr>
        <w:pStyle w:val="Heading6"/>
        <w:numPr>
          <w:ilvl w:val="5"/>
          <w:numId w:val="1"/>
        </w:numPr>
        <w:rPr/>
      </w:pPr>
      <w:bookmarkStart w:id="38" w:name="__RefHeading___Toc894745_2320776876"/>
      <w:bookmarkStart w:id="39" w:name="_Toc14"/>
      <w:bookmarkEnd w:id="37"/>
      <w:bookmarkEnd w:id="38"/>
      <w:r>
        <w:rPr>
          <w:rtl w:val="true"/>
        </w:rPr>
        <w:t>عدم وجوب ثبوت مؤمنين في كلّ عصر</w:t>
      </w:r>
      <w:bookmarkEnd w:id="39"/>
    </w:p>
    <w:p>
      <w:pPr>
        <w:pStyle w:val="BookText"/>
        <w:rPr/>
      </w:pPr>
      <w:r>
        <w:rPr>
          <w:rFonts w:ascii="Amiri" w:hAnsi="Amiri" w:eastAsia="Amiri" w:cs="Amiri"/>
          <w:color w:val="111111"/>
          <w:sz w:val="28"/>
          <w:sz w:val="28"/>
          <w:szCs w:val="28"/>
          <w:rtl w:val="true"/>
          <w:lang w:bidi="ar-SA"/>
        </w:rPr>
        <w:t>فأمّا قَولُه في الاستدلالِ‌</w:t>
      </w:r>
      <w:r>
        <w:rPr>
          <w:rStyle w:val="FootnoteAnchor"/>
          <w:rtl w:val="true"/>
        </w:rPr>
        <w:footnoteReference w:id="163"/>
      </w:r>
      <w:r>
        <w:rPr>
          <w:rFonts w:ascii="Amiri" w:hAnsi="Amiri" w:eastAsia="Amiri" w:cs="Amiri"/>
          <w:color w:val="111111"/>
          <w:sz w:val="28"/>
          <w:sz w:val="28"/>
          <w:szCs w:val="28"/>
          <w:rtl w:val="true"/>
          <w:lang w:bidi="ar-SA"/>
        </w:rPr>
        <w:t>علىٰ أنّ في جُملةِ الأُمّةِ مؤمنينَ في كُلِّ عَصرٍ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نَفسَ الظاهرِ يَقتَضي إثباتَ مؤمنينَ يَصِحُّ أن يُتَّبَعَ سَبيلُهم؛ لأنّه لا يَصِحُّ‌</w:t>
      </w:r>
      <w:r>
        <w:rPr>
          <w:rStyle w:val="FootnoteAnchor"/>
          <w:rtl w:val="true"/>
        </w:rPr>
        <w:footnoteReference w:id="165"/>
      </w:r>
      <w:r>
        <w:rPr>
          <w:rFonts w:ascii="Amiri" w:hAnsi="Amiri" w:eastAsia="Amiri" w:cs="Amiri"/>
          <w:color w:val="111111"/>
          <w:sz w:val="28"/>
          <w:sz w:val="28"/>
          <w:szCs w:val="28"/>
          <w:rtl w:val="true"/>
          <w:lang w:bidi="ar-SA"/>
        </w:rPr>
        <w:t>أن يَتوعَّدَ اللّٰهُ تَعالىٰ تَوعُّداً مُطلَقاً علَى العُدولِ‌</w:t>
      </w:r>
      <w:r>
        <w:rPr>
          <w:rStyle w:val="FootnoteAnchor"/>
          <w:rtl w:val="true"/>
        </w:rPr>
        <w:footnoteReference w:id="166"/>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اتّباعِ سَبيلِ المؤمنينَ‌</w:t>
      </w:r>
      <w:r>
        <w:rPr>
          <w:rStyle w:val="FootnoteAnchor"/>
          <w:rtl w:val="true"/>
        </w:rPr>
        <w:footnoteReference w:id="167"/>
      </w:r>
      <w:r>
        <w:rPr>
          <w:rFonts w:ascii="Amiri" w:hAnsi="Amiri" w:eastAsia="Amiri" w:cs="Amiri"/>
          <w:color w:val="111111"/>
          <w:sz w:val="28"/>
          <w:sz w:val="28"/>
          <w:szCs w:val="28"/>
          <w:rtl w:val="true"/>
          <w:lang w:bidi="ar-SA"/>
        </w:rPr>
        <w:t>إلّاو ذلكَ مُمكِنٌ‌</w:t>
      </w:r>
      <w:r>
        <w:rPr>
          <w:rStyle w:val="FootnoteAnchor"/>
          <w:rtl w:val="true"/>
        </w:rPr>
        <w:footnoteReference w:id="168"/>
      </w:r>
      <w:r>
        <w:rPr>
          <w:rFonts w:ascii="Amiri" w:hAnsi="Amiri" w:eastAsia="Amiri" w:cs="Amiri"/>
          <w:color w:val="111111"/>
          <w:sz w:val="28"/>
          <w:sz w:val="28"/>
          <w:szCs w:val="28"/>
          <w:rtl w:val="true"/>
          <w:lang w:bidi="ar-SA"/>
        </w:rPr>
        <w:t>في كُلِّ حالٍ‌، و لا يَصِحُّ دُخولُه في أن يَكونَ مُمكِناً إلّابأن يَثبُتَ في كُلِّ عَصرٍ جماعةٌ مِن المؤمنينَ‌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w:t>
      </w:r>
      <w:r>
        <w:rPr>
          <w:rStyle w:val="FootnoteAnchor"/>
          <w:rtl w:val="true"/>
        </w:rPr>
        <w:footnoteReference w:id="170"/>
      </w:r>
      <w:r>
        <w:rPr>
          <w:rFonts w:ascii="Amiri" w:hAnsi="Amiri" w:eastAsia="Amiri" w:cs="Amiri"/>
          <w:color w:val="111111"/>
          <w:sz w:val="28"/>
          <w:sz w:val="28"/>
          <w:szCs w:val="28"/>
          <w:rtl w:val="true"/>
          <w:lang w:bidi="ar-SA"/>
        </w:rPr>
        <w:t xml:space="preserve">تَوعَّدَ علَى العُدولِ عن اتّباعِ سَبيلِهم، فكذلكَ تَوعَّدَ علىٰ مُشاقّةِ </w:t>
      </w:r>
      <w:r>
        <w:rPr>
          <w:rStyle w:val="FootnoteAnchor"/>
          <w:rtl w:val="true"/>
        </w:rPr>
        <w:footnoteReference w:id="171"/>
      </w:r>
      <w:r>
        <w:rPr>
          <w:rFonts w:ascii="Amiri" w:hAnsi="Amiri" w:eastAsia="Amiri" w:cs="Amiri"/>
          <w:color w:val="111111"/>
          <w:sz w:val="28"/>
          <w:sz w:val="28"/>
          <w:szCs w:val="28"/>
          <w:rtl w:val="true"/>
          <w:lang w:bidi="ar-SA"/>
        </w:rPr>
        <w:t xml:space="preserve">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في كُلِّ حالٍ صحّةُ المُشاقّةِ ليَصِحَّ الوعيدُ المذكورُ، فكذلكَ يَجِبُ أن يَصِحَّ في كُلِّ حالٍ اتّباعُ سَبيلِهم و العُدولُ عنها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فلَيسَ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تَوعَّدَ اللّٰهُ‌</w:t>
      </w:r>
      <w:r>
        <w:rPr>
          <w:rStyle w:val="FootnoteAnchor"/>
          <w:rtl w:val="true"/>
        </w:rPr>
        <w:footnoteReference w:id="173"/>
      </w:r>
      <w:r>
        <w:rPr>
          <w:rFonts w:ascii="Amiri" w:hAnsi="Amiri" w:eastAsia="Amiri" w:cs="Amiri"/>
          <w:color w:val="111111"/>
          <w:sz w:val="28"/>
          <w:sz w:val="28"/>
          <w:szCs w:val="28"/>
          <w:rtl w:val="true"/>
          <w:lang w:bidi="ar-SA"/>
        </w:rPr>
        <w:t xml:space="preserve">تَعالىٰ تَوعُّداً مُطلَقاً علَى العُدولِ عن اتّباعِ 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مؤمنينَ‌</w:t>
      </w:r>
      <w:r>
        <w:rPr>
          <w:rStyle w:val="FootnoteAnchor"/>
          <w:rtl w:val="true"/>
        </w:rPr>
        <w:footnoteReference w:id="174"/>
      </w:r>
      <w:r>
        <w:rPr>
          <w:rFonts w:ascii="Amiri" w:hAnsi="Amiri" w:eastAsia="Amiri" w:cs="Amiri"/>
          <w:color w:val="111111"/>
          <w:sz w:val="28"/>
          <w:sz w:val="28"/>
          <w:szCs w:val="28"/>
          <w:rtl w:val="true"/>
          <w:lang w:bidi="ar-SA"/>
        </w:rPr>
        <w:t>في كُلِّ عَصرٍ، و إنّما يَقتَضي</w:t>
      </w:r>
      <w:r>
        <w:rPr>
          <w:rStyle w:val="FootnoteAnchor"/>
          <w:rtl w:val="true"/>
        </w:rPr>
        <w:footnoteReference w:id="175"/>
      </w:r>
      <w:r>
        <w:rPr>
          <w:rFonts w:ascii="Amiri" w:hAnsi="Amiri" w:eastAsia="Amiri" w:cs="Amiri"/>
          <w:color w:val="111111"/>
          <w:sz w:val="28"/>
          <w:sz w:val="28"/>
          <w:szCs w:val="28"/>
          <w:rtl w:val="true"/>
          <w:lang w:bidi="ar-SA"/>
        </w:rPr>
        <w:t>الآيةُ التحذيرَ مِن العُدولِ عن اتّباعِهم إذا وُجِدوا، و تُمُكِّنَ‌</w:t>
      </w:r>
      <w:r>
        <w:rPr>
          <w:rStyle w:val="FootnoteAnchor"/>
          <w:rtl w:val="true"/>
        </w:rPr>
        <w:footnoteReference w:id="176"/>
      </w:r>
      <w:r>
        <w:rPr>
          <w:rFonts w:ascii="Amiri" w:hAnsi="Amiri" w:eastAsia="Amiri" w:cs="Amiri"/>
          <w:color w:val="111111"/>
          <w:sz w:val="28"/>
          <w:sz w:val="28"/>
          <w:szCs w:val="28"/>
          <w:rtl w:val="true"/>
          <w:lang w:bidi="ar-SA"/>
        </w:rPr>
        <w:t>مِن اتّباعِهم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نَعلَمُ مِن أيِّ وجهٍ ظَنَّ أنّ التوَعُّدَ علَى الفِعلِ يَقتَضي إمكانَه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مِمّا يَدخُلُ‌</w:t>
      </w:r>
      <w:r>
        <w:rPr>
          <w:rStyle w:val="FootnoteAnchor"/>
          <w:rtl w:val="true"/>
        </w:rPr>
        <w:footnoteReference w:id="177"/>
      </w:r>
      <w:r>
        <w:rPr>
          <w:rFonts w:ascii="Amiri" w:hAnsi="Amiri" w:eastAsia="Amiri" w:cs="Amiri"/>
          <w:color w:val="111111"/>
          <w:sz w:val="28"/>
          <w:sz w:val="28"/>
          <w:szCs w:val="28"/>
          <w:rtl w:val="true"/>
          <w:lang w:bidi="ar-SA"/>
        </w:rPr>
        <w:t>فيه عِندَنا شُبهةٌ علىٰ مُتكلِّمٍ‌، و نَحنُ نَعلَمُ أنّ البِشارةَ بنَبيِّنا صَلَّى اللّٰهُ عليه و آلِه قد تَقدَّمَت علىٰ لِسانِ مَن سَلَفَت</w:t>
      </w:r>
      <w:r>
        <w:rPr>
          <w:rStyle w:val="FootnoteAnchor"/>
          <w:rtl w:val="true"/>
        </w:rPr>
        <w:footnoteReference w:id="178"/>
      </w:r>
      <w:r>
        <w:rPr>
          <w:rFonts w:ascii="Amiri" w:hAnsi="Amiri" w:eastAsia="Amiri" w:cs="Amiri"/>
          <w:color w:val="111111"/>
          <w:sz w:val="28"/>
          <w:sz w:val="28"/>
          <w:szCs w:val="28"/>
          <w:rtl w:val="true"/>
          <w:lang w:bidi="ar-SA"/>
        </w:rPr>
        <w:t>نُبوَّتُه كموسىٰ و عيسىٰ عَلَيهما السلامُ و غَيرِهما، و قد أمَرَ اللّٰهُ تَعالىٰ أُمَمَهم باتّباعِه و تصديقِه، و أشارَ لهم</w:t>
      </w:r>
      <w:r>
        <w:rPr>
          <w:rStyle w:val="FootnoteAnchor"/>
          <w:rtl w:val="true"/>
        </w:rPr>
        <w:footnoteReference w:id="179"/>
      </w:r>
      <w:r>
        <w:rPr>
          <w:rFonts w:ascii="Amiri" w:hAnsi="Amiri" w:eastAsia="Amiri" w:cs="Amiri"/>
          <w:color w:val="111111"/>
          <w:sz w:val="28"/>
          <w:sz w:val="28"/>
          <w:szCs w:val="28"/>
          <w:rtl w:val="true"/>
          <w:lang w:bidi="ar-SA"/>
        </w:rPr>
        <w:t>إليه بصفاتِه و علاماتِه</w:t>
      </w:r>
      <w:r>
        <w:rPr>
          <w:rStyle w:val="FootnoteAnchor"/>
          <w:rtl w:val="true"/>
        </w:rPr>
        <w:footnoteReference w:id="180"/>
      </w:r>
      <w:r>
        <w:rPr>
          <w:rFonts w:ascii="Amiri" w:hAnsi="Amiri" w:eastAsia="Amiri" w:cs="Amiri"/>
          <w:color w:val="111111"/>
          <w:sz w:val="28"/>
          <w:sz w:val="28"/>
          <w:szCs w:val="28"/>
          <w:rtl w:val="true"/>
          <w:lang w:bidi="ar-SA"/>
        </w:rPr>
        <w:t>، و تَوعَّدَهم علىٰ مُخالَفتِه و تَكذيبِه، و لَم يَلزَم أن يَكونَ ما تَوعَّدَ عليه مِن مُخالَفتِه، و أَوجَبَه مِن تصديقِه و اتّباعِه مُمكِناً في</w:t>
      </w:r>
      <w:r>
        <w:rPr>
          <w:rStyle w:val="FootnoteAnchor"/>
          <w:rtl w:val="true"/>
        </w:rPr>
        <w:footnoteReference w:id="181"/>
      </w:r>
      <w:r>
        <w:rPr>
          <w:rFonts w:ascii="Amiri" w:hAnsi="Amiri" w:eastAsia="Amiri" w:cs="Amiri"/>
          <w:color w:val="111111"/>
          <w:sz w:val="28"/>
          <w:sz w:val="28"/>
          <w:szCs w:val="28"/>
          <w:rtl w:val="true"/>
          <w:lang w:bidi="ar-SA"/>
        </w:rPr>
        <w:t>كُلِّ وقتٍ‌، و لا مانعاً مِن إطلاقِ الوعيدِ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w:t>
      </w:r>
      <w:r>
        <w:rPr>
          <w:rStyle w:val="FootnoteAnchor"/>
          <w:rtl w:val="true"/>
        </w:rPr>
        <w:footnoteReference w:id="182"/>
      </w:r>
      <w:r>
        <w:rPr>
          <w:rFonts w:ascii="Amiri" w:hAnsi="Amiri" w:eastAsia="Amiri" w:cs="Amiri"/>
          <w:color w:val="111111"/>
          <w:sz w:val="28"/>
          <w:sz w:val="28"/>
          <w:szCs w:val="28"/>
          <w:rtl w:val="true"/>
          <w:lang w:bidi="ar-SA"/>
        </w:rPr>
        <w:t>قالَ شَيخُ أصحابِه أبو هاشِمٍ‌</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علىٰ هذه المَقالةِ جميعُ </w:t>
      </w:r>
    </w:p>
    <w:p>
      <w:pPr>
        <w:pStyle w:val="BookText"/>
        <w:rPr/>
      </w:pP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Style w:val="FootnoteAnchor"/>
          <w:rtl w:val="true"/>
        </w:rPr>
        <w:footnoteReference w:id="184"/>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w:t>
      </w:r>
    </w:p>
    <w:p>
      <w:pPr>
        <w:pStyle w:val="BookText"/>
        <w:rPr/>
      </w:pPr>
      <w:r>
        <w:rPr>
          <w:rFonts w:ascii="Amiri" w:hAnsi="Amiri" w:eastAsia="Amiri" w:cs="Amiri"/>
          <w:color w:val="111111"/>
          <w:sz w:val="28"/>
          <w:sz w:val="28"/>
          <w:szCs w:val="28"/>
          <w:rtl w:val="true"/>
          <w:lang w:bidi="ar-SA"/>
        </w:rPr>
        <w:t>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المقرّين علىٰ أنفسهم بالسرقة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لا يَقتَضي ثُبوتَ مَن يَستَحِقُّ القَطعَ علىٰ سَبيلِ النَّكالِ‌، و لا يَفتَقِرُ إليه، و إنّما يوجِبُ أنّ مَن واقَعَ السَّرِقةَ المخصوصةَ علَى الوجهِ المخصوصِ يَستَحِقُّ القَطعَ علىٰ سَبيلِ التنكيلِ‌، و لَو لَم يَقَعِ التمكُّنُ‌</w:t>
      </w:r>
      <w:r>
        <w:rPr>
          <w:rStyle w:val="FootnoteAnchor"/>
          <w:rtl w:val="true"/>
        </w:rPr>
        <w:footnoteReference w:id="187"/>
      </w:r>
      <w:r>
        <w:rPr>
          <w:rFonts w:ascii="Amiri" w:hAnsi="Amiri" w:eastAsia="Amiri" w:cs="Amiri"/>
          <w:color w:val="111111"/>
          <w:sz w:val="28"/>
          <w:sz w:val="28"/>
          <w:szCs w:val="28"/>
          <w:rtl w:val="true"/>
          <w:lang w:bidi="ar-SA"/>
        </w:rPr>
        <w:t>أبَدَ الدهرِ مِن الوقوفِ علىٰ مَن هذه حالُه لَما أخَلَّ بفائدةِ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عَوَّلَ في</w:t>
      </w:r>
      <w:r>
        <w:rPr>
          <w:rStyle w:val="FootnoteAnchor"/>
          <w:rtl w:val="true"/>
        </w:rPr>
        <w:footnoteReference w:id="188"/>
      </w:r>
      <w:r>
        <w:rPr>
          <w:rFonts w:ascii="Amiri" w:hAnsi="Amiri" w:eastAsia="Amiri" w:cs="Amiri"/>
          <w:color w:val="111111"/>
          <w:sz w:val="28"/>
          <w:sz w:val="28"/>
          <w:szCs w:val="28"/>
          <w:rtl w:val="true"/>
          <w:lang w:bidi="ar-SA"/>
        </w:rPr>
        <w:t xml:space="preserve">قَطعِ مَن يُقطَعُ مِن السُّرّاقِ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 عَلَيهم أو المُقرِّينَ‌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صَحَّ هذا، فكيفَ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أُطلِقَ الوعيدُ علَى العُدولِ عن اتّباعِ 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مؤمنينَ في كُلِّ عَصرٍ؟ و ما المانعُ مِن أن يَكونَ الوعيدُ تَعلَّقَ بحالٍ مُقدَّرةٍ ؛ كأنّه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تَتَّبِعوا غيرَ سَبيلِ المؤمِنينَ </w:t>
      </w:r>
      <w:r>
        <w:rPr>
          <w:rStyle w:val="FootnoteAnchor"/>
          <w:rtl w:val="true"/>
        </w:rPr>
        <w:footnoteReference w:id="189"/>
      </w:r>
      <w:r>
        <w:rPr>
          <w:rFonts w:ascii="Amiri" w:hAnsi="Amiri" w:eastAsia="Amiri" w:cs="Amiri"/>
          <w:color w:val="111111"/>
          <w:sz w:val="28"/>
          <w:sz w:val="28"/>
          <w:szCs w:val="28"/>
          <w:rtl w:val="true"/>
          <w:lang w:bidi="ar-SA"/>
        </w:rPr>
        <w:t>إذا حَصَلوا و إذا وُجِدوا</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فَسادُ ما تَعلَّقَ به أظهَرُ مِن أن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الثاني</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دالّةٌ علىٰ وجوبِ اتّباعِ سَبيلِ المؤمنينَ </w:t>
      </w:r>
      <w:r>
        <w:rPr>
          <w:rStyle w:val="FootnoteAnchor"/>
          <w:rtl w:val="true"/>
        </w:rPr>
        <w:footnoteReference w:id="1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نَعلَمُ أنّ في كُلِّ حالٍ‌</w:t>
      </w:r>
      <w:r>
        <w:rPr>
          <w:rStyle w:val="FootnoteAnchor"/>
          <w:rtl w:val="true"/>
        </w:rPr>
        <w:footnoteReference w:id="193"/>
      </w:r>
      <w:r>
        <w:rPr>
          <w:rFonts w:ascii="Amiri" w:hAnsi="Amiri" w:eastAsia="Amiri" w:cs="Amiri"/>
          <w:color w:val="111111"/>
          <w:sz w:val="28"/>
          <w:sz w:val="28"/>
          <w:szCs w:val="28"/>
          <w:rtl w:val="true"/>
          <w:lang w:bidi="ar-SA"/>
        </w:rPr>
        <w:t>مؤمنينَ بدَليلٍ آخَرَ، و هو ما ثَبَتَ بالقُرآنِ و غيرِه أنّ في كُلِّ حالٍ طائفةً مِن أُمّةِ النبيِّ صَلّى اللّٰهُ عليه ظاهِرينَ علَى الحَقِّ‌</w:t>
      </w:r>
      <w:r>
        <w:rPr>
          <w:rStyle w:val="FootnoteAnchor"/>
          <w:rtl w:val="true"/>
        </w:rPr>
        <w:footnoteReference w:id="194"/>
      </w:r>
      <w:r>
        <w:rPr>
          <w:rFonts w:ascii="Amiri" w:hAnsi="Amiri" w:eastAsia="Amiri" w:cs="Amiri"/>
          <w:color w:val="111111"/>
          <w:sz w:val="28"/>
          <w:sz w:val="28"/>
          <w:szCs w:val="28"/>
          <w:rtl w:val="true"/>
          <w:lang w:bidi="ar-SA"/>
        </w:rPr>
        <w:t>، و أنّ في كُلِّ عَصرٍ شُهَداءَ يَشهَدونَ علَى الحَقِّ‌</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فما نَراه أحالَ إلّاعلىٰ غَيبٍ‌؛ لأنّه ادَّعىٰ أنّ القُرآنَ و غيرَه دالٌّ علىٰ أنّ في كُلِّ عصرٍ مؤمنينَ و</w:t>
      </w:r>
      <w:r>
        <w:rPr>
          <w:rStyle w:val="FootnoteAnchor"/>
          <w:rtl w:val="true"/>
        </w:rPr>
        <w:footnoteReference w:id="196"/>
      </w:r>
      <w:r>
        <w:rPr>
          <w:rFonts w:ascii="Amiri" w:hAnsi="Amiri" w:eastAsia="Amiri" w:cs="Amiri"/>
          <w:color w:val="111111"/>
          <w:sz w:val="28"/>
          <w:sz w:val="28"/>
          <w:szCs w:val="28"/>
          <w:rtl w:val="true"/>
          <w:lang w:bidi="ar-SA"/>
        </w:rPr>
        <w:t>شُهَداءَ‌، و ما نَعلَمُ‌</w:t>
      </w:r>
      <w:r>
        <w:rPr>
          <w:rStyle w:val="FootnoteAnchor"/>
          <w:rtl w:val="true"/>
        </w:rPr>
        <w:footnoteReference w:id="197"/>
      </w:r>
      <w:r>
        <w:rPr>
          <w:rFonts w:ascii="Amiri" w:hAnsi="Amiri" w:eastAsia="Amiri" w:cs="Amiri"/>
          <w:color w:val="111111"/>
          <w:sz w:val="28"/>
          <w:sz w:val="28"/>
          <w:szCs w:val="28"/>
          <w:rtl w:val="true"/>
          <w:lang w:bidi="ar-SA"/>
        </w:rPr>
        <w:t>في القُرآنِ شيئاً يَدُلُّ علىٰ ذلكَ‌، و لا في غيرِه، و لَو تَعلَّقَ فيما ادَّعاه بشيءٍ لَبيّنّا فَسادَه، و لكنّه اقتَصَرَ علىٰ مَحضِ الدَّعوىٰ‌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فيما يَتعلَّقُ‌</w:t>
      </w:r>
      <w:r>
        <w:rPr>
          <w:rStyle w:val="FootnoteAnchor"/>
          <w:rtl w:val="true"/>
        </w:rPr>
        <w:footnoteReference w:id="19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تَكُونُوا شُهَدٰاءَ عَلَى النّٰاسِ‌</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 قَولِه تَعالىٰ‌</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جِيءَ بِالنَّبِيِّينَ وَ الشُّهَدٰاءِ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قَولِه جَلَّ اسمُه</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الْأَشْهٰادُ هٰؤُلاٰءِ الَّذِينَ كَذَبُوا عَلىٰ رَبِّهِمْ </w:t>
      </w:r>
      <w:r>
        <w:rPr>
          <w:rFonts w:eastAsia="Amiri" w:cs="Amiri" w:ascii="Amiri" w:hAnsi="Amiri"/>
          <w:color w:val="111111"/>
          <w:sz w:val="28"/>
          <w:szCs w:val="28"/>
          <w:rtl w:val="true"/>
          <w:lang w:bidi="ar-SA"/>
        </w:rPr>
        <w:t>)</w:t>
      </w:r>
      <w:r>
        <w:rPr>
          <w:rStyle w:val="FootnoteAnchor"/>
          <w:rtl w:val="true"/>
        </w:rPr>
        <w:footnoteReference w:id="204"/>
      </w:r>
      <w:bookmarkStart w:id="40" w:name="pg20015_284753"/>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علىٰ مَوضِعِ الخِلافِ ،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في كُلِّ عصرٍ مؤمنينَ يَشهَدونَ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تَدُلُّ عليه الآياتُ التي تَلَوناها أن يَكونَ في الأُمّةِ شُهَداءُ ، و أنّ مِن جُملةِ المؤمنينَ مَن يُستَشهَدُ فيَشهَدُ، فأمّا أن يَقتَضيَ ذلكَ وجودَ الشُّهداءِ في كُلِّ عصرٍ فبَعيدٌ</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894747_2320776876"/>
      <w:bookmarkStart w:id="42" w:name="_Toc15"/>
      <w:bookmarkEnd w:id="41"/>
      <w:r>
        <w:rPr>
          <w:rtl w:val="true"/>
        </w:rPr>
        <w:t>إبطال دلالة الآية علىٰ حجّيّة إجماع كلّ عصر</w:t>
      </w:r>
      <w:bookmarkEnd w:id="42"/>
    </w:p>
    <w:p>
      <w:pPr>
        <w:pStyle w:val="BookText"/>
        <w:rPr/>
      </w:pPr>
      <w:r>
        <w:rPr>
          <w:rFonts w:ascii="Amiri" w:hAnsi="Amiri" w:eastAsia="Amiri" w:cs="Amiri"/>
          <w:color w:val="111111"/>
          <w:sz w:val="28"/>
          <w:sz w:val="28"/>
          <w:szCs w:val="28"/>
          <w:rtl w:val="true"/>
          <w:lang w:bidi="ar-SA"/>
        </w:rPr>
        <w:t xml:space="preserve">فأمّا استدلالُه مِن الآيةِ علىٰ أنّ إجماعَ كُلِّ عصرٍ حُجّةٌ بأنّها تَقتَضي التحذيرَ مِن تَركِ اتّباعِ سَبيلِ المؤمنينَ ، و لَيسَ فيها تخصيصُ وقتٍ مِن وقتٍ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فباطلٌ‌؛ لأنّه لَيسَ يَلزَمُ إذا لَم يَكُنْ في الآيةِ تخصيصُ وقتٍ مِن وقتٍ أن يُحمَلَ علىٰ كُلِّ الأوقاتِ‌؛ و ذلكَ‌</w:t>
      </w:r>
      <w:r>
        <w:rPr>
          <w:rStyle w:val="FootnoteAnchor"/>
          <w:rtl w:val="true"/>
        </w:rPr>
        <w:footnoteReference w:id="206"/>
      </w:r>
      <w:r>
        <w:rPr>
          <w:rFonts w:ascii="Amiri" w:hAnsi="Amiri" w:eastAsia="Amiri" w:cs="Amiri"/>
          <w:color w:val="111111"/>
          <w:sz w:val="28"/>
          <w:sz w:val="28"/>
          <w:szCs w:val="28"/>
          <w:rtl w:val="true"/>
          <w:lang w:bidi="ar-SA"/>
        </w:rPr>
        <w:t>أنّها كما لَم تَخُصَّ‌</w:t>
      </w:r>
      <w:r>
        <w:rPr>
          <w:rStyle w:val="FootnoteAnchor"/>
          <w:rtl w:val="true"/>
        </w:rPr>
        <w:footnoteReference w:id="207"/>
      </w:r>
      <w:r>
        <w:rPr>
          <w:rFonts w:ascii="Amiri" w:hAnsi="Amiri" w:eastAsia="Amiri" w:cs="Amiri"/>
          <w:color w:val="111111"/>
          <w:sz w:val="28"/>
          <w:sz w:val="28"/>
          <w:szCs w:val="28"/>
          <w:rtl w:val="true"/>
          <w:lang w:bidi="ar-SA"/>
        </w:rPr>
        <w:t>وقتاً دونَ وقتٍ‌، فلَم تَعُمَّ أيضاً</w:t>
      </w:r>
      <w:r>
        <w:rPr>
          <w:rStyle w:val="FootnoteAnchor"/>
          <w:rtl w:val="true"/>
        </w:rPr>
        <w:footnoteReference w:id="208"/>
      </w:r>
      <w:r>
        <w:rPr>
          <w:rFonts w:ascii="Amiri" w:hAnsi="Amiri" w:eastAsia="Amiri" w:cs="Amiri"/>
          <w:color w:val="111111"/>
          <w:sz w:val="28"/>
          <w:sz w:val="28"/>
          <w:szCs w:val="28"/>
          <w:rtl w:val="true"/>
          <w:lang w:bidi="ar-SA"/>
        </w:rPr>
        <w:t>جميعَ الأوقاتِ‌، و فَقْدُ دَلالةِ أحَدِ الأمرَينِ كفَقدِ دَلالةِ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مَن ذَهَبَ إلىٰ عُمومِها في الأوقاتِ مِن حَيثُ لَم يَكُن</w:t>
      </w:r>
      <w:r>
        <w:rPr>
          <w:rStyle w:val="FootnoteAnchor"/>
          <w:rtl w:val="true"/>
        </w:rPr>
        <w:footnoteReference w:id="209"/>
      </w:r>
      <w:r>
        <w:rPr>
          <w:rFonts w:ascii="Amiri" w:hAnsi="Amiri" w:eastAsia="Amiri" w:cs="Amiri"/>
          <w:color w:val="111111"/>
          <w:sz w:val="28"/>
          <w:sz w:val="28"/>
          <w:szCs w:val="28"/>
          <w:rtl w:val="true"/>
          <w:lang w:bidi="ar-SA"/>
        </w:rPr>
        <w:t>فيها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وقتٍ‌، و بَينَ مَن خَصَّها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وقتِ نُزولِ الآيةِ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بأنّه لمّا لَم يَجِدْ</w:t>
      </w:r>
      <w:r>
        <w:rPr>
          <w:rStyle w:val="FootnoteAnchor"/>
          <w:rtl w:val="true"/>
        </w:rPr>
        <w:footnoteReference w:id="210"/>
      </w:r>
      <w:r>
        <w:rPr>
          <w:rFonts w:ascii="Amiri" w:hAnsi="Amiri" w:eastAsia="Amiri" w:cs="Amiri"/>
          <w:color w:val="111111"/>
          <w:sz w:val="28"/>
          <w:sz w:val="28"/>
          <w:szCs w:val="28"/>
          <w:rtl w:val="true"/>
          <w:lang w:bidi="ar-SA"/>
        </w:rPr>
        <w:t xml:space="preserve">فيها ما يَقتَضي عُمومَ سائرِ الأوقاتِ و لا تخصيصَ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وقتٍ سِوَى الوقتِ الذي عَيَّنَته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قيلَ له</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الوقتِ الذي عيَّنَته</w:t>
      </w:r>
      <w:r>
        <w:rPr>
          <w:rStyle w:val="FootnoteAnchor"/>
          <w:rtl w:val="true"/>
        </w:rPr>
        <w:footnoteReference w:id="214"/>
      </w:r>
      <w:r>
        <w:rPr>
          <w:rFonts w:ascii="Amiri" w:hAnsi="Amiri" w:eastAsia="Amiri" w:cs="Amiri"/>
          <w:color w:val="111111"/>
          <w:sz w:val="28"/>
          <w:sz w:val="28"/>
          <w:szCs w:val="28"/>
          <w:rtl w:val="true"/>
          <w:lang w:bidi="ar-SA"/>
        </w:rPr>
        <w:t>كحُكمِ غيرِه في أنّ الآيةَ لا تَقتَضي تخصيصَه، فلَيسَ تعيينُ وقتٍ أَولىٰ مِن تعيينِ غيرِه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سائرِ الأوقاتِ و جميعِها حُكمُ بعضِها في أنّ الآيةَ لا تَقتَضي تَناوُلَه، فلَيسَ مَن ادَّعىٰ عُمومَ الأوقاتِ بأَولىٰ ممَّن ادَّعىٰ وقتاً مخصوصاً</w:t>
      </w:r>
      <w:r>
        <w:rPr>
          <w:rFonts w:eastAsia="Amiri" w:cs="Amiri" w:ascii="Amiri" w:hAnsi="Amiri"/>
          <w:color w:val="111111"/>
          <w:sz w:val="28"/>
          <w:szCs w:val="28"/>
          <w:rtl w:val="true"/>
          <w:lang w:bidi="ar-SA"/>
        </w:rPr>
        <w:t xml:space="preserve">. </w:t>
      </w:r>
      <w:bookmarkStart w:id="43" w:name="pg20015_284755"/>
    </w:p>
    <w:p>
      <w:pPr>
        <w:pStyle w:val="Heading5"/>
        <w:numPr>
          <w:ilvl w:val="4"/>
          <w:numId w:val="1"/>
        </w:numPr>
        <w:rPr/>
      </w:pPr>
      <w:bookmarkStart w:id="44" w:name="__RefHeading___Toc894749_2320776876"/>
      <w:bookmarkStart w:id="45" w:name="_Toc16"/>
      <w:bookmarkEnd w:id="43"/>
      <w:bookmarkEnd w:id="44"/>
      <w:r>
        <w:rPr>
          <w:rtl w:val="true"/>
        </w:rPr>
        <w:t xml:space="preserve">الحجَّة الثانية قوله تعالىٰ </w:t>
      </w:r>
      <w:r>
        <w:rPr>
          <w:rtl w:val="true"/>
        </w:rPr>
        <w:t>: (</w:t>
      </w:r>
      <w:r>
        <w:rPr>
          <w:rtl w:val="true"/>
        </w:rPr>
        <w:t xml:space="preserve">وَ اتَّبِعْ سَبِيلَ مَنْ أَنٰابَ إِلَيَّ </w:t>
      </w:r>
      <w:r>
        <w:rPr>
          <w:rtl w:val="true"/>
        </w:rPr>
        <w:t>)</w:t>
      </w:r>
      <w:bookmarkEnd w:id="45"/>
    </w:p>
    <w:p>
      <w:pPr>
        <w:pStyle w:val="BookText"/>
        <w:rPr/>
      </w:pPr>
      <w:r>
        <w:rPr>
          <w:rFonts w:ascii="Amiri" w:hAnsi="Amiri" w:eastAsia="Amiri" w:cs="Amiri"/>
          <w:color w:val="111111"/>
          <w:sz w:val="28"/>
          <w:sz w:val="28"/>
          <w:szCs w:val="28"/>
          <w:rtl w:val="true"/>
          <w:lang w:bidi="ar-SA"/>
        </w:rPr>
        <w:t xml:space="preserve">و ممّا اعتَمَدَ عليه في الاستدلالِ علىٰ صحّةِ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ضَعَّفَه بعضَ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قالَ‌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مَن أنابَ إلَى اللّٰهِ تَعالىٰ هُمُ المؤمنونَ ؛ لأنّهم</w:t>
      </w:r>
      <w:r>
        <w:rPr>
          <w:rStyle w:val="FootnoteAnchor"/>
          <w:rtl w:val="true"/>
        </w:rPr>
        <w:footnoteReference w:id="218"/>
      </w:r>
      <w:r>
        <w:rPr>
          <w:rFonts w:ascii="Amiri" w:hAnsi="Amiri" w:eastAsia="Amiri" w:cs="Amiri"/>
          <w:color w:val="111111"/>
          <w:sz w:val="28"/>
          <w:sz w:val="28"/>
          <w:szCs w:val="28"/>
          <w:rtl w:val="true"/>
          <w:lang w:bidi="ar-SA"/>
        </w:rPr>
        <w:t xml:space="preserve">المُختَصّونَ بهذه الطريقةِ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سَلَكَ في ترتيبِ الاستدلالِ بها المَسلَكَ في الآيةِ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لا دَلالةَ فيها علىٰ ما يَذهَبونَ إليه في صحّةِ الإجماعِ‌، و أكثَرُ الوجوهِ التي ذَكَرناها في الآيةِ المُتَقدِّمةِ تُبطِلُ‌</w:t>
      </w:r>
      <w:r>
        <w:rPr>
          <w:rStyle w:val="FootnoteAnchor"/>
          <w:rtl w:val="true"/>
        </w:rPr>
        <w:footnoteReference w:id="220"/>
      </w:r>
      <w:r>
        <w:rPr>
          <w:rFonts w:ascii="Amiri" w:hAnsi="Amiri" w:eastAsia="Amiri" w:cs="Amiri"/>
          <w:color w:val="111111"/>
          <w:sz w:val="28"/>
          <w:sz w:val="28"/>
          <w:szCs w:val="28"/>
          <w:rtl w:val="true"/>
          <w:lang w:bidi="ar-SA"/>
        </w:rPr>
        <w:t xml:space="preserve">الاحتجاجَ بهذه الآيةِ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إذا تَصَفَّحتَها وَقَفتَ علَى</w:t>
      </w:r>
      <w:r>
        <w:rPr>
          <w:rStyle w:val="FootnoteAnchor"/>
          <w:rtl w:val="true"/>
        </w:rPr>
        <w:footnoteReference w:id="222"/>
      </w:r>
      <w:r>
        <w:rPr>
          <w:rFonts w:ascii="Amiri" w:hAnsi="Amiri" w:eastAsia="Amiri" w:cs="Amiri"/>
          <w:color w:val="111111"/>
          <w:sz w:val="28"/>
          <w:sz w:val="28"/>
          <w:szCs w:val="28"/>
          <w:rtl w:val="true"/>
          <w:lang w:bidi="ar-SA"/>
        </w:rPr>
        <w:t xml:space="preserve">الفَصلِ بَينَ ما يَختَصُّ إحدَى الآيتَينِ مِن الوجوهِ ، </w:t>
      </w:r>
    </w:p>
    <w:p>
      <w:pPr>
        <w:pStyle w:val="BookText"/>
        <w:rPr/>
      </w:pPr>
      <w:r>
        <w:rPr>
          <w:rFonts w:ascii="Amiri" w:hAnsi="Amiri" w:eastAsia="Amiri" w:cs="Amiri"/>
          <w:color w:val="111111"/>
          <w:sz w:val="28"/>
          <w:sz w:val="28"/>
          <w:szCs w:val="28"/>
          <w:rtl w:val="true"/>
          <w:lang w:bidi="ar-SA"/>
        </w:rPr>
        <w:t>و ما يُمكِنُ أن يَكونَ كلاماً علَى الجميعِ‌، فلهذا لَم نَتَشاغَلْ بإعادةِ شيءٍ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يَخُصُّ‌</w:t>
      </w:r>
      <w:r>
        <w:rPr>
          <w:rStyle w:val="FootnoteAnchor"/>
          <w:rtl w:val="true"/>
        </w:rPr>
        <w:footnoteReference w:id="223"/>
      </w:r>
      <w:r>
        <w:rPr>
          <w:rFonts w:ascii="Amiri" w:hAnsi="Amiri" w:eastAsia="Amiri" w:cs="Amiri"/>
          <w:color w:val="111111"/>
          <w:sz w:val="28"/>
          <w:sz w:val="28"/>
          <w:szCs w:val="28"/>
          <w:rtl w:val="true"/>
          <w:lang w:bidi="ar-SA"/>
        </w:rPr>
        <w:t>هذه الآيةَ أنّ الإنابةَ حقيقتُها في اللُّغةِ هي</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تُستَعمَلُ في التائبِ مِن حَيثُ رَجَعَ عن المعصيةِ إلَى الطاعةِ‌، و لَيسَ يَصِحُّ إجراؤها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المُتمسِّكِ‌</w:t>
      </w:r>
      <w:r>
        <w:rPr>
          <w:rStyle w:val="FootnoteAnchor"/>
          <w:rtl w:val="true"/>
        </w:rPr>
        <w:footnoteReference w:id="225"/>
      </w:r>
      <w:r>
        <w:rPr>
          <w:rFonts w:ascii="Amiri" w:hAnsi="Amiri" w:eastAsia="Amiri" w:cs="Amiri"/>
          <w:color w:val="111111"/>
          <w:sz w:val="28"/>
          <w:sz w:val="28"/>
          <w:szCs w:val="28"/>
          <w:rtl w:val="true"/>
          <w:lang w:bidi="ar-SA"/>
        </w:rPr>
        <w:t>بطريقةٍ واحدةٍ‌</w:t>
      </w:r>
      <w:r>
        <w:rPr>
          <w:rStyle w:val="FootnoteAnchor"/>
          <w:rtl w:val="true"/>
        </w:rPr>
        <w:footnoteReference w:id="226"/>
      </w:r>
      <w:r>
        <w:rPr>
          <w:rFonts w:ascii="Amiri" w:hAnsi="Amiri" w:eastAsia="Amiri" w:cs="Amiri"/>
          <w:color w:val="111111"/>
          <w:sz w:val="28"/>
          <w:sz w:val="28"/>
          <w:szCs w:val="28"/>
          <w:rtl w:val="true"/>
          <w:lang w:bidi="ar-SA"/>
        </w:rPr>
        <w:t>لَم يَرجِعْ إليها عن غيرِها علىٰ سَبيلِ الحقيقةِ‌، و لَو استُعمِلَ فيمَن ذَكَرناه لَكانَ مُستَعمِلُها مُتجوِّزاً عندَ جميعِ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حقيقةُ الإنابةِ في اللُّغةِ هي الرجوعَ‌، لَم يَصِحَّ إجراءُ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w:t>
      </w:r>
      <w:r>
        <w:rPr>
          <w:rStyle w:val="FootnoteAnchor"/>
          <w:rtl w:val="true"/>
        </w:rPr>
        <w:footnoteReference w:id="227"/>
      </w:r>
      <w:r>
        <w:rPr>
          <w:rFonts w:ascii="Amiri" w:hAnsi="Amiri" w:eastAsia="Amiri" w:cs="Amiri"/>
          <w:color w:val="111111"/>
          <w:sz w:val="28"/>
          <w:sz w:val="28"/>
          <w:szCs w:val="28"/>
          <w:rtl w:val="true"/>
          <w:lang w:bidi="ar-SA"/>
        </w:rPr>
        <w:t>المؤمنينَ حَتّىٰ يُعَمَّ بها مَن كانَ مُتمسِّكاً بالإيمانِ و غيرَ خارجٍ عن غيرِه إليه، و مَن رَجَعَ إلَى اعتقادِه و أنابَ إليه بَعدَ أن كانَ علىٰ غيرِه؛ لأنّا لَو فَعَلنا ذلكَ لَكُنّا عادلينَ باللّفظةِ‌</w:t>
      </w:r>
      <w:r>
        <w:rPr>
          <w:rStyle w:val="FootnoteAnchor"/>
          <w:rtl w:val="true"/>
        </w:rPr>
        <w:footnoteReference w:id="228"/>
      </w:r>
      <w:r>
        <w:rPr>
          <w:rFonts w:ascii="Amiri" w:hAnsi="Amiri" w:eastAsia="Amiri" w:cs="Amiri"/>
          <w:color w:val="111111"/>
          <w:sz w:val="28"/>
          <w:sz w:val="28"/>
          <w:szCs w:val="28"/>
          <w:rtl w:val="true"/>
          <w:lang w:bidi="ar-SA"/>
        </w:rPr>
        <w:t>عن حَقيقتِها</w:t>
      </w:r>
      <w:r>
        <w:rPr>
          <w:rStyle w:val="FootnoteAnchor"/>
          <w:rtl w:val="true"/>
        </w:rPr>
        <w:footnoteReference w:id="229"/>
      </w:r>
      <w:r>
        <w:rPr>
          <w:rFonts w:ascii="Amiri" w:hAnsi="Amiri" w:eastAsia="Amiri" w:cs="Amiri"/>
          <w:color w:val="111111"/>
          <w:sz w:val="28"/>
          <w:sz w:val="28"/>
          <w:szCs w:val="28"/>
          <w:rtl w:val="true"/>
          <w:lang w:bidi="ar-SA"/>
        </w:rPr>
        <w:t xml:space="preserve">مِن غيرِ ضَرورةٍ‌، و الواجبُ أن يَكونَ ظاهرُها مُتناوِلاً للتائبينَ مِن المؤمنينَ الذين أنابوا إلَى الإيمانِ و فارَقوا غيرَه، و إذا تَناوَلَت هؤلاءِ لَم يَكُنْ دَلالةً علىٰ مَكانِ الخِلافِ بَينَنا و بَينَ خُصومِنا في الإجماعِ </w:t>
      </w:r>
      <w:r>
        <w:rPr>
          <w:rFonts w:eastAsia="Amiri" w:cs="Amiri" w:ascii="Amiri" w:hAnsi="Amiri"/>
          <w:color w:val="111111"/>
          <w:sz w:val="28"/>
          <w:szCs w:val="28"/>
          <w:rtl w:val="true"/>
          <w:lang w:bidi="ar-SA"/>
        </w:rPr>
        <w:t xml:space="preserve">. </w:t>
      </w:r>
      <w:bookmarkStart w:id="46" w:name="pg20015_284757"/>
    </w:p>
    <w:p>
      <w:pPr>
        <w:pStyle w:val="Heading5"/>
        <w:numPr>
          <w:ilvl w:val="4"/>
          <w:numId w:val="1"/>
        </w:numPr>
        <w:rPr/>
      </w:pPr>
      <w:bookmarkStart w:id="47" w:name="__RefHeading___Toc894751_2320776876"/>
      <w:bookmarkStart w:id="48" w:name="_Toc17"/>
      <w:bookmarkEnd w:id="46"/>
      <w:bookmarkEnd w:id="47"/>
      <w:r>
        <w:rPr>
          <w:rtl w:val="true"/>
        </w:rPr>
        <w:t xml:space="preserve">الحجّة الثالثة قوله تعالىٰ </w:t>
      </w:r>
      <w:r>
        <w:rPr>
          <w:rtl w:val="true"/>
        </w:rPr>
        <w:t>: (</w:t>
      </w:r>
      <w:r>
        <w:rPr>
          <w:rtl w:val="true"/>
        </w:rPr>
        <w:t>وَ كَذٰلِكَ جَعَلْنٰاكُمْ أُمَّةً وَسَطاً</w:t>
      </w:r>
      <w:r>
        <w:rPr>
          <w:rtl w:val="true"/>
        </w:rPr>
        <w:t>)</w:t>
      </w:r>
      <w:bookmarkEnd w:id="48"/>
    </w:p>
    <w:p>
      <w:pPr>
        <w:pStyle w:val="Heading6"/>
        <w:numPr>
          <w:ilvl w:val="5"/>
          <w:numId w:val="1"/>
        </w:numPr>
        <w:rPr/>
      </w:pPr>
      <w:bookmarkStart w:id="49" w:name="__RefHeading___Toc894753_2320776876"/>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ممّا تَعلَّقَ به أيضاً</w:t>
      </w:r>
      <w:r>
        <w:rPr>
          <w:rStyle w:val="FootnoteAnchor"/>
          <w:rtl w:val="true"/>
        </w:rPr>
        <w:footnoteReference w:id="23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w:t>
      </w:r>
      <w:r>
        <w:rPr>
          <w:rStyle w:val="FootnoteAnchor"/>
          <w:rtl w:val="true"/>
        </w:rPr>
        <w:footnoteReference w:id="232"/>
      </w:r>
      <w:r>
        <w:rPr>
          <w:rFonts w:ascii="Amiri" w:hAnsi="Amiri" w:eastAsia="Amiri" w:cs="Amiri"/>
          <w:color w:val="111111"/>
          <w:sz w:val="28"/>
          <w:sz w:val="28"/>
          <w:szCs w:val="28"/>
          <w:rtl w:val="true"/>
          <w:lang w:bidi="ar-SA"/>
        </w:rPr>
        <w:t>هو العَدلُ‌، و لا يَكونُ هذا</w:t>
      </w:r>
      <w:r>
        <w:rPr>
          <w:rStyle w:val="FootnoteAnchor"/>
          <w:rtl w:val="true"/>
        </w:rPr>
        <w:footnoteReference w:id="233"/>
      </w:r>
      <w:r>
        <w:rPr>
          <w:rFonts w:ascii="Amiri" w:hAnsi="Amiri" w:eastAsia="Amiri" w:cs="Amiri"/>
          <w:color w:val="111111"/>
          <w:sz w:val="28"/>
          <w:sz w:val="28"/>
          <w:szCs w:val="28"/>
          <w:rtl w:val="true"/>
          <w:lang w:bidi="ar-SA"/>
        </w:rPr>
        <w:t>حالَهم إلّاو هُم خِيارٌ؛ لأنّ الوَسَطَ مِن كُلِّ شيءٍ هو المُعتَدِلُ منه</w:t>
      </w:r>
      <w:r>
        <w:rPr>
          <w:rStyle w:val="FootnoteAnchor"/>
          <w:rtl w:val="true"/>
        </w:rPr>
        <w:footnoteReference w:id="23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 أَ لَمْ أَقُلْ لَكُمْ‌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المرادُ بذلكَ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الوجهِ يُقالُ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w:t>
      </w:r>
      <w:r>
        <w:rPr>
          <w:rStyle w:val="FootnoteAnchor"/>
          <w:rtl w:val="true"/>
        </w:rPr>
        <w:footnoteReference w:id="237"/>
      </w:r>
      <w:r>
        <w:rPr>
          <w:rFonts w:ascii="Amiri" w:hAnsi="Amiri" w:eastAsia="Amiri" w:cs="Amiri"/>
          <w:color w:val="111111"/>
          <w:sz w:val="28"/>
          <w:sz w:val="28"/>
          <w:szCs w:val="28"/>
          <w:rtl w:val="true"/>
          <w:lang w:bidi="ar-SA"/>
        </w:rPr>
        <w:t xml:space="preserve">مِن أَوسَطِ قُرَيشٍ </w:t>
      </w:r>
      <w:r>
        <w:rPr>
          <w:rStyle w:val="FootnoteAnchor"/>
          <w:rtl w:val="true"/>
        </w:rPr>
        <w:footnoteReference w:id="238"/>
      </w:r>
      <w:r>
        <w:rPr>
          <w:rFonts w:ascii="Amiri" w:hAnsi="Amiri" w:eastAsia="Amiri" w:cs="Amiri"/>
          <w:color w:val="111111"/>
          <w:sz w:val="28"/>
          <w:sz w:val="28"/>
          <w:szCs w:val="28"/>
          <w:rtl w:val="true"/>
          <w:lang w:bidi="ar-SA"/>
        </w:rPr>
        <w:t xml:space="preserve">يُعنىٰ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خَيرِهم، و بَيَّنَ أنّه تَعالىٰ جَعَلَهم كذلكَ ليَكونوا شُهَداءَ علَى الناسِ كما أنّه عليه السلامُ شَهيدٌ عَلَيهم، </w:t>
      </w:r>
    </w:p>
    <w:p>
      <w:pPr>
        <w:pStyle w:val="BookText"/>
        <w:rPr/>
      </w:pPr>
      <w:r>
        <w:rPr>
          <w:rFonts w:ascii="Amiri" w:hAnsi="Amiri" w:eastAsia="Amiri" w:cs="Amiri"/>
          <w:color w:val="111111"/>
          <w:sz w:val="28"/>
          <w:sz w:val="28"/>
          <w:szCs w:val="28"/>
          <w:rtl w:val="true"/>
          <w:lang w:bidi="ar-SA"/>
        </w:rPr>
        <w:t>فكما أنّه لا يَكونُ شَهيداً إلّاو قَولُه حقٌّ و حُجّةٌ ، فكذلكَ القَولُ فيهم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لا تَدُلُّ أيضاً علىٰ ما يَدَّعونَه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يَخلو أن يَكونَ المُرادُ بها جميعَ الأُمّةِ المُصدِّقةِ بالرسولِ صَلَّى اللّٰهُ عليه و آلِه،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 لا يَجوزُ أن يُريدَ جميعَها؛ لأنّ كثيراً مِنها لَيسَ بخِيارٍ و لا عُدولٍ‌</w:t>
      </w:r>
      <w:r>
        <w:rPr>
          <w:rStyle w:val="FootnoteAnchor"/>
          <w:rtl w:val="true"/>
        </w:rPr>
        <w:footnoteReference w:id="240"/>
      </w:r>
      <w:r>
        <w:rPr>
          <w:rFonts w:ascii="Amiri" w:hAnsi="Amiri" w:eastAsia="Amiri" w:cs="Amiri"/>
          <w:color w:val="111111"/>
          <w:sz w:val="28"/>
          <w:sz w:val="28"/>
          <w:szCs w:val="28"/>
          <w:rtl w:val="true"/>
          <w:lang w:bidi="ar-SA"/>
        </w:rPr>
        <w:t>، و لا يَجوزُ مِن الحَكيمِ تَعالىٰ أن يَصِفَ‌</w:t>
      </w:r>
      <w:r>
        <w:rPr>
          <w:rStyle w:val="FootnoteAnchor"/>
          <w:rtl w:val="true"/>
        </w:rPr>
        <w:footnoteReference w:id="241"/>
      </w:r>
      <w:r>
        <w:rPr>
          <w:rFonts w:ascii="Amiri" w:hAnsi="Amiri" w:eastAsia="Amiri" w:cs="Amiri"/>
          <w:color w:val="111111"/>
          <w:sz w:val="28"/>
          <w:sz w:val="28"/>
          <w:szCs w:val="28"/>
          <w:rtl w:val="true"/>
          <w:lang w:bidi="ar-SA"/>
        </w:rPr>
        <w:t>جماعةً بأنّهم خِيارٌ عُدولٌ و فيهم مَن لَيسَ‌</w:t>
      </w:r>
      <w:r>
        <w:rPr>
          <w:rStyle w:val="FootnoteAnchor"/>
          <w:rtl w:val="true"/>
        </w:rPr>
        <w:footnoteReference w:id="242"/>
      </w:r>
      <w:r>
        <w:rPr>
          <w:rFonts w:ascii="Amiri" w:hAnsi="Amiri" w:eastAsia="Amiri" w:cs="Amiri"/>
          <w:color w:val="111111"/>
          <w:sz w:val="28"/>
          <w:sz w:val="28"/>
          <w:szCs w:val="28"/>
          <w:rtl w:val="true"/>
          <w:lang w:bidi="ar-SA"/>
        </w:rPr>
        <w:t>بعَدلٍ‌</w:t>
      </w:r>
      <w:r>
        <w:rPr>
          <w:rStyle w:val="FootnoteAnchor"/>
          <w:rtl w:val="true"/>
        </w:rPr>
        <w:footnoteReference w:id="243"/>
      </w:r>
      <w:r>
        <w:rPr>
          <w:rFonts w:ascii="Amiri" w:hAnsi="Amiri" w:eastAsia="Amiri" w:cs="Amiri"/>
          <w:color w:val="111111"/>
          <w:sz w:val="28"/>
          <w:sz w:val="28"/>
          <w:szCs w:val="28"/>
          <w:rtl w:val="true"/>
          <w:lang w:bidi="ar-SA"/>
        </w:rPr>
        <w:t>و لا خَيِّرٍ، و هذا ممّا يُوافِقُنا عليه صاحبُ الكتابِ‌</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إن كانَ أرادَ بعضهَا</w:t>
      </w:r>
      <w:r>
        <w:rPr>
          <w:rStyle w:val="FootnoteAnchor"/>
          <w:rtl w:val="true"/>
        </w:rPr>
        <w:footnoteReference w:id="245"/>
      </w:r>
      <w:r>
        <w:rPr>
          <w:rFonts w:ascii="Amiri" w:hAnsi="Amiri" w:eastAsia="Amiri" w:cs="Amiri"/>
          <w:color w:val="111111"/>
          <w:sz w:val="28"/>
          <w:sz w:val="28"/>
          <w:szCs w:val="28"/>
          <w:rtl w:val="true"/>
          <w:lang w:bidi="ar-SA"/>
        </w:rPr>
        <w:t>لَم يَخلُ ذلكَ البعضُ مِن أن يَكونَ هو جميعَ المؤمنينَ المُستَحِقّينَ للثوابِ‌، أو يَكونَ بعضاً مِنهم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فلا دَلالةَ توجِبُ عُمومَها في الكُلِّ دونَ حَملِها علىٰ بعضٍ مُعيَّنٍ‌؛ لأنّه لا لَفظَ هاهُنا مِن الألفاظِ التي تُدَّعىٰ للعُمومِ كما هو في الآيتَينِ المُتقدِّمتَينِ‌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بعضاً مُعيَّناً خَرَجَت الآيةُ مِن أن تَكونَ </w:t>
      </w:r>
      <w:r>
        <w:rPr>
          <w:rStyle w:val="FootnoteAnchor"/>
          <w:rtl w:val="true"/>
        </w:rPr>
        <w:footnoteReference w:id="246"/>
      </w:r>
      <w:r>
        <w:rPr>
          <w:rFonts w:ascii="Amiri" w:hAnsi="Amiri" w:eastAsia="Amiri" w:cs="Amiri"/>
          <w:color w:val="111111"/>
          <w:sz w:val="28"/>
          <w:sz w:val="28"/>
          <w:szCs w:val="28"/>
          <w:rtl w:val="true"/>
          <w:lang w:bidi="ar-SA"/>
        </w:rPr>
        <w:t xml:space="preserve">فيها دَلالةٌ لخُصومِنا علَى الخلافِ بَينَنا و بَينَهم، و لَم يَكُنْ </w:t>
      </w:r>
      <w:r>
        <w:rPr>
          <w:rStyle w:val="FootnoteAnchor"/>
          <w:rtl w:val="true"/>
        </w:rPr>
        <w:footnoteReference w:id="247"/>
      </w:r>
      <w:r>
        <w:rPr>
          <w:rFonts w:ascii="Amiri" w:hAnsi="Amiri" w:eastAsia="Amiri" w:cs="Amiri"/>
          <w:color w:val="111111"/>
          <w:sz w:val="28"/>
          <w:sz w:val="28"/>
          <w:szCs w:val="28"/>
          <w:rtl w:val="true"/>
          <w:lang w:bidi="ar-SA"/>
        </w:rPr>
        <w:t xml:space="preserve">بعضُ المؤمنينَ بأن يَقتَضيَ </w:t>
      </w:r>
      <w:r>
        <w:rPr>
          <w:rStyle w:val="FootnoteAnchor"/>
          <w:rtl w:val="true"/>
        </w:rPr>
        <w:footnoteReference w:id="248"/>
      </w:r>
      <w:r>
        <w:rPr>
          <w:rFonts w:ascii="Amiri" w:hAnsi="Amiri" w:eastAsia="Amiri" w:cs="Amiri"/>
          <w:color w:val="111111"/>
          <w:sz w:val="28"/>
          <w:sz w:val="28"/>
          <w:szCs w:val="28"/>
          <w:rtl w:val="true"/>
          <w:lang w:bidi="ar-SA"/>
        </w:rPr>
        <w:t xml:space="preserve">تنَاوُلَها له أَولىٰ </w:t>
      </w:r>
    </w:p>
    <w:p>
      <w:pPr>
        <w:pStyle w:val="BookText"/>
        <w:rPr/>
      </w:pPr>
      <w:r>
        <w:rPr>
          <w:rFonts w:ascii="Amiri" w:hAnsi="Amiri" w:eastAsia="Amiri" w:cs="Amiri"/>
          <w:color w:val="111111"/>
          <w:sz w:val="28"/>
          <w:sz w:val="28"/>
          <w:szCs w:val="28"/>
          <w:rtl w:val="true"/>
          <w:lang w:bidi="ar-SA"/>
        </w:rPr>
        <w:t xml:space="preserve">مِن بعضٍ ، و ساغَ </w:t>
      </w:r>
      <w:r>
        <w:rPr>
          <w:rStyle w:val="FootnoteAnchor"/>
          <w:rtl w:val="true"/>
        </w:rPr>
        <w:footnoteReference w:id="249"/>
      </w:r>
      <w:r>
        <w:rPr>
          <w:rFonts w:ascii="Amiri" w:hAnsi="Amiri" w:eastAsia="Amiri" w:cs="Amiri"/>
          <w:color w:val="111111"/>
          <w:sz w:val="28"/>
          <w:sz w:val="28"/>
          <w:szCs w:val="28"/>
          <w:rtl w:val="true"/>
          <w:lang w:bidi="ar-SA"/>
        </w:rPr>
        <w:t>لنا أن نَقصُرَها علَى الأئمّةِ مِن آلِ محمّدٍ صلَواتُ اللّٰهِ عَلَيهم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قَولُنا أثبَتَ في الآيةِ مِن كُلِّ قَولٍ ؛ لقيامِ الدَّلالةِ علىٰ عصمةِ مَن عَدَلْنا بها إليه</w:t>
      </w:r>
      <w:r>
        <w:rPr>
          <w:rStyle w:val="FootnoteAnchor"/>
          <w:rtl w:val="true"/>
        </w:rPr>
        <w:footnoteReference w:id="251"/>
      </w:r>
      <w:r>
        <w:rPr>
          <w:rFonts w:ascii="Amiri" w:hAnsi="Amiri" w:eastAsia="Amiri" w:cs="Amiri"/>
          <w:color w:val="111111"/>
          <w:sz w:val="28"/>
          <w:sz w:val="28"/>
          <w:szCs w:val="28"/>
          <w:rtl w:val="true"/>
          <w:lang w:bidi="ar-SA"/>
        </w:rPr>
        <w:t>، و طهارتِه و تَميُّزِه</w:t>
      </w:r>
      <w:r>
        <w:rPr>
          <w:rStyle w:val="FootnoteAnchor"/>
          <w:rtl w:val="true"/>
        </w:rPr>
        <w:footnoteReference w:id="252"/>
      </w:r>
      <w:r>
        <w:rPr>
          <w:rFonts w:ascii="Amiri" w:hAnsi="Amiri" w:eastAsia="Amiri" w:cs="Amiri"/>
          <w:color w:val="111111"/>
          <w:sz w:val="28"/>
          <w:sz w:val="28"/>
          <w:szCs w:val="28"/>
          <w:rtl w:val="true"/>
          <w:lang w:bidi="ar-SA"/>
        </w:rPr>
        <w:t xml:space="preserve">مِن كُلِّ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يَقتَضي دُخولَ كُلِّ الأُمّةِ فيه لَولا الدَّلالةُ التي دَلَّت مِن حَيثُ الوصفِ المخصوصِ علىٰ تخصيصِ مَن استَحَقَّ‌</w:t>
      </w:r>
      <w:r>
        <w:rPr>
          <w:rStyle w:val="FootnoteAnchor"/>
          <w:rtl w:val="true"/>
        </w:rPr>
        <w:footnoteReference w:id="253"/>
      </w:r>
      <w:r>
        <w:rPr>
          <w:rFonts w:ascii="Amiri" w:hAnsi="Amiri" w:eastAsia="Amiri" w:cs="Amiri"/>
          <w:color w:val="111111"/>
          <w:sz w:val="28"/>
          <w:sz w:val="28"/>
          <w:szCs w:val="28"/>
          <w:rtl w:val="true"/>
          <w:lang w:bidi="ar-SA"/>
        </w:rPr>
        <w:t>المَدحَ مِنهم و الثوابَ‌، فإذا خَرَجَ مَن لا يَستَحِقُّهما</w:t>
      </w:r>
      <w:r>
        <w:rPr>
          <w:rStyle w:val="FootnoteAnchor"/>
          <w:rtl w:val="true"/>
        </w:rPr>
        <w:footnoteReference w:id="254"/>
      </w:r>
      <w:r>
        <w:rPr>
          <w:rFonts w:ascii="Amiri" w:hAnsi="Amiri" w:eastAsia="Amiri" w:cs="Amiri"/>
          <w:color w:val="111111"/>
          <w:sz w:val="28"/>
          <w:sz w:val="28"/>
          <w:szCs w:val="28"/>
          <w:rtl w:val="true"/>
          <w:lang w:bidi="ar-SA"/>
        </w:rPr>
        <w:t xml:space="preserve">بدليلٍ‌، وَجَبَ عُمومُها في كُلِّ المُستَحِقّينَ للثوابِ </w:t>
      </w:r>
      <w:r>
        <w:rPr>
          <w:rStyle w:val="FootnoteAnchor"/>
          <w:rtl w:val="true"/>
        </w:rPr>
        <w:footnoteReference w:id="255"/>
      </w:r>
      <w:r>
        <w:rPr>
          <w:rFonts w:ascii="Amiri" w:hAnsi="Amiri" w:eastAsia="Amiri" w:cs="Amiri"/>
          <w:color w:val="111111"/>
          <w:sz w:val="28"/>
          <w:sz w:val="28"/>
          <w:szCs w:val="28"/>
          <w:rtl w:val="true"/>
          <w:lang w:bidi="ar-SA"/>
        </w:rPr>
        <w:t xml:space="preserve">و المَدحِ ؛ لأنّه لَيسَ هي بأن تَتناوَلَ </w:t>
      </w:r>
      <w:r>
        <w:rPr>
          <w:rStyle w:val="FootnoteAnchor"/>
          <w:rtl w:val="true"/>
        </w:rPr>
        <w:footnoteReference w:id="256"/>
      </w:r>
      <w:r>
        <w:rPr>
          <w:rFonts w:ascii="Amiri" w:hAnsi="Amiri" w:eastAsia="Amiri" w:cs="Amiri"/>
          <w:color w:val="111111"/>
          <w:sz w:val="28"/>
          <w:sz w:val="28"/>
          <w:szCs w:val="28"/>
          <w:rtl w:val="true"/>
          <w:lang w:bidi="ar-SA"/>
        </w:rPr>
        <w:t xml:space="preserve">بعضاً أَولىٰ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القَولِ‌</w:t>
      </w:r>
      <w:r>
        <w:rPr>
          <w:rStyle w:val="FootnoteAnchor"/>
          <w:rtl w:val="true"/>
        </w:rPr>
        <w:footnoteReference w:id="257"/>
      </w:r>
      <w:r>
        <w:rPr>
          <w:rFonts w:ascii="Amiri" w:hAnsi="Amiri" w:eastAsia="Amiri" w:cs="Amiri"/>
          <w:color w:val="111111"/>
          <w:sz w:val="28"/>
          <w:sz w:val="28"/>
          <w:szCs w:val="28"/>
          <w:rtl w:val="true"/>
          <w:lang w:bidi="ar-SA"/>
        </w:rPr>
        <w:t>لا يَقتَضي كُلَّ الأُمّةِ علىٰ أصلِنا حتّىٰ يَلزَمَ إذا أَخرَجنا مَن لا يَستَحِقُّ الثوابَ مِنه أن لا يَخرُجَ غيرُه، و لَو اقْتَضىٰ ذلكَ و وَجَبَ تعليقُ الآيةِ‌</w:t>
      </w:r>
      <w:r>
        <w:rPr>
          <w:rStyle w:val="FootnoteAnchor"/>
          <w:rtl w:val="true"/>
        </w:rPr>
        <w:footnoteReference w:id="2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w:t>
      </w:r>
      <w:r>
        <w:rPr>
          <w:rStyle w:val="FootnoteAnchor"/>
          <w:rtl w:val="true"/>
        </w:rPr>
        <w:footnoteReference w:id="259"/>
      </w:r>
      <w:r>
        <w:rPr>
          <w:rFonts w:ascii="Amiri" w:hAnsi="Amiri" w:eastAsia="Amiri" w:cs="Amiri"/>
          <w:color w:val="111111"/>
          <w:sz w:val="28"/>
          <w:sz w:val="28"/>
          <w:szCs w:val="28"/>
          <w:rtl w:val="true"/>
          <w:lang w:bidi="ar-SA"/>
        </w:rPr>
        <w:t xml:space="preserve">مَن عَدا الخارجينَ عن استحقاقِ الثوابِ ، لَوَجَبَ القَضاءُ بعُمومِها في جميعِ مَن كانَ بهذه الصفةِ في سائرِ الأعصارِ؛ لأنّ ظاهرَ العُمومِ يَقتَضيه علىٰ </w:t>
      </w:r>
    </w:p>
    <w:p>
      <w:pPr>
        <w:pStyle w:val="BookText"/>
        <w:rPr/>
      </w:pPr>
      <w:r>
        <w:rPr>
          <w:rFonts w:ascii="Amiri" w:hAnsi="Amiri" w:eastAsia="Amiri" w:cs="Amiri"/>
          <w:color w:val="111111"/>
          <w:sz w:val="28"/>
          <w:sz w:val="28"/>
          <w:szCs w:val="28"/>
          <w:rtl w:val="true"/>
          <w:lang w:bidi="ar-SA"/>
        </w:rPr>
        <w:t xml:space="preserve">مَذهَبِ مَن قالَ به، فكانَ لا يَسوغُ حَملُ القَولِ علىٰ إجماعِ كُلِّ عَصرٍ؛ لأنّه تخصيصٌ لا يَجِدُ مُقْتَرِحُه فَرقاً بَينَه و بَينَ مَن اقتَرَحَ تخصيصَ فِرقةٍ مِن كُلّ عَصرٍ، و هذا يُبطِلُ الغرضَ في الاحتجاجِ بالآيةِ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اجتماعُ جميعِ </w:t>
      </w:r>
      <w:r>
        <w:rPr>
          <w:rStyle w:val="FootnoteAnchor"/>
          <w:rtl w:val="true"/>
        </w:rPr>
        <w:footnoteReference w:id="260"/>
      </w:r>
      <w:r>
        <w:rPr>
          <w:rFonts w:ascii="Amiri" w:hAnsi="Amiri" w:eastAsia="Amiri" w:cs="Amiri"/>
          <w:color w:val="111111"/>
          <w:sz w:val="28"/>
          <w:sz w:val="28"/>
          <w:szCs w:val="28"/>
          <w:rtl w:val="true"/>
          <w:lang w:bidi="ar-SA"/>
        </w:rPr>
        <w:t xml:space="preserve">أهلِ الأعصارِ علَى الشهادةِ حُجّةً و صَواباً علىٰ ما ألزمتُموناه، و لا يَكونُ اجتماعُ </w:t>
      </w:r>
      <w:r>
        <w:rPr>
          <w:rStyle w:val="FootnoteAnchor"/>
          <w:rtl w:val="true"/>
        </w:rPr>
        <w:footnoteReference w:id="261"/>
      </w:r>
      <w:r>
        <w:rPr>
          <w:rFonts w:ascii="Amiri" w:hAnsi="Amiri" w:eastAsia="Amiri" w:cs="Amiri"/>
          <w:color w:val="111111"/>
          <w:sz w:val="28"/>
          <w:sz w:val="28"/>
          <w:szCs w:val="28"/>
          <w:rtl w:val="true"/>
          <w:lang w:bidi="ar-SA"/>
        </w:rPr>
        <w:t xml:space="preserve">جميعِ </w:t>
      </w:r>
      <w:r>
        <w:rPr>
          <w:rStyle w:val="FootnoteAnchor"/>
          <w:rtl w:val="true"/>
        </w:rPr>
        <w:footnoteReference w:id="262"/>
      </w:r>
      <w:r>
        <w:rPr>
          <w:rFonts w:ascii="Amiri" w:hAnsi="Amiri" w:eastAsia="Amiri" w:cs="Amiri"/>
          <w:color w:val="111111"/>
          <w:sz w:val="28"/>
          <w:sz w:val="28"/>
          <w:szCs w:val="28"/>
          <w:rtl w:val="true"/>
          <w:lang w:bidi="ar-SA"/>
        </w:rPr>
        <w:t>أهلِ كُلِّ عصرٍ</w:t>
      </w:r>
      <w:r>
        <w:rPr>
          <w:rStyle w:val="FootnoteAnchor"/>
          <w:rtl w:val="true"/>
        </w:rPr>
        <w:footnoteReference w:id="263"/>
      </w: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لأنّ هذا ممّا لا يُنكَرُ</w:t>
      </w:r>
      <w:r>
        <w:rPr>
          <w:rStyle w:val="FootnoteAnchor"/>
          <w:rtl w:val="true"/>
        </w:rPr>
        <w:footnoteReference w:id="264"/>
      </w:r>
      <w:r>
        <w:rPr>
          <w:rFonts w:ascii="Amiri" w:hAnsi="Amiri" w:eastAsia="Amiri" w:cs="Amiri"/>
          <w:color w:val="111111"/>
          <w:sz w:val="28"/>
          <w:sz w:val="28"/>
          <w:szCs w:val="28"/>
          <w:rtl w:val="true"/>
          <w:lang w:bidi="ar-SA"/>
        </w:rPr>
        <w:t xml:space="preserve">كما لَم يَكُنْ مُنكَراً عندَ خُصومِنا أن يَكونَ إجماعُ أهلِ العَصرِ حُجّةً و صَواباً، و إن لَم يَكُنِ اجتماعُ </w:t>
      </w:r>
      <w:r>
        <w:rPr>
          <w:rStyle w:val="FootnoteAnchor"/>
          <w:rtl w:val="true"/>
        </w:rPr>
        <w:footnoteReference w:id="265"/>
      </w:r>
      <w:r>
        <w:rPr>
          <w:rFonts w:ascii="Amiri" w:hAnsi="Amiri" w:eastAsia="Amiri" w:cs="Amiri"/>
          <w:color w:val="111111"/>
          <w:sz w:val="28"/>
          <w:sz w:val="28"/>
          <w:szCs w:val="28"/>
          <w:rtl w:val="true"/>
          <w:lang w:bidi="ar-SA"/>
        </w:rPr>
        <w:t xml:space="preserve">كُلِّ فِرقةٍ مِن فِرَقِهم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يَشهَدُ</w:t>
      </w:r>
      <w:r>
        <w:rPr>
          <w:rStyle w:val="FootnoteAnchor"/>
          <w:rtl w:val="true"/>
        </w:rPr>
        <w:footnoteReference w:id="266"/>
      </w:r>
      <w:r>
        <w:rPr>
          <w:rFonts w:ascii="Amiri" w:hAnsi="Amiri" w:eastAsia="Amiri" w:cs="Amiri"/>
          <w:color w:val="111111"/>
          <w:sz w:val="28"/>
          <w:sz w:val="28"/>
          <w:szCs w:val="28"/>
          <w:rtl w:val="true"/>
          <w:lang w:bidi="ar-SA"/>
        </w:rPr>
        <w:t xml:space="preserve">جميعُهم، و هُم لا يَصِحُّ </w:t>
      </w:r>
      <w:r>
        <w:rPr>
          <w:rStyle w:val="FootnoteAnchor"/>
          <w:rtl w:val="true"/>
        </w:rPr>
        <w:footnoteReference w:id="267"/>
      </w:r>
      <w:r>
        <w:rPr>
          <w:rFonts w:ascii="Amiri" w:hAnsi="Amiri" w:eastAsia="Amiri" w:cs="Amiri"/>
          <w:color w:val="111111"/>
          <w:sz w:val="28"/>
          <w:sz w:val="28"/>
          <w:szCs w:val="28"/>
          <w:rtl w:val="true"/>
          <w:lang w:bidi="ar-SA"/>
        </w:rPr>
        <w:t>أن يُشاهِدوا</w:t>
      </w:r>
      <w:r>
        <w:rPr>
          <w:rStyle w:val="FootnoteAnchor"/>
          <w:rtl w:val="true"/>
        </w:rPr>
        <w:footnoteReference w:id="268"/>
      </w:r>
      <w:r>
        <w:rPr>
          <w:rFonts w:ascii="Amiri" w:hAnsi="Amiri" w:eastAsia="Amiri" w:cs="Amiri"/>
          <w:color w:val="111111"/>
          <w:sz w:val="28"/>
          <w:sz w:val="28"/>
          <w:szCs w:val="28"/>
          <w:rtl w:val="true"/>
          <w:lang w:bidi="ar-SA"/>
        </w:rPr>
        <w:t>كُلُّهم شيئاً واحداً</w:t>
      </w:r>
      <w:r>
        <w:rPr>
          <w:rStyle w:val="FootnoteAnchor"/>
          <w:rtl w:val="true"/>
        </w:rPr>
        <w:footnoteReference w:id="269"/>
      </w:r>
      <w:r>
        <w:rPr>
          <w:rFonts w:ascii="Amiri" w:hAnsi="Amiri" w:eastAsia="Amiri" w:cs="Amiri"/>
          <w:color w:val="111111"/>
          <w:sz w:val="28"/>
          <w:sz w:val="28"/>
          <w:szCs w:val="28"/>
          <w:rtl w:val="true"/>
          <w:lang w:bidi="ar-SA"/>
        </w:rPr>
        <w:t>فيَشهَدوا</w:t>
      </w:r>
      <w:r>
        <w:rPr>
          <w:rStyle w:val="FootnoteAnchor"/>
          <w:rtl w:val="true"/>
        </w:rPr>
        <w:footnoteReference w:id="270"/>
      </w:r>
      <w:r>
        <w:rPr>
          <w:rFonts w:ascii="IRNazanin" w:hAnsi="IRNazanin" w:eastAsia="IRNazanin"/>
          <w:color w:val="111111"/>
          <w:sz w:val="28"/>
          <w:sz w:val="28"/>
          <w:szCs w:val="28"/>
          <w:rtl w:val="true"/>
          <w:lang w:bidi="fa-IR"/>
        </w:rPr>
        <w:t>به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تَصِحُّ </w:t>
      </w:r>
      <w:r>
        <w:rPr>
          <w:rStyle w:val="FootnoteAnchor"/>
          <w:rtl w:val="true"/>
        </w:rPr>
        <w:footnoteReference w:id="272"/>
      </w:r>
      <w:r>
        <w:rPr>
          <w:rFonts w:ascii="Amiri" w:hAnsi="Amiri" w:eastAsia="Amiri" w:cs="Amiri"/>
          <w:color w:val="111111"/>
          <w:sz w:val="28"/>
          <w:sz w:val="28"/>
          <w:szCs w:val="28"/>
          <w:rtl w:val="true"/>
          <w:lang w:bidi="ar-SA"/>
        </w:rPr>
        <w:t xml:space="preserve">الشهادةُ بما لا يُشاهَدُ مِن المعلوماتِ ، كشَهادتِنا بتَوحيدِ </w:t>
      </w:r>
    </w:p>
    <w:p>
      <w:p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273"/>
      </w:r>
      <w:r>
        <w:rPr>
          <w:rFonts w:ascii="Amiri" w:hAnsi="Amiri" w:eastAsia="Amiri" w:cs="Amiri"/>
          <w:color w:val="111111"/>
          <w:sz w:val="28"/>
          <w:sz w:val="28"/>
          <w:szCs w:val="28"/>
          <w:rtl w:val="true"/>
          <w:lang w:bidi="ar-SA"/>
        </w:rPr>
        <w:t>و عَدلِه، و نُبوّةِ أنبيائه</w:t>
      </w:r>
      <w:r>
        <w:rPr>
          <w:rStyle w:val="FootnoteAnchor"/>
          <w:rtl w:val="true"/>
        </w:rPr>
        <w:footnoteReference w:id="274"/>
      </w:r>
      <w:r>
        <w:rPr>
          <w:rFonts w:ascii="Amiri" w:hAnsi="Amiri" w:eastAsia="Amiri" w:cs="Amiri"/>
          <w:color w:val="111111"/>
          <w:sz w:val="28"/>
          <w:sz w:val="28"/>
          <w:szCs w:val="28"/>
          <w:rtl w:val="true"/>
          <w:lang w:bidi="ar-SA"/>
        </w:rPr>
        <w:t>عَلَيهم السلامُ ، إلىٰ غيرِ ذلكَ ممّا يَكثُرُ 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تَكونُ </w:t>
      </w:r>
      <w:r>
        <w:rPr>
          <w:rStyle w:val="FootnoteAnchor"/>
          <w:rtl w:val="true"/>
        </w:rPr>
        <w:footnoteReference w:id="275"/>
      </w:r>
      <w:r>
        <w:rPr>
          <w:rFonts w:ascii="Amiri" w:hAnsi="Amiri" w:eastAsia="Amiri" w:cs="Amiri"/>
          <w:color w:val="111111"/>
          <w:sz w:val="28"/>
          <w:sz w:val="28"/>
          <w:szCs w:val="28"/>
          <w:rtl w:val="true"/>
          <w:lang w:bidi="ar-SA"/>
        </w:rPr>
        <w:t>الشهادةُ إذا كان جميعُ المؤمنينَ في الأعصارِ</w:t>
      </w:r>
      <w:r>
        <w:rPr>
          <w:rStyle w:val="FootnoteAnchor"/>
          <w:rtl w:val="true"/>
        </w:rPr>
        <w:footnoteReference w:id="276"/>
      </w:r>
      <w:r>
        <w:rPr>
          <w:rFonts w:ascii="Amiri" w:hAnsi="Amiri" w:eastAsia="Amiri" w:cs="Amiri"/>
          <w:color w:val="111111"/>
          <w:sz w:val="28"/>
          <w:sz w:val="28"/>
          <w:szCs w:val="28"/>
          <w:rtl w:val="true"/>
          <w:lang w:bidi="ar-SA"/>
        </w:rPr>
        <w:t>هُم الشُّهَداءَ؟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277"/>
      </w:r>
      <w:r>
        <w:rPr>
          <w:rFonts w:ascii="Amiri" w:hAnsi="Amiri" w:eastAsia="Amiri" w:cs="Amiri"/>
          <w:color w:val="111111"/>
          <w:sz w:val="28"/>
          <w:sz w:val="28"/>
          <w:szCs w:val="28"/>
          <w:rtl w:val="true"/>
          <w:lang w:bidi="ar-SA"/>
        </w:rPr>
        <w:t xml:space="preserve">شَهادتُهم علىٰ مَن لا يَستَحِقُّ الثوابَ و لا يَدخُلُ تَحتَ القَولِ مِن الأُمّةِ ، و يَصِحُّ أيضاً أن يَشهَدوا علىٰ باقي الأُمَمِ </w:t>
      </w:r>
      <w:r>
        <w:rPr>
          <w:rStyle w:val="FootnoteAnchor"/>
          <w:rtl w:val="true"/>
        </w:rPr>
        <w:footnoteReference w:id="278"/>
      </w:r>
      <w:r>
        <w:rPr>
          <w:rFonts w:ascii="Amiri" w:hAnsi="Amiri" w:eastAsia="Amiri" w:cs="Amiri"/>
          <w:color w:val="111111"/>
          <w:sz w:val="28"/>
          <w:sz w:val="28"/>
          <w:szCs w:val="28"/>
          <w:rtl w:val="true"/>
          <w:lang w:bidi="ar-SA"/>
        </w:rPr>
        <w:t>الخارجينَ عن المِلّةِ ، و كُلُّ هذا غيرُ مُستَبعَدٍ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يُمكِنُ أن يُقالَ في أصلِ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أنّ المُرادَ به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عُدولاً أخياراً</w:t>
      </w:r>
      <w:r>
        <w:rPr>
          <w:rStyle w:val="FootnoteAnchor"/>
          <w:rtl w:val="true"/>
        </w:rPr>
        <w:footnoteReference w:id="280"/>
      </w:r>
      <w:r>
        <w:rPr>
          <w:rFonts w:ascii="Amiri" w:hAnsi="Amiri" w:eastAsia="Amiri" w:cs="Amiri"/>
          <w:color w:val="111111"/>
          <w:sz w:val="28"/>
          <w:sz w:val="28"/>
          <w:szCs w:val="28"/>
          <w:rtl w:val="true"/>
          <w:lang w:bidi="ar-SA"/>
        </w:rPr>
        <w:t>، لا يَدُلُّ أيضاً علىٰ ما يُريدُه</w:t>
      </w:r>
      <w:r>
        <w:rPr>
          <w:rStyle w:val="FootnoteAnchor"/>
          <w:rtl w:val="true"/>
        </w:rPr>
        <w:footnoteReference w:id="281"/>
      </w:r>
      <w:r>
        <w:rPr>
          <w:rFonts w:ascii="Amiri" w:hAnsi="Amiri" w:eastAsia="Amiri" w:cs="Amiri"/>
          <w:color w:val="111111"/>
          <w:sz w:val="28"/>
          <w:sz w:val="28"/>
          <w:szCs w:val="28"/>
          <w:rtl w:val="true"/>
          <w:lang w:bidi="ar-SA"/>
        </w:rPr>
        <w:t>الخَصمُ‌؛ لأنّه لَم يُبيِّنْ هَل جَعَلَهم عُدولاً في كُلِّ أقوالِهم و أفعالِهم، أو في بعضِها؟ و القولُ‌</w:t>
      </w:r>
      <w:r>
        <w:rPr>
          <w:rStyle w:val="FootnoteAnchor"/>
          <w:rtl w:val="true"/>
        </w:rPr>
        <w:footnoteReference w:id="282"/>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w:t>
      </w:r>
      <w:r>
        <w:rPr>
          <w:rStyle w:val="FootnoteAnchor"/>
          <w:rtl w:val="true"/>
        </w:rPr>
        <w:footnoteReference w:id="283"/>
      </w:r>
      <w:r>
        <w:rPr>
          <w:rFonts w:ascii="Amiri" w:hAnsi="Amiri" w:eastAsia="Amiri" w:cs="Amiri"/>
          <w:color w:val="111111"/>
          <w:sz w:val="28"/>
          <w:sz w:val="28"/>
          <w:szCs w:val="28"/>
          <w:rtl w:val="true"/>
          <w:lang w:bidi="ar-SA"/>
        </w:rPr>
        <w:t>أن يَكونَ تَعالىٰ أرادَ</w:t>
      </w:r>
      <w:r>
        <w:rPr>
          <w:rStyle w:val="FootnoteAnchor"/>
          <w:rtl w:val="true"/>
        </w:rPr>
        <w:footnoteReference w:id="284"/>
      </w:r>
      <w:r>
        <w:rPr>
          <w:rFonts w:ascii="Amiri" w:hAnsi="Amiri" w:eastAsia="Amiri" w:cs="Amiri"/>
          <w:color w:val="111111"/>
          <w:sz w:val="28"/>
          <w:sz w:val="28"/>
          <w:szCs w:val="28"/>
          <w:rtl w:val="true"/>
          <w:lang w:bidi="ar-SA"/>
        </w:rPr>
        <w:t>أنّهم عُدولٌ فيما يَشهَدونَ به</w:t>
      </w:r>
      <w:r>
        <w:rPr>
          <w:rStyle w:val="FootnoteAnchor"/>
          <w:rtl w:val="true"/>
        </w:rPr>
        <w:footnoteReference w:id="285"/>
      </w:r>
      <w:r>
        <w:rPr>
          <w:rFonts w:ascii="Amiri" w:hAnsi="Amiri" w:eastAsia="Amiri" w:cs="Amiri"/>
          <w:color w:val="111111"/>
          <w:sz w:val="28"/>
          <w:sz w:val="28"/>
          <w:szCs w:val="28"/>
          <w:rtl w:val="true"/>
          <w:lang w:bidi="ar-SA"/>
        </w:rPr>
        <w:t>في الآخِرةِ‌، أو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راجعٌ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القَولِ </w:t>
      </w:r>
    </w:p>
    <w:p>
      <w:pPr>
        <w:pStyle w:val="BookText"/>
        <w:rPr/>
      </w:pPr>
      <w:r>
        <w:rPr>
          <w:rFonts w:ascii="Amiri" w:hAnsi="Amiri" w:eastAsia="Amiri" w:cs="Amiri"/>
          <w:color w:val="111111"/>
          <w:sz w:val="28"/>
          <w:sz w:val="28"/>
          <w:szCs w:val="28"/>
          <w:rtl w:val="true"/>
          <w:lang w:bidi="ar-SA"/>
        </w:rPr>
        <w:t>إنّما يَقتَضي العُمومَ‌، و لَيسَ هو بأن يُحمَلَ علىٰ بعضِ الأحوالِ أو الأقوالِ‌</w:t>
      </w:r>
      <w:r>
        <w:rPr>
          <w:rStyle w:val="FootnoteAnchor"/>
          <w:rtl w:val="true"/>
        </w:rPr>
        <w:footnoteReference w:id="286"/>
      </w:r>
      <w:r>
        <w:rPr>
          <w:rFonts w:ascii="Amiri" w:hAnsi="Amiri" w:eastAsia="Amiri" w:cs="Amiri"/>
          <w:color w:val="111111"/>
          <w:sz w:val="28"/>
          <w:sz w:val="28"/>
          <w:szCs w:val="28"/>
          <w:rtl w:val="true"/>
          <w:lang w:bidi="ar-SA"/>
        </w:rPr>
        <w:t xml:space="preserve">أَولىٰ مِن بعضٍ ، فقَد مَضَى الكلامُ علىٰ ما يُشبِهُ هذا مُستَقصىً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فأمّا حَملُ </w:t>
      </w:r>
      <w:r>
        <w:rPr>
          <w:rStyle w:val="FootnoteAnchor"/>
          <w:rtl w:val="true"/>
        </w:rPr>
        <w:footnoteReference w:id="288"/>
      </w:r>
      <w:r>
        <w:rPr>
          <w:rFonts w:ascii="Amiri" w:hAnsi="Amiri" w:eastAsia="Amiri" w:cs="Amiri"/>
          <w:color w:val="111111"/>
          <w:sz w:val="28"/>
          <w:sz w:val="28"/>
          <w:szCs w:val="28"/>
          <w:rtl w:val="true"/>
          <w:lang w:bidi="ar-SA"/>
        </w:rPr>
        <w:t xml:space="preserve">الأُمّةِ </w:t>
      </w:r>
      <w:r>
        <w:rPr>
          <w:rStyle w:val="FootnoteAnchor"/>
          <w:rtl w:val="true"/>
        </w:rPr>
        <w:footnoteReference w:id="289"/>
      </w:r>
      <w:r>
        <w:rPr>
          <w:rFonts w:ascii="Amiri" w:hAnsi="Amiri" w:eastAsia="Amiri" w:cs="Amiri"/>
          <w:color w:val="111111"/>
          <w:sz w:val="28"/>
          <w:sz w:val="28"/>
          <w:szCs w:val="28"/>
          <w:rtl w:val="true"/>
          <w:lang w:bidi="ar-SA"/>
        </w:rPr>
        <w:t>علَى النبيِّ صَلَّى اللّٰهُ عليه و آلِه</w:t>
      </w:r>
      <w:r>
        <w:rPr>
          <w:rStyle w:val="FootnoteAnchor"/>
          <w:rtl w:val="true"/>
        </w:rPr>
        <w:footnoteReference w:id="290"/>
      </w:r>
      <w:r>
        <w:rPr>
          <w:rFonts w:ascii="Amiri" w:hAnsi="Amiri" w:eastAsia="Amiri" w:cs="Amiri"/>
          <w:color w:val="111111"/>
          <w:sz w:val="28"/>
          <w:sz w:val="28"/>
          <w:szCs w:val="28"/>
          <w:rtl w:val="true"/>
          <w:lang w:bidi="ar-SA"/>
        </w:rPr>
        <w:t>في بابِ الشهادةِ و كَونِه 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قَولُ النبيِّ صَلَّى اللّٰهُ عليه و آلِه</w:t>
      </w:r>
      <w:r>
        <w:rPr>
          <w:rStyle w:val="FootnoteAnchor"/>
          <w:rtl w:val="true"/>
        </w:rPr>
        <w:footnoteReference w:id="291"/>
      </w:r>
      <w:r>
        <w:rPr>
          <w:rFonts w:ascii="Amiri" w:hAnsi="Amiri" w:eastAsia="Amiri" w:cs="Amiri"/>
          <w:color w:val="111111"/>
          <w:sz w:val="28"/>
          <w:sz w:val="28"/>
          <w:szCs w:val="28"/>
          <w:rtl w:val="true"/>
          <w:lang w:bidi="ar-SA"/>
        </w:rPr>
        <w:t>حُجّةً مِن حَيثُ كانَ شَهيداً، بَل مِن حَيثُ كانَ نَبيّاً معصوماً، فتشبيهُ أحَدِ الأمرَينِ بالآخَرِ مِن البَعيدِ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يُسقِطُ التعلُّقَ بالآيةِ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يَقتَضي حُصولَ كُلِّ واحدٍ مِنهم بهذه الصفةِ‌؛ لأنّ ما جَرىٰ هذا المَجرىٰ مِن الأوصافِ لا بُدَّ أن يَكونَ حالُ الواحدِ فيه كحالِ الجماعةِ‌؛ ألا تَرىٰ أنّه لا يَسوغُ أن يُقالَ في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كُلُّ واحدٍ مِنهم مؤمِنٌ؟ فكذلكَ لا يَسوغُ أن يُقالَ‌</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كُلُّ واحدٍ مِنهم شهيدٌ؛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أن يَكونَ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Style w:val="FootnoteAnchor"/>
          <w:rtl w:val="true"/>
        </w:rPr>
        <w:footnoteReference w:id="295"/>
      </w:r>
      <w:r>
        <w:rPr>
          <w:rFonts w:ascii="Amiri" w:hAnsi="Amiri" w:eastAsia="Amiri" w:cs="Amiri"/>
          <w:color w:val="111111"/>
          <w:sz w:val="28"/>
          <w:sz w:val="28"/>
          <w:szCs w:val="28"/>
          <w:rtl w:val="true"/>
          <w:lang w:bidi="ar-SA"/>
        </w:rPr>
        <w:t xml:space="preserve">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مقطوعاً علىٰ صَوابِ فِعلِه و قَولِه</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هذا مَذهَباً لأحَدٍ، و كانَ </w:t>
      </w:r>
    </w:p>
    <w:p>
      <w:pPr>
        <w:pStyle w:val="BookText"/>
        <w:rPr/>
      </w:pPr>
      <w:r>
        <w:rPr>
          <w:rFonts w:ascii="Amiri" w:hAnsi="Amiri" w:eastAsia="Amiri" w:cs="Amiri"/>
          <w:color w:val="111111"/>
          <w:sz w:val="28"/>
          <w:sz w:val="28"/>
          <w:szCs w:val="28"/>
          <w:rtl w:val="true"/>
          <w:lang w:bidi="ar-SA"/>
        </w:rPr>
        <w:t>استدلالُ الخُصومِ بالآيةِ يوجِبُه، فَسَدَ قَولُهم، و وَجَبَ صرفُ الآيةِ إلىٰ جماعةٍ يَكونُ كُلُّ واحدٍ مِنهم شَهيداً و</w:t>
      </w:r>
      <w:r>
        <w:rPr>
          <w:rStyle w:val="FootnoteAnchor"/>
          <w:rtl w:val="true"/>
        </w:rPr>
        <w:footnoteReference w:id="297"/>
      </w:r>
      <w:r>
        <w:rPr>
          <w:rFonts w:ascii="Amiri" w:hAnsi="Amiri" w:eastAsia="Amiri" w:cs="Amiri"/>
          <w:color w:val="111111"/>
          <w:sz w:val="28"/>
          <w:sz w:val="28"/>
          <w:szCs w:val="28"/>
          <w:rtl w:val="true"/>
          <w:lang w:bidi="ar-SA"/>
        </w:rPr>
        <w:t>حُجّةً ، و هُم الأئمّةُ عَلَيهم السلامُ الذينَ ثَبَتَت عصمتُهم و طهارتُهم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تَجاوَزنا عن جميعِ ما ذَكَرناه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w:t>
      </w:r>
      <w:r>
        <w:rPr>
          <w:rStyle w:val="FootnoteAnchor"/>
          <w:rtl w:val="true"/>
        </w:rPr>
        <w:footnoteReference w:id="298"/>
      </w:r>
      <w:r>
        <w:rPr>
          <w:rFonts w:ascii="Amiri" w:hAnsi="Amiri" w:eastAsia="Amiri" w:cs="Amiri"/>
          <w:color w:val="111111"/>
          <w:sz w:val="28"/>
          <w:sz w:val="28"/>
          <w:szCs w:val="28"/>
          <w:rtl w:val="true"/>
          <w:lang w:bidi="ar-SA"/>
        </w:rPr>
        <w:t>كَونَ جميعِ أقوالِ الأُمّةِ و أفعالِها حُجّةً‌؛ لأنّها غيرُ مانعةٍ مِن وقوعِ الصغائرِ التي لا تُسقِطُ العَدالةَ مِنهم</w:t>
      </w:r>
      <w:r>
        <w:rPr>
          <w:rStyle w:val="FootnoteAnchor"/>
          <w:rtl w:val="true"/>
        </w:rPr>
        <w:footnoteReference w:id="299"/>
      </w:r>
      <w:r>
        <w:rPr>
          <w:rFonts w:ascii="Amiri" w:hAnsi="Amiri" w:eastAsia="Amiri" w:cs="Amiri"/>
          <w:color w:val="111111"/>
          <w:sz w:val="28"/>
          <w:sz w:val="28"/>
          <w:szCs w:val="28"/>
          <w:rtl w:val="true"/>
          <w:lang w:bidi="ar-SA"/>
        </w:rPr>
        <w:t>، فإن أمكَنَ تمييزُ</w:t>
      </w:r>
      <w:r>
        <w:rPr>
          <w:rStyle w:val="FootnoteAnchor"/>
          <w:rtl w:val="true"/>
        </w:rPr>
        <w:footnoteReference w:id="300"/>
      </w:r>
      <w:r>
        <w:rPr>
          <w:rFonts w:ascii="Amiri" w:hAnsi="Amiri" w:eastAsia="Amiri" w:cs="Amiri"/>
          <w:color w:val="111111"/>
          <w:sz w:val="28"/>
          <w:sz w:val="28"/>
          <w:szCs w:val="28"/>
          <w:rtl w:val="true"/>
          <w:lang w:bidi="ar-SA"/>
        </w:rPr>
        <w:t>الصغائرِ مِن غيرِها كانوا حُجّةً فيما نَقطَعُ‌</w:t>
      </w:r>
      <w:r>
        <w:rPr>
          <w:rStyle w:val="FootnoteAnchor"/>
          <w:rtl w:val="true"/>
        </w:rPr>
        <w:footnoteReference w:id="301"/>
      </w:r>
      <w:r>
        <w:rPr>
          <w:rFonts w:ascii="Amiri" w:hAnsi="Amiri" w:eastAsia="Amiri" w:cs="Amiri"/>
          <w:color w:val="111111"/>
          <w:sz w:val="28"/>
          <w:sz w:val="28"/>
          <w:szCs w:val="28"/>
          <w:rtl w:val="true"/>
          <w:lang w:bidi="ar-SA"/>
        </w:rPr>
        <w:t xml:space="preserve">عليه، و إن لَم يُمكِنْ </w:t>
      </w:r>
      <w:r>
        <w:rPr>
          <w:rStyle w:val="FootnoteAnchor"/>
          <w:rtl w:val="true"/>
        </w:rPr>
        <w:footnoteReference w:id="302"/>
      </w:r>
      <w:r>
        <w:rPr>
          <w:rFonts w:ascii="Amiri" w:hAnsi="Amiri" w:eastAsia="Amiri" w:cs="Amiri"/>
          <w:color w:val="111111"/>
          <w:sz w:val="28"/>
          <w:sz w:val="28"/>
          <w:szCs w:val="28"/>
          <w:rtl w:val="true"/>
          <w:lang w:bidi="ar-SA"/>
        </w:rPr>
        <w:t>عُلِمَ في الجُملةِ أنّ الخطأَ الذي يَكونُ كَبيراً</w:t>
      </w:r>
      <w:r>
        <w:rPr>
          <w:rStyle w:val="FootnoteAnchor"/>
          <w:rtl w:val="true"/>
        </w:rPr>
        <w:footnoteReference w:id="303"/>
      </w:r>
      <w:r>
        <w:rPr>
          <w:rFonts w:ascii="Amiri" w:hAnsi="Amiri" w:eastAsia="Amiri" w:cs="Amiri"/>
          <w:color w:val="111111"/>
          <w:sz w:val="28"/>
          <w:sz w:val="28"/>
          <w:szCs w:val="28"/>
          <w:rtl w:val="true"/>
          <w:lang w:bidi="ar-SA"/>
        </w:rPr>
        <w:t>و يؤثِّرُ في العَدالةِ مأمونٌ مِنهم و غيرُ واقعٍ مِن جهتِهم، و أنّ ما عَداه مُجوَّزٌ</w:t>
      </w:r>
      <w:r>
        <w:rPr>
          <w:rStyle w:val="FootnoteAnchor"/>
          <w:rtl w:val="true"/>
        </w:rPr>
        <w:footnoteReference w:id="304"/>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فيَسقُطُ مع ما ذَكَرناه تَعلُّقُ المخالِفينَ بالآيةِ </w:t>
      </w:r>
      <w:r>
        <w:rPr>
          <w:rStyle w:val="FootnoteAnchor"/>
          <w:rtl w:val="true"/>
        </w:rPr>
        <w:footnoteReference w:id="305"/>
      </w:r>
      <w:r>
        <w:rPr>
          <w:rFonts w:ascii="Amiri" w:hAnsi="Amiri" w:eastAsia="Amiri" w:cs="Amiri"/>
          <w:color w:val="111111"/>
          <w:sz w:val="28"/>
          <w:sz w:val="28"/>
          <w:szCs w:val="28"/>
          <w:rtl w:val="true"/>
          <w:lang w:bidi="ar-SA"/>
        </w:rPr>
        <w:t xml:space="preserve">في نُصرةِ الإجماعِ </w:t>
      </w:r>
      <w:r>
        <w:rPr>
          <w:rFonts w:eastAsia="Amiri" w:cs="Amiri" w:ascii="Amiri" w:hAnsi="Amiri"/>
          <w:color w:val="111111"/>
          <w:sz w:val="28"/>
          <w:szCs w:val="28"/>
          <w:rtl w:val="true"/>
          <w:lang w:bidi="ar-SA"/>
        </w:rPr>
        <w:t xml:space="preserve">. </w:t>
      </w:r>
      <w:bookmarkStart w:id="51" w:name="pg20015_284764"/>
    </w:p>
    <w:p>
      <w:pPr>
        <w:pStyle w:val="Heading6"/>
        <w:numPr>
          <w:ilvl w:val="5"/>
          <w:numId w:val="1"/>
        </w:numPr>
        <w:rPr/>
      </w:pPr>
      <w:bookmarkStart w:id="52" w:name="__RefHeading___Toc894755_2320776876"/>
      <w:bookmarkStart w:id="53" w:name="_Toc19"/>
      <w:bookmarkEnd w:id="51"/>
      <w:bookmarkEnd w:id="52"/>
      <w:r>
        <w:rPr>
          <w:rtl w:val="true"/>
        </w:rPr>
        <w:t>عدم دلالة الآية علىٰ نفي الصغائر عن الشهداء العدول، بناءً علىٰ رأي صاحب الكتاب</w:t>
      </w:r>
      <w:bookmarkEnd w:id="53"/>
    </w:p>
    <w:p>
      <w:pPr>
        <w:pStyle w:val="BookText"/>
        <w:rPr/>
      </w:pPr>
      <w:r>
        <w:rPr>
          <w:rFonts w:ascii="Amiri" w:hAnsi="Amiri" w:eastAsia="Amiri" w:cs="Amiri"/>
          <w:color w:val="111111"/>
          <w:sz w:val="28"/>
          <w:sz w:val="28"/>
          <w:szCs w:val="28"/>
          <w:rtl w:val="true"/>
          <w:lang w:bidi="ar-SA"/>
        </w:rPr>
        <w:t xml:space="preserve">فأمّا قَولُه في نُصرةِ 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كَونَهم عُدولاً كالعِلّةِ و السببِ في كَونِهم شُهَداءَ‌، و إنّه</w:t>
      </w:r>
      <w:r>
        <w:rPr>
          <w:rStyle w:val="FootnoteAnchor"/>
          <w:rtl w:val="true"/>
        </w:rPr>
        <w:footnoteReference w:id="306"/>
      </w:r>
      <w:r>
        <w:rPr>
          <w:rFonts w:ascii="Amiri" w:hAnsi="Amiri" w:eastAsia="Amiri" w:cs="Amiri"/>
          <w:color w:val="111111"/>
          <w:sz w:val="28"/>
          <w:sz w:val="28"/>
          <w:szCs w:val="28"/>
          <w:rtl w:val="true"/>
          <w:lang w:bidi="ar-SA"/>
        </w:rPr>
        <w:t>قد صَحَّ في التعبُّدِ أنّه لا يَجوزُ أن يُنصَبَ للشهادةِ إلّا مَن تُعلَمُ‌</w:t>
      </w:r>
      <w:r>
        <w:rPr>
          <w:rStyle w:val="FootnoteAnchor"/>
          <w:rtl w:val="true"/>
        </w:rPr>
        <w:footnoteReference w:id="307"/>
      </w:r>
      <w:r>
        <w:rPr>
          <w:rFonts w:ascii="Amiri" w:hAnsi="Amiri" w:eastAsia="Amiri" w:cs="Amiri"/>
          <w:color w:val="111111"/>
          <w:sz w:val="28"/>
          <w:sz w:val="28"/>
          <w:szCs w:val="28"/>
          <w:rtl w:val="true"/>
          <w:lang w:bidi="ar-SA"/>
        </w:rPr>
        <w:t>عَدالتُه أو تُعرَفُ‌</w:t>
      </w:r>
      <w:r>
        <w:rPr>
          <w:rStyle w:val="FootnoteAnchor"/>
          <w:rtl w:val="true"/>
        </w:rPr>
        <w:footnoteReference w:id="308"/>
      </w:r>
      <w:r>
        <w:rPr>
          <w:rFonts w:ascii="Amiri" w:hAnsi="Amiri" w:eastAsia="Amiri" w:cs="Amiri"/>
          <w:color w:val="111111"/>
          <w:sz w:val="28"/>
          <w:sz w:val="28"/>
          <w:szCs w:val="28"/>
          <w:rtl w:val="true"/>
          <w:lang w:bidi="ar-SA"/>
        </w:rPr>
        <w:t>بالأماراتِ‌</w:t>
      </w:r>
      <w:r>
        <w:rPr>
          <w:rStyle w:val="FootnoteAnchor"/>
          <w:rtl w:val="true"/>
        </w:rPr>
        <w:footnoteReference w:id="309"/>
      </w:r>
      <w:r>
        <w:rPr>
          <w:rFonts w:ascii="Amiri" w:hAnsi="Amiri" w:eastAsia="Amiri" w:cs="Amiri"/>
          <w:color w:val="111111"/>
          <w:sz w:val="28"/>
          <w:sz w:val="28"/>
          <w:szCs w:val="28"/>
          <w:rtl w:val="true"/>
          <w:lang w:bidi="ar-SA"/>
        </w:rPr>
        <w:t>التي تَقتَضي</w:t>
      </w:r>
      <w:r>
        <w:rPr>
          <w:rStyle w:val="FootnoteAnchor"/>
          <w:rtl w:val="true"/>
        </w:rPr>
        <w:footnoteReference w:id="310"/>
      </w:r>
      <w:r>
        <w:rPr>
          <w:rFonts w:ascii="Amiri" w:hAnsi="Amiri" w:eastAsia="Amiri" w:cs="Amiri"/>
          <w:color w:val="111111"/>
          <w:sz w:val="28"/>
          <w:sz w:val="28"/>
          <w:szCs w:val="28"/>
          <w:rtl w:val="true"/>
          <w:lang w:bidi="ar-SA"/>
        </w:rPr>
        <w:t>غالبَ الظنِّ‌، و قد صَحَّ‌</w:t>
      </w:r>
      <w:r>
        <w:rPr>
          <w:rStyle w:val="FootnoteAnchor"/>
          <w:rtl w:val="true"/>
        </w:rPr>
        <w:footnoteReference w:id="311"/>
      </w:r>
      <w:r>
        <w:rPr>
          <w:rFonts w:ascii="Amiri" w:hAnsi="Amiri" w:eastAsia="Amiri" w:cs="Amiri"/>
          <w:color w:val="111111"/>
          <w:sz w:val="28"/>
          <w:sz w:val="28"/>
          <w:szCs w:val="28"/>
          <w:rtl w:val="true"/>
          <w:lang w:bidi="ar-SA"/>
        </w:rPr>
        <w:t>أنّ مَن نَنصِبُه</w:t>
      </w:r>
      <w:r>
        <w:rPr>
          <w:rStyle w:val="FootnoteAnchor"/>
          <w:rtl w:val="true"/>
        </w:rPr>
        <w:footnoteReference w:id="312"/>
      </w:r>
      <w:r>
        <w:rPr>
          <w:rFonts w:ascii="Amiri" w:hAnsi="Amiri" w:eastAsia="Amiri" w:cs="Amiri"/>
          <w:color w:val="111111"/>
          <w:sz w:val="28"/>
          <w:sz w:val="28"/>
          <w:szCs w:val="28"/>
          <w:rtl w:val="true"/>
          <w:lang w:bidi="ar-SA"/>
        </w:rPr>
        <w:t>لغالبِ‌</w:t>
      </w:r>
      <w:r>
        <w:rPr>
          <w:rStyle w:val="FootnoteAnchor"/>
          <w:rtl w:val="true"/>
        </w:rPr>
        <w:footnoteReference w:id="313"/>
      </w:r>
      <w:r>
        <w:rPr>
          <w:rFonts w:ascii="Amiri" w:hAnsi="Amiri" w:eastAsia="Amiri" w:cs="Amiri"/>
          <w:color w:val="111111"/>
          <w:sz w:val="28"/>
          <w:sz w:val="28"/>
          <w:szCs w:val="28"/>
          <w:rtl w:val="true"/>
          <w:lang w:bidi="ar-SA"/>
        </w:rPr>
        <w:t>الظنِّ إذا تَولَّى اللّٰهُ تَعالىٰ نَصبَه يَجِبُ أن يَعلَمَ مِن حالِه ما نَظُنُّه</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لَم يَخلُ مِن أن يَكونوا حُجّةً فيما يَشهَدونَ به</w:t>
      </w:r>
      <w:r>
        <w:rPr>
          <w:rStyle w:val="FootnoteAnchor"/>
          <w:rtl w:val="true"/>
        </w:rPr>
        <w:footnoteReference w:id="315"/>
      </w:r>
      <w:r>
        <w:rPr>
          <w:rFonts w:ascii="Amiri" w:hAnsi="Amiri" w:eastAsia="Amiri" w:cs="Amiri"/>
          <w:color w:val="111111"/>
          <w:sz w:val="28"/>
          <w:sz w:val="28"/>
          <w:szCs w:val="28"/>
          <w:rtl w:val="true"/>
          <w:lang w:bidi="ar-SA"/>
        </w:rPr>
        <w:t xml:space="preserve">، أو لا يَكونوا حُجّةً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يَكونوا حُجّةً </w:t>
      </w:r>
      <w:r>
        <w:rPr>
          <w:rStyle w:val="FootnoteAnchor"/>
          <w:rtl w:val="true"/>
        </w:rPr>
        <w:footnoteReference w:id="317"/>
      </w:r>
      <w:r>
        <w:rPr>
          <w:rFonts w:ascii="Amiri" w:hAnsi="Amiri" w:eastAsia="Amiri" w:cs="Amiri"/>
          <w:color w:val="111111"/>
          <w:sz w:val="28"/>
          <w:sz w:val="28"/>
          <w:szCs w:val="28"/>
          <w:rtl w:val="true"/>
          <w:lang w:bidi="ar-SA"/>
        </w:rPr>
        <w:t>بطَلَت شَهادتُهم؛ لأنّ مِن حَقِّ الشاهدِ إذا أخبَرَ عمّا يَشهَدُ به أن يَكونَ خبرُه حقّاً، و إن لَم يُجرِه</w:t>
      </w:r>
      <w:r>
        <w:rPr>
          <w:rStyle w:val="FootnoteAnchor"/>
          <w:rtl w:val="true"/>
        </w:rPr>
        <w:footnoteReference w:id="318"/>
      </w:r>
      <w:r>
        <w:rPr>
          <w:rFonts w:ascii="Amiri" w:hAnsi="Amiri" w:eastAsia="Amiri" w:cs="Amiri"/>
          <w:color w:val="111111"/>
          <w:sz w:val="28"/>
          <w:sz w:val="28"/>
          <w:szCs w:val="28"/>
          <w:rtl w:val="true"/>
          <w:lang w:bidi="ar-SA"/>
        </w:rPr>
        <w:t>مَجرَى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الشهادةِ ، فلا بُدَّ مِن أن يَكونَ قَولُهم و فِعلُهم صحيحاً، و لا يَكونُ كذلك </w:t>
      </w:r>
    </w:p>
    <w:p>
      <w:pPr>
        <w:pStyle w:val="BookText"/>
        <w:rPr/>
      </w:pPr>
      <w:r>
        <w:rPr>
          <w:rFonts w:ascii="Amiri" w:hAnsi="Amiri" w:eastAsia="Amiri" w:cs="Amiri"/>
          <w:color w:val="111111"/>
          <w:sz w:val="28"/>
          <w:sz w:val="28"/>
          <w:szCs w:val="28"/>
          <w:rtl w:val="true"/>
          <w:lang w:bidi="ar-SA"/>
        </w:rPr>
        <w:t>إلّا و هُم حُجّةٌ‌، و لَيسَ بعضُ أقوالِهم و أفعالِهم بذلكَ أَولىٰ مِن بعضٍ‌</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فلَو سَلِمَ له</w:t>
      </w:r>
      <w:r>
        <w:rPr>
          <w:rStyle w:val="FootnoteAnchor"/>
          <w:rtl w:val="true"/>
        </w:rPr>
        <w:footnoteReference w:id="320"/>
      </w:r>
      <w:r>
        <w:rPr>
          <w:rFonts w:ascii="Amiri" w:hAnsi="Amiri" w:eastAsia="Amiri" w:cs="Amiri"/>
          <w:color w:val="111111"/>
          <w:sz w:val="28"/>
          <w:sz w:val="28"/>
          <w:szCs w:val="28"/>
          <w:rtl w:val="true"/>
          <w:lang w:bidi="ar-SA"/>
        </w:rPr>
        <w:t>جميعُ ما ذَكَرَه لَم يَلزَم الاحتجاجُ به، و لا أن يَكونوا حُجّةً‌</w:t>
      </w:r>
      <w:r>
        <w:rPr>
          <w:rStyle w:val="FootnoteAnchor"/>
          <w:rtl w:val="true"/>
        </w:rPr>
        <w:footnoteReference w:id="321"/>
      </w:r>
      <w:r>
        <w:rPr>
          <w:rFonts w:ascii="Amiri" w:hAnsi="Amiri" w:eastAsia="Amiri" w:cs="Amiri"/>
          <w:color w:val="111111"/>
          <w:sz w:val="28"/>
          <w:sz w:val="28"/>
          <w:szCs w:val="28"/>
          <w:rtl w:val="true"/>
          <w:lang w:bidi="ar-SA"/>
        </w:rPr>
        <w:t>في جميعِ أقوالِهم و أفعالِهم</w:t>
      </w:r>
      <w:r>
        <w:rPr>
          <w:rStyle w:val="FootnoteAnchor"/>
          <w:rtl w:val="true"/>
        </w:rPr>
        <w:footnoteReference w:id="322"/>
      </w:r>
      <w:r>
        <w:rPr>
          <w:rFonts w:ascii="Amiri" w:hAnsi="Amiri" w:eastAsia="Amiri" w:cs="Amiri"/>
          <w:color w:val="111111"/>
          <w:sz w:val="28"/>
          <w:sz w:val="28"/>
          <w:szCs w:val="28"/>
          <w:rtl w:val="true"/>
          <w:lang w:bidi="ar-SA"/>
        </w:rPr>
        <w:t>لأنّ أكثرَ ما يَدُلُّ‌</w:t>
      </w:r>
      <w:r>
        <w:rPr>
          <w:rStyle w:val="FootnoteAnchor"/>
          <w:rtl w:val="true"/>
        </w:rPr>
        <w:footnoteReference w:id="323"/>
      </w:r>
      <w:r>
        <w:rPr>
          <w:rFonts w:ascii="Amiri" w:hAnsi="Amiri" w:eastAsia="Amiri" w:cs="Amiri"/>
          <w:color w:val="111111"/>
          <w:sz w:val="28"/>
          <w:sz w:val="28"/>
          <w:szCs w:val="28"/>
          <w:rtl w:val="true"/>
          <w:lang w:bidi="ar-SA"/>
        </w:rPr>
        <w:t>عليه الآيةُ فيهم أن يَكونوا عُدولاً رُشِّحوا</w:t>
      </w:r>
      <w:r>
        <w:rPr>
          <w:rStyle w:val="FootnoteAnchor"/>
          <w:rtl w:val="true"/>
        </w:rPr>
        <w:footnoteReference w:id="324"/>
      </w:r>
      <w:r>
        <w:rPr>
          <w:rFonts w:ascii="Amiri" w:hAnsi="Amiri" w:eastAsia="Amiri" w:cs="Amiri"/>
          <w:color w:val="111111"/>
          <w:sz w:val="28"/>
          <w:sz w:val="28"/>
          <w:szCs w:val="28"/>
          <w:rtl w:val="true"/>
          <w:lang w:bidi="ar-SA"/>
        </w:rPr>
        <w:t>للشهادةِ‌، فالواجبُ أن يُنفىٰ عنهم ما جَرَحَ شهادتَهم</w:t>
      </w:r>
      <w:r>
        <w:rPr>
          <w:rStyle w:val="FootnoteAnchor"/>
          <w:rtl w:val="true"/>
        </w:rPr>
        <w:footnoteReference w:id="325"/>
      </w:r>
      <w:r>
        <w:rPr>
          <w:rFonts w:ascii="Amiri" w:hAnsi="Amiri" w:eastAsia="Amiri" w:cs="Amiri"/>
          <w:color w:val="111111"/>
          <w:sz w:val="28"/>
          <w:sz w:val="28"/>
          <w:szCs w:val="28"/>
          <w:rtl w:val="true"/>
          <w:lang w:bidi="ar-SA"/>
        </w:rPr>
        <w:t>، و أثَّرَ في عَدالتِهم، دونَ ما لَم يَكُن 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الصغائرُ علىٰ مَذهبِ صاحبِ الكتابِ غَيرَ مُخرِجةٍ‌</w:t>
      </w:r>
      <w:r>
        <w:rPr>
          <w:rStyle w:val="FootnoteAnchor"/>
          <w:rtl w:val="true"/>
        </w:rPr>
        <w:footnoteReference w:id="326"/>
      </w:r>
      <w:r>
        <w:rPr>
          <w:rFonts w:ascii="Amiri" w:hAnsi="Amiri" w:eastAsia="Amiri" w:cs="Amiri"/>
          <w:color w:val="111111"/>
          <w:sz w:val="28"/>
          <w:sz w:val="28"/>
          <w:szCs w:val="28"/>
          <w:rtl w:val="true"/>
          <w:lang w:bidi="ar-SA"/>
        </w:rPr>
        <w:t>عن العَدالةِ‌، لَم يَجِبْ بمُقتَضَى الآيةِ نفيُها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 </w:t>
      </w:r>
      <w:r>
        <w:rPr>
          <w:rStyle w:val="FootnoteAnchor"/>
          <w:rtl w:val="true"/>
        </w:rPr>
        <w:footnoteReference w:id="32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بعضُ أقوالِهم و أفعالِهم بذلكَ </w:t>
      </w:r>
      <w:r>
        <w:rPr>
          <w:rStyle w:val="FootnoteAnchor"/>
          <w:rtl w:val="true"/>
        </w:rPr>
        <w:footnoteReference w:id="328"/>
      </w:r>
      <w:r>
        <w:rPr>
          <w:rFonts w:ascii="Amiri" w:hAnsi="Amiri" w:eastAsia="Amiri" w:cs="Amiri"/>
          <w:color w:val="111111"/>
          <w:sz w:val="28"/>
          <w:sz w:val="28"/>
          <w:szCs w:val="28"/>
          <w:rtl w:val="true"/>
          <w:lang w:bidi="ar-SA"/>
        </w:rPr>
        <w:t xml:space="preserve">أَولىٰ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قد بيّنّا فَرقَ ما بَينَ الأفعالِ المُسقِطةِ للعَدالةِ ، و الأفعالِ التي لا تُسقِطُها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يُخالِفُ‌</w:t>
      </w:r>
      <w:r>
        <w:rPr>
          <w:rStyle w:val="FootnoteAnchor"/>
          <w:rtl w:val="true"/>
        </w:rPr>
        <w:footnoteReference w:id="329"/>
      </w:r>
      <w:r>
        <w:rPr>
          <w:rFonts w:ascii="Amiri" w:hAnsi="Amiri" w:eastAsia="Amiri" w:cs="Amiri"/>
          <w:color w:val="111111"/>
          <w:sz w:val="28"/>
          <w:sz w:val="28"/>
          <w:szCs w:val="28"/>
          <w:rtl w:val="true"/>
          <w:lang w:bidi="ar-SA"/>
        </w:rPr>
        <w:t>حالُهم حالَ الرسولِ عليه السلامُ ؛ لأنّ ما نُجوِّزُه</w:t>
      </w:r>
      <w:r>
        <w:rPr>
          <w:rStyle w:val="FootnoteAnchor"/>
          <w:rtl w:val="true"/>
        </w:rPr>
        <w:footnoteReference w:id="330"/>
      </w:r>
      <w:r>
        <w:rPr>
          <w:rFonts w:ascii="Amiri" w:hAnsi="Amiri" w:eastAsia="Amiri" w:cs="Amiri"/>
          <w:color w:val="111111"/>
          <w:sz w:val="28"/>
          <w:sz w:val="28"/>
          <w:szCs w:val="28"/>
          <w:rtl w:val="true"/>
          <w:lang w:bidi="ar-SA"/>
        </w:rPr>
        <w:t xml:space="preserve">عليه مِن الصغائرِ لا يُخرِجُ ما يؤدّيهِ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الحُجّةُ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مُتميِّزاً، فيَصِحَّ 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لَو جَوَّزنا علَى الأُمّةِ </w:t>
      </w:r>
    </w:p>
    <w:p>
      <w:pPr>
        <w:pStyle w:val="BookText"/>
        <w:rPr/>
      </w:pPr>
      <w:r>
        <w:rPr>
          <w:rFonts w:ascii="Amiri" w:hAnsi="Amiri" w:eastAsia="Amiri" w:cs="Amiri"/>
          <w:color w:val="111111"/>
          <w:sz w:val="28"/>
          <w:sz w:val="28"/>
          <w:szCs w:val="28"/>
          <w:rtl w:val="true"/>
          <w:lang w:bidi="ar-SA"/>
        </w:rPr>
        <w:t>الخطأَ في بعضِ ما تَقولُه و تَفعَلُه</w:t>
      </w:r>
      <w:r>
        <w:rPr>
          <w:rStyle w:val="FootnoteAnchor"/>
          <w:rtl w:val="true"/>
        </w:rPr>
        <w:footnoteReference w:id="331"/>
      </w:r>
      <w:r>
        <w:rPr>
          <w:rFonts w:ascii="Amiri" w:hAnsi="Amiri" w:eastAsia="Amiri" w:cs="Amiri"/>
          <w:color w:val="111111"/>
          <w:sz w:val="28"/>
          <w:sz w:val="28"/>
          <w:szCs w:val="28"/>
          <w:rtl w:val="true"/>
          <w:lang w:bidi="ar-SA"/>
        </w:rPr>
        <w:t xml:space="preserve">لأنّ ذلكَ يوجِبُ خُروجَ كُلِّ ما تَجتَمِعُ </w:t>
      </w:r>
      <w:r>
        <w:rPr>
          <w:rStyle w:val="FootnoteAnchor"/>
          <w:rtl w:val="true"/>
        </w:rPr>
        <w:footnoteReference w:id="332"/>
      </w:r>
      <w:r>
        <w:rPr>
          <w:rFonts w:ascii="Amiri" w:hAnsi="Amiri" w:eastAsia="Amiri" w:cs="Amiri"/>
          <w:color w:val="111111"/>
          <w:sz w:val="28"/>
          <w:sz w:val="28"/>
          <w:szCs w:val="28"/>
          <w:rtl w:val="true"/>
          <w:lang w:bidi="ar-SA"/>
        </w:rPr>
        <w:t xml:space="preserve">عليه مِن أن يَكونَ حُجّةً ؛ لأنّ الطريقةَ في الجميعِ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صَحَّ كَونُهم حُجّةً ، فيَجِبُ أن لا يَصِحَّ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كما لا يَصِحُّ عليهم الكبائرُ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فيَسقُطُ بما ذَكرناه؛ لأنّه إذا كانَ تجويزُ الصغائرِ علَى الرسولِ لا يُخرِجُه فيما يؤدّيهِ مِن أن يَكونَ حُجّةً و يَتميَّزَ ذلكَ للمكلَّفِ‌، فكذلكَ إذا كانَت الآيةُ إنّما</w:t>
      </w:r>
    </w:p>
    <w:p>
      <w:pPr>
        <w:pStyle w:val="BookText"/>
        <w:rPr/>
      </w:pPr>
      <w:r>
        <w:rPr>
          <w:rFonts w:ascii="Amiri" w:hAnsi="Amiri" w:eastAsia="Amiri" w:cs="Amiri"/>
          <w:color w:val="111111"/>
          <w:sz w:val="28"/>
          <w:sz w:val="28"/>
          <w:szCs w:val="28"/>
          <w:rtl w:val="true"/>
          <w:lang w:bidi="ar-SA"/>
        </w:rPr>
        <w:t>تَقتَضي كَونَ الأُمّةِ عُدولاً، فيَجِبُ نفيُ ما أثَّرَ في عَدالتِهم، و القطعُ بانتفاءِ الكبيرِ</w:t>
      </w:r>
      <w:r>
        <w:rPr>
          <w:rStyle w:val="FootnoteAnchor"/>
          <w:rtl w:val="true"/>
        </w:rPr>
        <w:footnoteReference w:id="334"/>
      </w:r>
      <w:r>
        <w:rPr>
          <w:rFonts w:ascii="Amiri" w:hAnsi="Amiri" w:eastAsia="Amiri" w:cs="Amiri"/>
          <w:color w:val="111111"/>
          <w:sz w:val="28"/>
          <w:sz w:val="28"/>
          <w:szCs w:val="28"/>
          <w:rtl w:val="true"/>
          <w:lang w:bidi="ar-SA"/>
        </w:rPr>
        <w:t>مِن المَعاصي عنهم، و تجويزُ ما عَداها عليهِم،</w:t>
      </w:r>
      <w:r>
        <w:rPr>
          <w:rStyle w:val="FootnoteAnchor"/>
          <w:rtl w:val="true"/>
        </w:rPr>
        <w:footnoteReference w:id="335"/>
      </w:r>
      <w:r>
        <w:rPr>
          <w:rFonts w:ascii="Amiri" w:hAnsi="Amiri" w:eastAsia="Amiri" w:cs="Amiri"/>
          <w:color w:val="111111"/>
          <w:sz w:val="28"/>
          <w:sz w:val="28"/>
          <w:szCs w:val="28"/>
          <w:rtl w:val="true"/>
          <w:lang w:bidi="ar-SA"/>
        </w:rPr>
        <w:t>و لا يُخرِجُهم هذا التجويزُ مِن أن يَكونوا حُجّةً فيما لَو كانَ خطأً لَكانَ كبيراً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يَصِحُّ‌</w:t>
      </w:r>
      <w:r>
        <w:rPr>
          <w:rStyle w:val="FootnoteAnchor"/>
          <w:rtl w:val="true"/>
        </w:rPr>
        <w:footnoteReference w:id="336"/>
      </w:r>
      <w:r>
        <w:rPr>
          <w:rFonts w:ascii="Amiri" w:hAnsi="Amiri" w:eastAsia="Amiri" w:cs="Amiri"/>
          <w:color w:val="111111"/>
          <w:sz w:val="28"/>
          <w:sz w:val="28"/>
          <w:szCs w:val="28"/>
          <w:rtl w:val="true"/>
          <w:lang w:bidi="ar-SA"/>
        </w:rPr>
        <w:t>تمييزُ</w:t>
      </w:r>
      <w:r>
        <w:rPr>
          <w:rStyle w:val="FootnoteAnchor"/>
          <w:rtl w:val="true"/>
        </w:rPr>
        <w:footnoteReference w:id="337"/>
      </w:r>
      <w:r>
        <w:rPr>
          <w:rFonts w:ascii="Amiri" w:hAnsi="Amiri" w:eastAsia="Amiri" w:cs="Amiri"/>
          <w:color w:val="111111"/>
          <w:sz w:val="28"/>
          <w:sz w:val="28"/>
          <w:szCs w:val="28"/>
          <w:rtl w:val="true"/>
          <w:lang w:bidi="ar-SA"/>
        </w:rPr>
        <w:t>ذلكَ علىٰ وجهٍ‌؛ فإنّ في</w:t>
      </w:r>
      <w:r>
        <w:rPr>
          <w:rStyle w:val="FootnoteAnchor"/>
          <w:rtl w:val="true"/>
        </w:rPr>
        <w:footnoteReference w:id="338"/>
      </w:r>
      <w:r>
        <w:rPr>
          <w:rFonts w:ascii="Amiri" w:hAnsi="Amiri" w:eastAsia="Amiri" w:cs="Amiri"/>
          <w:color w:val="111111"/>
          <w:sz w:val="28"/>
          <w:sz w:val="28"/>
          <w:szCs w:val="28"/>
          <w:rtl w:val="true"/>
          <w:lang w:bidi="ar-SA"/>
        </w:rPr>
        <w:t>المَعاصي ما نَقطَعُ‌</w:t>
      </w:r>
      <w:r>
        <w:rPr>
          <w:rStyle w:val="FootnoteAnchor"/>
          <w:rtl w:val="true"/>
        </w:rPr>
        <w:footnoteReference w:id="339"/>
      </w:r>
      <w:r>
        <w:rPr>
          <w:rFonts w:ascii="Amiri" w:hAnsi="Amiri" w:eastAsia="Amiri" w:cs="Amiri"/>
          <w:color w:val="111111"/>
          <w:sz w:val="28"/>
          <w:sz w:val="28"/>
          <w:szCs w:val="28"/>
          <w:rtl w:val="true"/>
          <w:lang w:bidi="ar-SA"/>
        </w:rPr>
        <w:t>علىٰ كَونِها 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إلىٰ تمييزِه</w:t>
      </w:r>
      <w:r>
        <w:rPr>
          <w:rStyle w:val="FootnoteAnchor"/>
          <w:rtl w:val="true"/>
        </w:rPr>
        <w:footnoteReference w:id="340"/>
      </w:r>
      <w:r>
        <w:rPr>
          <w:rFonts w:ascii="Amiri" w:hAnsi="Amiri" w:eastAsia="Amiri" w:cs="Amiri"/>
          <w:color w:val="111111"/>
          <w:sz w:val="28"/>
          <w:sz w:val="28"/>
          <w:szCs w:val="28"/>
          <w:rtl w:val="true"/>
          <w:lang w:bidi="ar-SA"/>
        </w:rPr>
        <w:t>سَبيلٌ لَصَحَّ‌</w:t>
      </w:r>
      <w:r>
        <w:rPr>
          <w:rStyle w:val="FootnoteAnchor"/>
          <w:rtl w:val="true"/>
        </w:rPr>
        <w:footnoteReference w:id="341"/>
      </w:r>
      <w:r>
        <w:rPr>
          <w:rFonts w:ascii="Amiri" w:hAnsi="Amiri" w:eastAsia="Amiri" w:cs="Amiri"/>
          <w:color w:val="111111"/>
          <w:sz w:val="28"/>
          <w:sz w:val="28"/>
          <w:szCs w:val="28"/>
          <w:rtl w:val="true"/>
          <w:lang w:bidi="ar-SA"/>
        </w:rPr>
        <w:t xml:space="preserve">الكلامُ أيضاً؛ مِن حَيثُ كانَ الواجبُ </w:t>
      </w:r>
    </w:p>
    <w:p>
      <w:pPr>
        <w:pStyle w:val="BookText"/>
        <w:rPr/>
      </w:pPr>
      <w:r>
        <w:rPr>
          <w:rFonts w:ascii="Amiri" w:hAnsi="Amiri" w:eastAsia="Amiri" w:cs="Amiri"/>
          <w:color w:val="111111"/>
          <w:sz w:val="28"/>
          <w:sz w:val="28"/>
          <w:szCs w:val="28"/>
          <w:rtl w:val="true"/>
          <w:lang w:bidi="ar-SA"/>
        </w:rPr>
        <w:t>علينا اعتقادَ نفيِ الكبائرِ عنهم و تجويزَ الصغائرِ، و أنّ شهادتَهم بما لَو لَم يَكُن</w:t>
      </w:r>
      <w:r>
        <w:rPr>
          <w:rStyle w:val="FootnoteAnchor"/>
          <w:rtl w:val="true"/>
        </w:rPr>
        <w:footnoteReference w:id="342"/>
      </w:r>
      <w:r>
        <w:rPr>
          <w:rFonts w:ascii="Amiri" w:hAnsi="Amiri" w:eastAsia="Amiri" w:cs="Amiri"/>
          <w:color w:val="111111"/>
          <w:sz w:val="28"/>
          <w:sz w:val="28"/>
          <w:szCs w:val="28"/>
          <w:rtl w:val="true"/>
          <w:lang w:bidi="ar-SA"/>
        </w:rPr>
        <w:t>حقّاً لَكانَت الشهادةُ به</w:t>
      </w:r>
      <w:r>
        <w:rPr>
          <w:rStyle w:val="FootnoteAnchor"/>
          <w:rtl w:val="true"/>
        </w:rPr>
        <w:footnoteReference w:id="343"/>
      </w:r>
      <w:r>
        <w:rPr>
          <w:rFonts w:ascii="Amiri" w:hAnsi="Amiri" w:eastAsia="Amiri" w:cs="Amiri"/>
          <w:color w:val="111111"/>
          <w:sz w:val="28"/>
          <w:sz w:val="28"/>
          <w:szCs w:val="28"/>
          <w:rtl w:val="true"/>
          <w:lang w:bidi="ar-SA"/>
        </w:rPr>
        <w:t>كبيرةً لا تقعُ مِنهم، و إن جازَ وقوعُ ما لَم يَبلُغْ هذه المنزلةَ ، و يَكونُ هذا الاعتقادُ ممّا يَجِبُ علينا علىٰ سَبيلِ الجُملةِ ، و إن تَعذَّرَ علينا تفصيلُ أفعالِهم و أقوالِهم</w:t>
      </w:r>
      <w:r>
        <w:rPr>
          <w:rStyle w:val="FootnoteAnchor"/>
          <w:rtl w:val="true"/>
        </w:rPr>
        <w:footnoteReference w:id="344"/>
      </w:r>
      <w:r>
        <w:rPr>
          <w:rFonts w:ascii="Amiri" w:hAnsi="Amiri" w:eastAsia="Amiri" w:cs="Amiri"/>
          <w:color w:val="111111"/>
          <w:sz w:val="28"/>
          <w:sz w:val="28"/>
          <w:szCs w:val="28"/>
          <w:rtl w:val="true"/>
          <w:lang w:bidi="ar-SA"/>
        </w:rPr>
        <w:t>التي يَكونونَ فيها حُجّةً ممّا خالَفَها</w:t>
      </w:r>
      <w:r>
        <w:rPr>
          <w:rStyle w:val="FootnoteAnchor"/>
          <w:rtl w:val="true"/>
        </w:rPr>
        <w:footnoteReference w:id="345"/>
      </w:r>
      <w:r>
        <w:rPr>
          <w:rFonts w:ascii="Amiri" w:hAnsi="Amiri" w:eastAsia="Amiri" w:cs="Amiri"/>
          <w:color w:val="111111"/>
          <w:sz w:val="28"/>
          <w:sz w:val="28"/>
          <w:szCs w:val="28"/>
          <w:rtl w:val="true"/>
          <w:lang w:bidi="ar-SA"/>
        </w:rPr>
        <w:t>، لا سِيَّما و شهادتُهم لَيسَت عندَنا، فيَجِبَ علينا تمييزُ خطئهم مِن صَوابِهم</w:t>
      </w:r>
      <w:r>
        <w:rPr>
          <w:rStyle w:val="FootnoteAnchor"/>
          <w:rtl w:val="true"/>
        </w:rPr>
        <w:footnoteReference w:id="346"/>
      </w:r>
      <w:r>
        <w:rPr>
          <w:rFonts w:ascii="Amiri" w:hAnsi="Amiri" w:eastAsia="Amiri" w:cs="Amiri"/>
          <w:color w:val="111111"/>
          <w:sz w:val="28"/>
          <w:sz w:val="28"/>
          <w:szCs w:val="28"/>
          <w:rtl w:val="true"/>
          <w:lang w:bidi="ar-SA"/>
        </w:rPr>
        <w:t>، و إنّما هي عندَ اللّٰهِ تَعالىٰ ، و إذا كانَت عندَه جازَ أن يَكونَ الواجبُ علينا هو الاعتقادَ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لَيسَ هو الشهادةَ في الآخرةِ‌، و إنّما هو القَولُ بالحَقِّ‌</w:t>
      </w:r>
      <w:r>
        <w:rPr>
          <w:rStyle w:val="FootnoteAnchor"/>
          <w:rtl w:val="true"/>
        </w:rPr>
        <w:footnoteReference w:id="347"/>
      </w:r>
      <w:r>
        <w:rPr>
          <w:rFonts w:ascii="Amiri" w:hAnsi="Amiri" w:eastAsia="Amiri" w:cs="Amiri"/>
          <w:color w:val="111111"/>
          <w:sz w:val="28"/>
          <w:sz w:val="28"/>
          <w:szCs w:val="28"/>
          <w:rtl w:val="true"/>
          <w:lang w:bidi="ar-SA"/>
        </w:rPr>
        <w:t>، و الإخبارُ بالصِّدقِ‌، كقَولِه</w:t>
      </w:r>
      <w:r>
        <w:rPr>
          <w:rStyle w:val="FootnoteAnchor"/>
          <w:rtl w:val="true"/>
        </w:rPr>
        <w:footnoteReference w:id="34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الْمَلاٰئِكَةُ وَ أُولُوا الْعِلْمِ </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كُلُّ مَن قالَ حقّاً فهو شاهدٌ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الشهادةِ التي تؤدّىٰ أو تُتحمَّلُ بسَبيلٍ ، و إن كانوا مع شهادتِهم بالحقِّ يَشهَدونَ في الآخرةِ بأعمالِ العبادِ</w:t>
      </w:r>
      <w:r>
        <w:rPr>
          <w:rStyle w:val="FootnoteAnchor"/>
          <w:rtl w:val="true"/>
        </w:rPr>
        <w:footnoteReference w:id="350"/>
      </w:r>
      <w:r>
        <w:rPr>
          <w:rFonts w:ascii="Amiri" w:hAnsi="Amiri" w:eastAsia="Amiri" w:cs="Amiri"/>
          <w:color w:val="111111"/>
          <w:sz w:val="28"/>
          <w:sz w:val="28"/>
          <w:szCs w:val="28"/>
          <w:rtl w:val="true"/>
          <w:lang w:bidi="ar-SA"/>
        </w:rPr>
        <w:t xml:space="preserve">، فيَجِبُ في كُلِّ ما أَجمَعوا </w:t>
      </w:r>
    </w:p>
    <w:p>
      <w:pPr>
        <w:pStyle w:val="BookText"/>
        <w:rPr/>
      </w:pPr>
      <w:r>
        <w:rPr>
          <w:rFonts w:ascii="Amiri" w:hAnsi="Amiri" w:eastAsia="Amiri" w:cs="Amiri"/>
          <w:color w:val="111111"/>
          <w:sz w:val="28"/>
          <w:sz w:val="28"/>
          <w:szCs w:val="28"/>
          <w:rtl w:val="true"/>
          <w:lang w:bidi="ar-SA"/>
        </w:rPr>
        <w:t>عليه قَولاً</w:t>
      </w:r>
      <w:r>
        <w:rPr>
          <w:rStyle w:val="FootnoteAnchor"/>
          <w:rtl w:val="true"/>
        </w:rPr>
        <w:footnoteReference w:id="351"/>
      </w:r>
      <w:r>
        <w:rPr>
          <w:rFonts w:ascii="Amiri" w:hAnsi="Amiri" w:eastAsia="Amiri" w:cs="Amiri"/>
          <w:color w:val="111111"/>
          <w:sz w:val="28"/>
          <w:sz w:val="28"/>
          <w:szCs w:val="28"/>
          <w:rtl w:val="true"/>
          <w:lang w:bidi="ar-SA"/>
        </w:rPr>
        <w:t>أن يَكونَ حقّاً، و فِعلُهم يَقومُ مَقامَ قَولِهم، فيَجِبُ أن يَكونَ هذا حالَه؛ لأنّهم</w:t>
      </w:r>
      <w:r>
        <w:rPr>
          <w:rStyle w:val="FootnoteAnchor"/>
          <w:rtl w:val="true"/>
        </w:rPr>
        <w:footnoteReference w:id="352"/>
      </w:r>
      <w:r>
        <w:rPr>
          <w:rFonts w:ascii="Amiri" w:hAnsi="Amiri" w:eastAsia="Amiri" w:cs="Amiri"/>
          <w:color w:val="111111"/>
          <w:sz w:val="28"/>
          <w:sz w:val="28"/>
          <w:szCs w:val="28"/>
          <w:rtl w:val="true"/>
          <w:lang w:bidi="ar-SA"/>
        </w:rPr>
        <w:t xml:space="preserve">إذا أَجمَعوا علَى الشيءِ فِعلاً، و أظهَروه إظهارَ ما يُعتَقَدُ أنّه حَقٌّ ، حَلَّ محَلَّ الخبرِ، و هذا يوجِبُ أنّه لا فَرقَ بَينَ الكبيرِ و الصغيرِ في هذا البابِ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مؤثِّرٍ فيما قَدَحنا به في الاستدلالِ بالآيةِ‌؛ لأنّ‌</w:t>
      </w:r>
      <w:r>
        <w:rPr>
          <w:rStyle w:val="FootnoteAnchor"/>
          <w:rtl w:val="true"/>
        </w:rPr>
        <w:footnoteReference w:id="354"/>
      </w:r>
      <w:r>
        <w:rPr>
          <w:rFonts w:ascii="Amiri" w:hAnsi="Amiri" w:eastAsia="Amiri" w:cs="Amiri"/>
          <w:color w:val="111111"/>
          <w:sz w:val="28"/>
          <w:sz w:val="28"/>
          <w:szCs w:val="28"/>
          <w:rtl w:val="true"/>
          <w:lang w:bidi="ar-SA"/>
        </w:rPr>
        <w:t>التعلُّقَ مِن الآيةِ إنّما هو بكَونِهم عُدولاً، لا بلفظِ الشهادةِ‌؛ لأنّ التعلُّقَ لَو كانَ بالشهادةِ لَم يَكُن في الكلامِ شُبهةٌ‌؛ مِن حيثُ كانَت الشهادةُ لا تدُلُّ بنفسِها</w:t>
      </w:r>
      <w:r>
        <w:rPr>
          <w:rStyle w:val="FootnoteAnchor"/>
          <w:rtl w:val="true"/>
        </w:rPr>
        <w:footnoteReference w:id="355"/>
      </w:r>
      <w:r>
        <w:rPr>
          <w:rFonts w:ascii="Amiri" w:hAnsi="Amiri" w:eastAsia="Amiri" w:cs="Amiri"/>
          <w:color w:val="111111"/>
          <w:sz w:val="28"/>
          <w:sz w:val="28"/>
          <w:szCs w:val="28"/>
          <w:rtl w:val="true"/>
          <w:lang w:bidi="ar-SA"/>
        </w:rPr>
        <w:t>علىٰ كَونِها حُجّةً كما تدُلُّ العَدالةُ ، و لَو تعلَّقَ متعلِّقٌ بكَونِهم شُهوداً و أورَدَ</w:t>
      </w:r>
      <w:r>
        <w:rPr>
          <w:rStyle w:val="FootnoteAnchor"/>
          <w:rtl w:val="true"/>
        </w:rPr>
        <w:footnoteReference w:id="356"/>
      </w:r>
      <w:r>
        <w:rPr>
          <w:rFonts w:ascii="Amiri" w:hAnsi="Amiri" w:eastAsia="Amiri" w:cs="Amiri"/>
          <w:color w:val="111111"/>
          <w:sz w:val="28"/>
          <w:sz w:val="28"/>
          <w:szCs w:val="28"/>
          <w:rtl w:val="true"/>
          <w:lang w:bidi="ar-SA"/>
        </w:rPr>
        <w:t>شهادتَهم لَم يَجِدْ</w:t>
      </w:r>
      <w:r>
        <w:rPr>
          <w:rStyle w:val="FootnoteAnchor"/>
          <w:rtl w:val="true"/>
        </w:rPr>
        <w:footnoteReference w:id="357"/>
      </w:r>
      <w:r>
        <w:rPr>
          <w:rFonts w:ascii="Amiri" w:hAnsi="Amiri" w:eastAsia="Amiri" w:cs="Amiri"/>
          <w:color w:val="111111"/>
          <w:sz w:val="28"/>
          <w:sz w:val="28"/>
          <w:szCs w:val="28"/>
          <w:rtl w:val="true"/>
          <w:lang w:bidi="ar-SA"/>
        </w:rPr>
        <w:t>بُدّاً مِن اعتبارِ العَدالةِ و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الصغائرُ لا تؤثِّرُ في العَدالةِ ، و لا يَمتنعُ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صاحبِ الكتابِ و أهلِ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المقبولِ الشهادةِ ، فما الموجِبُ مِن الآيةِ نفيَها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ذَكرناه بَينَ أن يَكونوا شُهَداءَ في الدنيا و الآخِرةِ معاً، و بَينَ أن يَكونوا شُهَداءَ في الآخِرةِ دونَ الدنيا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نَراه زادَنا في الكلامِ الذي عدَل إليه شيئاً يُنتَفَعُ به</w:t>
      </w:r>
      <w:r>
        <w:rPr>
          <w:rFonts w:eastAsia="Amiri" w:cs="Amiri" w:ascii="Amiri" w:hAnsi="Amiri"/>
          <w:color w:val="111111"/>
          <w:sz w:val="28"/>
          <w:szCs w:val="28"/>
          <w:rtl w:val="true"/>
          <w:lang w:bidi="ar-SA"/>
        </w:rPr>
        <w:t xml:space="preserve">. </w:t>
      </w:r>
      <w:bookmarkStart w:id="54" w:name="pg20015_284769"/>
    </w:p>
    <w:p>
      <w:pPr>
        <w:pStyle w:val="Heading5"/>
        <w:numPr>
          <w:ilvl w:val="4"/>
          <w:numId w:val="1"/>
        </w:numPr>
        <w:rPr/>
      </w:pPr>
      <w:bookmarkStart w:id="55" w:name="__RefHeading___Toc894757_2320776876"/>
      <w:bookmarkStart w:id="56" w:name="_Toc20"/>
      <w:bookmarkEnd w:id="54"/>
      <w:bookmarkEnd w:id="55"/>
      <w:r>
        <w:rPr>
          <w:rtl w:val="true"/>
        </w:rPr>
        <w:t>الحجّة الرابعة خبر</w:t>
      </w:r>
      <w:r>
        <w:rPr>
          <w:rtl w:val="true"/>
        </w:rPr>
        <w:t>: «</w:t>
      </w:r>
      <w:r>
        <w:rPr>
          <w:rtl w:val="true"/>
        </w:rPr>
        <w:t>لا تجتمع أُمّتي علىٰ خطإٍ</w:t>
      </w:r>
      <w:r>
        <w:rPr>
          <w:rtl w:val="true"/>
        </w:rPr>
        <w:t>»</w:t>
      </w:r>
      <w:bookmarkEnd w:id="56"/>
    </w:p>
    <w:p>
      <w:pPr>
        <w:pStyle w:val="BookText"/>
        <w:rPr/>
      </w:pPr>
      <w:r>
        <w:rPr>
          <w:rFonts w:ascii="Amiri" w:hAnsi="Amiri" w:eastAsia="Amiri" w:cs="Amiri"/>
          <w:color w:val="111111"/>
          <w:sz w:val="28"/>
          <w:sz w:val="28"/>
          <w:szCs w:val="28"/>
          <w:rtl w:val="true"/>
          <w:lang w:bidi="ar-SA"/>
        </w:rPr>
        <w:t xml:space="preserve">و ممّا تَعلَّقَ به في نُصرةِ الإجماعِ ما رُويَ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خطإٍ</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لا شُبهةَ في فَسادِ التعلُّقِ به؛ لأنّه مِن أخبارِ الآحادِ التي توجِبُ الظنَّ ، و</w:t>
      </w:r>
      <w:r>
        <w:rPr>
          <w:rStyle w:val="FootnoteAnchor"/>
          <w:rtl w:val="true"/>
        </w:rPr>
        <w:footnoteReference w:id="360"/>
      </w:r>
      <w:r>
        <w:rPr>
          <w:rFonts w:ascii="Amiri" w:hAnsi="Amiri" w:eastAsia="Amiri" w:cs="Amiri"/>
          <w:color w:val="111111"/>
          <w:sz w:val="28"/>
          <w:sz w:val="28"/>
          <w:szCs w:val="28"/>
          <w:rtl w:val="true"/>
          <w:lang w:bidi="ar-SA"/>
        </w:rPr>
        <w:t>لا توجِبُ عِلماً و لا عملاً، فلا</w:t>
      </w:r>
      <w:r>
        <w:rPr>
          <w:rStyle w:val="FootnoteAnchor"/>
          <w:rtl w:val="true"/>
        </w:rPr>
        <w:footnoteReference w:id="361"/>
      </w:r>
      <w:r>
        <w:rPr>
          <w:rFonts w:ascii="Amiri" w:hAnsi="Amiri" w:eastAsia="Amiri" w:cs="Amiri"/>
          <w:color w:val="111111"/>
          <w:sz w:val="28"/>
          <w:sz w:val="28"/>
          <w:szCs w:val="28"/>
          <w:rtl w:val="true"/>
          <w:lang w:bidi="ar-SA"/>
        </w:rPr>
        <w:t>يَسوغُ القطعُ بمِثلِها، و لا خِلافَ في أنّ نَقلَه إلينا مِن طريقِ الآحادِ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يَتعلَّقُ به الخُصومُ في تصحيحِه تقبُّلُ الأُمّةِ له، و تَركُهم الردَّ علىٰ راويهِ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الأُمّةِ تَقَبَّلَته</w:t>
      </w:r>
      <w:r>
        <w:rPr>
          <w:rStyle w:val="FootnoteAnchor"/>
          <w:rtl w:val="true"/>
        </w:rPr>
        <w:footnoteReference w:id="363"/>
      </w:r>
      <w:r>
        <w:rPr>
          <w:rFonts w:ascii="Amiri" w:hAnsi="Amiri" w:eastAsia="Amiri" w:cs="Amiri"/>
          <w:color w:val="111111"/>
          <w:sz w:val="28"/>
          <w:sz w:val="28"/>
          <w:szCs w:val="28"/>
          <w:rtl w:val="true"/>
          <w:lang w:bidi="ar-SA"/>
        </w:rPr>
        <w:t xml:space="preserve">، و لَو تَقبَّلَته أيضاً لَم يَكُن في تَقبُّلِها دَلالةٌ ؛ </w:t>
      </w:r>
    </w:p>
    <w:p>
      <w:pPr>
        <w:pStyle w:val="BookText"/>
        <w:rPr/>
      </w:pPr>
      <w:r>
        <w:rPr>
          <w:rFonts w:ascii="Amiri" w:hAnsi="Amiri" w:eastAsia="Amiri" w:cs="Amiri"/>
          <w:color w:val="111111"/>
          <w:sz w:val="28"/>
          <w:sz w:val="28"/>
          <w:szCs w:val="28"/>
          <w:rtl w:val="true"/>
          <w:lang w:bidi="ar-SA"/>
        </w:rPr>
        <w:t>لأنّ‌</w:t>
      </w:r>
      <w:r>
        <w:rPr>
          <w:rStyle w:val="FootnoteAnchor"/>
          <w:rtl w:val="true"/>
        </w:rPr>
        <w:footnoteReference w:id="364"/>
      </w:r>
      <w:r>
        <w:rPr>
          <w:rFonts w:ascii="Amiri" w:hAnsi="Amiri" w:eastAsia="Amiri" w:cs="Amiri"/>
          <w:color w:val="111111"/>
          <w:sz w:val="28"/>
          <w:sz w:val="28"/>
          <w:szCs w:val="28"/>
          <w:rtl w:val="true"/>
          <w:lang w:bidi="ar-SA"/>
        </w:rPr>
        <w:t xml:space="preserve">الخطأَ و دُخولَ الشُّبهةِ </w:t>
      </w:r>
      <w:r>
        <w:rPr>
          <w:rStyle w:val="FootnoteAnchor"/>
          <w:rtl w:val="true"/>
        </w:rPr>
        <w:footnoteReference w:id="365"/>
      </w:r>
      <w:r>
        <w:rPr>
          <w:rFonts w:ascii="Amiri" w:hAnsi="Amiri" w:eastAsia="Amiri" w:cs="Amiri"/>
          <w:color w:val="111111"/>
          <w:sz w:val="28"/>
          <w:sz w:val="28"/>
          <w:szCs w:val="28"/>
          <w:rtl w:val="true"/>
          <w:lang w:bidi="ar-SA"/>
        </w:rPr>
        <w:t xml:space="preserve">جائزانِ عليها، و كلامُنا في ذلكَ ، و لَيسَ يَجوزُ أن يُجعَلَ المصحِّحُ للخبرِ إجماعَ الأُمّةِ الذي لا نَعلَمُ </w:t>
      </w:r>
      <w:r>
        <w:rPr>
          <w:rStyle w:val="FootnoteAnchor"/>
          <w:rtl w:val="true"/>
        </w:rPr>
        <w:footnoteReference w:id="366"/>
      </w:r>
      <w:r>
        <w:rPr>
          <w:rFonts w:ascii="Amiri" w:hAnsi="Amiri" w:eastAsia="Amiri" w:cs="Amiri"/>
          <w:color w:val="111111"/>
          <w:sz w:val="28"/>
          <w:sz w:val="28"/>
          <w:szCs w:val="28"/>
          <w:rtl w:val="true"/>
          <w:lang w:bidi="ar-SA"/>
        </w:rPr>
        <w:t>صحّتَه إلّابصحّةِ الخبرِ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تُخطّيَ‌</w:t>
      </w:r>
      <w:r>
        <w:rPr>
          <w:rStyle w:val="FootnoteAnchor"/>
          <w:rtl w:val="true"/>
        </w:rPr>
        <w:footnoteReference w:id="368"/>
      </w:r>
      <w:r>
        <w:rPr>
          <w:rFonts w:ascii="Amiri" w:hAnsi="Amiri" w:eastAsia="Amiri" w:cs="Amiri"/>
          <w:color w:val="111111"/>
          <w:sz w:val="28"/>
          <w:sz w:val="28"/>
          <w:szCs w:val="28"/>
          <w:rtl w:val="true"/>
          <w:lang w:bidi="ar-SA"/>
        </w:rPr>
        <w:t>الكلامُ في إثباتِ الخبرِ نفسِه لَم يَكُن فيه دَلالةٌ علىٰ ما ذهَبَ إليه القومُ‌؛ لأنّه نفىٰ أن يَجتَمِعوا</w:t>
      </w:r>
      <w:r>
        <w:rPr>
          <w:rStyle w:val="FootnoteAnchor"/>
          <w:rtl w:val="true"/>
        </w:rPr>
        <w:footnoteReference w:id="369"/>
      </w:r>
      <w:r>
        <w:rPr>
          <w:rFonts w:ascii="Amiri" w:hAnsi="Amiri" w:eastAsia="Amiri" w:cs="Amiri"/>
          <w:color w:val="111111"/>
          <w:sz w:val="28"/>
          <w:sz w:val="28"/>
          <w:szCs w:val="28"/>
          <w:rtl w:val="true"/>
          <w:lang w:bidi="ar-SA"/>
        </w:rPr>
        <w:t>على خطإٍ، و لَم يُبيِّنْ ما الخطأُ الذي لا يَجتَمِعونَ عليه</w:t>
      </w:r>
      <w:r>
        <w:rPr>
          <w:rStyle w:val="FootnoteAnchor"/>
          <w:rtl w:val="true"/>
        </w:rPr>
        <w:footnoteReference w:id="370"/>
      </w:r>
      <w:r>
        <w:rPr>
          <w:rFonts w:ascii="Amiri" w:hAnsi="Amiri" w:eastAsia="Amiri" w:cs="Amiri"/>
          <w:color w:val="111111"/>
          <w:sz w:val="28"/>
          <w:sz w:val="28"/>
          <w:szCs w:val="28"/>
          <w:rtl w:val="true"/>
          <w:lang w:bidi="ar-SA"/>
        </w:rPr>
        <w:t>، و لَيسَ في اللفظِ دَلالةٌ علىٰ نفيِ كُلِّ الخطإِ، و لا نفيِ بعضٍ معيَّنٍ‌، فالخبرُ</w:t>
      </w:r>
      <w:r>
        <w:rPr>
          <w:rStyle w:val="FootnoteAnchor"/>
          <w:rtl w:val="true"/>
        </w:rPr>
        <w:footnoteReference w:id="371"/>
      </w:r>
      <w:r>
        <w:rPr>
          <w:rFonts w:ascii="Amiri" w:hAnsi="Amiri" w:eastAsia="Amiri" w:cs="Amiri"/>
          <w:color w:val="111111"/>
          <w:sz w:val="28"/>
          <w:sz w:val="28"/>
          <w:szCs w:val="28"/>
          <w:rtl w:val="true"/>
          <w:lang w:bidi="ar-SA"/>
        </w:rPr>
        <w:t>إذا كانَ كذلكَ فهو كالمُجمَلِ‌</w:t>
      </w:r>
      <w:r>
        <w:rPr>
          <w:rStyle w:val="FootnoteAnchor"/>
          <w:rtl w:val="true"/>
        </w:rPr>
        <w:footnoteReference w:id="372"/>
      </w:r>
      <w:r>
        <w:rPr>
          <w:rFonts w:ascii="Amiri" w:hAnsi="Amiri" w:eastAsia="Amiri" w:cs="Amiri"/>
          <w:color w:val="111111"/>
          <w:sz w:val="28"/>
          <w:sz w:val="28"/>
          <w:szCs w:val="28"/>
          <w:rtl w:val="true"/>
          <w:lang w:bidi="ar-SA"/>
        </w:rPr>
        <w:t>المفتقِرِ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 متعلِّقٌ بأنّه مِن حَيثُ لَم يَكُن نَفيُ </w:t>
      </w:r>
      <w:r>
        <w:rPr>
          <w:rStyle w:val="FootnoteAnchor"/>
          <w:rtl w:val="true"/>
        </w:rPr>
        <w:footnoteReference w:id="373"/>
      </w:r>
      <w:r>
        <w:rPr>
          <w:rFonts w:ascii="Amiri" w:hAnsi="Amiri" w:eastAsia="Amiri" w:cs="Amiri"/>
          <w:color w:val="111111"/>
          <w:sz w:val="28"/>
          <w:sz w:val="28"/>
          <w:szCs w:val="28"/>
          <w:rtl w:val="true"/>
          <w:lang w:bidi="ar-SA"/>
        </w:rPr>
        <w:t xml:space="preserve">بعضِ الخطإِ أَولىٰ مِن بعضٍ ، وَجَبَ أن يَكونَ نافياً للجميعِ ، فقَد سَلَفَ الكلامُ علىٰ فَسادِ هذه الطريقةِ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فلَيسَ يَخلو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عَنىٰ به جميعَ المصدِّقينَ ، أو بعضاً مِنهم و هُم المؤمنونَ المستَحِقّونَ للثوابِ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الأوّلَ وَجَبَ بظاهرِ الكلامِ أن لا يَختَصَّ أهلَ كُلِّ عصرٍ، بَل يَشيعَ في جميعِ المصدِّقينَ إلىٰ قيامِ الساعةِ حتّىٰ لا يَخرُجَ عنه أحَدٌ مِنهم؛ لأنّ مَذهبَ خُصومِنا في حملِ القولِ المُطلَقِ علىٰ عُمومِه يَقتَضي ذلك، و لَئن</w:t>
      </w:r>
      <w:r>
        <w:rPr>
          <w:rStyle w:val="FootnoteAnchor"/>
          <w:rtl w:val="true"/>
        </w:rPr>
        <w:footnoteReference w:id="375"/>
      </w:r>
      <w:r>
        <w:rPr>
          <w:rFonts w:ascii="Amiri" w:hAnsi="Amiri" w:eastAsia="Amiri" w:cs="Amiri"/>
          <w:color w:val="111111"/>
          <w:sz w:val="28"/>
          <w:sz w:val="28"/>
          <w:szCs w:val="28"/>
          <w:rtl w:val="true"/>
          <w:lang w:bidi="ar-SA"/>
        </w:rPr>
        <w:t>جازَ لهم حَملُ الكلامِ علَى المُصَدِّقينَ في كُلِّ عصرٍ، كانَ هذا تخصيصاً بغَيرِ حُجّةٍ‌، و لَم يَجِدوا فَرقاً بَينَهم و بَينَ مَن حَمَلَه علىٰ فِرقةٍ مِن أهلِ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حملُه علىٰ جميعِ المصدِّقينَ في سائرِ الأعصارِ، لَم يَكُن دليلاً علىٰ ما يَذهبون إليه مِن كَونِ إجماعِ أهلِ كُلِّ عصرٍ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عَنىٰ‌</w:t>
      </w:r>
      <w:r>
        <w:rPr>
          <w:rStyle w:val="FootnoteAnchor"/>
          <w:rtl w:val="true"/>
        </w:rPr>
        <w:footnoteReference w:id="376"/>
      </w:r>
      <w:r>
        <w:rPr>
          <w:rFonts w:ascii="Amiri" w:hAnsi="Amiri" w:eastAsia="Amiri" w:cs="Amiri"/>
          <w:color w:val="111111"/>
          <w:sz w:val="28"/>
          <w:sz w:val="28"/>
          <w:szCs w:val="28"/>
          <w:rtl w:val="true"/>
          <w:lang w:bidi="ar-SA"/>
        </w:rPr>
        <w:t>ما ذَكرناه ثانياً بَطَلَ بمِثلِ ما أَبطَلنا به</w:t>
      </w:r>
      <w:r>
        <w:rPr>
          <w:rStyle w:val="FootnoteAnchor"/>
          <w:rtl w:val="true"/>
        </w:rPr>
        <w:footnoteReference w:id="377"/>
      </w:r>
      <w:r>
        <w:rPr>
          <w:rFonts w:ascii="Amiri" w:hAnsi="Amiri" w:eastAsia="Amiri" w:cs="Amiri"/>
          <w:color w:val="111111"/>
          <w:sz w:val="28"/>
          <w:sz w:val="28"/>
          <w:szCs w:val="28"/>
          <w:rtl w:val="true"/>
          <w:lang w:bidi="ar-SA"/>
        </w:rPr>
        <w:t>الأوّلَ‌، مِن وجوبِ حَملِه</w:t>
      </w:r>
    </w:p>
    <w:p>
      <w:pPr>
        <w:pStyle w:val="BookText"/>
        <w:rPr/>
      </w:pPr>
      <w:r>
        <w:rPr>
          <w:rFonts w:ascii="Amiri" w:hAnsi="Amiri" w:eastAsia="Amiri" w:cs="Amiri"/>
          <w:color w:val="111111"/>
          <w:sz w:val="28"/>
          <w:sz w:val="28"/>
          <w:szCs w:val="28"/>
          <w:rtl w:val="true"/>
          <w:lang w:bidi="ar-SA"/>
        </w:rPr>
        <w:t>علىٰ كُلِّ المؤمنينَ المُستَحِقّينَ للثوابِ‌</w:t>
      </w:r>
      <w:r>
        <w:rPr>
          <w:rStyle w:val="FootnoteAnchor"/>
          <w:rtl w:val="true"/>
        </w:rPr>
        <w:footnoteReference w:id="378"/>
      </w:r>
      <w:r>
        <w:rPr>
          <w:rFonts w:ascii="Amiri" w:hAnsi="Amiri" w:eastAsia="Amiri" w:cs="Amiri"/>
          <w:color w:val="111111"/>
          <w:sz w:val="28"/>
          <w:sz w:val="28"/>
          <w:szCs w:val="28"/>
          <w:rtl w:val="true"/>
          <w:lang w:bidi="ar-SA"/>
        </w:rPr>
        <w:t>في كُلِّ عصرٍ علىٰ سبيلِ الجَمعِ‌، و أنّ مَن خَصَّصَ أهلَ كُلِّ عصرٍ بتَناوُلِ‌</w:t>
      </w:r>
      <w:r>
        <w:rPr>
          <w:rStyle w:val="FootnoteAnchor"/>
          <w:rtl w:val="true"/>
        </w:rPr>
        <w:footnoteReference w:id="379"/>
      </w:r>
      <w:r>
        <w:rPr>
          <w:rFonts w:ascii="Amiri" w:hAnsi="Amiri" w:eastAsia="Amiri" w:cs="Amiri"/>
          <w:color w:val="111111"/>
          <w:sz w:val="28"/>
          <w:sz w:val="28"/>
          <w:szCs w:val="28"/>
          <w:rtl w:val="true"/>
          <w:lang w:bidi="ar-SA"/>
        </w:rPr>
        <w:t>القَولِ له كمَن خَصَّصَ‌</w:t>
      </w:r>
      <w:r>
        <w:rPr>
          <w:rStyle w:val="FootnoteAnchor"/>
          <w:rtl w:val="true"/>
        </w:rPr>
        <w:footnoteReference w:id="380"/>
      </w:r>
      <w:r>
        <w:rPr>
          <w:rFonts w:ascii="Amiri" w:hAnsi="Amiri" w:eastAsia="Amiri" w:cs="Amiri"/>
          <w:color w:val="111111"/>
          <w:sz w:val="28"/>
          <w:sz w:val="28"/>
          <w:szCs w:val="28"/>
          <w:rtl w:val="true"/>
          <w:lang w:bidi="ar-SA"/>
        </w:rPr>
        <w:t>فِرقةً مِن أهلِ العَصرِ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يَبطُلُ هذا الوجهُ‌</w:t>
      </w:r>
      <w:r>
        <w:rPr>
          <w:rStyle w:val="FootnoteAnchor"/>
          <w:rtl w:val="true"/>
        </w:rPr>
        <w:footnoteReference w:id="381"/>
      </w:r>
      <w:r>
        <w:rPr>
          <w:rFonts w:ascii="Amiri" w:hAnsi="Amiri" w:eastAsia="Amiri" w:cs="Amiri"/>
          <w:color w:val="111111"/>
          <w:sz w:val="28"/>
          <w:sz w:val="28"/>
          <w:szCs w:val="28"/>
          <w:rtl w:val="true"/>
          <w:lang w:bidi="ar-SA"/>
        </w:rPr>
        <w:t>أيضاً بأنّ الذاهبَ إليه مُقتَرِحٌ لِما</w:t>
      </w:r>
      <w:r>
        <w:rPr>
          <w:rStyle w:val="FootnoteAnchor"/>
          <w:rtl w:val="true"/>
        </w:rPr>
        <w:footnoteReference w:id="382"/>
      </w:r>
      <w:r>
        <w:rPr>
          <w:rFonts w:ascii="Amiri" w:hAnsi="Amiri" w:eastAsia="Amiri" w:cs="Amiri"/>
          <w:color w:val="111111"/>
          <w:sz w:val="28"/>
          <w:sz w:val="28"/>
          <w:szCs w:val="28"/>
          <w:rtl w:val="true"/>
          <w:lang w:bidi="ar-SA"/>
        </w:rPr>
        <w:t>لا يَقتَضيهِ اللفظُ و لا توجِبُهُ‌</w:t>
      </w:r>
      <w:r>
        <w:rPr>
          <w:rStyle w:val="FootnoteAnchor"/>
          <w:rtl w:val="true"/>
        </w:rPr>
        <w:footnoteReference w:id="383"/>
      </w:r>
      <w:r>
        <w:rPr>
          <w:rFonts w:ascii="Amiri" w:hAnsi="Amiri" w:eastAsia="Amiri" w:cs="Amiri"/>
          <w:color w:val="111111"/>
          <w:sz w:val="28"/>
          <w:sz w:val="28"/>
          <w:szCs w:val="28"/>
          <w:rtl w:val="true"/>
          <w:lang w:bidi="ar-SA"/>
        </w:rPr>
        <w:t>الحُجّةُ ، و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المؤمنينَ و مَن كانَ للثوابِ مُستَحِقّاً دونَ غَيرِهم ؟ لَم يَجِدْ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مَن اقترَح هذا </w:t>
      </w:r>
    </w:p>
    <w:p>
      <w:pPr>
        <w:pStyle w:val="BookText"/>
        <w:rPr/>
      </w:pPr>
      <w:r>
        <w:rPr>
          <w:rFonts w:ascii="Amiri" w:hAnsi="Amiri" w:eastAsia="Amiri" w:cs="Amiri"/>
          <w:color w:val="111111"/>
          <w:sz w:val="28"/>
          <w:sz w:val="28"/>
          <w:szCs w:val="28"/>
          <w:rtl w:val="true"/>
          <w:lang w:bidi="ar-SA"/>
        </w:rPr>
        <w:t>التأويلَ‌، و بَينَ مَن حمَل اللفظةَ‌</w:t>
      </w:r>
      <w:r>
        <w:rPr>
          <w:rStyle w:val="FootnoteAnchor"/>
          <w:rtl w:val="true"/>
        </w:rPr>
        <w:footnoteReference w:id="384"/>
      </w:r>
      <w:r>
        <w:rPr>
          <w:rFonts w:ascii="Amiri" w:hAnsi="Amiri" w:eastAsia="Amiri" w:cs="Amiri"/>
          <w:color w:val="111111"/>
          <w:sz w:val="28"/>
          <w:sz w:val="28"/>
          <w:szCs w:val="28"/>
          <w:rtl w:val="true"/>
          <w:lang w:bidi="ar-SA"/>
        </w:rPr>
        <w:t>علىٰ بعضٍ مِن الأُمّةِ أو مِن المؤمنينَ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في هذا</w:t>
      </w:r>
      <w:r>
        <w:rPr>
          <w:rStyle w:val="FootnoteAnchor"/>
          <w:rtl w:val="true"/>
        </w:rPr>
        <w:footnoteReference w:id="385"/>
      </w:r>
      <w:r>
        <w:rPr>
          <w:rFonts w:ascii="Amiri" w:hAnsi="Amiri" w:eastAsia="Amiri" w:cs="Amiri"/>
          <w:color w:val="111111"/>
          <w:sz w:val="28"/>
          <w:sz w:val="28"/>
          <w:szCs w:val="28"/>
          <w:rtl w:val="true"/>
          <w:lang w:bidi="ar-SA"/>
        </w:rPr>
        <w:t>الخبرِ ما أمكَنَ في الآياتِ المتقدِّمةِ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يَقتَضي المَدحَ‌، فلا بُدَّ من إخراجِ مَن لا يَستَحِقُّه مِن جُملتِه، و تَبقيةِ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في نفيِ الاجتماعِ علَى الخطإٍ عنهم دَلالةٌ علىٰ مَدحٍ و تعظيمٍ‌؛ لأنّه قد يَجوزُ أن يُعلَمَ مِن حالِ جميعِهم أنّهم</w:t>
      </w:r>
      <w:r>
        <w:rPr>
          <w:rStyle w:val="FootnoteAnchor"/>
          <w:rtl w:val="true"/>
        </w:rPr>
        <w:footnoteReference w:id="386"/>
      </w:r>
      <w:r>
        <w:rPr>
          <w:rFonts w:ascii="Amiri" w:hAnsi="Amiri" w:eastAsia="Amiri" w:cs="Amiri"/>
          <w:color w:val="111111"/>
          <w:sz w:val="28"/>
          <w:sz w:val="28"/>
          <w:szCs w:val="28"/>
          <w:rtl w:val="true"/>
          <w:lang w:bidi="ar-SA"/>
        </w:rPr>
        <w:t>لا يَختارونَ الاجتماعَ علَى الخطإِ، و إن كانَ‌</w:t>
      </w:r>
      <w:r>
        <w:rPr>
          <w:rStyle w:val="FootnoteAnchor"/>
          <w:rtl w:val="true"/>
        </w:rPr>
        <w:footnoteReference w:id="387"/>
      </w:r>
      <w:r>
        <w:rPr>
          <w:rFonts w:ascii="Amiri" w:hAnsi="Amiri" w:eastAsia="Amiri" w:cs="Amiri"/>
          <w:color w:val="111111"/>
          <w:sz w:val="28"/>
          <w:sz w:val="28"/>
          <w:szCs w:val="28"/>
          <w:rtl w:val="true"/>
          <w:lang w:bidi="ar-SA"/>
        </w:rPr>
        <w:t>كُلُّ واحدٍ مِنهم يَفعَلُه متفرِّداً</w:t>
      </w:r>
      <w:r>
        <w:rPr>
          <w:rStyle w:val="FootnoteAnchor"/>
          <w:rtl w:val="true"/>
        </w:rPr>
        <w:footnoteReference w:id="388"/>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هذا لا يَقتَضي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صَلَّى اللّٰهُ عليه و آلِه</w:t>
      </w:r>
      <w:r>
        <w:rPr>
          <w:rStyle w:val="FootnoteAnchor"/>
          <w:rtl w:val="true"/>
        </w:rPr>
        <w:footnoteReference w:id="389"/>
      </w:r>
      <w:r>
        <w:rPr>
          <w:rFonts w:ascii="Amiri" w:hAnsi="Amiri" w:eastAsia="Amiri" w:cs="Amiri"/>
          <w:color w:val="111111"/>
          <w:sz w:val="28"/>
          <w:sz w:val="28"/>
          <w:szCs w:val="28"/>
          <w:rtl w:val="true"/>
          <w:lang w:bidi="ar-SA"/>
        </w:rPr>
        <w:t>معنىٰ هذا الخبرِ بلَفظٍ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لِيَجمَعَ أُمّتي علىٰ ضَلالٍ‌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ذَكرناه في اللفظِ الأوّلِ يُفسِدُ التعلُّقَ بهذا اللفظِ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الكلامِ يَقتَضي أنّ اللّٰهَ تَعالىٰ لا يَجْمَعُ الأُمّةَ علىٰ ضَلالٍ‌</w:t>
      </w:r>
      <w:r>
        <w:rPr>
          <w:rStyle w:val="FootnoteAnchor"/>
          <w:rtl w:val="true"/>
        </w:rPr>
        <w:footnoteReference w:id="392"/>
      </w:r>
      <w:r>
        <w:rPr>
          <w:rFonts w:ascii="Amiri" w:hAnsi="Amiri" w:eastAsia="Amiri" w:cs="Amiri"/>
          <w:color w:val="111111"/>
          <w:sz w:val="28"/>
          <w:sz w:val="28"/>
          <w:szCs w:val="28"/>
          <w:rtl w:val="true"/>
          <w:lang w:bidi="ar-SA"/>
        </w:rPr>
        <w:t xml:space="preserve">، و هذا صحيحٌ غَيرُ مدفوعٍ‌، و هو لا يدُلُّ </w:t>
      </w:r>
      <w:r>
        <w:rPr>
          <w:rStyle w:val="FootnoteAnchor"/>
          <w:rtl w:val="true"/>
        </w:rPr>
        <w:footnoteReference w:id="393"/>
      </w:r>
      <w:r>
        <w:rPr>
          <w:rFonts w:ascii="Amiri" w:hAnsi="Amiri" w:eastAsia="Amiri" w:cs="Amiri"/>
          <w:color w:val="111111"/>
          <w:sz w:val="28"/>
          <w:sz w:val="28"/>
          <w:szCs w:val="28"/>
          <w:rtl w:val="true"/>
          <w:lang w:bidi="ar-SA"/>
        </w:rPr>
        <w:t xml:space="preserve">علىٰ أنّهم لا يَختارونَ الإجماعَ </w:t>
      </w:r>
      <w:r>
        <w:rPr>
          <w:rStyle w:val="FootnoteAnchor"/>
          <w:rtl w:val="true"/>
        </w:rPr>
        <w:footnoteReference w:id="394"/>
      </w:r>
      <w:r>
        <w:rPr>
          <w:rFonts w:ascii="Amiri" w:hAnsi="Amiri" w:eastAsia="Amiri" w:cs="Amiri"/>
          <w:color w:val="111111"/>
          <w:sz w:val="28"/>
          <w:sz w:val="28"/>
          <w:szCs w:val="28"/>
          <w:rtl w:val="true"/>
          <w:lang w:bidi="ar-SA"/>
        </w:rPr>
        <w:t>علَى الضَّلالِ مِن قِبَلِ أنفُسِهم</w:t>
      </w:r>
      <w:r>
        <w:rPr>
          <w:rFonts w:eastAsia="Amiri" w:cs="Amiri" w:ascii="Amiri" w:hAnsi="Amiri"/>
          <w:color w:val="111111"/>
          <w:sz w:val="28"/>
          <w:szCs w:val="28"/>
          <w:rtl w:val="true"/>
          <w:lang w:bidi="ar-SA"/>
        </w:rPr>
        <w:t xml:space="preserve">. </w:t>
      </w:r>
      <w:bookmarkStart w:id="57" w:name="pg20015_284773"/>
    </w:p>
    <w:p>
      <w:pPr>
        <w:pStyle w:val="Heading5"/>
        <w:numPr>
          <w:ilvl w:val="4"/>
          <w:numId w:val="1"/>
        </w:numPr>
        <w:rPr/>
      </w:pPr>
      <w:bookmarkStart w:id="58" w:name="__RefHeading___Toc894759_2320776876"/>
      <w:bookmarkStart w:id="59" w:name="_Toc21"/>
      <w:bookmarkEnd w:id="57"/>
      <w:bookmarkEnd w:id="58"/>
      <w:r>
        <w:rPr>
          <w:rtl w:val="true"/>
        </w:rPr>
        <w:t>الحجّة الخامسة خبر</w:t>
      </w:r>
      <w:r>
        <w:rPr>
          <w:rtl w:val="true"/>
        </w:rPr>
        <w:t>: «</w:t>
      </w:r>
      <w:r>
        <w:rPr>
          <w:rtl w:val="true"/>
        </w:rPr>
        <w:t>لا تزال طائفة من أُمّتي ظاهرين</w:t>
      </w:r>
      <w:r>
        <w:rPr>
          <w:rtl w:val="true"/>
        </w:rPr>
        <w:t>...»</w:t>
      </w:r>
      <w:bookmarkEnd w:id="59"/>
    </w:p>
    <w:p>
      <w:pPr>
        <w:pStyle w:val="BookText"/>
        <w:rPr/>
      </w:pPr>
      <w:r>
        <w:rPr>
          <w:rFonts w:ascii="Amiri" w:hAnsi="Amiri" w:eastAsia="Amiri" w:cs="Amiri"/>
          <w:color w:val="111111"/>
          <w:sz w:val="28"/>
          <w:sz w:val="28"/>
          <w:szCs w:val="28"/>
          <w:rtl w:val="true"/>
          <w:lang w:bidi="ar-SA"/>
        </w:rPr>
        <w:t>فأمّا ما رَواه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w:t>
      </w:r>
      <w:r>
        <w:rPr>
          <w:rStyle w:val="FootnoteAnchor"/>
          <w:rtl w:val="true"/>
        </w:rPr>
        <w:footnoteReference w:id="395"/>
      </w:r>
      <w:r>
        <w:rPr>
          <w:rFonts w:ascii="Amiri" w:hAnsi="Amiri" w:eastAsia="Amiri" w:cs="Amiri"/>
          <w:color w:val="111111"/>
          <w:sz w:val="28"/>
          <w:sz w:val="28"/>
          <w:szCs w:val="28"/>
          <w:rtl w:val="true"/>
          <w:lang w:bidi="ar-SA"/>
        </w:rPr>
        <w:t xml:space="preserve">طائفةٌ مِن أُمّتي ظاهرينَ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أمرُ اللّٰهِ‌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ascii="Amiri" w:hAnsi="Amiri" w:eastAsia="Amiri" w:cs="Amiri"/>
          <w:color w:val="111111"/>
          <w:sz w:val="28"/>
          <w:sz w:val="28"/>
          <w:szCs w:val="28"/>
          <w:rtl w:val="true"/>
          <w:lang w:bidi="ar-SA"/>
        </w:rPr>
        <w:t>فما قدَّمناه يُبطِلُ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الاطّلاعُ عليه و العِلمُ به، و لَيسَ يُفيدُ التمسُّكَ به، و نفيَ فِعلِ ما يُخالفُه؛ لأنّه قد يَظهَرُ علَى الحقِّ و يَعلَمُه مَن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الخبرُ يُفيدُ أنّ طائفةً مِن الأُمّةِ لا بُدَّ مِن</w:t>
      </w:r>
      <w:r>
        <w:rPr>
          <w:rStyle w:val="FootnoteAnchor"/>
          <w:rtl w:val="true"/>
        </w:rPr>
        <w:footnoteReference w:id="398"/>
      </w:r>
      <w:r>
        <w:rPr>
          <w:rFonts w:ascii="Amiri" w:hAnsi="Amiri" w:eastAsia="Amiri" w:cs="Amiri"/>
          <w:color w:val="111111"/>
          <w:sz w:val="28"/>
          <w:sz w:val="28"/>
          <w:szCs w:val="28"/>
          <w:rtl w:val="true"/>
          <w:lang w:bidi="ar-SA"/>
        </w:rPr>
        <w:t xml:space="preserve">أن تَكونَ ظاهرةً علَى الحقِّ‌،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مطَّلِعةٍ عليه و</w:t>
      </w:r>
      <w:r>
        <w:rPr>
          <w:rStyle w:val="FootnoteAnchor"/>
          <w:rtl w:val="true"/>
        </w:rPr>
        <w:footnoteReference w:id="399"/>
      </w:r>
      <w:r>
        <w:rPr>
          <w:rFonts w:ascii="Amiri" w:hAnsi="Amiri" w:eastAsia="Amiri" w:cs="Amiri"/>
          <w:color w:val="111111"/>
          <w:sz w:val="28"/>
          <w:sz w:val="28"/>
          <w:szCs w:val="28"/>
          <w:rtl w:val="true"/>
          <w:lang w:bidi="ar-SA"/>
        </w:rPr>
        <w:t xml:space="preserve">عالِمةٍ </w:t>
      </w:r>
      <w:r>
        <w:rPr>
          <w:rStyle w:val="FootnoteAnchor"/>
          <w:rtl w:val="true"/>
        </w:rPr>
        <w:footnoteReference w:id="40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يَمنَعُ </w:t>
      </w:r>
      <w:r>
        <w:rPr>
          <w:rStyle w:val="FootnoteAnchor"/>
          <w:rtl w:val="true"/>
        </w:rPr>
        <w:footnoteReference w:id="40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اجتماعِ الأُمّةِ علَى فِعلِ الخطإ؛ لأنّه جائزٌ أن تَكونَ </w:t>
      </w:r>
      <w:r>
        <w:rPr>
          <w:rStyle w:val="FootnoteAnchor"/>
          <w:rtl w:val="true"/>
        </w:rPr>
        <w:footnoteReference w:id="402"/>
      </w:r>
      <w:r>
        <w:rPr>
          <w:rFonts w:ascii="Amiri" w:hAnsi="Amiri" w:eastAsia="Amiri" w:cs="Amiri"/>
          <w:color w:val="111111"/>
          <w:sz w:val="28"/>
          <w:sz w:val="28"/>
          <w:szCs w:val="28"/>
          <w:rtl w:val="true"/>
          <w:lang w:bidi="ar-SA"/>
        </w:rPr>
        <w:t xml:space="preserve">هذه الطائفةُ المطَّلِعةُ علَى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لا تَعمَلُ به، و تَفعَلُ الخطأَ و الباطلَ علىٰ عِلمٍ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يَمتَنِعُ </w:t>
      </w:r>
      <w:r>
        <w:rPr>
          <w:rStyle w:val="FootnoteAnchor"/>
          <w:rtl w:val="true"/>
        </w:rPr>
        <w:footnoteReference w:id="403"/>
      </w:r>
      <w:r>
        <w:rPr>
          <w:rFonts w:ascii="Amiri" w:hAnsi="Amiri" w:eastAsia="Amiri" w:cs="Amiri"/>
          <w:color w:val="111111"/>
          <w:sz w:val="28"/>
          <w:sz w:val="28"/>
          <w:szCs w:val="28"/>
          <w:rtl w:val="true"/>
          <w:lang w:bidi="ar-SA"/>
        </w:rPr>
        <w:t xml:space="preserve">عندَ خُصومِنا علىٰ طائفةٍ مِن الأُ 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باقي الأُمّةِ يَفعَلُ </w:t>
      </w:r>
      <w:r>
        <w:rPr>
          <w:rStyle w:val="FootnoteAnchor"/>
          <w:rtl w:val="true"/>
        </w:rPr>
        <w:footnoteReference w:id="404"/>
      </w:r>
      <w:r>
        <w:rPr>
          <w:rFonts w:ascii="Amiri" w:hAnsi="Amiri" w:eastAsia="Amiri" w:cs="Amiri"/>
          <w:color w:val="111111"/>
          <w:sz w:val="28"/>
          <w:sz w:val="28"/>
          <w:szCs w:val="28"/>
          <w:rtl w:val="true"/>
          <w:lang w:bidi="ar-SA"/>
        </w:rPr>
        <w:t>الخطأَ و الباطلَ للشُّبهةِ ، فيَكونَ الاجتماعُ علَى الخطإ مِن الأُمّةِ قد حصَل مع سَلامةِ الخبرِ</w:t>
      </w:r>
      <w:r>
        <w:rPr>
          <w:rFonts w:eastAsia="Amiri" w:cs="Amiri" w:ascii="Amiri" w:hAnsi="Amiri"/>
          <w:color w:val="111111"/>
          <w:sz w:val="28"/>
          <w:szCs w:val="28"/>
          <w:rtl w:val="true"/>
          <w:lang w:bidi="ar-SA"/>
        </w:rPr>
        <w:t xml:space="preserve">. </w:t>
      </w:r>
      <w:bookmarkStart w:id="60" w:name="pg20015_284775"/>
    </w:p>
    <w:p>
      <w:pPr>
        <w:pStyle w:val="Heading5"/>
        <w:numPr>
          <w:ilvl w:val="4"/>
          <w:numId w:val="1"/>
        </w:numPr>
        <w:rPr/>
      </w:pPr>
      <w:bookmarkStart w:id="61" w:name="__RefHeading___Toc894761_2320776876"/>
      <w:bookmarkStart w:id="62" w:name="_Toc22"/>
      <w:bookmarkEnd w:id="60"/>
      <w:bookmarkEnd w:id="61"/>
      <w:r>
        <w:rPr>
          <w:rtl w:val="true"/>
        </w:rPr>
        <w:t>الحجّة السادسة خبر</w:t>
      </w:r>
      <w:r>
        <w:rPr>
          <w:rtl w:val="true"/>
        </w:rPr>
        <w:t>: «</w:t>
      </w:r>
      <w:r>
        <w:rPr>
          <w:rtl w:val="true"/>
        </w:rPr>
        <w:t>مَن سرّه أن يسكن بحبوحة الجنّة</w:t>
      </w:r>
      <w:r>
        <w:rPr>
          <w:rtl w:val="true"/>
        </w:rPr>
        <w:t>...»</w:t>
      </w:r>
      <w:bookmarkEnd w:id="62"/>
    </w:p>
    <w:p>
      <w:pPr>
        <w:pStyle w:val="BookText"/>
        <w:rPr/>
      </w:pPr>
      <w:r>
        <w:rPr>
          <w:rFonts w:ascii="Amiri" w:hAnsi="Amiri" w:eastAsia="Amiri" w:cs="Amiri"/>
          <w:color w:val="111111"/>
          <w:sz w:val="28"/>
          <w:sz w:val="28"/>
          <w:szCs w:val="28"/>
          <w:rtl w:val="true"/>
          <w:lang w:bidi="ar-SA"/>
        </w:rPr>
        <w:t>فأمّا ما رَواه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يَسكُنَ بُحبوحةَ الجَنّةِ فليَكُنْ مع الجَماعةِ‌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w:t>
      </w:r>
      <w:r>
        <w:rPr>
          <w:rStyle w:val="FootnoteAnchor"/>
          <w:rtl w:val="true"/>
        </w:rPr>
        <w:footnoteReference w:id="406"/>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إلىٰ غَيرِ ذلكَ مِن الأقوالِ المُرغِّبةِ في لُزومِ الجَماعةِ و تَركِ الخُروجِ عنها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يَبعُدُ التعلُّقُ به في نُصرةِ الإجماعِ‌؛ لأنّ لَفظةَ‌</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لَيسَ يَتَناوَلُ‌</w:t>
      </w:r>
      <w:r>
        <w:rPr>
          <w:rStyle w:val="FootnoteAnchor"/>
          <w:rtl w:val="true"/>
        </w:rPr>
        <w:footnoteReference w:id="409"/>
      </w:r>
      <w:r>
        <w:rPr>
          <w:rFonts w:ascii="Amiri" w:hAnsi="Amiri" w:eastAsia="Amiri" w:cs="Amiri"/>
          <w:color w:val="111111"/>
          <w:sz w:val="28"/>
          <w:sz w:val="28"/>
          <w:szCs w:val="28"/>
          <w:rtl w:val="true"/>
          <w:lang w:bidi="ar-SA"/>
        </w:rPr>
        <w:t>بظاهرِها جميعَ الأُمّةِ‌، و لا فيها دَلالةٌ علىٰ تخصيصِ جَماعةٍ معيَّنةٍ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مَذاهبِ خُصومِنا أنّ الألِفَ و اللامَ إمّا أن يَدخُلا لتعريفٍ أو استغراقٍ‌</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الاستغراقُ هاهُنا مُحالٌ‌؛ لأنّ في الجَماعاتِ‌</w:t>
      </w:r>
      <w:r>
        <w:rPr>
          <w:rStyle w:val="FootnoteAnchor"/>
          <w:rtl w:val="true"/>
        </w:rPr>
        <w:footnoteReference w:id="411"/>
      </w:r>
      <w:r>
        <w:rPr>
          <w:rFonts w:ascii="Amiri" w:hAnsi="Amiri" w:eastAsia="Amiri" w:cs="Amiri"/>
          <w:color w:val="111111"/>
          <w:sz w:val="28"/>
          <w:sz w:val="28"/>
          <w:szCs w:val="28"/>
          <w:rtl w:val="true"/>
          <w:lang w:bidi="ar-SA"/>
        </w:rPr>
        <w:t>مَن لا شُبهةَ في قُبحِ الحَثِّ علَى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مفقودٌ في هذا المَوضِعِ‌؛ لأنّا ما نَعرِفُ جَماعةً يَجِبُ‌</w:t>
      </w:r>
      <w:r>
        <w:rPr>
          <w:rStyle w:val="FootnoteAnchor"/>
          <w:rtl w:val="true"/>
        </w:rPr>
        <w:footnoteReference w:id="412"/>
      </w:r>
      <w:r>
        <w:rPr>
          <w:rFonts w:ascii="Amiri" w:hAnsi="Amiri" w:eastAsia="Amiri" w:cs="Amiri"/>
          <w:color w:val="111111"/>
          <w:sz w:val="28"/>
          <w:sz w:val="28"/>
          <w:szCs w:val="28"/>
          <w:rtl w:val="true"/>
          <w:lang w:bidi="ar-SA"/>
        </w:rPr>
        <w:t>تَناوُلُ هذه اللفظةِ‌</w:t>
      </w:r>
      <w:r>
        <w:rPr>
          <w:rStyle w:val="FootnoteAnchor"/>
          <w:rtl w:val="true"/>
        </w:rPr>
        <w:footnoteReference w:id="413"/>
      </w:r>
      <w:r>
        <w:rPr>
          <w:rFonts w:ascii="Amiri" w:hAnsi="Amiri" w:eastAsia="Amiri" w:cs="Amiri"/>
          <w:color w:val="111111"/>
          <w:sz w:val="28"/>
          <w:sz w:val="28"/>
          <w:szCs w:val="28"/>
          <w:rtl w:val="true"/>
          <w:lang w:bidi="ar-SA"/>
        </w:rPr>
        <w:t>لَهُم علىٰ مَذاهبِ‌</w:t>
      </w:r>
      <w:r>
        <w:rPr>
          <w:rStyle w:val="FootnoteAnchor"/>
          <w:rtl w:val="true"/>
        </w:rPr>
        <w:footnoteReference w:id="414"/>
      </w:r>
      <w:r>
        <w:rPr>
          <w:rFonts w:ascii="Amiri" w:hAnsi="Amiri" w:eastAsia="Amiri" w:cs="Amiri"/>
          <w:color w:val="111111"/>
          <w:sz w:val="28"/>
          <w:sz w:val="28"/>
          <w:szCs w:val="28"/>
          <w:rtl w:val="true"/>
          <w:lang w:bidi="ar-SA"/>
        </w:rPr>
        <w:t>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مِنهم جَماعةً معيَّنةً تَختَصُّ‌</w:t>
      </w:r>
      <w:r>
        <w:rPr>
          <w:rStyle w:val="FootnoteAnchor"/>
          <w:rtl w:val="true"/>
        </w:rPr>
        <w:footnoteReference w:id="415"/>
      </w:r>
      <w:r>
        <w:rPr>
          <w:rFonts w:ascii="Amiri" w:hAnsi="Amiri" w:eastAsia="Amiri" w:cs="Amiri"/>
          <w:color w:val="111111"/>
          <w:sz w:val="28"/>
          <w:sz w:val="28"/>
          <w:szCs w:val="28"/>
          <w:rtl w:val="true"/>
          <w:lang w:bidi="ar-SA"/>
        </w:rPr>
        <w:t xml:space="preserve">بهذه اللفظةِ ، كمَن ادَّعىٰ غَيرَ تلكَ الجَماعةِ </w:t>
      </w:r>
      <w:r>
        <w:rPr>
          <w:rFonts w:eastAsia="Amiri" w:cs="Amiri" w:ascii="Amiri" w:hAnsi="Amiri"/>
          <w:color w:val="111111"/>
          <w:sz w:val="28"/>
          <w:szCs w:val="28"/>
          <w:rtl w:val="true"/>
          <w:lang w:bidi="ar-SA"/>
        </w:rPr>
        <w:t>.</w:t>
      </w:r>
      <w:r>
        <w:rPr>
          <w:rStyle w:val="FootnoteAnchor"/>
          <w:rtl w:val="true"/>
        </w:rPr>
        <w:footnoteReference w:id="416"/>
      </w:r>
      <w:bookmarkStart w:id="63" w:name="pg20015_284777"/>
    </w:p>
    <w:p>
      <w:pPr>
        <w:pStyle w:val="Heading5"/>
        <w:numPr>
          <w:ilvl w:val="4"/>
          <w:numId w:val="1"/>
        </w:numPr>
        <w:rPr/>
      </w:pPr>
      <w:bookmarkStart w:id="64" w:name="__RefHeading___Toc894763_2320776876"/>
      <w:bookmarkStart w:id="65" w:name="_Toc23"/>
      <w:bookmarkEnd w:id="63"/>
      <w:bookmarkEnd w:id="64"/>
      <w:r>
        <w:rPr>
          <w:rtl w:val="true"/>
        </w:rPr>
        <w:t>الحجّة السابعة سيرة الصحابة و التابعين</w:t>
      </w:r>
      <w:bookmarkEnd w:id="65"/>
    </w:p>
    <w:p>
      <w:pPr>
        <w:pStyle w:val="Heading6"/>
        <w:numPr>
          <w:ilvl w:val="5"/>
          <w:numId w:val="1"/>
        </w:numPr>
        <w:rPr/>
      </w:pPr>
      <w:bookmarkStart w:id="66" w:name="__RefHeading___Toc894765_2320776876"/>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فأمّا ادّعاؤه</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الاستدلالِ بالخبرِ الذي ذَكرناه</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العِلمِ بتَداوُلِ</w:t>
      </w:r>
    </w:p>
    <w:p>
      <w:pPr>
        <w:pStyle w:val="BookText"/>
        <w:rPr/>
      </w:pPr>
      <w:r>
        <w:rPr>
          <w:rFonts w:ascii="Amiri" w:hAnsi="Amiri" w:eastAsia="Amiri" w:cs="Amiri"/>
          <w:color w:val="111111"/>
          <w:sz w:val="28"/>
          <w:sz w:val="28"/>
          <w:szCs w:val="28"/>
          <w:rtl w:val="true"/>
          <w:lang w:bidi="ar-SA"/>
        </w:rPr>
        <w:t>الصَّحابةِ و التابعينَ لِذلكَ ، و اعتمادِهم علَى الإجماعِ ، و أنّه مِمّا لا يُحتاجُ إلىٰ تتبُّعِ الألفاظِ فيه</w:t>
      </w:r>
      <w:r>
        <w:rPr>
          <w:rStyle w:val="FootnoteAnchor"/>
          <w:rtl w:val="true"/>
        </w:rPr>
        <w:footnoteReference w:id="419"/>
      </w:r>
      <w:r>
        <w:rPr>
          <w:rFonts w:ascii="Amiri" w:hAnsi="Amiri" w:eastAsia="Amiri" w:cs="Amiri"/>
          <w:color w:val="111111"/>
          <w:sz w:val="28"/>
          <w:sz w:val="28"/>
          <w:szCs w:val="28"/>
          <w:rtl w:val="true"/>
          <w:lang w:bidi="ar-SA"/>
        </w:rPr>
        <w:t xml:space="preserve">، كما لا يُحتاجُ إلىٰ تتبُّعِ الألفاظِ في مِثلِه مِن الأُمورِ الظاهرةِ كأُصولِ الصلَواتِ و كثيرٍ مِن الفرائضِ </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94767_2320776876"/>
      <w:bookmarkStart w:id="69" w:name="_Toc25"/>
      <w:bookmarkEnd w:id="68"/>
      <w:r>
        <w:rPr>
          <w:rtl w:val="true"/>
        </w:rPr>
        <w:t>نفي أن يكون جميع الصحابة قد اعتمدوا على الإجماعِ و خبرِه</w:t>
      </w:r>
      <w:bookmarkEnd w:id="69"/>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نَدَّعيهِ متعارَفاً ظاهراً</w:t>
      </w:r>
      <w:r>
        <w:rPr>
          <w:rStyle w:val="FootnoteAnchor"/>
          <w:rtl w:val="true"/>
        </w:rPr>
        <w:footnoteReference w:id="420"/>
      </w:r>
      <w:r>
        <w:rPr>
          <w:rFonts w:ascii="Amiri" w:hAnsi="Amiri" w:eastAsia="Amiri" w:cs="Amiri"/>
          <w:color w:val="111111"/>
          <w:sz w:val="28"/>
          <w:sz w:val="28"/>
          <w:szCs w:val="28"/>
          <w:rtl w:val="true"/>
          <w:lang w:bidi="ar-SA"/>
        </w:rPr>
        <w:t xml:space="preserve">في هذا البابِ بَينَ الصحابةِ </w:t>
      </w:r>
      <w:r>
        <w:rPr>
          <w:rStyle w:val="FootnoteAnchor"/>
          <w:rtl w:val="true"/>
        </w:rPr>
        <w:footnoteReference w:id="421"/>
      </w:r>
      <w:r>
        <w:rPr>
          <w:rFonts w:ascii="Amiri" w:hAnsi="Amiri" w:eastAsia="Amiri" w:cs="Amiri"/>
          <w:color w:val="111111"/>
          <w:sz w:val="28"/>
          <w:sz w:val="28"/>
          <w:szCs w:val="28"/>
          <w:rtl w:val="true"/>
          <w:lang w:bidi="ar-SA"/>
        </w:rPr>
        <w:t xml:space="preserve">إجماعُ </w:t>
      </w:r>
    </w:p>
    <w:p>
      <w:pPr>
        <w:pStyle w:val="BookText"/>
        <w:rPr/>
      </w:pPr>
      <w:r>
        <w:rPr>
          <w:rFonts w:ascii="Amiri" w:hAnsi="Amiri" w:eastAsia="Amiri" w:cs="Amiri"/>
          <w:color w:val="111111"/>
          <w:sz w:val="28"/>
          <w:sz w:val="28"/>
          <w:szCs w:val="28"/>
          <w:rtl w:val="true"/>
          <w:lang w:bidi="ar-SA"/>
        </w:rPr>
        <w:t xml:space="preserve">الأُمّةِ </w:t>
      </w:r>
      <w:r>
        <w:rPr>
          <w:rStyle w:val="FootnoteAnchor"/>
          <w:rtl w:val="true"/>
        </w:rPr>
        <w:footnoteReference w:id="422"/>
      </w:r>
      <w:r>
        <w:rPr>
          <w:rFonts w:ascii="Amiri" w:hAnsi="Amiri" w:eastAsia="Amiri" w:cs="Amiri"/>
          <w:color w:val="111111"/>
          <w:sz w:val="28"/>
          <w:sz w:val="28"/>
          <w:szCs w:val="28"/>
          <w:rtl w:val="true"/>
          <w:lang w:bidi="ar-SA"/>
        </w:rPr>
        <w:t xml:space="preserve">، و أنّه لا يَكونُ خطأً و لا ضَلالاً؛ فهذا المعنىٰ منقولٌ معمولٌ به، و الاحتجاجُ </w:t>
      </w:r>
      <w:r>
        <w:rPr>
          <w:rStyle w:val="FootnoteAnchor"/>
          <w:rtl w:val="true"/>
        </w:rPr>
        <w:footnoteReference w:id="423"/>
      </w:r>
      <w:r>
        <w:rPr>
          <w:rFonts w:ascii="Amiri" w:hAnsi="Amiri" w:eastAsia="Amiri" w:cs="Amiri"/>
          <w:color w:val="111111"/>
          <w:sz w:val="28"/>
          <w:sz w:val="28"/>
          <w:szCs w:val="28"/>
          <w:rtl w:val="true"/>
          <w:lang w:bidi="ar-SA"/>
        </w:rPr>
        <w:t>به يقعُ دونَ اللفظِ</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فمِمّا</w:t>
      </w:r>
      <w:r>
        <w:rPr>
          <w:rStyle w:val="FootnoteAnchor"/>
          <w:rtl w:val="true"/>
        </w:rPr>
        <w:footnoteReference w:id="425"/>
      </w:r>
      <w:r>
        <w:rPr>
          <w:rFonts w:ascii="Amiri" w:hAnsi="Amiri" w:eastAsia="Amiri" w:cs="Amiri"/>
          <w:color w:val="111111"/>
          <w:sz w:val="28"/>
          <w:sz w:val="28"/>
          <w:szCs w:val="28"/>
          <w:rtl w:val="true"/>
          <w:lang w:bidi="ar-SA"/>
        </w:rPr>
        <w:t>لَم يَزِدْ فيه علَى الدَّعوىٰ‌؛ لأنّا لا نَعلَمُ‌</w:t>
      </w:r>
      <w:r>
        <w:rPr>
          <w:rStyle w:val="FootnoteAnchor"/>
          <w:rtl w:val="true"/>
        </w:rPr>
        <w:footnoteReference w:id="426"/>
      </w:r>
      <w:r>
        <w:rPr>
          <w:rFonts w:ascii="Amiri" w:hAnsi="Amiri" w:eastAsia="Amiri" w:cs="Amiri"/>
          <w:color w:val="111111"/>
          <w:sz w:val="28"/>
          <w:sz w:val="28"/>
          <w:szCs w:val="28"/>
          <w:rtl w:val="true"/>
          <w:lang w:bidi="ar-SA"/>
        </w:rPr>
        <w:t>مِن حالِ الصحابةِ ما ذَكرَه، و لا نَقطَعُ علىٰ أنّ جميعَهم كانَ يَحتَجُّ بالإجماعِ علَى الوجهِ الذي يَذهَبُ إليه صاحبُ الكتابِ و أهلُ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ادَّعاه في تَمسُّكِ الصَّحابةِ بالإجماعِ و احتجاجِهم به جارياً مَجرىٰ أُصولِ الصلَواتِ و الظاهرِ مِن الفرائضِ‌، لَوَجَبَ أن يَكونَ المخالِفُ في الإجماعِ و المُنكِرُ لتمسُّكِ الصحابةِ به و عملِهم عليه كالمُخالِفِ في أُصولِ الصلَواتِ و ما أشبَهَها، و الدافِعِ لظهورِ العملِ بها في الصدرِ الأوّلِ‌، و قد عَلِمنا فَرقَ‌</w:t>
      </w:r>
      <w:r>
        <w:rPr>
          <w:rStyle w:val="FootnoteAnchor"/>
          <w:rtl w:val="true"/>
        </w:rPr>
        <w:footnoteReference w:id="427"/>
      </w:r>
      <w:r>
        <w:rPr>
          <w:rFonts w:ascii="Amiri" w:hAnsi="Amiri" w:eastAsia="Amiri" w:cs="Amiri"/>
          <w:color w:val="111111"/>
          <w:sz w:val="28"/>
          <w:sz w:val="28"/>
          <w:szCs w:val="28"/>
          <w:rtl w:val="true"/>
          <w:lang w:bidi="ar-SA"/>
        </w:rPr>
        <w:t>ما بَينَ المخالِفِ في المسألتَينِ‌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w:t>
      </w:r>
      <w:r>
        <w:rPr>
          <w:rStyle w:val="FootnoteAnchor"/>
          <w:rtl w:val="true"/>
        </w:rPr>
        <w:footnoteReference w:id="428"/>
      </w:r>
      <w:r>
        <w:rPr>
          <w:rFonts w:ascii="Amiri" w:hAnsi="Amiri" w:eastAsia="Amiri" w:cs="Amiri"/>
          <w:color w:val="111111"/>
          <w:sz w:val="28"/>
          <w:sz w:val="28"/>
          <w:szCs w:val="28"/>
          <w:rtl w:val="true"/>
          <w:lang w:bidi="ar-SA"/>
        </w:rPr>
        <w:t>يُدَّعىٰ في هذا المَوضعِ العِلمُ الشاملُ للكُلِّ‌، و نحنُ نَعلَمُ كَثرةَ مَن يُخالِفُ في</w:t>
      </w:r>
      <w:r>
        <w:rPr>
          <w:rStyle w:val="FootnoteAnchor"/>
          <w:rtl w:val="true"/>
        </w:rPr>
        <w:footnoteReference w:id="429"/>
      </w:r>
      <w:r>
        <w:rPr>
          <w:rFonts w:ascii="Amiri" w:hAnsi="Amiri" w:eastAsia="Amiri" w:cs="Amiri"/>
          <w:color w:val="111111"/>
          <w:sz w:val="28"/>
          <w:sz w:val="28"/>
          <w:szCs w:val="28"/>
          <w:rtl w:val="true"/>
          <w:lang w:bidi="ar-SA"/>
        </w:rPr>
        <w:t>الإجماعِ‌، كالشيعةِ علَى اختلافِ مَذاهبِها، و النظّامِ‌</w:t>
      </w:r>
      <w:r>
        <w:rPr>
          <w:rStyle w:val="FootnoteAnchor"/>
          <w:rtl w:val="true"/>
        </w:rPr>
        <w:footnoteReference w:id="430"/>
      </w:r>
      <w:r>
        <w:rPr>
          <w:rFonts w:ascii="Amiri" w:hAnsi="Amiri" w:eastAsia="Amiri" w:cs="Amiri"/>
          <w:color w:val="111111"/>
          <w:sz w:val="28"/>
          <w:sz w:val="28"/>
          <w:szCs w:val="28"/>
          <w:rtl w:val="true"/>
          <w:lang w:bidi="ar-SA"/>
        </w:rPr>
        <w:t>و أصحابِه ممّن لا يَجوزُ عليه دفعُ الضروراتِ‌؛ لتديُّنِه بمَذهبِه، و تقرُّبِه إلَى اللّٰهِ عَزَّ و جَلَّ‌</w:t>
      </w:r>
      <w:r>
        <w:rPr>
          <w:rStyle w:val="FootnoteAnchor"/>
          <w:rtl w:val="true"/>
        </w:rPr>
        <w:footnoteReference w:id="431"/>
      </w:r>
      <w:r>
        <w:rPr>
          <w:rFonts w:ascii="Amiri" w:hAnsi="Amiri" w:eastAsia="Amiri" w:cs="Amiri"/>
          <w:color w:val="111111"/>
          <w:sz w:val="28"/>
          <w:sz w:val="28"/>
          <w:szCs w:val="28"/>
          <w:rtl w:val="true"/>
          <w:lang w:bidi="ar-SA"/>
        </w:rPr>
        <w:t>باعتقادِه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ظَنَّه مِن رُجوعِنا في إيجابِ أُصولِ الصلَواتِ و ما ماثَلَها إلىٰ ما نَعلَمُه مِن عملِ جميعِ الأُمّةِ بها، و أنّ ما عَلِمناه</w:t>
      </w:r>
      <w:r>
        <w:rPr>
          <w:rStyle w:val="FootnoteAnchor"/>
          <w:rtl w:val="true"/>
        </w:rPr>
        <w:footnoteReference w:id="432"/>
      </w:r>
      <w:r>
        <w:rPr>
          <w:rFonts w:ascii="Amiri" w:hAnsi="Amiri" w:eastAsia="Amiri" w:cs="Amiri"/>
          <w:color w:val="111111"/>
          <w:sz w:val="28"/>
          <w:sz w:val="28"/>
          <w:szCs w:val="28"/>
          <w:rtl w:val="true"/>
          <w:lang w:bidi="ar-SA"/>
        </w:rPr>
        <w:t>مِن ذلكَ يُغني عن نقلِ‌</w:t>
      </w:r>
      <w:r>
        <w:rPr>
          <w:rStyle w:val="FootnoteAnchor"/>
          <w:rtl w:val="true"/>
        </w:rPr>
        <w:footnoteReference w:id="433"/>
      </w:r>
      <w:r>
        <w:rPr>
          <w:rFonts w:ascii="Amiri" w:hAnsi="Amiri" w:eastAsia="Amiri" w:cs="Amiri"/>
          <w:color w:val="111111"/>
          <w:sz w:val="28"/>
          <w:sz w:val="28"/>
          <w:szCs w:val="28"/>
          <w:rtl w:val="true"/>
          <w:lang w:bidi="ar-SA"/>
        </w:rPr>
        <w:t>لفظٍ مخصوصٍ‌، فظاهرُ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سلَف أنّ الرجوعَ في هذه العباداتِ و إيجابِها إلىٰ ما هو أقوىٰ مِن نَقلِ الألفاظِ المخصوصةِ‌؛ لأنّ جميعَ المسلمينَ و غَيرِ المسلمينَ يَنقُلونَ عن أسلافِهم أنّهم خبَّروا عن أسلافِهم حتّىٰ يتَّصِلَ النَّقلُ بزَمانِ الرسولِ صلّى اللّٰهُ عليه و آلِه و سلّم أنّه أَوجَب هذه العِباداتِ‌، و أنّهم اضطُرّوا مِن قَصدِه إلىٰ إيجابِها، و عَلِموا أمرَ</w:t>
      </w:r>
      <w:r>
        <w:rPr>
          <w:rStyle w:val="FootnoteAnchor"/>
          <w:rtl w:val="true"/>
        </w:rPr>
        <w:footnoteReference w:id="434"/>
      </w:r>
      <w:r>
        <w:rPr>
          <w:rFonts w:ascii="Amiri" w:hAnsi="Amiri" w:eastAsia="Amiri" w:cs="Amiri"/>
          <w:color w:val="111111"/>
          <w:sz w:val="28"/>
          <w:sz w:val="28"/>
          <w:szCs w:val="28"/>
          <w:rtl w:val="true"/>
          <w:lang w:bidi="ar-SA"/>
        </w:rPr>
        <w:t>دينِه ذلكَ كما عَلِموا سائرَ ما هو ظاهرٌ مِن أحوالِه، و لا فَقرَ بنا في العِلمِ بما ذَكرناه إلىٰ نَقلِ لفظٍ مخصوصٍ بصيغةٍ معيّنةٍ‌، كما لا فَقرَ بنا إلىٰ ذلك في نَقلِ وجودِ النبيِّ صَلَّى اللّٰهُ عليه و آلِه و دُعائه إلىٰ نفسِه، و تَحَدّيهِ بالقُرآنِ‌، إلىٰ غَيرِ ما عدَّدناه</w:t>
      </w:r>
      <w:r>
        <w:rPr>
          <w:rStyle w:val="FootnoteAnchor"/>
          <w:rtl w:val="true"/>
        </w:rPr>
        <w:footnoteReference w:id="435"/>
      </w:r>
      <w:r>
        <w:rPr>
          <w:rFonts w:ascii="Amiri" w:hAnsi="Amiri" w:eastAsia="Amiri" w:cs="Amiri"/>
          <w:color w:val="111111"/>
          <w:sz w:val="28"/>
          <w:sz w:val="28"/>
          <w:szCs w:val="28"/>
          <w:rtl w:val="true"/>
          <w:lang w:bidi="ar-SA"/>
        </w:rPr>
        <w:t>مِن الأحوالِ الظاهرةِ‌، و إنّما نَحتاجُ‌</w:t>
      </w:r>
      <w:r>
        <w:rPr>
          <w:rStyle w:val="FootnoteAnchor"/>
          <w:rtl w:val="true"/>
        </w:rPr>
        <w:footnoteReference w:id="436"/>
      </w:r>
      <w:r>
        <w:rPr>
          <w:rFonts w:ascii="Amiri" w:hAnsi="Amiri" w:eastAsia="Amiri" w:cs="Amiri"/>
          <w:color w:val="111111"/>
          <w:sz w:val="28"/>
          <w:sz w:val="28"/>
          <w:szCs w:val="28"/>
          <w:rtl w:val="true"/>
          <w:lang w:bidi="ar-SA"/>
        </w:rPr>
        <w:t xml:space="preserve">إلىٰ تتبُّعِ الألفاظِ فيما لَم يبلُغْ هذه المنزلةَ في الظهورِ و يَشتَرِكِ </w:t>
      </w:r>
      <w:r>
        <w:rPr>
          <w:rStyle w:val="FootnoteAnchor"/>
          <w:rtl w:val="true"/>
        </w:rPr>
        <w:footnoteReference w:id="437"/>
      </w:r>
      <w:r>
        <w:rPr>
          <w:rFonts w:ascii="Amiri" w:hAnsi="Amiri" w:eastAsia="Amiri" w:cs="Amiri"/>
          <w:color w:val="111111"/>
          <w:sz w:val="28"/>
          <w:sz w:val="28"/>
          <w:szCs w:val="28"/>
          <w:rtl w:val="true"/>
          <w:lang w:bidi="ar-SA"/>
        </w:rPr>
        <w:t>الجميعُ في نَقلِه و العِلمِ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يُمكِنُ أن يُدَّعىٰ في اعتمادِ الصحابةِ علَى الإجماعِ و عملِهم به مِثلُ هذه الطريقةِ ؛ لِما ذَكرناه آنِفاً مِن وجودِ مَن يُخالِفُ فيما ادُّعيَ علَى الصحابةِ مِن اعتقادِ صحّةِ الإجماعِ ممّن لا يَجوزُ أن يَكونَ حالُه حالَ مَن خالَفَ في أمرِ الصَّلَواتِ ، و دَفَعَ ظهورَ العملِ بها بَينَ الصحابةِ </w:t>
      </w:r>
      <w:r>
        <w:rPr>
          <w:rFonts w:eastAsia="Amiri" w:cs="Amiri" w:ascii="Amiri" w:hAnsi="Amiri"/>
          <w:color w:val="111111"/>
          <w:sz w:val="28"/>
          <w:szCs w:val="28"/>
          <w:rtl w:val="true"/>
          <w:lang w:bidi="ar-SA"/>
        </w:rPr>
        <w:t xml:space="preserve">. </w:t>
      </w:r>
      <w:bookmarkStart w:id="70" w:name="pg20015_284780"/>
    </w:p>
    <w:p>
      <w:pPr>
        <w:pStyle w:val="BookText"/>
        <w:rPr/>
      </w:pPr>
      <w:bookmarkEnd w:id="70"/>
      <w:r>
        <w:rPr>
          <w:rFonts w:ascii="Amiri" w:hAnsi="Amiri" w:eastAsia="Amiri" w:cs="Amiri"/>
          <w:color w:val="111111"/>
          <w:sz w:val="28"/>
          <w:sz w:val="28"/>
          <w:szCs w:val="28"/>
          <w:rtl w:val="true"/>
          <w:lang w:bidi="ar-SA"/>
        </w:rPr>
        <w:t xml:space="preserve">و بَعدُ، فلَيسَ يُدفَعُ </w:t>
      </w:r>
      <w:r>
        <w:rPr>
          <w:rStyle w:val="FootnoteAnchor"/>
          <w:rtl w:val="true"/>
        </w:rPr>
        <w:footnoteReference w:id="438"/>
      </w:r>
      <w:r>
        <w:rPr>
          <w:rFonts w:ascii="Amiri" w:hAnsi="Amiri" w:eastAsia="Amiri" w:cs="Amiri"/>
          <w:color w:val="111111"/>
          <w:sz w:val="28"/>
          <w:sz w:val="28"/>
          <w:szCs w:val="28"/>
          <w:rtl w:val="true"/>
          <w:lang w:bidi="ar-SA"/>
        </w:rPr>
        <w:t>في بعضِهم أنّه كانَ يُنكِرُ الخروجَ عن الجماعةِ و مفارَقتَها</w:t>
      </w:r>
    </w:p>
    <w:p>
      <w:pPr>
        <w:pStyle w:val="BookText"/>
        <w:rPr/>
      </w:pPr>
      <w:r>
        <w:rPr>
          <w:rFonts w:ascii="Amiri" w:hAnsi="Amiri" w:eastAsia="Amiri" w:cs="Amiri"/>
          <w:color w:val="111111"/>
          <w:sz w:val="28"/>
          <w:sz w:val="28"/>
          <w:szCs w:val="28"/>
          <w:rtl w:val="true"/>
          <w:lang w:bidi="ar-SA"/>
        </w:rPr>
        <w:t>في الاعتقادِ، و أكثرُ ما نَعلَمُ مِن حالِهم في بابِ الإجماعِ هذا الذي ذَكرناه، و لَيسَ فيه دَلالةٌ علَى اعتقادِهم كونَ الإجماعِ حُجّةً و أنّ مَن خالَفَه ضالٌّ ، و غَيرُ مُمتَنِعٍ أن يَكونَ إنكارُهم علىٰ مَن فارَقَ الجماعةَ مِن حَيثُ اعتَقَدوا مِن جهةِ الدليلِ كَونَها علَى الحقِّ ، لا مِن جهةِ الإجماعِ ، كما يَعتَقِدُ الواحدُ منهم ضَلالَ مَن خالَفَه في مَذهبِه مِن حَيثُ اعتَقَدَ أنّ الدليلَ معه و في يَدِه</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94769_2320776876"/>
      <w:bookmarkStart w:id="72" w:name="_Toc26"/>
      <w:bookmarkEnd w:id="71"/>
      <w:r>
        <w:rPr>
          <w:rtl w:val="true"/>
        </w:rPr>
        <w:t>بطلان الفرق الذي ذكره صاحب الكتاب بين أخبار الإجماع و أخبار العبادات</w:t>
      </w:r>
      <w:bookmarkEnd w:id="7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ما ذَكرتُموه في أخبارِ الإجماعِ </w:t>
      </w:r>
      <w:r>
        <w:rPr>
          <w:rStyle w:val="FootnoteAnchor"/>
          <w:rtl w:val="true"/>
        </w:rPr>
        <w:footnoteReference w:id="439"/>
      </w:r>
      <w:r>
        <w:rPr>
          <w:rFonts w:ascii="Amiri" w:hAnsi="Amiri" w:eastAsia="Amiri" w:cs="Amiri"/>
          <w:color w:val="111111"/>
          <w:sz w:val="28"/>
          <w:sz w:val="28"/>
          <w:szCs w:val="28"/>
          <w:rtl w:val="true"/>
          <w:lang w:bidi="ar-SA"/>
        </w:rPr>
        <w:t>فجَوِّزوا في كثيرٍ مِن التواتُرِ الآنَ أن يَصيرَ مِن بَعدُ آحاداً، و تجويزُ ذلكَ يؤَدّي إلىٰ أن لا تأمَنوا</w:t>
      </w:r>
      <w:r>
        <w:rPr>
          <w:rStyle w:val="FootnoteAnchor"/>
          <w:rtl w:val="true"/>
        </w:rPr>
        <w:footnoteReference w:id="440"/>
      </w:r>
      <w:r>
        <w:rPr>
          <w:rFonts w:ascii="Amiri" w:hAnsi="Amiri" w:eastAsia="Amiri" w:cs="Amiri"/>
          <w:color w:val="111111"/>
          <w:sz w:val="28"/>
          <w:sz w:val="28"/>
          <w:szCs w:val="28"/>
          <w:rtl w:val="true"/>
          <w:lang w:bidi="ar-SA"/>
        </w:rPr>
        <w:t xml:space="preserve">في أُصولِ الشرائعِ مِثلَ ذلكَ </w:t>
      </w:r>
      <w:r>
        <w:rPr>
          <w:rStyle w:val="FootnoteAnchor"/>
          <w:rtl w:val="true"/>
        </w:rPr>
        <w:footnoteReference w:id="441"/>
      </w:r>
      <w:r>
        <w:rPr>
          <w:rFonts w:ascii="Amiri" w:hAnsi="Amiri" w:eastAsia="Amiri" w:cs="Amiri"/>
          <w:color w:val="111111"/>
          <w:sz w:val="28"/>
          <w:sz w:val="28"/>
          <w:szCs w:val="28"/>
          <w:rtl w:val="true"/>
          <w:lang w:bidi="ar-SA"/>
        </w:rPr>
        <w:t xml:space="preserve">، بَل في القرآنِ أن يَصيرَ كذلكَ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w:t>
      </w:r>
      <w:r>
        <w:rPr>
          <w:rStyle w:val="FootnoteAnchor"/>
          <w:rtl w:val="true"/>
        </w:rPr>
        <w:footnoteReference w:id="442"/>
      </w:r>
      <w:r>
        <w:rPr>
          <w:rFonts w:ascii="Amiri" w:hAnsi="Amiri" w:eastAsia="Amiri" w:cs="Amiri"/>
          <w:color w:val="111111"/>
          <w:sz w:val="28"/>
          <w:sz w:val="28"/>
          <w:szCs w:val="28"/>
          <w:rtl w:val="true"/>
          <w:lang w:bidi="ar-SA"/>
        </w:rPr>
        <w:t xml:space="preserve">قد أمِنّا تجويزَ ذلكَ لوجوهٍ مِن الاشتهارِ نَعلَمُها تَتَزايَدُ علَى الأيّامِ </w:t>
      </w:r>
      <w:r>
        <w:rPr>
          <w:rStyle w:val="FootnoteAnchor"/>
          <w:rtl w:val="true"/>
        </w:rPr>
        <w:footnoteReference w:id="443"/>
      </w:r>
      <w:r>
        <w:rPr>
          <w:rFonts w:ascii="Amiri" w:hAnsi="Amiri" w:eastAsia="Amiri" w:cs="Amiri"/>
          <w:color w:val="111111"/>
          <w:sz w:val="28"/>
          <w:sz w:val="28"/>
          <w:szCs w:val="28"/>
          <w:rtl w:val="true"/>
          <w:lang w:bidi="ar-SA"/>
        </w:rPr>
        <w:t xml:space="preserve">و لا تَتَناقَصُ </w:t>
      </w:r>
      <w:r>
        <w:rPr>
          <w:rStyle w:val="FootnoteAnchor"/>
          <w:rtl w:val="true"/>
        </w:rPr>
        <w:footnoteReference w:id="444"/>
      </w:r>
      <w:r>
        <w:rPr>
          <w:rFonts w:ascii="Amiri" w:hAnsi="Amiri" w:eastAsia="Amiri" w:cs="Amiri"/>
          <w:color w:val="111111"/>
          <w:sz w:val="28"/>
          <w:sz w:val="28"/>
          <w:szCs w:val="28"/>
          <w:rtl w:val="true"/>
          <w:lang w:bidi="ar-SA"/>
        </w:rPr>
        <w:t xml:space="preserve">، تُفارِقُ </w:t>
      </w:r>
      <w:r>
        <w:rPr>
          <w:rStyle w:val="FootnoteAnchor"/>
          <w:rtl w:val="true"/>
        </w:rPr>
        <w:footnoteReference w:id="445"/>
      </w:r>
      <w:r>
        <w:rPr>
          <w:rFonts w:ascii="Amiri" w:hAnsi="Amiri" w:eastAsia="Amiri" w:cs="Amiri"/>
          <w:color w:val="111111"/>
          <w:sz w:val="28"/>
          <w:sz w:val="28"/>
          <w:szCs w:val="28"/>
          <w:rtl w:val="true"/>
          <w:lang w:bidi="ar-SA"/>
        </w:rPr>
        <w:t xml:space="preserve">حالُها في ذلكَ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الإجماعِ في </w:t>
      </w:r>
    </w:p>
    <w:p>
      <w:pPr>
        <w:pStyle w:val="BookText"/>
        <w:rPr/>
      </w:pPr>
      <w:r>
        <w:rPr>
          <w:rFonts w:ascii="Amiri" w:hAnsi="Amiri" w:eastAsia="Amiri" w:cs="Amiri"/>
          <w:color w:val="111111"/>
          <w:sz w:val="28"/>
          <w:sz w:val="28"/>
          <w:szCs w:val="28"/>
          <w:rtl w:val="true"/>
          <w:lang w:bidi="ar-SA"/>
        </w:rPr>
        <w:t>الزمَنِ الأوّلِ ؛ لأنّها لَم تَبلُغْ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بُدَّ لكُلِّ أحَدٍ</w:t>
      </w:r>
      <w:r>
        <w:rPr>
          <w:rStyle w:val="FootnoteAnchor"/>
          <w:rtl w:val="true"/>
        </w:rPr>
        <w:footnoteReference w:id="447"/>
      </w:r>
      <w:r>
        <w:rPr>
          <w:rFonts w:ascii="Amiri" w:hAnsi="Amiri" w:eastAsia="Amiri" w:cs="Amiri"/>
          <w:color w:val="111111"/>
          <w:sz w:val="28"/>
          <w:sz w:val="28"/>
          <w:szCs w:val="28"/>
          <w:rtl w:val="true"/>
          <w:lang w:bidi="ar-SA"/>
        </w:rPr>
        <w:t>أن يُجيبَ بمِثلِه إذا سُئلَ عن كثيرٍ مِن أخبارِ الآحادِ في</w:t>
      </w:r>
      <w:r>
        <w:rPr>
          <w:rStyle w:val="FootnoteAnchor"/>
          <w:rtl w:val="true"/>
        </w:rPr>
        <w:footnoteReference w:id="448"/>
      </w:r>
      <w:r>
        <w:rPr>
          <w:rFonts w:ascii="Amiri" w:hAnsi="Amiri" w:eastAsia="Amiri" w:cs="Amiri"/>
          <w:color w:val="111111"/>
          <w:sz w:val="28"/>
          <w:sz w:val="28"/>
          <w:szCs w:val="28"/>
          <w:rtl w:val="true"/>
          <w:lang w:bidi="ar-SA"/>
        </w:rPr>
        <w:t xml:space="preserve">الزكَواتِ ممّا صَحَّ </w:t>
      </w:r>
      <w:r>
        <w:rPr>
          <w:rStyle w:val="FootnoteAnchor"/>
          <w:rtl w:val="true"/>
        </w:rPr>
        <w:footnoteReference w:id="449"/>
      </w:r>
      <w:r>
        <w:rPr>
          <w:rFonts w:ascii="Amiri" w:hAnsi="Amiri" w:eastAsia="Amiri" w:cs="Amiri"/>
          <w:color w:val="111111"/>
          <w:sz w:val="28"/>
          <w:sz w:val="28"/>
          <w:szCs w:val="28"/>
          <w:rtl w:val="true"/>
          <w:lang w:bidi="ar-SA"/>
        </w:rPr>
        <w:t xml:space="preserve">أنّ الحُجّةَ قامَت به و هو مِن بابِ الآحادِ في هذا الوَقتِ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فغَيرُ مُقنِعٍ في الفَرقِ بَينَ الأمرَينِ ؛ لأنّه لَم يَزِدْ علىٰ أنِ ادَّعىٰ أنّ خبرَ الإجماعِ لَم يَبلُغْ في الأصلِ في بابِ الشُّهرةِ مَبلَغَ الأخبارِ التي عورِضَ بها، و هذا مِن أينَ له ؟ و كيف عَلِمَ </w:t>
      </w:r>
      <w:r>
        <w:rPr>
          <w:rStyle w:val="FootnoteAnchor"/>
          <w:rtl w:val="true"/>
        </w:rPr>
        <w:footnoteReference w:id="451"/>
      </w:r>
      <w:r>
        <w:rPr>
          <w:rFonts w:ascii="Amiri" w:hAnsi="Amiri" w:eastAsia="Amiri" w:cs="Amiri"/>
          <w:color w:val="111111"/>
          <w:sz w:val="28"/>
          <w:sz w:val="28"/>
          <w:szCs w:val="28"/>
          <w:rtl w:val="true"/>
          <w:lang w:bidi="ar-SA"/>
        </w:rPr>
        <w:t>أنّ أخبارَ الإجماعِ لَم تَبلُغْ في الظهورِ إلىٰ حدِّ أخبارِ الصلَواتِ؟</w:t>
      </w:r>
    </w:p>
    <w:p>
      <w:pPr>
        <w:pStyle w:val="BookText"/>
        <w:rPr/>
      </w:pPr>
      <w:r>
        <w:rPr>
          <w:rFonts w:ascii="Amiri" w:hAnsi="Amiri" w:eastAsia="Amiri" w:cs="Amiri"/>
          <w:color w:val="111111"/>
          <w:sz w:val="28"/>
          <w:sz w:val="28"/>
          <w:szCs w:val="28"/>
          <w:rtl w:val="true"/>
          <w:lang w:bidi="ar-SA"/>
        </w:rPr>
        <w:t>و بَعدُ، فلَيسَ يُخرِجُه ما ذَكَرَه من</w:t>
      </w:r>
      <w:r>
        <w:rPr>
          <w:rStyle w:val="FootnoteAnchor"/>
          <w:rtl w:val="true"/>
        </w:rPr>
        <w:footnoteReference w:id="452"/>
      </w:r>
      <w:r>
        <w:rPr>
          <w:rFonts w:ascii="Amiri" w:hAnsi="Amiri" w:eastAsia="Amiri" w:cs="Amiri"/>
          <w:color w:val="111111"/>
          <w:sz w:val="28"/>
          <w:sz w:val="28"/>
          <w:szCs w:val="28"/>
          <w:rtl w:val="true"/>
          <w:lang w:bidi="ar-SA"/>
        </w:rPr>
        <w:t>المُناقَضةِ‌؛ لأنّه اعتَلَّ‌</w:t>
      </w:r>
      <w:r>
        <w:rPr>
          <w:rStyle w:val="FootnoteAnchor"/>
          <w:rtl w:val="true"/>
        </w:rPr>
        <w:footnoteReference w:id="453"/>
      </w:r>
      <w:r>
        <w:rPr>
          <w:rFonts w:ascii="Amiri" w:hAnsi="Amiri" w:eastAsia="Amiri" w:cs="Amiri"/>
          <w:color w:val="111111"/>
          <w:sz w:val="28"/>
          <w:sz w:val="28"/>
          <w:szCs w:val="28"/>
          <w:rtl w:val="true"/>
          <w:lang w:bidi="ar-SA"/>
        </w:rPr>
        <w:t>في جَوازِ كَونِ أخبارِ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مِن بابِ الآحادِ بَعدَ أن كانَت مِن بابِ التواتُرِ، بأنّ الإجماعَ إذا حصَل مِن الصحابةِ عليها، و ظهَر العملُ بَينَهم بها</w:t>
      </w:r>
      <w:r>
        <w:rPr>
          <w:rStyle w:val="FootnoteAnchor"/>
          <w:rtl w:val="true"/>
        </w:rPr>
        <w:footnoteReference w:id="454"/>
      </w:r>
      <w:r>
        <w:rPr>
          <w:rFonts w:ascii="Amiri" w:hAnsi="Amiri" w:eastAsia="Amiri" w:cs="Amiri"/>
          <w:color w:val="111111"/>
          <w:sz w:val="28"/>
          <w:sz w:val="28"/>
          <w:szCs w:val="28"/>
          <w:rtl w:val="true"/>
          <w:lang w:bidi="ar-SA"/>
        </w:rPr>
        <w:t>، قامَ هذا مَقامَ التواتُرِ، و كانَ آكَدَ في معنَى الحُجّةِ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أنّ أخبارَ الصلَواتِ و كثيرٍ مِن العباداتِ يَجري هذا المَجرىٰ في</w:t>
      </w:r>
      <w:r>
        <w:rPr>
          <w:rStyle w:val="FootnoteAnchor"/>
          <w:rtl w:val="true"/>
        </w:rPr>
        <w:footnoteReference w:id="455"/>
      </w:r>
      <w:r>
        <w:rPr>
          <w:rFonts w:ascii="Amiri" w:hAnsi="Amiri" w:eastAsia="Amiri" w:cs="Amiri"/>
          <w:color w:val="111111"/>
          <w:sz w:val="28"/>
          <w:sz w:val="28"/>
          <w:szCs w:val="28"/>
          <w:rtl w:val="true"/>
          <w:lang w:bidi="ar-SA"/>
        </w:rPr>
        <w:t>أنّ حُصولَ الإجماعِ عليها و العملِ بها أغنىٰ‌</w:t>
      </w:r>
      <w:r>
        <w:rPr>
          <w:rStyle w:val="FootnoteAnchor"/>
          <w:rtl w:val="true"/>
        </w:rPr>
        <w:footnoteReference w:id="456"/>
      </w:r>
      <w:r>
        <w:rPr>
          <w:rFonts w:ascii="Amiri" w:hAnsi="Amiri" w:eastAsia="Amiri" w:cs="Amiri"/>
          <w:color w:val="111111"/>
          <w:sz w:val="28"/>
          <w:sz w:val="28"/>
          <w:szCs w:val="28"/>
          <w:rtl w:val="true"/>
          <w:lang w:bidi="ar-SA"/>
        </w:rPr>
        <w:t>عن التواترِ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العِلّةُ قائمةٌ في جميعِ أُصولِ الشَّرائعِ‌</w:t>
      </w:r>
      <w:r>
        <w:rPr>
          <w:rStyle w:val="FootnoteAnchor"/>
          <w:rtl w:val="true"/>
        </w:rPr>
        <w:footnoteReference w:id="457"/>
      </w:r>
      <w:r>
        <w:rPr>
          <w:rFonts w:ascii="Amiri" w:hAnsi="Amiri" w:eastAsia="Amiri" w:cs="Amiri"/>
          <w:color w:val="111111"/>
          <w:sz w:val="28"/>
          <w:sz w:val="28"/>
          <w:szCs w:val="28"/>
          <w:rtl w:val="true"/>
          <w:lang w:bidi="ar-SA"/>
        </w:rPr>
        <w:t>و في القرآنِ نفسِه؛ فما المانعُ مِن أن يَصيرَ نَقلُ كُلِّ‌</w:t>
      </w:r>
      <w:r>
        <w:rPr>
          <w:rStyle w:val="FootnoteAnchor"/>
          <w:rtl w:val="true"/>
        </w:rPr>
        <w:footnoteReference w:id="458"/>
      </w:r>
      <w:r>
        <w:rPr>
          <w:rFonts w:ascii="Amiri" w:hAnsi="Amiri" w:eastAsia="Amiri" w:cs="Amiri"/>
          <w:color w:val="111111"/>
          <w:sz w:val="28"/>
          <w:sz w:val="28"/>
          <w:szCs w:val="28"/>
          <w:rtl w:val="true"/>
          <w:lang w:bidi="ar-SA"/>
        </w:rPr>
        <w:t xml:space="preserve">ذلكَ </w:t>
      </w:r>
      <w:bookmarkStart w:id="73" w:name="pg20015_284782"/>
    </w:p>
    <w:p>
      <w:pPr>
        <w:pStyle w:val="BookText"/>
        <w:rPr/>
      </w:pPr>
      <w:bookmarkEnd w:id="73"/>
      <w:r>
        <w:rPr>
          <w:rFonts w:ascii="Amiri" w:hAnsi="Amiri" w:eastAsia="Amiri" w:cs="Amiri"/>
          <w:color w:val="111111"/>
          <w:sz w:val="28"/>
          <w:sz w:val="28"/>
          <w:szCs w:val="28"/>
          <w:rtl w:val="true"/>
          <w:lang w:bidi="ar-SA"/>
        </w:rPr>
        <w:t>مِن</w:t>
      </w:r>
      <w:r>
        <w:rPr>
          <w:rStyle w:val="FootnoteAnchor"/>
          <w:rtl w:val="true"/>
        </w:rPr>
        <w:footnoteReference w:id="459"/>
      </w:r>
      <w:r>
        <w:rPr>
          <w:rFonts w:ascii="Amiri" w:hAnsi="Amiri" w:eastAsia="Amiri" w:cs="Amiri"/>
          <w:color w:val="111111"/>
          <w:sz w:val="28"/>
          <w:sz w:val="28"/>
          <w:szCs w:val="28"/>
          <w:rtl w:val="true"/>
          <w:lang w:bidi="ar-SA"/>
        </w:rPr>
        <w:t>طريقِ الآحادِ بَعدَ أن كانَ متواتِراً، و يَكونَ الإجماعُ و ظهورُ العملِ به مِن الصحابةِ مُغنيَينِ عن غَيرِهما في معنَى الحُجّةِ؟</w:t>
      </w:r>
    </w:p>
    <w:p>
      <w:pPr>
        <w:pStyle w:val="BookText"/>
        <w:rPr/>
      </w:pPr>
      <w:r>
        <w:rPr>
          <w:rFonts w:ascii="Amiri" w:hAnsi="Amiri" w:eastAsia="Amiri" w:cs="Amiri"/>
          <w:color w:val="111111"/>
          <w:sz w:val="28"/>
          <w:sz w:val="28"/>
          <w:szCs w:val="28"/>
          <w:rtl w:val="true"/>
          <w:lang w:bidi="ar-SA"/>
        </w:rPr>
        <w:t>و لَيسَ يَفرُقُ بَينَ الأمرَينِ أنّ أحَدَهما تَمادَت</w:t>
      </w:r>
      <w:r>
        <w:rPr>
          <w:rStyle w:val="FootnoteAnchor"/>
          <w:rtl w:val="true"/>
        </w:rPr>
        <w:footnoteReference w:id="460"/>
      </w:r>
      <w:r>
        <w:rPr>
          <w:rFonts w:ascii="Amiri" w:hAnsi="Amiri" w:eastAsia="Amiri" w:cs="Amiri"/>
          <w:color w:val="111111"/>
          <w:sz w:val="28"/>
          <w:sz w:val="28"/>
          <w:szCs w:val="28"/>
          <w:rtl w:val="true"/>
          <w:lang w:bidi="ar-SA"/>
        </w:rPr>
        <w:t>بنَقلِه الأزمانُ ، و نُقِلَ مِن طريقِ التواتُرِ علىٰ مَرِّ الأيّامِ ، أو ظهَر في الأصلِ ظُهوراً لَم يَكُن لغَيرِه؛ لأنّ جميعَ ذلكَ تخصيصٌ للعِلّةِ ، و تَلافٍ للفارِطِ</w:t>
      </w:r>
      <w:r>
        <w:rPr>
          <w:rStyle w:val="FootnoteAnchor"/>
          <w:rtl w:val="true"/>
        </w:rPr>
        <w:footnoteReference w:id="461"/>
      </w:r>
      <w:r>
        <w:rPr>
          <w:rFonts w:ascii="Amiri" w:hAnsi="Amiri" w:eastAsia="Amiri" w:cs="Amiri"/>
          <w:color w:val="111111"/>
          <w:sz w:val="28"/>
          <w:sz w:val="28"/>
          <w:szCs w:val="28"/>
          <w:rtl w:val="true"/>
          <w:lang w:bidi="ar-SA"/>
        </w:rPr>
        <w:t>في</w:t>
      </w:r>
      <w:r>
        <w:rPr>
          <w:rStyle w:val="FootnoteAnchor"/>
          <w:rtl w:val="true"/>
        </w:rPr>
        <w:footnoteReference w:id="462"/>
      </w:r>
      <w:r>
        <w:rPr>
          <w:rFonts w:ascii="Amiri" w:hAnsi="Amiri" w:eastAsia="Amiri" w:cs="Amiri"/>
          <w:color w:val="111111"/>
          <w:sz w:val="28"/>
          <w:sz w:val="28"/>
          <w:szCs w:val="28"/>
          <w:rtl w:val="true"/>
          <w:lang w:bidi="ar-SA"/>
        </w:rPr>
        <w:t xml:space="preserve">إطلاقِ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لكُلِّ أحَدٍ أن يُجيبَ بمِثلِ جَوابِنا إذا سُئلَ عن كَذا و كَذا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فقَد بيّنّا أنّ الجَوابَ الصحيحَ غَيرُ جوابِه، و أوضَحنا القَولَ في جهةِ حُصولِ العِلمِ بأُصولِ الصلَوات و الزكَواتِ و ما أشبَهَهما مِن العباداتِ بما يُستغنىٰ عن ذِكرِه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894771_2320776876"/>
      <w:bookmarkStart w:id="75" w:name="_Toc27"/>
      <w:bookmarkEnd w:id="74"/>
      <w:r>
        <w:rPr>
          <w:rtl w:val="true"/>
        </w:rPr>
        <w:t xml:space="preserve">شدّة الحاجة إلى الإجماعِ </w:t>
      </w:r>
      <w:r>
        <w:rPr>
          <w:rtl w:val="true"/>
        </w:rPr>
        <w:t xml:space="preserve">- </w:t>
      </w:r>
      <w:r>
        <w:rPr>
          <w:rtl w:val="true"/>
        </w:rPr>
        <w:t xml:space="preserve">عند المخالفين </w:t>
      </w:r>
      <w:r>
        <w:rPr>
          <w:rtl w:val="true"/>
        </w:rPr>
        <w:t xml:space="preserve">- </w:t>
      </w:r>
      <w:r>
        <w:rPr>
          <w:rtl w:val="true"/>
        </w:rPr>
        <w:t>و إلىٰ معرفةِ العبادات</w:t>
      </w:r>
      <w:bookmarkEnd w:id="7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أنّ الداعيَ إلىٰ نَقلِ القُرآنِ إن لَم يَقوَ علَى الأيّامِ لَم يَضعُفْ ؛ و ذلكَ لِشدّةِ </w:t>
      </w:r>
      <w:r>
        <w:rPr>
          <w:rStyle w:val="FootnoteAnchor"/>
          <w:rtl w:val="true"/>
        </w:rPr>
        <w:footnoteReference w:id="465"/>
      </w:r>
      <w:r>
        <w:rPr>
          <w:rFonts w:ascii="Amiri" w:hAnsi="Amiri" w:eastAsia="Amiri" w:cs="Amiri"/>
          <w:color w:val="111111"/>
          <w:sz w:val="28"/>
          <w:sz w:val="28"/>
          <w:szCs w:val="28"/>
          <w:rtl w:val="true"/>
          <w:lang w:bidi="ar-SA"/>
        </w:rPr>
        <w:t>الحاجةِ مِن جهةِ الدِّينِ إليه، و كذلك القَولُ في أُصولِ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أن يَضعُفَ نَقلُه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و لا يَجوزُ ذلكَ مِن جهةٍ أُخرىٰ ؛ </w:t>
      </w:r>
    </w:p>
    <w:p>
      <w:pPr>
        <w:pStyle w:val="BookText"/>
        <w:rPr/>
      </w:pPr>
      <w:r>
        <w:rPr>
          <w:rFonts w:ascii="Amiri" w:hAnsi="Amiri" w:eastAsia="Amiri" w:cs="Amiri"/>
          <w:color w:val="111111"/>
          <w:sz w:val="28"/>
          <w:sz w:val="28"/>
          <w:szCs w:val="28"/>
          <w:rtl w:val="true"/>
          <w:lang w:bidi="ar-SA"/>
        </w:rPr>
        <w:t>لأنّ نَقلَ المُعجِزِ لا بُدَّ مِن أن يَكونَ اضطراراً؛</w:t>
      </w:r>
      <w:r>
        <w:rPr>
          <w:rStyle w:val="FootnoteAnchor"/>
          <w:rtl w:val="true"/>
        </w:rPr>
        <w:footnoteReference w:id="467"/>
      </w:r>
      <w:r>
        <w:rPr>
          <w:rFonts w:ascii="Amiri" w:hAnsi="Amiri" w:eastAsia="Amiri" w:cs="Amiri"/>
          <w:color w:val="111111"/>
          <w:sz w:val="28"/>
          <w:sz w:val="28"/>
          <w:szCs w:val="28"/>
          <w:rtl w:val="true"/>
          <w:lang w:bidi="ar-SA"/>
        </w:rPr>
        <w:t>لتُعلَمَ به نُبوّتُه</w:t>
      </w:r>
      <w:r>
        <w:rPr>
          <w:rStyle w:val="FootnoteAnchor"/>
          <w:rtl w:val="true"/>
        </w:rPr>
        <w:footnoteReference w:id="468"/>
      </w:r>
      <w:r>
        <w:rPr>
          <w:rFonts w:ascii="Amiri" w:hAnsi="Amiri" w:eastAsia="Amiri" w:cs="Amiri"/>
          <w:color w:val="111111"/>
          <w:sz w:val="28"/>
          <w:sz w:val="28"/>
          <w:szCs w:val="28"/>
          <w:rtl w:val="true"/>
          <w:lang w:bidi="ar-SA"/>
        </w:rPr>
        <w:t>صَلَّى اللّٰهُ عليه و آلِه و سَلَّمَ‌،</w:t>
      </w:r>
      <w:r>
        <w:rPr>
          <w:rStyle w:val="FootnoteAnchor"/>
          <w:rtl w:val="true"/>
        </w:rPr>
        <w:footnoteReference w:id="469"/>
      </w:r>
      <w:r>
        <w:rPr>
          <w:rFonts w:ascii="Amiri" w:hAnsi="Amiri" w:eastAsia="Amiri" w:cs="Amiri"/>
          <w:color w:val="111111"/>
          <w:sz w:val="28"/>
          <w:sz w:val="28"/>
          <w:szCs w:val="28"/>
          <w:rtl w:val="true"/>
          <w:lang w:bidi="ar-SA"/>
        </w:rPr>
        <w:t>و لا يَجوزُ أن لا تُزاحَ‌</w:t>
      </w:r>
      <w:r>
        <w:rPr>
          <w:rStyle w:val="FootnoteAnchor"/>
          <w:rtl w:val="true"/>
        </w:rPr>
        <w:footnoteReference w:id="470"/>
      </w:r>
      <w:r>
        <w:rPr>
          <w:rFonts w:ascii="Amiri" w:hAnsi="Amiri" w:eastAsia="Amiri" w:cs="Amiri"/>
          <w:color w:val="111111"/>
          <w:sz w:val="28"/>
          <w:sz w:val="28"/>
          <w:szCs w:val="28"/>
          <w:rtl w:val="true"/>
          <w:lang w:bidi="ar-SA"/>
        </w:rPr>
        <w:t>عِلّةُ المكلَّفينَ فيه أبداً، و كذلك القَولُ في أُصولِ الدِّينِ ، و الطريقةُ في نَقلِ الجميعِ إذا تَساوَت لَم يَجُزِ اختلافُ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ما جَوَّزناه في خبرِ الإجماعِ ؛ لأنّ الطريقةَ فيه مُخالِفةٌ لِما ذَكرناه في القُرآنِ ، فغَيرُ مُمتَنِعٍ أن تَكونَ </w:t>
      </w:r>
      <w:r>
        <w:rPr>
          <w:rStyle w:val="FootnoteAnchor"/>
          <w:rtl w:val="true"/>
        </w:rPr>
        <w:footnoteReference w:id="471"/>
      </w:r>
      <w:r>
        <w:rPr>
          <w:rFonts w:ascii="Amiri" w:hAnsi="Amiri" w:eastAsia="Amiri" w:cs="Amiri"/>
          <w:color w:val="111111"/>
          <w:sz w:val="28"/>
          <w:sz w:val="28"/>
          <w:szCs w:val="28"/>
          <w:rtl w:val="true"/>
          <w:lang w:bidi="ar-SA"/>
        </w:rPr>
        <w:t>الحُجّةُ في الأخبارِ المرويّةِ فيه قائمةً أوّلاً بالتواتُرِ، ثُمّ تَصيرَ الحُجّةُ فيها مِن الوجهِ الآخَرِ</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فالعِلّةُ‌</w:t>
      </w:r>
      <w:r>
        <w:rPr>
          <w:rStyle w:val="FootnoteAnchor"/>
          <w:rtl w:val="true"/>
        </w:rPr>
        <w:footnoteReference w:id="473"/>
      </w:r>
      <w:r>
        <w:rPr>
          <w:rFonts w:ascii="Amiri" w:hAnsi="Amiri" w:eastAsia="Amiri" w:cs="Amiri"/>
          <w:color w:val="111111"/>
          <w:sz w:val="28"/>
          <w:sz w:val="28"/>
          <w:szCs w:val="28"/>
          <w:rtl w:val="true"/>
          <w:lang w:bidi="ar-SA"/>
        </w:rPr>
        <w:t>التي ذكَرها فيما أَباه</w:t>
      </w:r>
      <w:r>
        <w:rPr>
          <w:rStyle w:val="FootnoteAnchor"/>
          <w:rtl w:val="true"/>
        </w:rPr>
        <w:footnoteReference w:id="474"/>
      </w:r>
      <w:r>
        <w:rPr>
          <w:rFonts w:ascii="Amiri" w:hAnsi="Amiri" w:eastAsia="Amiri" w:cs="Amiri"/>
          <w:color w:val="111111"/>
          <w:sz w:val="28"/>
          <w:sz w:val="28"/>
          <w:szCs w:val="28"/>
          <w:rtl w:val="true"/>
          <w:lang w:bidi="ar-SA"/>
        </w:rPr>
        <w:t>قائمةٌ فيما التَزَمه؛ لأنّ الإجماعَ أيضاً مِن أُصولِ الدِّينِ الكِبارِ، و لَو شِئنا لَقُلنا إنّه كالأصلِ لِسائرِ</w:t>
      </w:r>
      <w:r>
        <w:rPr>
          <w:rStyle w:val="FootnoteAnchor"/>
          <w:rtl w:val="true"/>
        </w:rPr>
        <w:footnoteReference w:id="475"/>
      </w:r>
      <w:r>
        <w:rPr>
          <w:rFonts w:ascii="Amiri" w:hAnsi="Amiri" w:eastAsia="Amiri" w:cs="Amiri"/>
          <w:color w:val="111111"/>
          <w:sz w:val="28"/>
          <w:sz w:val="28"/>
          <w:szCs w:val="28"/>
          <w:rtl w:val="true"/>
          <w:lang w:bidi="ar-SA"/>
        </w:rPr>
        <w:t>الأُصولِ ؛ لأنّ عليه مَدارَ عملِ مُخالِفينا، و إليه يَفزَعونَ في سائرِ الدِّينِ أو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نَقلُ القُرآنِ و ما أشبَهَه مِن أُصولِ الدِّينِ يَجِبُ أن يَقوىٰ </w:t>
      </w:r>
      <w:r>
        <w:rPr>
          <w:rStyle w:val="FootnoteAnchor"/>
          <w:rtl w:val="true"/>
        </w:rPr>
        <w:footnoteReference w:id="476"/>
      </w:r>
      <w:r>
        <w:rPr>
          <w:rFonts w:ascii="Amiri" w:hAnsi="Amiri" w:eastAsia="Amiri" w:cs="Amiri"/>
          <w:color w:val="111111"/>
          <w:sz w:val="28"/>
          <w:sz w:val="28"/>
          <w:szCs w:val="28"/>
          <w:rtl w:val="true"/>
          <w:lang w:bidi="ar-SA"/>
        </w:rPr>
        <w:t xml:space="preserve">علَى الأيّامِ و لا يَضعُفَ ؛ لشِدّةِ الاحتياجِ مِن جهةِ </w:t>
      </w:r>
    </w:p>
    <w:p>
      <w:pPr>
        <w:pStyle w:val="BookText"/>
        <w:rPr/>
      </w:pPr>
      <w:r>
        <w:rPr>
          <w:rFonts w:ascii="Amiri" w:hAnsi="Amiri" w:eastAsia="Amiri" w:cs="Amiri"/>
          <w:color w:val="111111"/>
          <w:sz w:val="28"/>
          <w:sz w:val="28"/>
          <w:szCs w:val="28"/>
          <w:rtl w:val="true"/>
          <w:lang w:bidi="ar-SA"/>
        </w:rPr>
        <w:t xml:space="preserve">الدِّينِ إليه، فما تَمَسُّ </w:t>
      </w:r>
      <w:r>
        <w:rPr>
          <w:rStyle w:val="FootnoteAnchor"/>
          <w:rtl w:val="true"/>
        </w:rPr>
        <w:footnoteReference w:id="477"/>
      </w:r>
      <w:r>
        <w:rPr>
          <w:rFonts w:ascii="Amiri" w:hAnsi="Amiri" w:eastAsia="Amiri" w:cs="Amiri"/>
          <w:color w:val="111111"/>
          <w:sz w:val="28"/>
          <w:sz w:val="28"/>
          <w:szCs w:val="28"/>
          <w:rtl w:val="true"/>
          <w:lang w:bidi="ar-SA"/>
        </w:rPr>
        <w:t>الحاجةُ مِن جهةِ الدِّينِ إليه أيضاً و تَشتَدُّ</w:t>
      </w:r>
      <w:r>
        <w:rPr>
          <w:rStyle w:val="FootnoteAnchor"/>
          <w:rtl w:val="true"/>
        </w:rPr>
        <w:footnoteReference w:id="478"/>
      </w:r>
      <w:r>
        <w:rPr>
          <w:rFonts w:ascii="Amiri" w:hAnsi="Amiri" w:eastAsia="Amiri" w:cs="Amiri"/>
          <w:color w:val="111111"/>
          <w:sz w:val="28"/>
          <w:sz w:val="28"/>
          <w:szCs w:val="28"/>
          <w:rtl w:val="true"/>
          <w:lang w:bidi="ar-SA"/>
        </w:rPr>
        <w:t>يَجِبُ أن يَقوىٰ نَقلُه و لا يَضعُفَ ؛ فكَيفَ تَمَّ في أخبارِ الإجماعِ مع الحاجةِ الماسّةِ إليها ما تَمَّ مِن ضَعفِ نَقلِها و رُجوعِها إلَى الآحادِ بَعدَ التواتُرِ، و لَم يَجُز أن يَتِمَّ مِثلُ ذلكَ في غَيرِها؟ و هل تَعاطي الفَرقِ بَينَ الأمرَينِ إلّامَحضُ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صرَّحَ صاحبُ الكتابِ في جميعِ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حَكَينا مِنه بعضاً و تَرَكنا آخَرَ</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أخبارَ الصلَواتِ و الزكَواتِ و كثيرٍ مِن أُصولِ العِباداتِ انتقَلَ نَقلُها إلَى الآحادِ بَعدَ أن كانَ مُتَواتِراً؛ مِن حَيثُ أَغنَى الإجماعُ و ظهورُ العملِ عن نَقلِ الألفاظِ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رأَيناه يَمنَعُ في هذا المَوضعِ الذي قد انتَهَينا إليه مِن</w:t>
      </w:r>
    </w:p>
    <w:p>
      <w:pPr>
        <w:pStyle w:val="BookText"/>
        <w:rPr/>
      </w:pPr>
      <w:r>
        <w:rPr>
          <w:rFonts w:ascii="Amiri" w:hAnsi="Amiri" w:eastAsia="Amiri" w:cs="Amiri"/>
          <w:color w:val="111111"/>
          <w:sz w:val="28"/>
          <w:sz w:val="28"/>
          <w:szCs w:val="28"/>
          <w:rtl w:val="true"/>
          <w:lang w:bidi="ar-SA"/>
        </w:rPr>
        <w:t>أن يَتِمَّ في أُصولِ الدِّينِ مِثلُ ذلكَ‌، و يَعتَلُّ بأنّ شِدّةَ الحاجةِ مِن جهةِ الدِّينِ إلَى الأمرِ المنقولِ يَمنَعُ مِن ضَعفِ نَقلِه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أعجَبِ العَجَبِ‌</w:t>
      </w:r>
      <w:r>
        <w:rPr>
          <w:rStyle w:val="FootnoteAnchor"/>
          <w:rtl w:val="true"/>
        </w:rPr>
        <w:footnoteReference w:id="480"/>
      </w:r>
      <w:r>
        <w:rPr>
          <w:rFonts w:ascii="Amiri" w:hAnsi="Amiri" w:eastAsia="Amiri" w:cs="Amiri"/>
          <w:color w:val="111111"/>
          <w:sz w:val="28"/>
          <w:sz w:val="28"/>
          <w:szCs w:val="28"/>
          <w:rtl w:val="true"/>
          <w:lang w:bidi="ar-SA"/>
        </w:rPr>
        <w:t>لأنّا ما نَعرِفُ شَيئاً مِن أُصولِ الدِّينِ يَفوقُ‌</w:t>
      </w:r>
      <w:r>
        <w:rPr>
          <w:rStyle w:val="FootnoteAnchor"/>
          <w:rtl w:val="true"/>
        </w:rPr>
        <w:footnoteReference w:id="481"/>
      </w:r>
      <w:r>
        <w:rPr>
          <w:rFonts w:ascii="Amiri" w:hAnsi="Amiri" w:eastAsia="Amiri" w:cs="Amiri"/>
          <w:color w:val="111111"/>
          <w:sz w:val="28"/>
          <w:sz w:val="28"/>
          <w:szCs w:val="28"/>
          <w:rtl w:val="true"/>
          <w:lang w:bidi="ar-SA"/>
        </w:rPr>
        <w:t xml:space="preserve">في بابِ شِدّةِ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الصلَواتِ و الزكَواتِ التي أقَرَّ بأنّ نَقْلَها قد ضَعُفَ بَعدَ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صَرَّحَ بذِكرِ ما امتنَعَ مِن أن يَضعُفَ نَقلُه بَعدَ القُوّةِ مِن أُصولِ الدِّينِ لَظهَر لكُلِّ أحَدٍ تحكُّمُه؛ إذ</w:t>
      </w:r>
      <w:r>
        <w:rPr>
          <w:rStyle w:val="FootnoteAnchor"/>
          <w:rtl w:val="true"/>
        </w:rPr>
        <w:footnoteReference w:id="482"/>
      </w:r>
      <w:r>
        <w:rPr>
          <w:rFonts w:ascii="Amiri" w:hAnsi="Amiri" w:eastAsia="Amiri" w:cs="Amiri"/>
          <w:color w:val="111111"/>
          <w:sz w:val="28"/>
          <w:sz w:val="28"/>
          <w:szCs w:val="28"/>
          <w:rtl w:val="true"/>
          <w:lang w:bidi="ar-SA"/>
        </w:rPr>
        <w:t xml:space="preserve">جَمَعَ بَينَ ما التزَمَ جَوازَ ضَعفِ نَقلِه مِن الصلَواتِ و الزكَواتِ ، و بَينَ ما امتنَعَ مِن مِثلِ ذلكَ فيه؛ لكنّه أبهَمَ </w:t>
      </w:r>
      <w:r>
        <w:rPr>
          <w:rStyle w:val="FootnoteAnchor"/>
          <w:rtl w:val="true"/>
        </w:rPr>
        <w:footnoteReference w:id="483"/>
      </w:r>
      <w:r>
        <w:rPr>
          <w:rFonts w:ascii="Amiri" w:hAnsi="Amiri" w:eastAsia="Amiri" w:cs="Amiri"/>
          <w:color w:val="111111"/>
          <w:sz w:val="28"/>
          <w:sz w:val="28"/>
          <w:szCs w:val="28"/>
          <w:rtl w:val="true"/>
          <w:lang w:bidi="ar-SA"/>
        </w:rPr>
        <w:t>الكلامَ سَتراً علىٰ نفسِه</w:t>
      </w:r>
      <w:r>
        <w:rPr>
          <w:rFonts w:eastAsia="Amiri" w:cs="Amiri" w:ascii="Amiri" w:hAnsi="Amiri"/>
          <w:color w:val="111111"/>
          <w:sz w:val="28"/>
          <w:szCs w:val="28"/>
          <w:rtl w:val="true"/>
          <w:lang w:bidi="ar-SA"/>
        </w:rPr>
        <w:t xml:space="preserve">. </w:t>
      </w:r>
      <w:bookmarkStart w:id="76" w:name="pg20015_284785"/>
    </w:p>
    <w:p>
      <w:pPr>
        <w:pStyle w:val="Heading6"/>
        <w:numPr>
          <w:ilvl w:val="5"/>
          <w:numId w:val="1"/>
        </w:numPr>
        <w:rPr/>
      </w:pPr>
      <w:bookmarkStart w:id="77" w:name="__RefHeading___Toc894773_2320776876"/>
      <w:bookmarkStart w:id="78" w:name="_Toc28"/>
      <w:bookmarkEnd w:id="76"/>
      <w:bookmarkEnd w:id="77"/>
      <w:r>
        <w:rPr>
          <w:rtl w:val="true"/>
        </w:rPr>
        <w:t>عدم إخلال انقطاع نقل القرآن بكونه معجزاً</w:t>
      </w:r>
      <w:bookmarkEnd w:id="78"/>
    </w:p>
    <w:p>
      <w:pPr>
        <w:pStyle w:val="BookText"/>
        <w:rPr/>
      </w:pPr>
      <w:r>
        <w:rPr>
          <w:rFonts w:ascii="Amiri" w:hAnsi="Amiri" w:eastAsia="Amiri" w:cs="Amiri"/>
          <w:color w:val="111111"/>
          <w:sz w:val="28"/>
          <w:sz w:val="28"/>
          <w:szCs w:val="28"/>
          <w:rtl w:val="true"/>
          <w:lang w:bidi="ar-SA"/>
        </w:rPr>
        <w:t>فأمّا الجهةُ الأُخرىٰ التي ظَنَّ أنّ نَقلَ القُرآنِ لا يَضعُفُ مِن أجلِها، فشَبيهةٌ في الضَّعفِ‌</w:t>
      </w:r>
      <w:r>
        <w:rPr>
          <w:rStyle w:val="FootnoteAnchor"/>
          <w:rtl w:val="true"/>
        </w:rPr>
        <w:footnoteReference w:id="484"/>
      </w:r>
      <w:r>
        <w:rPr>
          <w:rFonts w:ascii="Amiri" w:hAnsi="Amiri" w:eastAsia="Amiri" w:cs="Amiri"/>
          <w:color w:val="111111"/>
          <w:sz w:val="28"/>
          <w:sz w:val="28"/>
          <w:szCs w:val="28"/>
          <w:rtl w:val="true"/>
          <w:lang w:bidi="ar-SA"/>
        </w:rPr>
        <w:t>و الفَسادِ بالأُولىٰ‌؛ لأنّ القُرآنَ لَو لَم يُنقَلْ علىٰ وجهِ الدَّهرِ، لَم يُخِلَّ ذلكَ بالعِلمِ بالنُّبوّةِ و كَونِه مُعجِزاً دالاًّ عليها؛ لأنّه إذا ظهَر في الأصلِ‌، و قامَت به الحُجّةُ‌، و نُقِلَ ما يَقتَضي قيامَ الحُجّةِ به مِن فَقدِ مُعارَضتِه</w:t>
      </w:r>
      <w:r>
        <w:rPr>
          <w:rStyle w:val="FootnoteAnchor"/>
          <w:rtl w:val="true"/>
        </w:rPr>
        <w:footnoteReference w:id="485"/>
      </w:r>
      <w:r>
        <w:rPr>
          <w:rFonts w:ascii="Amiri" w:hAnsi="Amiri" w:eastAsia="Amiri" w:cs="Amiri"/>
          <w:color w:val="111111"/>
          <w:sz w:val="28"/>
          <w:sz w:val="28"/>
          <w:szCs w:val="28"/>
          <w:rtl w:val="true"/>
          <w:lang w:bidi="ar-SA"/>
        </w:rPr>
        <w:t>، و التسليمِ له، فقَد وَجَبَت</w:t>
      </w:r>
      <w:r>
        <w:rPr>
          <w:rStyle w:val="FootnoteAnchor"/>
          <w:rtl w:val="true"/>
        </w:rPr>
        <w:footnoteReference w:id="486"/>
      </w:r>
      <w:r>
        <w:rPr>
          <w:rFonts w:ascii="Amiri" w:hAnsi="Amiri" w:eastAsia="Amiri" w:cs="Amiri"/>
          <w:color w:val="111111"/>
          <w:sz w:val="28"/>
          <w:sz w:val="28"/>
          <w:szCs w:val="28"/>
          <w:rtl w:val="true"/>
          <w:lang w:bidi="ar-SA"/>
        </w:rPr>
        <w:t>الحُجّةُ علىٰ سائرِ المكلَّفينَ الموجودينَ إلىٰ قيامِ الساعةِ بهذا القَدرِ و إن لَم يُنقَلْ‌</w:t>
      </w:r>
      <w:r>
        <w:rPr>
          <w:rStyle w:val="FootnoteAnchor"/>
          <w:rtl w:val="true"/>
        </w:rPr>
        <w:footnoteReference w:id="487"/>
      </w:r>
      <w:r>
        <w:rPr>
          <w:rFonts w:ascii="Amiri" w:hAnsi="Amiri" w:eastAsia="Amiri" w:cs="Amiri"/>
          <w:color w:val="111111"/>
          <w:sz w:val="28"/>
          <w:sz w:val="28"/>
          <w:szCs w:val="28"/>
          <w:rtl w:val="true"/>
          <w:lang w:bidi="ar-SA"/>
        </w:rPr>
        <w:t>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الإخلالُ بنَقلِ القُرآنِ مُخِلاًّ بالاستدلالِ علىٰ كَونِه مُعجِزاً و دالاًّ علَى النُّبوّةِ‌، لَكانَ هذا حُكمَ سائرِ المُعجِزاتِ التي وقعَت في زَمَنِ الرسولِ صَلَّى اللّٰهُ عليه و آلِه و لَم تَستَمِرَّ حالاً بَعدَ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في تِلكَ 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و إنْ لَم تَستَمِرَّ، فإنّ نَقْلَ كَونِها و وجودِها علَى الوجهِ الذي يَقتَضي خَرْقَ العادةِ بها كافٍ في إزاحةِ عِلّةِ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مِثلَ ذلكَ في القُرآنِ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ادُّعيَ وجوبُ نَقلِه لِما يَتضمَّنُه مِن الأحكامِ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488"/>
      </w:r>
      <w:r>
        <w:rPr>
          <w:rFonts w:ascii="Amiri" w:hAnsi="Amiri" w:eastAsia="Amiri" w:cs="Amiri"/>
          <w:color w:val="111111"/>
          <w:sz w:val="28"/>
          <w:sz w:val="28"/>
          <w:szCs w:val="28"/>
          <w:rtl w:val="true"/>
          <w:lang w:bidi="ar-SA"/>
        </w:rPr>
        <w:t>يَجوزُ أن يُغنيَ عن ذلكَ إجماعُ الأُمّةِ علىٰ تِلكَ الأحكامِ و ظهورُ العملِ مِنهم</w:t>
      </w:r>
      <w:r>
        <w:rPr>
          <w:rStyle w:val="FootnoteAnchor"/>
          <w:rtl w:val="true"/>
        </w:rPr>
        <w:footnoteReference w:id="489"/>
      </w:r>
      <w:r>
        <w:rPr>
          <w:rFonts w:ascii="Amiri" w:hAnsi="Amiri" w:eastAsia="Amiri" w:cs="Amiri"/>
          <w:color w:val="111111"/>
          <w:sz w:val="28"/>
          <w:sz w:val="28"/>
          <w:szCs w:val="28"/>
          <w:rtl w:val="true"/>
          <w:lang w:bidi="ar-SA"/>
        </w:rPr>
        <w:t>بها، كما أغنىٰ ما ذَكرناه مِن حالِهم عندَ صاحبِ الكتابِ عن نَقلِ أخبارِ الإجماعِ و أخبارِ الصلَواتِ و الزكَواتِ علَى الوجوهِ التي وَقَعَت في الأصلِ عليها،</w:t>
      </w:r>
      <w:r>
        <w:rPr>
          <w:rStyle w:val="FootnoteAnchor"/>
          <w:rtl w:val="true"/>
        </w:rPr>
        <w:footnoteReference w:id="490"/>
      </w:r>
      <w:r>
        <w:rPr>
          <w:rFonts w:ascii="Amiri" w:hAnsi="Amiri" w:eastAsia="Amiri" w:cs="Amiri"/>
          <w:color w:val="111111"/>
          <w:sz w:val="28"/>
          <w:sz w:val="28"/>
          <w:szCs w:val="28"/>
          <w:rtl w:val="true"/>
          <w:lang w:bidi="ar-SA"/>
        </w:rPr>
        <w:t xml:space="preserve">مِن الظُّهورِ و الانتشارِ و نَقلِ الجَماعاتِ </w:t>
      </w:r>
      <w:r>
        <w:rPr>
          <w:rFonts w:eastAsia="Amiri" w:cs="Amiri" w:ascii="Amiri" w:hAnsi="Amiri"/>
          <w:color w:val="111111"/>
          <w:sz w:val="28"/>
          <w:szCs w:val="28"/>
          <w:rtl w:val="true"/>
          <w:lang w:bidi="ar-SA"/>
        </w:rPr>
        <w:t xml:space="preserve">. </w:t>
      </w:r>
      <w:bookmarkStart w:id="79" w:name="pg20015_284786"/>
    </w:p>
    <w:p>
      <w:pPr>
        <w:pStyle w:val="Heading6"/>
        <w:numPr>
          <w:ilvl w:val="5"/>
          <w:numId w:val="1"/>
        </w:numPr>
        <w:rPr/>
      </w:pPr>
      <w:bookmarkStart w:id="80" w:name="__RefHeading___Toc894775_2320776876"/>
      <w:bookmarkStart w:id="81" w:name="_Toc29"/>
      <w:bookmarkEnd w:id="79"/>
      <w:bookmarkEnd w:id="80"/>
      <w:r>
        <w:rPr>
          <w:rtl w:val="true"/>
        </w:rPr>
        <w:t>مناقشة ما استدلّ به صاحب الكتاب علىٰ عمل الصحابة بالإجماع و غيره</w:t>
      </w:r>
      <w:bookmarkEnd w:id="81"/>
    </w:p>
    <w:p>
      <w:pPr>
        <w:pStyle w:val="Heading6"/>
        <w:numPr>
          <w:ilvl w:val="5"/>
          <w:numId w:val="1"/>
        </w:numPr>
        <w:rPr/>
      </w:pPr>
      <w:bookmarkStart w:id="82" w:name="__RefHeading___Toc894777_2320776876"/>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بُدَّ مِن إثباتِ ثَلاثةِ أُمورٍ ليَصِحَّ ما قدَّمناه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الخبرِ عنهم أنّهم عَمِلوا بموجَبِ‌</w:t>
      </w:r>
      <w:r>
        <w:rPr>
          <w:rStyle w:val="FootnoteAnchor"/>
          <w:rtl w:val="true"/>
        </w:rPr>
        <w:footnoteReference w:id="492"/>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تَمسَّكوا به لأجلِه</w:t>
      </w:r>
      <w:r>
        <w:rPr>
          <w:rStyle w:val="FootnoteAnchor"/>
          <w:rtl w:val="true"/>
        </w:rPr>
        <w:footnoteReference w:id="493"/>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عمَلَهم به علىٰ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تَمسُّكَهم به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يَدُلُّ علىٰ صِحّةِ الخبرِ، لا مِن جهةِ الإجماعِ‌، لكِنْ لأنّ ذلكَ طَريقةٌ‌</w:t>
      </w:r>
      <w:r>
        <w:rPr>
          <w:rStyle w:val="FootnoteAnchor"/>
          <w:rtl w:val="true"/>
        </w:rPr>
        <w:footnoteReference w:id="495"/>
      </w:r>
      <w:r>
        <w:rPr>
          <w:rFonts w:ascii="Amiri" w:hAnsi="Amiri" w:eastAsia="Amiri" w:cs="Amiri"/>
          <w:color w:val="111111"/>
          <w:sz w:val="28"/>
          <w:sz w:val="28"/>
          <w:szCs w:val="28"/>
          <w:rtl w:val="true"/>
          <w:lang w:bidi="ar-SA"/>
        </w:rPr>
        <w:t>في صِحّةِ‌</w:t>
      </w:r>
      <w:r>
        <w:rPr>
          <w:rStyle w:val="FootnoteAnchor"/>
          <w:rtl w:val="true"/>
        </w:rPr>
        <w:footnoteReference w:id="496"/>
      </w:r>
      <w:r>
        <w:rPr>
          <w:rFonts w:ascii="Amiri" w:hAnsi="Amiri" w:eastAsia="Amiri" w:cs="Amiri"/>
          <w:color w:val="111111"/>
          <w:sz w:val="28"/>
          <w:sz w:val="28"/>
          <w:szCs w:val="28"/>
          <w:rtl w:val="true"/>
          <w:lang w:bidi="ar-SA"/>
        </w:rPr>
        <w:t xml:space="preserve">الأخبارِ الواردةِ في أحكامِ الشريعةِ </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نَقلُ تَمسُّكِهم بالإجماعِ و ظُهورِ ذلكَ فيهم مع ذِكرِ هذه الأخبارِ فطريقُه التواتُرُ، و عِلمُنا</w:t>
      </w:r>
      <w:r>
        <w:rPr>
          <w:rStyle w:val="FootnoteAnchor"/>
          <w:rtl w:val="true"/>
        </w:rPr>
        <w:footnoteReference w:id="498"/>
      </w:r>
      <w:r>
        <w:rPr>
          <w:rFonts w:ascii="Amiri" w:hAnsi="Amiri" w:eastAsia="Amiri" w:cs="Amiri"/>
          <w:color w:val="111111"/>
          <w:sz w:val="28"/>
          <w:sz w:val="28"/>
          <w:szCs w:val="28"/>
          <w:rtl w:val="true"/>
          <w:lang w:bidi="ar-SA"/>
        </w:rPr>
        <w:t xml:space="preserve">بذلكَ مِن حالِ الصَّحابةِ كعِلمِنا بأنّهم تَمسَّكوا بالرجوعِ إلىٰ أخبارِ الآحادِ، بَل العِلمُ بذلكَ أقوىٰ </w:t>
      </w:r>
      <w:r>
        <w:rPr>
          <w:rStyle w:val="FootnoteAnchor"/>
          <w:rtl w:val="true"/>
        </w:rPr>
        <w:footnoteReference w:id="499"/>
      </w:r>
      <w:r>
        <w:rPr>
          <w:rFonts w:ascii="Amiri" w:hAnsi="Amiri" w:eastAsia="Amiri" w:cs="Amiri"/>
          <w:color w:val="111111"/>
          <w:sz w:val="28"/>
          <w:sz w:val="28"/>
          <w:szCs w:val="28"/>
          <w:rtl w:val="true"/>
          <w:lang w:bidi="ar-SA"/>
        </w:rPr>
        <w:t xml:space="preserve">، و الأمرُ ظاهرٌ عنهم </w:t>
      </w:r>
      <w:bookmarkStart w:id="84" w:name="pg20015_284787"/>
    </w:p>
    <w:p>
      <w:pPr>
        <w:pStyle w:val="BookText"/>
        <w:rPr/>
      </w:pPr>
      <w:bookmarkEnd w:id="84"/>
      <w:r>
        <w:rPr>
          <w:rFonts w:ascii="Amiri" w:hAnsi="Amiri" w:eastAsia="Amiri" w:cs="Amiri"/>
          <w:color w:val="111111"/>
          <w:sz w:val="28"/>
          <w:sz w:val="28"/>
          <w:szCs w:val="28"/>
          <w:rtl w:val="true"/>
          <w:lang w:bidi="ar-SA"/>
        </w:rPr>
        <w:t>أنّهم أَجرَوه</w:t>
      </w:r>
      <w:r>
        <w:rPr>
          <w:rStyle w:val="FootnoteAnchor"/>
          <w:rtl w:val="true"/>
        </w:rPr>
        <w:footnoteReference w:id="500"/>
      </w:r>
      <w:r>
        <w:rPr>
          <w:rFonts w:ascii="Amiri" w:hAnsi="Amiri" w:eastAsia="Amiri" w:cs="Amiri"/>
          <w:color w:val="111111"/>
          <w:sz w:val="28"/>
          <w:sz w:val="28"/>
          <w:szCs w:val="28"/>
          <w:rtl w:val="true"/>
          <w:lang w:bidi="ar-SA"/>
        </w:rPr>
        <w:t>مَجرَى القُرآنِ و السُّنّةِ ؛ لأنّ الاجتهادَ يَنقَطِعُ عندَه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فلا شَكَّ في</w:t>
      </w:r>
      <w:r>
        <w:rPr>
          <w:rStyle w:val="FootnoteAnchor"/>
          <w:rtl w:val="true"/>
        </w:rPr>
        <w:footnoteReference w:id="502"/>
      </w:r>
      <w:r>
        <w:rPr>
          <w:rFonts w:ascii="Amiri" w:hAnsi="Amiri" w:eastAsia="Amiri" w:cs="Amiri"/>
          <w:color w:val="111111"/>
          <w:sz w:val="28"/>
          <w:sz w:val="28"/>
          <w:szCs w:val="28"/>
          <w:rtl w:val="true"/>
          <w:lang w:bidi="ar-SA"/>
        </w:rPr>
        <w:t xml:space="preserve">أنّ ثُبوتَ ما ذَكرَه مِن الأقسامِ يُثبِتُ </w:t>
      </w:r>
      <w:r>
        <w:rPr>
          <w:rStyle w:val="FootnoteAnchor"/>
          <w:rtl w:val="true"/>
        </w:rPr>
        <w:footnoteReference w:id="503"/>
      </w:r>
      <w:r>
        <w:rPr>
          <w:rFonts w:ascii="Amiri" w:hAnsi="Amiri" w:eastAsia="Amiri" w:cs="Amiri"/>
          <w:color w:val="111111"/>
          <w:sz w:val="28"/>
          <w:sz w:val="28"/>
          <w:szCs w:val="28"/>
          <w:rtl w:val="true"/>
          <w:lang w:bidi="ar-SA"/>
        </w:rPr>
        <w:t>الاحتجاجَ بالخبرِ، و لكنْ دونَ ثُبوتِه خَرْطُ القَتادِ</w:t>
      </w:r>
      <w:r>
        <w:rPr>
          <w:rFonts w:eastAsia="Amiri" w:cs="Amiri" w:ascii="Amiri" w:hAnsi="Amiri"/>
          <w:color w:val="111111"/>
          <w:sz w:val="28"/>
          <w:szCs w:val="28"/>
          <w:rtl w:val="true"/>
          <w:lang w:bidi="ar-SA"/>
        </w:rPr>
        <w:t>!</w:t>
      </w:r>
      <w:r>
        <w:rPr>
          <w:rStyle w:val="FootnoteAnchor"/>
          <w:rtl w:val="true"/>
        </w:rPr>
        <w:footnoteReference w:id="504"/>
      </w:r>
    </w:p>
    <w:p>
      <w:pPr>
        <w:pStyle w:val="Heading6"/>
        <w:numPr>
          <w:ilvl w:val="5"/>
          <w:numId w:val="1"/>
        </w:numPr>
        <w:rPr/>
      </w:pPr>
      <w:bookmarkStart w:id="85" w:name="__RefHeading___Toc894779_2320776876"/>
      <w:bookmarkStart w:id="86" w:name="_Toc31"/>
      <w:bookmarkEnd w:id="85"/>
      <w:r>
        <w:rPr>
          <w:rtl w:val="true"/>
        </w:rPr>
        <w:t xml:space="preserve">مناقشة المقدّمة الأُولىٰ </w:t>
      </w:r>
      <w:r>
        <w:rPr>
          <w:rtl w:val="true"/>
        </w:rPr>
        <w:t xml:space="preserve">: </w:t>
      </w:r>
      <w:r>
        <w:rPr>
          <w:rtl w:val="true"/>
        </w:rPr>
        <w:t>عدم تمسّك الصحابة بالإجماع و خبره</w:t>
      </w:r>
      <w:bookmarkEnd w:id="86"/>
    </w:p>
    <w:p>
      <w:pPr>
        <w:pStyle w:val="Heading6"/>
        <w:numPr>
          <w:ilvl w:val="5"/>
          <w:numId w:val="1"/>
        </w:numPr>
        <w:rPr/>
      </w:pPr>
      <w:bookmarkStart w:id="87" w:name="__RefHeading___Toc894781_2320776876"/>
      <w:bookmarkStart w:id="88" w:name="_Toc32"/>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05"/>
      </w:r>
      <w:r>
        <w:rPr>
          <w:rFonts w:ascii="Amiri" w:hAnsi="Amiri" w:eastAsia="Amiri" w:cs="Amiri"/>
          <w:color w:val="111111"/>
          <w:sz w:val="28"/>
          <w:sz w:val="28"/>
          <w:szCs w:val="28"/>
          <w:rtl w:val="true"/>
          <w:lang w:bidi="ar-SA"/>
        </w:rPr>
        <w:t>أمّا القِسمُ الأوّلُ الذي ادَّعىٰ فيه حُصولَ العِلمِ بتمسُّكِ الصَّحابةِ بالإجماعِ و الرجوعِ إليه، فقَد بيّنّا فَسادَه</w:t>
      </w:r>
      <w:r>
        <w:rPr>
          <w:rStyle w:val="FootnoteAnchor"/>
          <w:rtl w:val="true"/>
        </w:rPr>
        <w:footnoteReference w:id="506"/>
      </w:r>
      <w:r>
        <w:rPr>
          <w:rFonts w:ascii="Amiri" w:hAnsi="Amiri" w:eastAsia="Amiri" w:cs="Amiri"/>
          <w:color w:val="111111"/>
          <w:sz w:val="28"/>
          <w:sz w:val="28"/>
          <w:szCs w:val="28"/>
          <w:rtl w:val="true"/>
          <w:lang w:bidi="ar-SA"/>
        </w:rPr>
        <w:t xml:space="preserve">، و أنّه مُقتَصِرٌ فيه علىٰ دَعوىً ، و ذَكَرنا حالَ مَن يُخالِفُ في الإجماعِ ممّن لا يَعتَرِفُ بصِحّةِ ما ذَكرَه، و لا هو بصورةِ مَن يَدفَعُ الضَّروراتِ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894783_2320776876"/>
      <w:bookmarkStart w:id="90" w:name="_Toc33"/>
      <w:bookmarkEnd w:id="89"/>
      <w:r>
        <w:rPr>
          <w:rtl w:val="true"/>
        </w:rPr>
        <w:t>إشارة إلىٰ حدوث العمل بالإجماع و عدم تقدّمه</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الذينَ أَشَرنا إليهم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الاحتجاجَ بالإجماعِ مِمّا وَلَّدَ</w:t>
      </w:r>
      <w:r>
        <w:rPr>
          <w:rStyle w:val="FootnoteAnchor"/>
          <w:rtl w:val="true"/>
        </w:rPr>
        <w:footnoteReference w:id="508"/>
      </w:r>
      <w:r>
        <w:rPr>
          <w:rFonts w:ascii="Amiri" w:hAnsi="Amiri" w:eastAsia="Amiri" w:cs="Amiri"/>
          <w:color w:val="111111"/>
          <w:sz w:val="28"/>
          <w:sz w:val="28"/>
          <w:szCs w:val="28"/>
          <w:rtl w:val="true"/>
          <w:lang w:bidi="ar-SA"/>
        </w:rPr>
        <w:t xml:space="preserve">الفُقَهاءُ الاحتجاجَ به عن قُربٍ </w:t>
      </w:r>
      <w:r>
        <w:rPr>
          <w:rStyle w:val="FootnoteAnchor"/>
          <w:rtl w:val="true"/>
        </w:rPr>
        <w:footnoteReference w:id="509"/>
      </w:r>
      <w:r>
        <w:rPr>
          <w:rFonts w:ascii="Amiri" w:hAnsi="Amiri" w:eastAsia="Amiri" w:cs="Amiri"/>
          <w:color w:val="111111"/>
          <w:sz w:val="28"/>
          <w:sz w:val="28"/>
          <w:szCs w:val="28"/>
          <w:rtl w:val="true"/>
          <w:lang w:bidi="ar-SA"/>
        </w:rPr>
        <w:t xml:space="preserve">و تَبِعَهم عليه جَماعةٌ مِن المُتكلِّمينَ ، و إنّ الصَّحابةَ و مَن كانَ في الصَّدرِ الأوّلِ لَم يَعرِفوه لا سِيَّما علىٰ هذا الوَجهِ الذي يَدَّعيهِ المُخالِفونَ ، </w:t>
      </w:r>
      <w:bookmarkStart w:id="91" w:name="pg20015_284788"/>
    </w:p>
    <w:p>
      <w:pPr>
        <w:pStyle w:val="BookText"/>
        <w:rPr/>
      </w:pPr>
      <w:bookmarkEnd w:id="91"/>
      <w:r>
        <w:rPr>
          <w:rFonts w:ascii="Amiri" w:hAnsi="Amiri" w:eastAsia="Amiri" w:cs="Amiri"/>
          <w:color w:val="111111"/>
          <w:sz w:val="28"/>
          <w:sz w:val="28"/>
          <w:szCs w:val="28"/>
          <w:rtl w:val="true"/>
          <w:lang w:bidi="ar-SA"/>
        </w:rPr>
        <w:t xml:space="preserve">و إنّما كانوا يُنكِرونَ علىٰ مَن خالَفَ الحقَّ و خَرَجَ </w:t>
      </w:r>
      <w:r>
        <w:rPr>
          <w:rStyle w:val="FootnoteAnchor"/>
          <w:rtl w:val="true"/>
        </w:rPr>
        <w:footnoteReference w:id="510"/>
      </w:r>
      <w:r>
        <w:rPr>
          <w:rFonts w:ascii="Amiri" w:hAnsi="Amiri" w:eastAsia="Amiri" w:cs="Amiri"/>
          <w:color w:val="111111"/>
          <w:sz w:val="28"/>
          <w:sz w:val="28"/>
          <w:szCs w:val="28"/>
          <w:rtl w:val="true"/>
          <w:lang w:bidi="ar-SA"/>
        </w:rPr>
        <w:t xml:space="preserve">عن المَذهَبِ الذي تَعضُدُه الدلائلُ </w:t>
      </w:r>
      <w:r>
        <w:rPr>
          <w:rStyle w:val="FootnoteAnchor"/>
          <w:rtl w:val="true"/>
        </w:rPr>
        <w:footnoteReference w:id="511"/>
      </w:r>
      <w:r>
        <w:rPr>
          <w:rFonts w:ascii="Amiri" w:hAnsi="Amiri" w:eastAsia="Amiri" w:cs="Amiri"/>
          <w:color w:val="111111"/>
          <w:sz w:val="28"/>
          <w:sz w:val="28"/>
          <w:szCs w:val="28"/>
          <w:rtl w:val="true"/>
          <w:lang w:bidi="ar-SA"/>
        </w:rPr>
        <w:t>، سَواءٌ كانَ ذلكَ المَذهَبُ إجماعاً أو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أصابَ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لَم يَقصِدِ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 تَمسُّكِهم بالإجماعِ كحالِ رُجوعِهم إلىٰ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الأمرَينِ غَيرُ معلومَينِ و لا ثابتَينِ ، و المُدَّعي لكُلِّ واحدٍ مِنهما في بُعدِه عن الحَقِّ كالمُدَّعي للآخَرِ</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894785_2320776876"/>
      <w:bookmarkStart w:id="93" w:name="_Toc34"/>
      <w:bookmarkEnd w:id="92"/>
      <w:r>
        <w:rPr>
          <w:rtl w:val="true"/>
        </w:rPr>
        <w:t>مناقشة المقدّمة الثانية</w:t>
      </w:r>
      <w:r>
        <w:rPr>
          <w:rtl w:val="true"/>
        </w:rPr>
        <w:t xml:space="preserve">: </w:t>
      </w:r>
      <w:r>
        <w:rPr>
          <w:rtl w:val="true"/>
        </w:rPr>
        <w:t>عدم تمسّك الصحابة بالإجماع لأجل الخبر</w:t>
      </w:r>
      <w:bookmarkEnd w:id="93"/>
    </w:p>
    <w:p>
      <w:pPr>
        <w:pStyle w:val="Heading6"/>
        <w:numPr>
          <w:ilvl w:val="5"/>
          <w:numId w:val="1"/>
        </w:numPr>
        <w:rPr/>
      </w:pPr>
      <w:bookmarkStart w:id="94" w:name="__RefHeading___Toc894787_2320776876"/>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فأمّا قَولُه في الاستدلالِ علىٰ أنّهم تَمسَّكوا بذلكَ لأجلِ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Style w:val="FootnoteAnchor"/>
          <w:rtl w:val="true"/>
        </w:rPr>
        <w:footnoteReference w:id="512"/>
      </w:r>
      <w:r>
        <w:rPr>
          <w:rFonts w:ascii="Amiri" w:hAnsi="Amiri" w:eastAsia="Amiri" w:cs="Amiri"/>
          <w:color w:val="111111"/>
          <w:sz w:val="28"/>
          <w:sz w:val="28"/>
          <w:szCs w:val="28"/>
          <w:rtl w:val="true"/>
          <w:lang w:bidi="ar-SA"/>
        </w:rPr>
        <w:t xml:space="preserve">شَيخَنا أبا هاشمٍ عَوَّلَ في ذلكَ علىٰ أنّه كما نُقِلَ عنهم التمسُّكُ بالإجماعِ ، فقد نُقِلَ عنهم الاحتجاجُ بهذه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أن نَحكُمَ بذلكَ ؛ لأنّ الطريقةَ فيهما واحدةٌ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فقَد بيّنّا أنّه لا نَقْلَ في الأوّلِ‌</w:t>
      </w:r>
      <w:r>
        <w:rPr>
          <w:rStyle w:val="FootnoteAnchor"/>
          <w:rtl w:val="true"/>
        </w:rPr>
        <w:footnoteReference w:id="514"/>
      </w:r>
      <w:r>
        <w:rPr>
          <w:rFonts w:ascii="Amiri" w:hAnsi="Amiri" w:eastAsia="Amiri" w:cs="Amiri"/>
          <w:color w:val="111111"/>
          <w:sz w:val="28"/>
          <w:sz w:val="28"/>
          <w:szCs w:val="28"/>
          <w:rtl w:val="true"/>
          <w:lang w:bidi="ar-SA"/>
        </w:rPr>
        <w:t>، و لا عِلمَ حاصِلاً علَى الوَجهِ الذي ادُّعيَ‌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أبو هاشمٍ يَدَّعي نَقلاً مخصوصاً في احتجاجِ الصَّحابةِ بهذه الأخبارِ فيَجِبُ أن يُشيرَ لنا إليه</w:t>
      </w:r>
      <w:r>
        <w:rPr>
          <w:rStyle w:val="FootnoteAnchor"/>
          <w:rtl w:val="true"/>
        </w:rPr>
        <w:footnoteReference w:id="516"/>
      </w:r>
      <w:r>
        <w:rPr>
          <w:rFonts w:ascii="Amiri" w:hAnsi="Amiri" w:eastAsia="Amiri" w:cs="Amiri"/>
          <w:color w:val="111111"/>
          <w:sz w:val="28"/>
          <w:sz w:val="28"/>
          <w:szCs w:val="28"/>
          <w:rtl w:val="true"/>
          <w:lang w:bidi="ar-SA"/>
        </w:rPr>
        <w:t xml:space="preserve">فإنّا ما نَعرِفُ خبَراً عن أحَدٍ مِن الصَّحابةِ بأنّه كانَ يَحتَجُّ في الإجماعِ بهذه الأخبارِ المُدَّعاةِ ، بَل قد ذَكَرنا أنّه لَم يَثبُتْ عنهم احتجاجٌ بالإجماعِ علىٰ ما يَذهَبُ إليه الخُصومُ جُملةً ، و مَن رَجَعَ إلىٰ نفسِه و راعَى النَّقلَ </w:t>
      </w:r>
    </w:p>
    <w:p>
      <w:pPr>
        <w:pStyle w:val="BookText"/>
        <w:rPr/>
      </w:pPr>
      <w:r>
        <w:rPr>
          <w:rFonts w:ascii="Amiri" w:hAnsi="Amiri" w:eastAsia="Amiri" w:cs="Amiri"/>
          <w:color w:val="111111"/>
          <w:sz w:val="28"/>
          <w:sz w:val="28"/>
          <w:szCs w:val="28"/>
          <w:rtl w:val="true"/>
          <w:lang w:bidi="ar-SA"/>
        </w:rPr>
        <w:t>عَلِمَ فَسادَ هذه الدعوىٰ مِن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ادَّعىٰ في احتجاجِهم بهذه الأخبارِ النَّقلَ الشائعَ العامَّ الذي يَشتَرِكُ الجميعُ فيه، و لا يَفتَقِرُ إلىٰ لفظٍ مخصوصٍ ؛ لظُهورِه و شُهرَتِه، كما ذَكَرنا</w:t>
      </w:r>
      <w:r>
        <w:rPr>
          <w:rStyle w:val="FootnoteAnchor"/>
          <w:rtl w:val="true"/>
        </w:rPr>
        <w:footnoteReference w:id="517"/>
      </w:r>
      <w:r>
        <w:rPr>
          <w:rFonts w:ascii="Amiri" w:hAnsi="Amiri" w:eastAsia="Amiri" w:cs="Amiri"/>
          <w:color w:val="111111"/>
          <w:sz w:val="28"/>
          <w:sz w:val="28"/>
          <w:szCs w:val="28"/>
          <w:rtl w:val="true"/>
          <w:lang w:bidi="ar-SA"/>
        </w:rPr>
        <w:t>مِثلَ ذلكَ في الصلَوات و ما أشبَهَها</w:t>
      </w:r>
      <w:r>
        <w:rPr>
          <w:rStyle w:val="FootnoteAnchor"/>
          <w:rtl w:val="true"/>
        </w:rPr>
        <w:footnoteReference w:id="518"/>
      </w:r>
      <w:r>
        <w:rPr>
          <w:rFonts w:ascii="Amiri" w:hAnsi="Amiri" w:eastAsia="Amiri" w:cs="Amiri"/>
          <w:color w:val="111111"/>
          <w:sz w:val="28"/>
          <w:sz w:val="28"/>
          <w:szCs w:val="28"/>
          <w:rtl w:val="true"/>
          <w:lang w:bidi="ar-SA"/>
        </w:rPr>
        <w:t xml:space="preserve">، فيَجِبُ لَو كانَ الأمرُ كذلكَ أن يَرتَفِعَ الخِلافُ في هذا كما ارتفَعَ في ذلكَ و يَكونَ </w:t>
      </w:r>
      <w:r>
        <w:rPr>
          <w:rStyle w:val="FootnoteAnchor"/>
          <w:rtl w:val="true"/>
        </w:rPr>
        <w:footnoteReference w:id="519"/>
      </w:r>
      <w:r>
        <w:rPr>
          <w:rFonts w:ascii="Amiri" w:hAnsi="Amiri" w:eastAsia="Amiri" w:cs="Amiri"/>
          <w:color w:val="111111"/>
          <w:sz w:val="28"/>
          <w:sz w:val="28"/>
          <w:szCs w:val="28"/>
          <w:rtl w:val="true"/>
          <w:lang w:bidi="ar-SA"/>
        </w:rPr>
        <w:t xml:space="preserve">صورةُ المخالِفِ فيهما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يَبلُغُ إليه 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2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شَيخُنا أبو عبدِ اللّٰهِ‌</w:t>
      </w:r>
      <w:r>
        <w:rPr>
          <w:rStyle w:val="FootnoteAnchor"/>
          <w:rtl w:val="true"/>
        </w:rPr>
        <w:footnoteReference w:id="521"/>
      </w:r>
      <w:r>
        <w:rPr>
          <w:rFonts w:ascii="Amiri" w:hAnsi="Amiri" w:eastAsia="Amiri" w:cs="Amiri"/>
          <w:color w:val="111111"/>
          <w:sz w:val="28"/>
          <w:sz w:val="28"/>
          <w:szCs w:val="28"/>
          <w:rtl w:val="true"/>
          <w:lang w:bidi="ar-SA"/>
        </w:rPr>
        <w:t>أنّه إذا ثبَت تمسُّكُهم بذلكَ و عملُهم</w:t>
      </w:r>
      <w:r>
        <w:rPr>
          <w:rStyle w:val="FootnoteAnchor"/>
          <w:rtl w:val="true"/>
        </w:rPr>
        <w:footnoteReference w:id="522"/>
      </w:r>
      <w:r>
        <w:rPr>
          <w:rFonts w:ascii="Amiri" w:hAnsi="Amiri" w:eastAsia="Amiri" w:cs="Amiri"/>
          <w:color w:val="111111"/>
          <w:sz w:val="28"/>
          <w:sz w:val="28"/>
          <w:szCs w:val="28"/>
          <w:rtl w:val="true"/>
          <w:lang w:bidi="ar-SA"/>
        </w:rPr>
        <w:t>بموجَبِ هذه</w:t>
      </w:r>
      <w:r>
        <w:rPr>
          <w:rStyle w:val="FootnoteAnchor"/>
          <w:rtl w:val="true"/>
        </w:rPr>
        <w:footnoteReference w:id="523"/>
      </w:r>
      <w:r>
        <w:rPr>
          <w:rFonts w:ascii="Amiri" w:hAnsi="Amiri" w:eastAsia="Amiri" w:cs="Amiri"/>
          <w:color w:val="111111"/>
          <w:sz w:val="28"/>
          <w:sz w:val="28"/>
          <w:szCs w:val="28"/>
          <w:rtl w:val="true"/>
          <w:lang w:bidi="ar-SA"/>
        </w:rPr>
        <w:t>الأخبارِ، و لَم يَظهَرْ فيما</w:t>
      </w:r>
      <w:r>
        <w:rPr>
          <w:rStyle w:val="FootnoteAnchor"/>
          <w:rtl w:val="true"/>
        </w:rPr>
        <w:footnoteReference w:id="524"/>
      </w:r>
      <w:r>
        <w:rPr>
          <w:rFonts w:ascii="Amiri" w:hAnsi="Amiri" w:eastAsia="Amiri" w:cs="Amiri"/>
          <w:color w:val="111111"/>
          <w:sz w:val="28"/>
          <w:sz w:val="28"/>
          <w:szCs w:val="28"/>
          <w:rtl w:val="true"/>
          <w:lang w:bidi="ar-SA"/>
        </w:rPr>
        <w:t>بَينَهم إلّاهذه الأخبارُ، فيَجِبُ أن يُقطَعَ‌</w:t>
      </w:r>
      <w:r>
        <w:rPr>
          <w:rStyle w:val="FootnoteAnchor"/>
          <w:rtl w:val="true"/>
        </w:rPr>
        <w:footnoteReference w:id="525"/>
      </w:r>
      <w:r>
        <w:rPr>
          <w:rFonts w:ascii="Amiri" w:hAnsi="Amiri" w:eastAsia="Amiri" w:cs="Amiri"/>
          <w:color w:val="111111"/>
          <w:sz w:val="28"/>
          <w:sz w:val="28"/>
          <w:szCs w:val="28"/>
          <w:rtl w:val="true"/>
          <w:lang w:bidi="ar-SA"/>
        </w:rPr>
        <w:t xml:space="preserve">علىٰ أنّ عملَهم بذلكَ لأجلِها دونَ غَيرِها، كما يَجِبُ أن يُقطَعَ علىٰ أنّ تَمسُّكَهم بالرَّجمِ لأجلِ الخبرِ المَرويِّ </w:t>
      </w:r>
      <w:r>
        <w:rPr>
          <w:rStyle w:val="FootnoteAnchor"/>
          <w:rtl w:val="true"/>
        </w:rPr>
        <w:footnoteReference w:id="526"/>
      </w:r>
      <w:r>
        <w:rPr>
          <w:rFonts w:ascii="Amiri" w:hAnsi="Amiri" w:eastAsia="Amiri" w:cs="Amiri"/>
          <w:color w:val="111111"/>
          <w:sz w:val="28"/>
          <w:sz w:val="28"/>
          <w:szCs w:val="28"/>
          <w:rtl w:val="true"/>
          <w:lang w:bidi="ar-SA"/>
        </w:rPr>
        <w:t xml:space="preserve">في ذلكَ ، و أنّ قَطعَهم </w:t>
      </w:r>
      <w:bookmarkStart w:id="96" w:name="pg20015_284790"/>
    </w:p>
    <w:p>
      <w:pPr>
        <w:pStyle w:val="BookText"/>
        <w:rPr/>
      </w:pPr>
      <w:bookmarkEnd w:id="96"/>
      <w:r>
        <w:rPr>
          <w:rFonts w:ascii="Amiri" w:hAnsi="Amiri" w:eastAsia="Amiri" w:cs="Amiri"/>
          <w:color w:val="111111"/>
          <w:sz w:val="28"/>
          <w:sz w:val="28"/>
          <w:szCs w:val="28"/>
          <w:rtl w:val="true"/>
          <w:lang w:bidi="ar-SA"/>
        </w:rPr>
        <w:t xml:space="preserve">للسارِقِ </w:t>
      </w:r>
      <w:r>
        <w:rPr>
          <w:rStyle w:val="FootnoteAnchor"/>
          <w:rtl w:val="true"/>
        </w:rPr>
        <w:footnoteReference w:id="527"/>
      </w:r>
      <w:r>
        <w:rPr>
          <w:rFonts w:ascii="Amiri" w:hAnsi="Amiri" w:eastAsia="Amiri" w:cs="Amiri"/>
          <w:color w:val="111111"/>
          <w:sz w:val="28"/>
          <w:sz w:val="28"/>
          <w:szCs w:val="28"/>
          <w:rtl w:val="true"/>
          <w:lang w:bidi="ar-SA"/>
        </w:rPr>
        <w:t>المُستَحِقِّ للقَطعِ و الزاني المُستَحِقِّ للجَلْدِ</w:t>
      </w:r>
      <w:r>
        <w:rPr>
          <w:rStyle w:val="FootnoteAnchor"/>
          <w:rtl w:val="true"/>
        </w:rPr>
        <w:footnoteReference w:id="528"/>
      </w:r>
      <w:r>
        <w:rPr>
          <w:rFonts w:ascii="Amiri" w:hAnsi="Amiri" w:eastAsia="Amiri" w:cs="Amiri"/>
          <w:color w:val="111111"/>
          <w:sz w:val="28"/>
          <w:sz w:val="28"/>
          <w:szCs w:val="28"/>
          <w:rtl w:val="true"/>
          <w:lang w:bidi="ar-SA"/>
        </w:rPr>
        <w:t xml:space="preserve">لأجلِ الآياتِ </w:t>
      </w:r>
      <w:r>
        <w:rPr>
          <w:rStyle w:val="FootnoteAnchor"/>
          <w:rtl w:val="true"/>
        </w:rPr>
        <w:footnoteReference w:id="529"/>
      </w:r>
      <w:r>
        <w:rPr>
          <w:rFonts w:ascii="Amiri" w:hAnsi="Amiri" w:eastAsia="Amiri" w:cs="Amiri"/>
          <w:color w:val="111111"/>
          <w:sz w:val="28"/>
          <w:sz w:val="28"/>
          <w:szCs w:val="28"/>
          <w:rtl w:val="true"/>
          <w:lang w:bidi="ar-SA"/>
        </w:rPr>
        <w:t>التي ذَكَروها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فشَبيهٌ في البُطلانِ‌ بما تَقدَّمَ‌، و لَيسَ يَجِبُ مِن حَيثُ ظهَر عملُهم بالإجماعِ‌، و ظهَرَت روايةُ الأخبارِ التي ادَّعَوها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هذَينِ الأمرَينِ ، علىٰ بُطلانِهما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عملُهم بالإجماعِ مِن أجلِ الأخبارِ، دونَ أن يَكونَ لأجلِ الآياتِ التي يَحتَجُّ بها مُخالِفونا في صِحّةِ الإجماع، و قد ذَكرَها صاحبُ الكتابِ و اعتمَدَها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عملُهم بالرَّجمِ و القَطعِ لأجلِ الآياتِ دونَ غَيرِها، فلَيسَ المَرجِعُ فيه إلىٰ ما ظَنَّه مِن أنّ عمَلَهم بذلكَ لَمّا ظهَر و كانَت الآياتُ ظاهرةً بَينَهم وَجَبَ </w:t>
      </w:r>
      <w:r>
        <w:rPr>
          <w:rStyle w:val="FootnoteAnchor"/>
          <w:rtl w:val="true"/>
        </w:rPr>
        <w:footnoteReference w:id="531"/>
      </w:r>
      <w:r>
        <w:rPr>
          <w:rFonts w:ascii="Amiri" w:hAnsi="Amiri" w:eastAsia="Amiri" w:cs="Amiri"/>
          <w:color w:val="111111"/>
          <w:sz w:val="28"/>
          <w:sz w:val="28"/>
          <w:szCs w:val="28"/>
          <w:rtl w:val="true"/>
          <w:lang w:bidi="ar-SA"/>
        </w:rPr>
        <w:t>القَضاءُ بأنّهم عَمِلوا بها</w:t>
      </w:r>
      <w:r>
        <w:rPr>
          <w:rStyle w:val="FootnoteAnchor"/>
          <w:rtl w:val="true"/>
        </w:rPr>
        <w:footnoteReference w:id="532"/>
      </w:r>
      <w:r>
        <w:rPr>
          <w:rFonts w:ascii="Amiri" w:hAnsi="Amiri" w:eastAsia="Amiri" w:cs="Amiri"/>
          <w:color w:val="111111"/>
          <w:sz w:val="28"/>
          <w:sz w:val="28"/>
          <w:szCs w:val="28"/>
          <w:rtl w:val="true"/>
          <w:lang w:bidi="ar-SA"/>
        </w:rPr>
        <w:t xml:space="preserve">لأجلِها، بَل المَرجِعُ في ذلكَ إلىٰ حُصولِ العِلمِ و زَوالِ الشَّكِّ </w:t>
      </w:r>
      <w:r>
        <w:rPr>
          <w:rStyle w:val="FootnoteAnchor"/>
          <w:rtl w:val="true"/>
        </w:rPr>
        <w:footnoteReference w:id="533"/>
      </w:r>
      <w:r>
        <w:rPr>
          <w:rFonts w:ascii="Amiri" w:hAnsi="Amiri" w:eastAsia="Amiri" w:cs="Amiri"/>
          <w:color w:val="111111"/>
          <w:sz w:val="28"/>
          <w:sz w:val="28"/>
          <w:szCs w:val="28"/>
          <w:rtl w:val="true"/>
          <w:lang w:bidi="ar-SA"/>
        </w:rPr>
        <w:t xml:space="preserve">لكُلِّ أحَدٍ بعمَلِ القَومِ علىٰ هذه الآياتِ و مِن أجلِها، و لَيسَ يُمكِنُ أن يُدَّعىٰ مِثلُ ذلكَ في أخبارِ الإجماعِ </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894789_2320776876"/>
      <w:bookmarkStart w:id="98" w:name="_Toc36"/>
      <w:bookmarkEnd w:id="97"/>
      <w:r>
        <w:rPr>
          <w:rtl w:val="true"/>
        </w:rPr>
        <w:t>إلزام صاحب الكتاب بأنّ عمل الصحابة بالإجماع كان لأجل آيات الإجماع لا أخباره</w:t>
      </w:r>
      <w:bookmarkEnd w:id="9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w:t>
      </w:r>
      <w:r>
        <w:rPr>
          <w:rStyle w:val="FootnoteAnchor"/>
          <w:rtl w:val="true"/>
        </w:rPr>
        <w:footnoteReference w:id="534"/>
      </w:r>
      <w:r>
        <w:rPr>
          <w:rFonts w:ascii="Amiri" w:hAnsi="Amiri" w:eastAsia="Amiri" w:cs="Amiri"/>
          <w:color w:val="111111"/>
          <w:sz w:val="28"/>
          <w:sz w:val="28"/>
          <w:szCs w:val="28"/>
          <w:rtl w:val="true"/>
          <w:lang w:bidi="ar-SA"/>
        </w:rPr>
        <w:t xml:space="preserve">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أنّهم تَمسَّكوا بطَريقةٍ في الدِّينِ ، </w:t>
      </w:r>
    </w:p>
    <w:p>
      <w:pPr>
        <w:pStyle w:val="BookText"/>
        <w:rPr/>
      </w:pPr>
      <w:r>
        <w:rPr>
          <w:rFonts w:ascii="Amiri" w:hAnsi="Amiri" w:eastAsia="Amiri" w:cs="Amiri"/>
          <w:color w:val="111111"/>
          <w:sz w:val="28"/>
          <w:sz w:val="28"/>
          <w:szCs w:val="28"/>
          <w:rtl w:val="true"/>
          <w:lang w:bidi="ar-SA"/>
        </w:rPr>
        <w:t xml:space="preserve">و المُتَعالَمُ </w:t>
      </w:r>
      <w:r>
        <w:rPr>
          <w:rStyle w:val="FootnoteAnchor"/>
          <w:rtl w:val="true"/>
        </w:rPr>
        <w:footnoteReference w:id="535"/>
      </w:r>
      <w:r>
        <w:rPr>
          <w:rFonts w:ascii="Amiri" w:hAnsi="Amiri" w:eastAsia="Amiri" w:cs="Amiri"/>
          <w:color w:val="111111"/>
          <w:sz w:val="28"/>
          <w:sz w:val="28"/>
          <w:szCs w:val="28"/>
          <w:rtl w:val="true"/>
          <w:lang w:bidi="ar-SA"/>
        </w:rPr>
        <w:t xml:space="preserve">مِن حالِهم أنّهم كانوا يَرجِعون فيما يَتمسَّكونَ به مِن الأحكامِ إلَى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w:t>
      </w:r>
      <w:r>
        <w:rPr>
          <w:rStyle w:val="FootnoteAnchor"/>
          <w:rtl w:val="true"/>
        </w:rPr>
        <w:footnoteReference w:id="536"/>
      </w:r>
      <w:r>
        <w:rPr>
          <w:rFonts w:ascii="Amiri" w:hAnsi="Amiri" w:eastAsia="Amiri" w:cs="Amiri"/>
          <w:color w:val="111111"/>
          <w:sz w:val="28"/>
          <w:sz w:val="28"/>
          <w:szCs w:val="28"/>
          <w:rtl w:val="true"/>
          <w:lang w:bidi="ar-SA"/>
        </w:rPr>
        <w:t>تمسُّكُهم بذلكَ علَى الأمرِ الذي</w:t>
      </w:r>
      <w:r>
        <w:rPr>
          <w:rStyle w:val="FootnoteAnchor"/>
          <w:rtl w:val="true"/>
        </w:rPr>
        <w:footnoteReference w:id="537"/>
      </w:r>
      <w:r>
        <w:rPr>
          <w:rFonts w:ascii="Amiri" w:hAnsi="Amiri" w:eastAsia="Amiri" w:cs="Amiri"/>
          <w:color w:val="111111"/>
          <w:sz w:val="28"/>
          <w:sz w:val="28"/>
          <w:szCs w:val="28"/>
          <w:rtl w:val="true"/>
          <w:lang w:bidi="ar-SA"/>
        </w:rPr>
        <w:t xml:space="preserve">يَظهَرُ فيما بَينَهم دونَ غَيرِه؛ لأنّ الذي له وَجَبَ </w:t>
      </w:r>
      <w:r>
        <w:rPr>
          <w:rStyle w:val="FootnoteAnchor"/>
          <w:rtl w:val="true"/>
        </w:rPr>
        <w:footnoteReference w:id="538"/>
      </w:r>
      <w:r>
        <w:rPr>
          <w:rFonts w:ascii="Amiri" w:hAnsi="Amiri" w:eastAsia="Amiri" w:cs="Amiri"/>
          <w:color w:val="111111"/>
          <w:sz w:val="28"/>
          <w:sz w:val="28"/>
          <w:szCs w:val="28"/>
          <w:rtl w:val="true"/>
          <w:lang w:bidi="ar-SA"/>
        </w:rPr>
        <w:t>حَملُ تَمسُّكِهم بالحُدودِ و الأحكامِ علىٰ أنّه لأجلِ القُرآنِ و السُّنَّةِ أنّهم</w:t>
      </w:r>
      <w:r>
        <w:rPr>
          <w:rStyle w:val="FootnoteAnchor"/>
          <w:rtl w:val="true"/>
        </w:rPr>
        <w:footnoteReference w:id="539"/>
      </w:r>
      <w:r>
        <w:rPr>
          <w:rFonts w:ascii="Amiri" w:hAnsi="Amiri" w:eastAsia="Amiri" w:cs="Amiri"/>
          <w:color w:val="111111"/>
          <w:sz w:val="28"/>
          <w:sz w:val="28"/>
          <w:szCs w:val="28"/>
          <w:rtl w:val="true"/>
          <w:lang w:bidi="ar-SA"/>
        </w:rPr>
        <w:t>تَمسَّكوا بذلكَ و لَم يَظهَرْ فيهم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قائمٌ فيما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أن نَقطَعَ بصِحّتِه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فهذا إنّما كانَ يَجِبُ لَو لَم يَظهَرْ بَينَهم إلّاما ادَّعاه مِن الأخبارِ، فأمّا و</w:t>
      </w:r>
      <w:r>
        <w:rPr>
          <w:rStyle w:val="FootnoteAnchor"/>
          <w:rtl w:val="true"/>
        </w:rPr>
        <w:footnoteReference w:id="541"/>
      </w:r>
      <w:r>
        <w:rPr>
          <w:rFonts w:ascii="Amiri" w:hAnsi="Amiri" w:eastAsia="Amiri" w:cs="Amiri"/>
          <w:color w:val="111111"/>
          <w:sz w:val="28"/>
          <w:sz w:val="28"/>
          <w:szCs w:val="28"/>
          <w:rtl w:val="true"/>
          <w:lang w:bidi="ar-SA"/>
        </w:rPr>
        <w:t>ظُهورُ الآياتِ التي أَشَرنا</w:t>
      </w:r>
      <w:r>
        <w:rPr>
          <w:rStyle w:val="FootnoteAnchor"/>
          <w:rtl w:val="true"/>
        </w:rPr>
        <w:footnoteReference w:id="542"/>
      </w:r>
      <w:r>
        <w:rPr>
          <w:rFonts w:ascii="Amiri" w:hAnsi="Amiri" w:eastAsia="Amiri" w:cs="Amiri"/>
          <w:color w:val="111111"/>
          <w:sz w:val="28"/>
          <w:sz w:val="28"/>
          <w:szCs w:val="28"/>
          <w:rtl w:val="true"/>
          <w:lang w:bidi="ar-SA"/>
        </w:rPr>
        <w:t>إليها بَينَهم معلومٌ ، فما المانِعُ مِن أن يَكونَ عملُهم إنّما كانَ لأجلِها، دونَ الأخبارِ؟</w:t>
      </w:r>
    </w:p>
    <w:p>
      <w:pPr>
        <w:pStyle w:val="BookText"/>
        <w:rPr/>
      </w:pPr>
      <w:r>
        <w:rPr>
          <w:rFonts w:ascii="Amiri" w:hAnsi="Amiri" w:eastAsia="Amiri" w:cs="Amiri"/>
          <w:color w:val="111111"/>
          <w:sz w:val="28"/>
          <w:sz w:val="28"/>
          <w:szCs w:val="28"/>
          <w:rtl w:val="true"/>
          <w:lang w:bidi="ar-SA"/>
        </w:rPr>
        <w:t xml:space="preserve">و ما رَأَينا أَطرَفَ </w:t>
      </w:r>
      <w:r>
        <w:rPr>
          <w:rStyle w:val="FootnoteAnchor"/>
          <w:rtl w:val="true"/>
        </w:rPr>
        <w:footnoteReference w:id="543"/>
      </w:r>
      <w:r>
        <w:rPr>
          <w:rFonts w:ascii="Amiri" w:hAnsi="Amiri" w:eastAsia="Amiri" w:cs="Amiri"/>
          <w:color w:val="111111"/>
          <w:sz w:val="28"/>
          <w:sz w:val="28"/>
          <w:szCs w:val="28"/>
          <w:rtl w:val="true"/>
          <w:lang w:bidi="ar-SA"/>
        </w:rPr>
        <w:t>مِن إقدامِ صاحبِ الكتابِ علىٰ أنْ يَدَّعيَ أنّه لَم يَظهَرْ بَينَهم إلّا الأخبارُ التي ادُّعِيَت في الإجماعِ ، و تَكرارِه مَرّةً بَعدَ أُخرىٰ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يَظهَرْ بَينَهم</w:t>
      </w:r>
      <w:r>
        <w:rPr>
          <w:rStyle w:val="FootnoteAnchor"/>
          <w:rtl w:val="true"/>
        </w:rPr>
        <w:footnoteReference w:id="5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فيما ذكرتم لأنّه مقطوع به، و ليس كذلك هذه الأخبار؛ لأنّكم لا تقطعون بها و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بثبوتها لأجل هذه الطريقة كما نقطع بما ذكرته، فالواجب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مع عِلمِه</w:t>
      </w:r>
      <w:r>
        <w:rPr>
          <w:rStyle w:val="FootnoteAnchor"/>
          <w:rtl w:val="true"/>
        </w:rPr>
        <w:footnoteReference w:id="546"/>
      </w:r>
      <w:r>
        <w:rPr>
          <w:rFonts w:ascii="Amiri" w:hAnsi="Amiri" w:eastAsia="Amiri" w:cs="Amiri"/>
          <w:color w:val="111111"/>
          <w:sz w:val="28"/>
          <w:sz w:val="28"/>
          <w:szCs w:val="28"/>
          <w:rtl w:val="true"/>
          <w:lang w:bidi="ar-SA"/>
        </w:rPr>
        <w:t>بأنّ القُرآنَ الذي يَتضمَّنُ الآياتِ المُتعلَّقَ بها في الإجماعِ قد كانَ ظُهورُه بَينَهم</w:t>
      </w:r>
      <w:r>
        <w:rPr>
          <w:rStyle w:val="FootnoteAnchor"/>
          <w:rtl w:val="true"/>
        </w:rPr>
        <w:footnoteReference w:id="547"/>
      </w:r>
      <w:r>
        <w:rPr>
          <w:rFonts w:ascii="Amiri" w:hAnsi="Amiri" w:eastAsia="Amiri" w:cs="Amiri"/>
          <w:color w:val="111111"/>
          <w:sz w:val="28"/>
          <w:sz w:val="28"/>
          <w:szCs w:val="28"/>
          <w:rtl w:val="true"/>
          <w:lang w:bidi="ar-SA"/>
        </w:rPr>
        <w:t>أقوىٰ مِن ظُهورِ كُلِّ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فَيلزَمُه علىٰ هذه الطريقةِ التي سلَكَها القَطعُ علىٰ أنّ عملَ الصَّحابةِ‌</w:t>
      </w:r>
    </w:p>
    <w:p>
      <w:pPr>
        <w:pStyle w:val="BookText"/>
        <w:rPr/>
      </w:pPr>
      <w:r>
        <w:rPr>
          <w:rFonts w:ascii="Amiri" w:hAnsi="Amiri" w:eastAsia="Amiri" w:cs="Amiri"/>
          <w:color w:val="111111"/>
          <w:sz w:val="28"/>
          <w:sz w:val="28"/>
          <w:szCs w:val="28"/>
          <w:rtl w:val="true"/>
          <w:lang w:bidi="ar-SA"/>
        </w:rPr>
        <w:t>بالإجماعِ إنّما كانَ للآياتِ دونَ الأخبارِ، فَضلاً عن التجويزِ لذلكَ‌؛ لأنّه إذا وَجَبَ‌</w:t>
      </w:r>
      <w:r>
        <w:rPr>
          <w:rStyle w:val="FootnoteAnchor"/>
          <w:rtl w:val="true"/>
        </w:rPr>
        <w:footnoteReference w:id="548"/>
      </w:r>
      <w:r>
        <w:rPr>
          <w:rFonts w:ascii="Amiri" w:hAnsi="Amiri" w:eastAsia="Amiri" w:cs="Amiri"/>
          <w:color w:val="111111"/>
          <w:sz w:val="28"/>
          <w:sz w:val="28"/>
          <w:szCs w:val="28"/>
          <w:rtl w:val="true"/>
          <w:lang w:bidi="ar-SA"/>
        </w:rPr>
        <w:t>علىٰ ما ادَّعاه في الصَّحابةِ إذا عُلِمَ تمسُّكُهم بطَريقةٍ في الدِّينِ أن يُحكَمَ بأنّ تَمسُّكَهم إنّما كانَ لأجلِ ما يَظهَرُ بَينَهم مِن الأدلّةِ دونَ غَيرِها، فهكذا يَجِبُ إذا عُلِمَ تَمسُّكُهم بالإجماعِ‌، و ظهَرَ بَينَهم</w:t>
      </w:r>
      <w:r>
        <w:rPr>
          <w:rStyle w:val="FootnoteAnchor"/>
          <w:rtl w:val="true"/>
        </w:rPr>
        <w:footnoteReference w:id="549"/>
      </w:r>
      <w:r>
        <w:rPr>
          <w:rFonts w:ascii="Amiri" w:hAnsi="Amiri" w:eastAsia="Amiri" w:cs="Amiri"/>
          <w:color w:val="111111"/>
          <w:sz w:val="28"/>
          <w:sz w:val="28"/>
          <w:szCs w:val="28"/>
          <w:rtl w:val="true"/>
          <w:lang w:bidi="ar-SA"/>
        </w:rPr>
        <w:t xml:space="preserve">أمرانِ لأحَدِهما علَى الآخَرِ فضلٌ عظيمٌ في الظُّهورِ و الشُّهرةِ و القُوّةِ ، أن يُقضىٰ </w:t>
      </w:r>
      <w:r>
        <w:rPr>
          <w:rStyle w:val="FootnoteAnchor"/>
          <w:rtl w:val="true"/>
        </w:rPr>
        <w:footnoteReference w:id="550"/>
      </w:r>
      <w:r>
        <w:rPr>
          <w:rFonts w:ascii="Amiri" w:hAnsi="Amiri" w:eastAsia="Amiri" w:cs="Amiri"/>
          <w:color w:val="111111"/>
          <w:sz w:val="28"/>
          <w:sz w:val="28"/>
          <w:szCs w:val="28"/>
          <w:rtl w:val="true"/>
          <w:lang w:bidi="ar-SA"/>
        </w:rPr>
        <w:t>بأنّ عملَهم إنّما كانَ مِن أجلِ القويِّ العالي الرُّتبةِ في الظُّهورِ؛ لأنّ حُسنَ الظنِّ بهم هو</w:t>
      </w:r>
      <w:r>
        <w:rPr>
          <w:rStyle w:val="FootnoteAnchor"/>
          <w:rtl w:val="true"/>
        </w:rPr>
        <w:footnoteReference w:id="551"/>
      </w:r>
      <w:r>
        <w:rPr>
          <w:rFonts w:ascii="Amiri" w:hAnsi="Amiri" w:eastAsia="Amiri" w:cs="Amiri"/>
          <w:color w:val="111111"/>
          <w:sz w:val="28"/>
          <w:sz w:val="28"/>
          <w:szCs w:val="28"/>
          <w:rtl w:val="true"/>
          <w:lang w:bidi="ar-SA"/>
        </w:rPr>
        <w:t xml:space="preserve">الذي يَقتَضي حَملَ أفعالِهم علَى الصِّحّةِ ، و موافَقةَ الحَقِّ و الدِّينِ يَقتَضي هذا،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عملُهم و تَمسُّكُهم و اتُّفِقَ علىٰ أمرٍ ظهَرَ بَينَهم</w:t>
      </w:r>
      <w:r>
        <w:rPr>
          <w:rStyle w:val="FootnoteAnchor"/>
          <w:rtl w:val="true"/>
        </w:rPr>
        <w:footnoteReference w:id="552"/>
      </w:r>
      <w:r>
        <w:rPr>
          <w:rFonts w:ascii="Amiri" w:hAnsi="Amiri" w:eastAsia="Amiri" w:cs="Amiri"/>
          <w:color w:val="111111"/>
          <w:sz w:val="28"/>
          <w:sz w:val="28"/>
          <w:szCs w:val="28"/>
          <w:rtl w:val="true"/>
          <w:lang w:bidi="ar-SA"/>
        </w:rPr>
        <w:t xml:space="preserve">و اشتهَرَ يُمكِنُ أن يَكونوا فَعَلوا له و مِن أجلِه، و ادُّعيَ ظُهورُ أمرٍ آخَرَ بَينَهم لَم يَقَعِ الاتّفاقُ عليه و لا التسليمُ مِن جَماعةِ الأُمّةِ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بأنّ تَمسُّكَهم إنّما كانَ لأجلِ المعلومِ المتيقَّنِ دونَ المشكوكِ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يوجِبُ القَطعَ علىٰ أنّ عملَهم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Style w:val="FootnoteAnchor"/>
          <w:rtl w:val="true"/>
        </w:rPr>
        <w:footnoteReference w:id="553"/>
      </w:r>
      <w:bookmarkStart w:id="99" w:name="pg20015_284793"/>
    </w:p>
    <w:p>
      <w:pPr>
        <w:pStyle w:val="BookText"/>
        <w:rPr/>
      </w:pPr>
      <w:bookmarkEnd w:id="99"/>
      <w:r>
        <w:rPr>
          <w:rFonts w:ascii="Amiri" w:hAnsi="Amiri" w:eastAsia="Amiri" w:cs="Amiri"/>
          <w:color w:val="111111"/>
          <w:sz w:val="28"/>
          <w:sz w:val="28"/>
          <w:szCs w:val="28"/>
          <w:rtl w:val="true"/>
          <w:lang w:bidi="ar-SA"/>
        </w:rPr>
        <w:t xml:space="preserve">الآياتِ التي قد عُلِمَ ظُهورُها بَينَهم، و اتُّفِقَ علىٰ </w:t>
      </w:r>
      <w:r>
        <w:rPr>
          <w:rStyle w:val="FootnoteAnchor"/>
          <w:rtl w:val="true"/>
        </w:rPr>
        <w:footnoteReference w:id="554"/>
      </w:r>
      <w:r>
        <w:rPr>
          <w:rFonts w:ascii="Amiri" w:hAnsi="Amiri" w:eastAsia="Amiri" w:cs="Amiri"/>
          <w:color w:val="111111"/>
          <w:sz w:val="28"/>
          <w:sz w:val="28"/>
          <w:szCs w:val="28"/>
          <w:rtl w:val="true"/>
          <w:lang w:bidi="ar-SA"/>
        </w:rPr>
        <w:t>وقوفِهم عليها و معرفتِهم بها، دونَ الخبرِ الذي يَعتَقِدُ كثيرٌ مِن الأُمّةِ أنّه مُوَلَّدٌ</w:t>
      </w:r>
      <w:r>
        <w:rPr>
          <w:rStyle w:val="FootnoteAnchor"/>
          <w:rtl w:val="true"/>
        </w:rPr>
        <w:footnoteReference w:id="555"/>
      </w:r>
      <w:r>
        <w:rPr>
          <w:rFonts w:ascii="Amiri" w:hAnsi="Amiri" w:eastAsia="Amiri" w:cs="Amiri"/>
          <w:color w:val="111111"/>
          <w:sz w:val="28"/>
          <w:sz w:val="28"/>
          <w:szCs w:val="28"/>
          <w:rtl w:val="true"/>
          <w:lang w:bidi="ar-SA"/>
        </w:rPr>
        <w:t>مصنوعٌ لَم تَعرِفْه الصَّحابةُ و لا سَمِعَت به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894791_2320776876"/>
      <w:bookmarkStart w:id="101" w:name="_Toc37"/>
      <w:bookmarkEnd w:id="100"/>
      <w:r>
        <w:rPr>
          <w:rtl w:val="true"/>
        </w:rPr>
        <w:t>مناقشة المقدّمة الثالثة</w:t>
      </w:r>
      <w:r>
        <w:rPr>
          <w:rtl w:val="true"/>
        </w:rPr>
        <w:t xml:space="preserve">: </w:t>
      </w:r>
      <w:r>
        <w:rPr>
          <w:rtl w:val="true"/>
        </w:rPr>
        <w:t>جواز خطإ الصحابة في التمسّك ببعض الأخبار الباطلة</w:t>
      </w:r>
      <w:bookmarkEnd w:id="101"/>
    </w:p>
    <w:p>
      <w:pPr>
        <w:pStyle w:val="Heading6"/>
        <w:numPr>
          <w:ilvl w:val="5"/>
          <w:numId w:val="1"/>
        </w:numPr>
        <w:rPr/>
      </w:pPr>
      <w:bookmarkStart w:id="102" w:name="__RefHeading___Toc894793_2320776876"/>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مِن عادةِ الصَّحابةِ و مَن بَعدَهم</w:t>
      </w:r>
      <w:r>
        <w:rPr>
          <w:rStyle w:val="FootnoteAnchor"/>
          <w:rtl w:val="true"/>
        </w:rPr>
        <w:footnoteReference w:id="556"/>
      </w:r>
      <w:r>
        <w:rPr>
          <w:rFonts w:ascii="Amiri" w:hAnsi="Amiri" w:eastAsia="Amiri" w:cs="Amiri"/>
          <w:color w:val="111111"/>
          <w:sz w:val="28"/>
          <w:sz w:val="28"/>
          <w:szCs w:val="28"/>
          <w:rtl w:val="true"/>
          <w:lang w:bidi="ar-SA"/>
        </w:rPr>
        <w:t>في الأخبارِ أنّهم كانوا يَتثبَّتونَ فيما لا يَعظُمُ الوِزرُ و الخطأُ فيه</w:t>
      </w:r>
      <w:r>
        <w:rPr>
          <w:rStyle w:val="FootnoteAnchor"/>
          <w:rtl w:val="true"/>
        </w:rPr>
        <w:footnoteReference w:id="557"/>
      </w:r>
      <w:r>
        <w:rPr>
          <w:rFonts w:ascii="Amiri" w:hAnsi="Amiri" w:eastAsia="Amiri" w:cs="Amiri"/>
          <w:color w:val="111111"/>
          <w:sz w:val="28"/>
          <w:sz w:val="28"/>
          <w:szCs w:val="28"/>
          <w:rtl w:val="true"/>
          <w:lang w:bidi="ar-SA"/>
        </w:rPr>
        <w:t>مِثلُ الذي رُويَ‌</w:t>
      </w:r>
      <w:r>
        <w:rPr>
          <w:rStyle w:val="FootnoteAnchor"/>
          <w:rtl w:val="true"/>
        </w:rPr>
        <w:footnoteReference w:id="558"/>
      </w:r>
      <w:r>
        <w:rPr>
          <w:rFonts w:ascii="Amiri" w:hAnsi="Amiri" w:eastAsia="Amiri" w:cs="Amiri"/>
          <w:color w:val="111111"/>
          <w:sz w:val="28"/>
          <w:sz w:val="28"/>
          <w:szCs w:val="28"/>
          <w:rtl w:val="true"/>
          <w:lang w:bidi="ar-SA"/>
        </w:rPr>
        <w:t>عن عُمَرَ</w:t>
      </w:r>
      <w:r>
        <w:rPr>
          <w:rStyle w:val="FootnoteAnchor"/>
          <w:rtl w:val="true"/>
        </w:rPr>
        <w:footnoteReference w:id="559"/>
      </w:r>
      <w:r>
        <w:rPr>
          <w:rFonts w:ascii="Amiri" w:hAnsi="Amiri" w:eastAsia="Amiri" w:cs="Amiri"/>
          <w:color w:val="111111"/>
          <w:sz w:val="28"/>
          <w:sz w:val="28"/>
          <w:szCs w:val="28"/>
          <w:rtl w:val="true"/>
          <w:lang w:bidi="ar-SA"/>
        </w:rPr>
        <w:t>في الاستئذانِ‌</w:t>
      </w:r>
      <w:r>
        <w:rPr>
          <w:rStyle w:val="FootnoteAnchor"/>
          <w:rtl w:val="true"/>
        </w:rPr>
        <w:footnoteReference w:id="560"/>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عليٍّ عليه السلامُ أنّه كانَ يُحلِّفُ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يُخبِرُه الخبرَ عن الرسولِ‌، إلىٰ غَيرِ ذلكَ‌؛</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فكَيفَ يَصِحُّ أن يَجريَ‌</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بمِثلِ‌</w:t>
      </w:r>
      <w:r>
        <w:rPr>
          <w:rStyle w:val="FootnoteAnchor"/>
          <w:rtl w:val="true"/>
        </w:rPr>
        <w:footnoteReference w:id="563"/>
      </w:r>
      <w:r>
        <w:rPr>
          <w:rFonts w:ascii="Amiri" w:hAnsi="Amiri" w:eastAsia="Amiri" w:cs="Amiri"/>
          <w:color w:val="111111"/>
          <w:sz w:val="28"/>
          <w:sz w:val="28"/>
          <w:szCs w:val="28"/>
          <w:rtl w:val="true"/>
          <w:lang w:bidi="ar-SA"/>
        </w:rPr>
        <w:t>ذلكَ‌</w:t>
      </w:r>
      <w:r>
        <w:rPr>
          <w:rStyle w:val="FootnoteAnchor"/>
          <w:rtl w:val="true"/>
        </w:rPr>
        <w:footnoteReference w:id="564"/>
      </w:r>
      <w:r>
        <w:rPr>
          <w:rFonts w:ascii="Amiri" w:hAnsi="Amiri" w:eastAsia="Amiri" w:cs="Amiri"/>
          <w:color w:val="111111"/>
          <w:sz w:val="28"/>
          <w:sz w:val="28"/>
          <w:szCs w:val="28"/>
          <w:rtl w:val="true"/>
          <w:lang w:bidi="ar-SA"/>
        </w:rPr>
        <w:t>عادتُهم لِما هُم عليه مِن الديانةِ و شِدّةِ التحرُّزِ مِن الغلطِ فيها، و مع ذلكَ يَتمسَّكونَ بالإجماعِ‌، و يَجعَلونَه مِن أُصولِ الدِّينِ‌، و يَعتَمِدونَ عليه في الأحكامِ‌، و يَقطَعونَ عندَه الاجتهادَ و الرأيَ لأجلِ خبرٍ ذَكَروه غَيرِ صحيحٍ عندَهم، و العادةُ الظاهرةُ عنهم أنّ ما طَريقُه الخبرُ الذي لَم يَثبُتْ‌</w:t>
      </w:r>
      <w:r>
        <w:rPr>
          <w:rStyle w:val="FootnoteAnchor"/>
          <w:rtl w:val="true"/>
        </w:rPr>
        <w:footnoteReference w:id="565"/>
      </w:r>
      <w:r>
        <w:rPr>
          <w:rFonts w:ascii="Amiri" w:hAnsi="Amiri" w:eastAsia="Amiri" w:cs="Amiri"/>
          <w:color w:val="111111"/>
          <w:sz w:val="28"/>
          <w:sz w:val="28"/>
          <w:szCs w:val="28"/>
          <w:rtl w:val="true"/>
          <w:lang w:bidi="ar-SA"/>
        </w:rPr>
        <w:t xml:space="preserve">صحّتُه قد كانَ يَقبَلُه واحدٌ و يَرُدُّه آخَرُ، و إنّما كانوا يُطبِقونَ </w:t>
      </w:r>
      <w:r>
        <w:rPr>
          <w:rStyle w:val="FootnoteAnchor"/>
          <w:rtl w:val="true"/>
        </w:rPr>
        <w:footnoteReference w:id="566"/>
      </w:r>
      <w:r>
        <w:rPr>
          <w:rFonts w:ascii="Amiri" w:hAnsi="Amiri" w:eastAsia="Amiri" w:cs="Amiri"/>
          <w:color w:val="111111"/>
          <w:sz w:val="28"/>
          <w:sz w:val="28"/>
          <w:szCs w:val="28"/>
          <w:rtl w:val="true"/>
          <w:lang w:bidi="ar-SA"/>
        </w:rPr>
        <w:t xml:space="preserve">علَى الخبرِ و العملِ به إذا جَمَعَهم علىٰ ذلكَ العِلمُ </w:t>
      </w:r>
      <w:r>
        <w:rPr>
          <w:rStyle w:val="FootnoteAnchor"/>
          <w:rtl w:val="true"/>
        </w:rPr>
        <w:footnoteReference w:id="567"/>
      </w:r>
      <w:r>
        <w:rPr>
          <w:rFonts w:ascii="Amiri" w:hAnsi="Amiri" w:eastAsia="Amiri" w:cs="Amiri"/>
          <w:color w:val="111111"/>
          <w:sz w:val="28"/>
          <w:sz w:val="28"/>
          <w:szCs w:val="28"/>
          <w:rtl w:val="true"/>
          <w:lang w:bidi="ar-SA"/>
        </w:rPr>
        <w:t xml:space="preserve">بصحّةِ </w:t>
      </w:r>
      <w:r>
        <w:rPr>
          <w:rStyle w:val="FootnoteAnchor"/>
          <w:rtl w:val="true"/>
        </w:rPr>
        <w:footnoteReference w:id="568"/>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مُمتَنِعٍ في الصَّحابة أن يَتوقَّفوا في بعضِ الأخبارِ لضَعفِ الشُّبهةِ فيه، و يُمضوا غَيرَه و يَعتَقِدوا صِحّتَه لقُوّةِ الشُّبهةِ </w:t>
      </w:r>
      <w:r>
        <w:rPr>
          <w:rStyle w:val="FootnoteAnchor"/>
          <w:rtl w:val="true"/>
        </w:rPr>
        <w:footnoteReference w:id="570"/>
      </w:r>
      <w:r>
        <w:rPr>
          <w:rFonts w:ascii="Amiri" w:hAnsi="Amiri" w:eastAsia="Amiri" w:cs="Amiri"/>
          <w:color w:val="111111"/>
          <w:sz w:val="28"/>
          <w:sz w:val="28"/>
          <w:szCs w:val="28"/>
          <w:rtl w:val="true"/>
          <w:lang w:bidi="ar-SA"/>
        </w:rPr>
        <w:t>إمّا</w:t>
      </w:r>
      <w:r>
        <w:rPr>
          <w:rStyle w:val="FootnoteAnchor"/>
          <w:rtl w:val="true"/>
        </w:rPr>
        <w:footnoteReference w:id="571"/>
      </w:r>
      <w:r>
        <w:rPr>
          <w:rFonts w:ascii="Amiri" w:hAnsi="Amiri" w:eastAsia="Amiri" w:cs="Amiri"/>
          <w:color w:val="111111"/>
          <w:sz w:val="28"/>
          <w:sz w:val="28"/>
          <w:szCs w:val="28"/>
          <w:rtl w:val="true"/>
          <w:lang w:bidi="ar-SA"/>
        </w:rPr>
        <w:t xml:space="preserve">لأنّهم أَحسَنوا الظَّنَّ براويهِ و غلَبَ علىٰ قُلوبِهم مِن ثِقتِه و أمانتِه ما دَعاهُم إلَى اعتقادِ صِحّةِ خبرِه، أو لأنّ الخبرَ وافَقَ مِنهم اعتقاداً متقدِّماً لِمَعناه فاعتَقَدوا صِحّتَه مِن حَيثُ طابَقَ ما في نُفوسِهم، أو لأنّهم وَجَدوه مُوافِقاً للآياتِ التي يُتعلَّقُ بها في صِحّةِ الإجماعِ و كانوا مُعتقِدينَ </w:t>
      </w:r>
    </w:p>
    <w:p>
      <w:pPr>
        <w:pStyle w:val="BookText"/>
        <w:rPr/>
      </w:pPr>
      <w:r>
        <w:rPr>
          <w:rFonts w:ascii="Amiri" w:hAnsi="Amiri" w:eastAsia="Amiri" w:cs="Amiri"/>
          <w:color w:val="111111"/>
          <w:sz w:val="28"/>
          <w:sz w:val="28"/>
          <w:szCs w:val="28"/>
          <w:rtl w:val="true"/>
          <w:lang w:bidi="ar-SA"/>
        </w:rPr>
        <w:t>فيها أنّها دالّةٌ علىٰ كَونِ الإجماعِ حُجّةً فصَدَّقوا به مِن هذا الوجهِ‌، إلىٰ غَيرِ ما ذَكَرناه مِن وُجوهِ الشُّبَهِ‌</w:t>
      </w:r>
      <w:r>
        <w:rPr>
          <w:rStyle w:val="FootnoteAnchor"/>
          <w:rtl w:val="true"/>
        </w:rPr>
        <w:footnoteReference w:id="572"/>
      </w:r>
      <w:r>
        <w:rPr>
          <w:rFonts w:ascii="Amiri" w:hAnsi="Amiri" w:eastAsia="Amiri" w:cs="Amiri"/>
          <w:color w:val="111111"/>
          <w:sz w:val="28"/>
          <w:sz w:val="28"/>
          <w:szCs w:val="28"/>
          <w:rtl w:val="true"/>
          <w:lang w:bidi="ar-SA"/>
        </w:rPr>
        <w:t xml:space="preserve">و طُرُقِها، و 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إذا رَدّوا باطلاً أو</w:t>
      </w:r>
      <w:r>
        <w:rPr>
          <w:rStyle w:val="FootnoteAnchor"/>
          <w:rtl w:val="true"/>
        </w:rPr>
        <w:footnoteReference w:id="573"/>
      </w:r>
      <w:r>
        <w:rPr>
          <w:rFonts w:ascii="Amiri" w:hAnsi="Amiri" w:eastAsia="Amiri" w:cs="Amiri"/>
          <w:color w:val="111111"/>
          <w:sz w:val="28"/>
          <w:sz w:val="28"/>
          <w:szCs w:val="28"/>
          <w:rtl w:val="true"/>
          <w:lang w:bidi="ar-SA"/>
        </w:rPr>
        <w:t>تَوقَّفوا في مشكوكٍ فيه أن يَفعَلوا ذلكَ في كُلِّ ما جَرىٰ هذا المَجرىٰ ؛ لأنّ المُسارَعةَ إلىٰ قَبولِ بعضِ الباطلِ قد تَقَعُ مِن العُقَلاءِ و أهلِ الدِّينِ لقُوّةِ الشُّبهةِ ، و إن</w:t>
      </w:r>
      <w:r>
        <w:rPr>
          <w:rStyle w:val="FootnoteAnchor"/>
          <w:rtl w:val="true"/>
        </w:rPr>
        <w:footnoteReference w:id="574"/>
      </w:r>
      <w:r>
        <w:rPr>
          <w:rFonts w:ascii="Amiri" w:hAnsi="Amiri" w:eastAsia="Amiri" w:cs="Amiri"/>
          <w:color w:val="111111"/>
          <w:sz w:val="28"/>
          <w:sz w:val="28"/>
          <w:szCs w:val="28"/>
          <w:rtl w:val="true"/>
          <w:lang w:bidi="ar-SA"/>
        </w:rPr>
        <w:t xml:space="preserve">لَم يَجِبْ أن يُسارِعوا إلَى التصديقِ بكُلِّ </w:t>
      </w:r>
      <w:r>
        <w:rPr>
          <w:rStyle w:val="FootnoteAnchor"/>
          <w:rtl w:val="true"/>
        </w:rPr>
        <w:footnoteReference w:id="575"/>
      </w:r>
      <w:r>
        <w:rPr>
          <w:rFonts w:ascii="Amiri" w:hAnsi="Amiri" w:eastAsia="Amiri" w:cs="Amiri"/>
          <w:color w:val="111111"/>
          <w:sz w:val="28"/>
          <w:sz w:val="28"/>
          <w:szCs w:val="28"/>
          <w:rtl w:val="true"/>
          <w:lang w:bidi="ar-SA"/>
        </w:rPr>
        <w:t>باطلٍ و إن ضَعُفَت شُبهَتُه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محصولُ كلامِ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أصابوا في شَيءٍ فلا بُدَّ أن يُصيبوا في كُلِّ شَيءٍ ، و علىٰ هذا بَنىٰ دَعواه أنّ عادَتَهم جَرَت بأنْ لا يَقبَلوا إلّاالصحيحَ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الفَسادِ</w:t>
      </w:r>
      <w:r>
        <w:rPr>
          <w:rStyle w:val="FootnoteAnchor"/>
          <w:rtl w:val="true"/>
        </w:rPr>
        <w:footnoteReference w:id="576"/>
      </w:r>
      <w:r>
        <w:rPr>
          <w:rFonts w:ascii="Amiri" w:hAnsi="Amiri" w:eastAsia="Amiri" w:cs="Amiri"/>
          <w:color w:val="111111"/>
          <w:sz w:val="28"/>
          <w:sz w:val="28"/>
          <w:szCs w:val="28"/>
          <w:rtl w:val="true"/>
          <w:lang w:bidi="ar-SA"/>
        </w:rPr>
        <w:t>لأنّ المُصيبَ في أُمورٍ كثيرةٍ لا يَمتَنِعُ أن يُخطِئَ في غَيرِها، و لَيسَ هذا مِمّا يُراعىٰ فيه عادةٌ‌، علىٰ أنّه أيضاً مُدَّعٍ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أنّ جميعَ ما رَدُّوه كانَ باطِلاً، و كُلَّ ما قَبِلُوه كانَ صَحيحاً؟ لَم يَجِدْ مُتعلَّقاً، و لَيسَ يَثبُتُ </w:t>
      </w:r>
      <w:r>
        <w:rPr>
          <w:rStyle w:val="FootnoteAnchor"/>
          <w:rtl w:val="true"/>
        </w:rPr>
        <w:footnoteReference w:id="577"/>
      </w:r>
      <w:r>
        <w:rPr>
          <w:rFonts w:ascii="Amiri" w:hAnsi="Amiri" w:eastAsia="Amiri" w:cs="Amiri"/>
          <w:color w:val="111111"/>
          <w:sz w:val="28"/>
          <w:sz w:val="28"/>
          <w:szCs w:val="28"/>
          <w:rtl w:val="true"/>
          <w:lang w:bidi="ar-SA"/>
        </w:rPr>
        <w:t xml:space="preserve">له العادةُ التي ذَكرَها إلّابَعدَ ثُبوتِ أنّهم لَم يَقبَلوا إلّاالصحيحَ ، و لَم يَدفَعوا إلّاالباطلَ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مُسلَّمٍ في كُلِّ شيءٍ رَدُّوه</w:t>
      </w:r>
      <w:r>
        <w:rPr>
          <w:rStyle w:val="FootnoteAnchor"/>
          <w:rtl w:val="true"/>
        </w:rPr>
        <w:footnoteReference w:id="578"/>
      </w:r>
      <w:r>
        <w:rPr>
          <w:rFonts w:ascii="IRNazanin" w:hAnsi="IRNazanin" w:eastAsia="IRNazanin"/>
          <w:color w:val="111111"/>
          <w:sz w:val="28"/>
          <w:sz w:val="28"/>
          <w:szCs w:val="28"/>
          <w:rtl w:val="true"/>
          <w:lang w:bidi="fa-IR"/>
        </w:rPr>
        <w:t>و</w:t>
      </w:r>
      <w:r>
        <w:rPr>
          <w:rStyle w:val="FootnoteAnchor"/>
          <w:rtl w:val="true"/>
        </w:rPr>
        <w:footnoteReference w:id="579"/>
      </w:r>
      <w:r>
        <w:rPr>
          <w:rFonts w:ascii="Amiri" w:hAnsi="Amiri" w:eastAsia="Amiri" w:cs="Amiri"/>
          <w:color w:val="111111"/>
          <w:sz w:val="28"/>
          <w:sz w:val="28"/>
          <w:szCs w:val="28"/>
          <w:rtl w:val="true"/>
          <w:lang w:bidi="ar-SA"/>
        </w:rPr>
        <w:t>قَبِلوه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المُعتَمِدِ علىٰ هذه الطريقةِ ، و بَينَ مَن قالَ في نفسِه</w:t>
      </w:r>
      <w:r>
        <w:rPr>
          <w:rStyle w:val="FootnoteAnchor"/>
          <w:rtl w:val="true"/>
        </w:rPr>
        <w:footnoteReference w:id="580"/>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كُنتُ أو كانَ فُلانٌ مُصيباً في كُلِّ أفعالِه و اعتقاداتِه، و متمسِّكاً بالحَقِّ‌، و دافِعاً للباطلِ‌، و كانَ هذا معلوماً و</w:t>
      </w:r>
      <w:r>
        <w:rPr>
          <w:rStyle w:val="FootnoteAnchor"/>
          <w:rtl w:val="true"/>
        </w:rPr>
        <w:footnoteReference w:id="581"/>
      </w:r>
      <w:r>
        <w:rPr>
          <w:rFonts w:ascii="Amiri" w:hAnsi="Amiri" w:eastAsia="Amiri" w:cs="Amiri"/>
          <w:color w:val="111111"/>
          <w:sz w:val="28"/>
          <w:sz w:val="28"/>
          <w:szCs w:val="28"/>
          <w:rtl w:val="true"/>
          <w:lang w:bidi="ar-SA"/>
        </w:rPr>
        <w:t>مسلَّماً، وَجَبَ أن تَكونَ‌</w:t>
      </w:r>
      <w:r>
        <w:rPr>
          <w:rStyle w:val="FootnoteAnchor"/>
          <w:rtl w:val="true"/>
        </w:rPr>
        <w:footnoteReference w:id="582"/>
      </w:r>
      <w:r>
        <w:rPr>
          <w:rFonts w:ascii="Amiri" w:hAnsi="Amiri" w:eastAsia="Amiri" w:cs="Amiri"/>
          <w:color w:val="111111"/>
          <w:sz w:val="28"/>
          <w:sz w:val="28"/>
          <w:szCs w:val="28"/>
          <w:rtl w:val="true"/>
          <w:lang w:bidi="ar-SA"/>
        </w:rPr>
        <w:t>هذه عادةً مستمِرّةً مانِعةً مِن</w:t>
      </w:r>
      <w:r>
        <w:rPr>
          <w:rStyle w:val="FootnoteAnchor"/>
          <w:rtl w:val="true"/>
        </w:rPr>
        <w:footnoteReference w:id="583"/>
      </w:r>
      <w:r>
        <w:rPr>
          <w:rFonts w:ascii="Amiri" w:hAnsi="Amiri" w:eastAsia="Amiri" w:cs="Amiri"/>
          <w:color w:val="111111"/>
          <w:sz w:val="28"/>
          <w:sz w:val="28"/>
          <w:szCs w:val="28"/>
          <w:rtl w:val="true"/>
          <w:lang w:bidi="ar-SA"/>
        </w:rPr>
        <w:t>أن يُخطِئَ في شَيءٍ مِن الأشياءِ‌، أو يَعتقدَه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القائلُ عندَ جميعِ العُقَلاءِ مُبطِلاً واضِعاً للقَولِ في غَيرِ مَوضعِه</w:t>
      </w:r>
      <w:r>
        <w:rPr>
          <w:rStyle w:val="FootnoteAnchor"/>
          <w:rtl w:val="true"/>
        </w:rPr>
        <w:footnoteReference w:id="584"/>
      </w:r>
      <w:r>
        <w:rPr>
          <w:rFonts w:ascii="Amiri" w:hAnsi="Amiri" w:eastAsia="Amiri" w:cs="Amiri"/>
          <w:color w:val="111111"/>
          <w:sz w:val="28"/>
          <w:sz w:val="28"/>
          <w:szCs w:val="28"/>
          <w:rtl w:val="true"/>
          <w:lang w:bidi="ar-SA"/>
        </w:rPr>
        <w:t>، و كانَ جوابُهم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و إن كانَ مُصيباً عندَنا في اعتقاداتِه 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بعاصِمٍ له مِن اعتقادِ باطلٍ تَقوىٰ‌</w:t>
      </w:r>
      <w:r>
        <w:rPr>
          <w:rStyle w:val="FootnoteAnchor"/>
          <w:rtl w:val="true"/>
        </w:rPr>
        <w:footnoteReference w:id="585"/>
      </w:r>
      <w:r>
        <w:rPr>
          <w:rFonts w:ascii="Amiri" w:hAnsi="Amiri" w:eastAsia="Amiri" w:cs="Amiri"/>
          <w:color w:val="111111"/>
          <w:sz w:val="28"/>
          <w:sz w:val="28"/>
          <w:szCs w:val="28"/>
          <w:rtl w:val="true"/>
          <w:lang w:bidi="ar-SA"/>
        </w:rPr>
        <w:t>شُبهتُه عليه، و إنّما حَكَمنا بصَوابِ أفعالِه مِن حَيثُ عَلِمنا بالدليلِ صِحّتَها، فيَجِبُ أن يَكونَ هذا حُكمَنا في جميعِ ما يَعتقدُه و يَفعَلُه</w:t>
      </w:r>
      <w:r>
        <w:rPr>
          <w:rStyle w:val="FootnoteAnchor"/>
          <w:rtl w:val="true"/>
        </w:rPr>
        <w:footnoteReference w:id="586"/>
      </w:r>
      <w:r>
        <w:rPr>
          <w:rFonts w:ascii="Amiri" w:hAnsi="Amiri" w:eastAsia="Amiri" w:cs="Amiri"/>
          <w:color w:val="111111"/>
          <w:sz w:val="28"/>
          <w:sz w:val="28"/>
          <w:szCs w:val="28"/>
          <w:rtl w:val="true"/>
          <w:lang w:bidi="ar-SA"/>
        </w:rPr>
        <w:t>، و لا نَجعَلَ‌</w:t>
      </w:r>
      <w:r>
        <w:rPr>
          <w:rStyle w:val="FootnoteAnchor"/>
          <w:rtl w:val="true"/>
        </w:rPr>
        <w:footnoteReference w:id="587"/>
      </w:r>
      <w:r>
        <w:rPr>
          <w:rFonts w:ascii="Amiri" w:hAnsi="Amiri" w:eastAsia="Amiri" w:cs="Amiri"/>
          <w:color w:val="111111"/>
          <w:sz w:val="28"/>
          <w:sz w:val="28"/>
          <w:szCs w:val="28"/>
          <w:rtl w:val="true"/>
          <w:lang w:bidi="ar-SA"/>
        </w:rPr>
        <w:t>صَوابَه في البعضِ دَلالةً علىٰ صَوابِه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صورةُ صاحبِ الكتابِ فيما تَعلَّقَ‌</w:t>
      </w:r>
      <w:r>
        <w:rPr>
          <w:rStyle w:val="FootnoteAnchor"/>
          <w:rtl w:val="true"/>
        </w:rPr>
        <w:footnoteReference w:id="588"/>
      </w:r>
      <w:r>
        <w:rPr>
          <w:rFonts w:ascii="Amiri" w:hAnsi="Amiri" w:eastAsia="Amiri" w:cs="Amiri"/>
          <w:color w:val="111111"/>
          <w:sz w:val="28"/>
          <w:sz w:val="28"/>
          <w:szCs w:val="28"/>
          <w:rtl w:val="true"/>
          <w:lang w:bidi="ar-SA"/>
        </w:rPr>
        <w:t xml:space="preserve">به، فيَجِبُ أن يَكونَ جوابُه مِثلَ ذلكَ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نِهايةُ ما يَقتَضيهِ حُسنُ الظنِّ بالصَّحابةِ ، و حَملُ أُمورِهم علىٰ ما يُشبِهُ ما استقَرَّ في النُّفوسِ مِن تعظيمِهم و تبجيلِهم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w:t>
      </w:r>
      <w:r>
        <w:rPr>
          <w:rStyle w:val="FootnoteAnchor"/>
          <w:rtl w:val="true"/>
        </w:rPr>
        <w:footnoteReference w:id="589"/>
      </w:r>
      <w:r>
        <w:rPr>
          <w:rFonts w:ascii="Amiri" w:hAnsi="Amiri" w:eastAsia="Amiri" w:cs="Amiri"/>
          <w:color w:val="111111"/>
          <w:sz w:val="28"/>
          <w:sz w:val="28"/>
          <w:szCs w:val="28"/>
          <w:rtl w:val="true"/>
          <w:lang w:bidi="ar-SA"/>
        </w:rPr>
        <w:t>بأنّهم لَم يَقبَلوا الخبرَ</w:t>
      </w:r>
      <w:r>
        <w:rPr>
          <w:rStyle w:val="FootnoteAnchor"/>
          <w:rtl w:val="true"/>
        </w:rPr>
        <w:footnoteReference w:id="590"/>
      </w:r>
      <w:r>
        <w:rPr>
          <w:rFonts w:ascii="Amiri" w:hAnsi="Amiri" w:eastAsia="Amiri" w:cs="Amiri"/>
          <w:color w:val="111111"/>
          <w:sz w:val="28"/>
          <w:sz w:val="28"/>
          <w:szCs w:val="28"/>
          <w:rtl w:val="true"/>
          <w:lang w:bidi="ar-SA"/>
        </w:rPr>
        <w:t>المذكورَ</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يَعدِلوا عن رَدِّه و تكذيبِ راويهِ‌</w:t>
      </w:r>
      <w:r>
        <w:rPr>
          <w:rStyle w:val="FootnoteAnchor"/>
          <w:rtl w:val="true"/>
        </w:rPr>
        <w:footnoteReference w:id="592"/>
      </w:r>
      <w:r>
        <w:rPr>
          <w:rFonts w:ascii="Amiri" w:hAnsi="Amiri" w:eastAsia="Amiri" w:cs="Amiri"/>
          <w:color w:val="111111"/>
          <w:sz w:val="28"/>
          <w:sz w:val="28"/>
          <w:szCs w:val="28"/>
          <w:rtl w:val="true"/>
          <w:lang w:bidi="ar-SA"/>
        </w:rPr>
        <w:t>إلّابَعدَ أن اعتَقَدوا صِحّتَه، و قَوِيَت الشُّبهةُ عليهم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فَعَلناه، و لَيسَ يَنتَهي حُسنُ الظنِّ بهم إلىٰ أن يوجِبَ علينا القَطعَ علىٰ عصمتِهم، و أنّهم لا يَعتَقِدونَ إلّاالحَقَّ‌، و لا يَدفَعون إلّاالباطِلَ‌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إذا زِدنا في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يَتلقَّوْا أخبارَ الإجماعِ عن الآحادِ، بَل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ما يُريدُه الخُصومُ‌؛ لأنّه جائزٌ عليهم أن يَعتَقِدوا في الجَماعةِ التي أَوردَت عليهم تلكَ الأخبارَ صفةَ المتواتِرينَ فيُصدِّقوهم و إن لَم يَكونوا في الحقيقةِ كذلكَ‌؛ لأنّ العِلمَ بصِفةِ الجَماعةِ المتواتِرةِ التي يَقطَعُ خبرُها العُذرَ لَيسَ يَحصُلُ ضَرورةً‌، بَل الطريقُ إلَى استدراكِه الاستدلالُ‌، الذي يَجوزُ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تَديَّنَت، و حَسُنَت طَرائقُها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أنْ لا يَنتَهيَ </w:t>
      </w:r>
      <w:r>
        <w:rPr>
          <w:rStyle w:val="FootnoteAnchor"/>
          <w:rtl w:val="true"/>
        </w:rPr>
        <w:footnoteReference w:id="594"/>
      </w:r>
      <w:r>
        <w:rPr>
          <w:rFonts w:ascii="Amiri" w:hAnsi="Amiri" w:eastAsia="Amiri" w:cs="Amiri"/>
          <w:color w:val="111111"/>
          <w:sz w:val="28"/>
          <w:sz w:val="28"/>
          <w:szCs w:val="28"/>
          <w:rtl w:val="true"/>
          <w:lang w:bidi="ar-SA"/>
        </w:rPr>
        <w:t>الضرورةُ بصاحبِ الكتابِ إلىٰ أن يَدَّعيَ أنّ الصَّحابةَ لا يَجوزُ عليها الغلطُ في الاستدلالِ علىٰ كَونِ الخبرِ متواتِراً، و إن كانَ ما ادَّعاه قَريباً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طولِبَ حامِلُ نفسِه علىٰ هذه الطريقةِ </w:t>
      </w:r>
      <w:r>
        <w:rPr>
          <w:rStyle w:val="FootnoteAnchor"/>
          <w:rtl w:val="true"/>
        </w:rPr>
        <w:footnoteReference w:id="595"/>
      </w:r>
      <w:r>
        <w:rPr>
          <w:rFonts w:ascii="Amiri" w:hAnsi="Amiri" w:eastAsia="Amiri" w:cs="Amiri"/>
          <w:color w:val="111111"/>
          <w:sz w:val="28"/>
          <w:sz w:val="28"/>
          <w:szCs w:val="28"/>
          <w:rtl w:val="true"/>
          <w:lang w:bidi="ar-SA"/>
        </w:rPr>
        <w:t xml:space="preserve">بالدَّلالةِ علىٰ صِحّةِ قَولِه ظهَر عَجزُه، و بانَ أمرُه مِن قُربٍ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w:t>
      </w:r>
      <w:r>
        <w:rPr>
          <w:rStyle w:val="FootnoteAnchor"/>
          <w:rtl w:val="true"/>
        </w:rPr>
        <w:footnoteReference w:id="597"/>
      </w:r>
      <w:r>
        <w:rPr>
          <w:rFonts w:ascii="Amiri" w:hAnsi="Amiri" w:eastAsia="Amiri" w:cs="Amiri"/>
          <w:color w:val="111111"/>
          <w:sz w:val="28"/>
          <w:sz w:val="28"/>
          <w:szCs w:val="28"/>
          <w:rtl w:val="true"/>
          <w:lang w:bidi="ar-SA"/>
        </w:rPr>
        <w:t>خِلالِ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يَصِحُّ أن يَفعَلوا كَذا و كَذا لأجلِ خبرٍ غَيرِ صحيحٍ عندَهم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تَمويهٌ ؛ لأنّا لَم نَقُل أنّهم قَبِلوا ما هو غَيرُ صحيحٍ عندَهم، و إنّما </w:t>
      </w:r>
      <w:bookmarkStart w:id="104" w:name="pg20015_284798"/>
    </w:p>
    <w:p>
      <w:pPr>
        <w:pStyle w:val="BookText"/>
        <w:rPr/>
      </w:pPr>
      <w:bookmarkEnd w:id="104"/>
      <w:r>
        <w:rPr>
          <w:rFonts w:ascii="Amiri" w:hAnsi="Amiri" w:eastAsia="Amiri" w:cs="Amiri"/>
          <w:color w:val="111111"/>
          <w:sz w:val="28"/>
          <w:sz w:val="28"/>
          <w:szCs w:val="28"/>
          <w:rtl w:val="true"/>
          <w:lang w:bidi="ar-SA"/>
        </w:rPr>
        <w:t>أَجَزنا عليهم أن يَقبَلوا ما هو غَيرُ صحيحٍ في الحقيقةِ و إنِ اعتقَدوا بالشُّبهةِ صِحّتَه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894795_2320776876"/>
      <w:bookmarkStart w:id="106" w:name="_Toc39"/>
      <w:bookmarkEnd w:id="105"/>
      <w:r>
        <w:rPr>
          <w:rtl w:val="true"/>
        </w:rPr>
        <w:t>عدم رواية جميع الصحابة لجميع الأخبار أو أكثرها</w:t>
      </w:r>
      <w:bookmarkEnd w:id="10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الطريقةُ الثانيةُ‌</w:t>
      </w:r>
      <w:r>
        <w:rPr>
          <w:rStyle w:val="FootnoteAnchor"/>
          <w:rtl w:val="true"/>
        </w:rPr>
        <w:footnoteReference w:id="599"/>
      </w:r>
      <w:r>
        <w:rPr>
          <w:rFonts w:ascii="Amiri" w:hAnsi="Amiri" w:eastAsia="Amiri" w:cs="Amiri"/>
          <w:color w:val="111111"/>
          <w:sz w:val="28"/>
          <w:sz w:val="28"/>
          <w:szCs w:val="28"/>
          <w:rtl w:val="true"/>
          <w:lang w:bidi="ar-SA"/>
        </w:rPr>
        <w:t xml:space="preserve">فقَد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البَغداديّاتِ‌</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 قالَ‌</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602"/>
      </w:r>
      <w:r>
        <w:rPr>
          <w:rFonts w:ascii="Amiri" w:hAnsi="Amiri" w:eastAsia="Amiri" w:cs="Amiri"/>
          <w:color w:val="111111"/>
          <w:sz w:val="28"/>
          <w:sz w:val="28"/>
          <w:szCs w:val="28"/>
          <w:rtl w:val="true"/>
          <w:lang w:bidi="ar-SA"/>
        </w:rPr>
        <w:t xml:space="preserve">كانَ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ثُمّ رحمةُ اللّٰهِ عليهِم</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مُلازِمينَ له في أكثَرِ الأزمانِ‌</w:t>
      </w:r>
      <w:r>
        <w:rPr>
          <w:rStyle w:val="FootnoteAnchor"/>
          <w:rtl w:val="true"/>
        </w:rPr>
        <w:footnoteReference w:id="604"/>
      </w:r>
      <w:r>
        <w:rPr>
          <w:rFonts w:ascii="Amiri" w:hAnsi="Amiri" w:eastAsia="Amiri" w:cs="Amiri"/>
          <w:color w:val="111111"/>
          <w:sz w:val="28"/>
          <w:sz w:val="28"/>
          <w:szCs w:val="28"/>
          <w:rtl w:val="true"/>
          <w:lang w:bidi="ar-SA"/>
        </w:rPr>
        <w:t>إلّافي الأوقاتِ اليَسيرةِ‌، و</w:t>
      </w:r>
      <w:r>
        <w:rPr>
          <w:rStyle w:val="FootnoteAnchor"/>
          <w:rtl w:val="true"/>
        </w:rPr>
        <w:footnoteReference w:id="605"/>
      </w:r>
      <w:r>
        <w:rPr>
          <w:rFonts w:ascii="Amiri" w:hAnsi="Amiri" w:eastAsia="Amiri" w:cs="Amiri"/>
          <w:color w:val="111111"/>
          <w:sz w:val="28"/>
          <w:sz w:val="28"/>
          <w:szCs w:val="28"/>
          <w:rtl w:val="true"/>
          <w:lang w:bidi="ar-SA"/>
        </w:rPr>
        <w:t>التعبُّدُ بما أجمَعَت عليهِ الأُمّةُ يَشمَلُ‌</w:t>
      </w:r>
      <w:r>
        <w:rPr>
          <w:rStyle w:val="FootnoteAnchor"/>
          <w:rtl w:val="true"/>
        </w:rPr>
        <w:footnoteReference w:id="606"/>
      </w:r>
      <w:r>
        <w:rPr>
          <w:rFonts w:ascii="Amiri" w:hAnsi="Amiri" w:eastAsia="Amiri" w:cs="Amiri"/>
          <w:color w:val="111111"/>
          <w:sz w:val="28"/>
          <w:sz w:val="28"/>
          <w:szCs w:val="28"/>
          <w:rtl w:val="true"/>
          <w:lang w:bidi="ar-SA"/>
        </w:rPr>
        <w:t>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أُمّتي لا تَجتَمِعُ علىٰ ضَلالٍ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لَم يَكُن فيهم مَن سَمِعَ ذلكَ ، مع أنّ هذا القَولَ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صَلَّى اللّٰهُ عليه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مَجرىٰ ما تَقومُ </w:t>
      </w:r>
      <w:r>
        <w:rPr>
          <w:rStyle w:val="FootnoteAnchor"/>
          <w:rtl w:val="true"/>
        </w:rPr>
        <w:footnoteReference w:id="610"/>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الحُجّةُ مِنه</w:t>
      </w:r>
      <w:r>
        <w:rPr>
          <w:rStyle w:val="FootnoteAnchor"/>
          <w:rtl w:val="true"/>
        </w:rPr>
        <w:footnoteReference w:id="611"/>
      </w:r>
      <w:r>
        <w:rPr>
          <w:rFonts w:ascii="Amiri" w:hAnsi="Amiri" w:eastAsia="Amiri" w:cs="Amiri"/>
          <w:color w:val="111111"/>
          <w:sz w:val="28"/>
          <w:sz w:val="28"/>
          <w:szCs w:val="28"/>
          <w:rtl w:val="true"/>
          <w:lang w:bidi="ar-SA"/>
        </w:rPr>
        <w:t xml:space="preserve">علَى الناسِ ، و لَم يُخبِرْ بذلكَ إلّاواحدٌ لا يَعرفونَ صِدقَه، لقَد كانَ الواجبُ أن يَرُدّوه و يَقِفوا عندَ قَولِه؛ فلَمّا رَأَيناهم قد أذعَنوا لهذا الخبرِ و لَم يُنكِروه، عُلِمَ </w:t>
      </w:r>
      <w:r>
        <w:rPr>
          <w:rStyle w:val="FootnoteAnchor"/>
          <w:rtl w:val="true"/>
        </w:rPr>
        <w:footnoteReference w:id="612"/>
      </w:r>
      <w:r>
        <w:rPr>
          <w:rFonts w:ascii="Amiri" w:hAnsi="Amiri" w:eastAsia="Amiri" w:cs="Amiri"/>
          <w:color w:val="111111"/>
          <w:sz w:val="28"/>
          <w:sz w:val="28"/>
          <w:szCs w:val="28"/>
          <w:rtl w:val="true"/>
          <w:lang w:bidi="ar-SA"/>
        </w:rPr>
        <w:t xml:space="preserve">أنّه صحيحٌ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فلَو وجَب أن يَرُدَّ الصَّحابةُ مِن الأخبارِ ما لَم يَسمَعْه جميعُهم أو أكثرُهم، لَوجَبَ رَدُّهم كُلَّ الأخبارِ المَرويّةِ أو أكثَرَها؛ لأنّ الأكثَرَ مِن الأخبارِ قد تفرَّدَ بنَقلِه جَماعةٌ‌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غَيرِها، و</w:t>
      </w:r>
      <w:r>
        <w:rPr>
          <w:rStyle w:val="FootnoteAnchor"/>
          <w:rtl w:val="true"/>
        </w:rPr>
        <w:footnoteReference w:id="614"/>
      </w:r>
      <w:r>
        <w:rPr>
          <w:rFonts w:ascii="Amiri" w:hAnsi="Amiri" w:eastAsia="Amiri" w:cs="Amiri"/>
          <w:color w:val="111111"/>
          <w:sz w:val="28"/>
          <w:sz w:val="28"/>
          <w:szCs w:val="28"/>
          <w:rtl w:val="true"/>
          <w:lang w:bidi="ar-SA"/>
        </w:rPr>
        <w:t xml:space="preserve">آحادٌ دونَ جَماعةٍ ، و لَم يَكُن جميعُ الأصحابِ </w:t>
      </w:r>
      <w:r>
        <w:rPr>
          <w:rStyle w:val="FootnoteAnchor"/>
          <w:rtl w:val="true"/>
        </w:rPr>
        <w:footnoteReference w:id="615"/>
      </w:r>
      <w:r>
        <w:rPr>
          <w:rFonts w:ascii="Amiri" w:hAnsi="Amiri" w:eastAsia="Amiri" w:cs="Amiri"/>
          <w:color w:val="111111"/>
          <w:sz w:val="28"/>
          <w:sz w:val="28"/>
          <w:szCs w:val="28"/>
          <w:rtl w:val="true"/>
          <w:lang w:bidi="ar-SA"/>
        </w:rPr>
        <w:t>مُلازِمينَ للنبيِّ صَلَّى اللّٰهُ عليهِ و آلِه في كُلِّ أحوالِه، بَل قد كانَ يَشهَدُ مِنهم بعضٌ و يَغيبُ آخَرُ، و لَيسَ يَمتَنِعُ علىٰ هذا أن يُخبِرَهم بهذا</w:t>
      </w:r>
      <w:r>
        <w:rPr>
          <w:rStyle w:val="FootnoteAnchor"/>
          <w:rtl w:val="true"/>
        </w:rPr>
        <w:footnoteReference w:id="616"/>
      </w:r>
      <w:r>
        <w:rPr>
          <w:rFonts w:ascii="Amiri" w:hAnsi="Amiri" w:eastAsia="Amiri" w:cs="Amiri"/>
          <w:color w:val="111111"/>
          <w:sz w:val="28"/>
          <w:sz w:val="28"/>
          <w:szCs w:val="28"/>
          <w:rtl w:val="true"/>
          <w:lang w:bidi="ar-SA"/>
        </w:rPr>
        <w:t>الخبرِ جَماعةٌ لا يَكونُ مِثلُها قاطعاً للعُذرِ في الحقيقةِ إذا أُنعِمَ النظَرُ</w:t>
      </w:r>
      <w:r>
        <w:rPr>
          <w:rStyle w:val="FootnoteAnchor"/>
          <w:rtl w:val="true"/>
        </w:rPr>
        <w:footnoteReference w:id="617"/>
      </w:r>
      <w:r>
        <w:rPr>
          <w:rFonts w:ascii="Amiri" w:hAnsi="Amiri" w:eastAsia="Amiri" w:cs="Amiri"/>
          <w:color w:val="111111"/>
          <w:sz w:val="28"/>
          <w:sz w:val="28"/>
          <w:szCs w:val="28"/>
          <w:rtl w:val="true"/>
          <w:lang w:bidi="ar-SA"/>
        </w:rPr>
        <w:t>في أمرِهم، فيَعتقِدوا صِحّةَ قَولِهم بالشُّبهةِ الداخلةِ مِن بعضِ الوجوهِ التي قَدَّمنا ذِكرَها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لهم رَدُّ خبرِهم مِن حَيثُ لَم يَشهَدْه جميعُهم؛ لِما ذَكرناه آنِفاً مِن أنّ أكثَرَ ما نُقِلَ مِن الأخبارِ قد كانَ يَحضُرُه بعضُهم و يَغيبُ عنه 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لهم أيضاً رَدُّه مِن حَيثُ كانَ متضمِّناً ما يَعُمُّ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مِن جهةٍ تَقطَعُ </w:t>
      </w:r>
      <w:r>
        <w:rPr>
          <w:rStyle w:val="FootnoteAnchor"/>
          <w:rtl w:val="true"/>
        </w:rPr>
        <w:footnoteReference w:id="619"/>
      </w:r>
      <w:r>
        <w:rPr>
          <w:rFonts w:ascii="Amiri" w:hAnsi="Amiri" w:eastAsia="Amiri" w:cs="Amiri"/>
          <w:color w:val="111111"/>
          <w:sz w:val="28"/>
          <w:sz w:val="28"/>
          <w:szCs w:val="28"/>
          <w:rtl w:val="true"/>
          <w:lang w:bidi="ar-SA"/>
        </w:rPr>
        <w:t xml:space="preserve">العُذرَ؛ لأنّهم قد اعتَقَدوا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قاطِعٌ للعُذرِ و إن لَم يَكُن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يَبقَ إلّاأن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الغلطَ في الاستدلالِ لا يَجوزُ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إن قيلَ عقلاً عُرِفَت صورةُ قائلِه، و إن قيلَ سَمعاً فنحنُ في الكلامِ علَى السَّمعِ المُدَّعىٰ ، و قبلَ تصحيحِه لا يجبُ القَطعُ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يُخبِرْ بذلكَ إلّاواحدٌ لا يَعرِفونَ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620"/>
      </w:r>
      <w:r>
        <w:rPr>
          <w:rFonts w:ascii="Amiri" w:hAnsi="Amiri" w:eastAsia="Amiri" w:cs="Amiri"/>
          <w:color w:val="111111"/>
          <w:sz w:val="28"/>
          <w:sz w:val="28"/>
          <w:szCs w:val="28"/>
          <w:rtl w:val="true"/>
          <w:lang w:bidi="ar-SA"/>
        </w:rPr>
        <w:t>مَضَى الكلامُ علىٰ مِثلِه؛ لأنّهم و إن لَم يَعرِفوا صِدقَه معتَقِدونَ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الواجبُ أن يَرُدّوه و يَقِفوا</w:t>
      </w:r>
      <w:r>
        <w:rPr>
          <w:rStyle w:val="FootnoteAnchor"/>
          <w:rtl w:val="true"/>
        </w:rPr>
        <w:footnoteReference w:id="621"/>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غَيرَ أنّ الواجبَ يَجوزُ أن لا يَفعَلَه مَن يَجِبُ عليهِ ، و كلامُنا فيما يَجوزُ أن يَفعَلوه أو يُخِلّوا به، لا فيما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يَكونُ نتيجةُ تقديمِه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أن يَرُدّوه و يَقِفوا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أَذعَنوا له و لَم يُنكِروه عُلِمَ أنّه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إنّما تَكونُ </w:t>
      </w:r>
      <w:r>
        <w:rPr>
          <w:rStyle w:val="FootnoteAnchor"/>
          <w:rtl w:val="true"/>
        </w:rPr>
        <w:footnoteReference w:id="623"/>
      </w: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 xml:space="preserve">النتيجةَ إذا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أن يَرُدّوه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يَعدِلونَ عن واجبٍ و لا يُخِلّونَ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Style w:val="FootnoteAnchor"/>
          <w:rtl w:val="true"/>
        </w:rPr>
        <w:footnoteReference w:id="625"/>
      </w:r>
      <w:r>
        <w:rPr>
          <w:rFonts w:ascii="Amiri" w:hAnsi="Amiri" w:eastAsia="Amiri" w:cs="Amiri"/>
          <w:color w:val="111111"/>
          <w:sz w:val="28"/>
          <w:sz w:val="28"/>
          <w:szCs w:val="28"/>
          <w:rtl w:val="true"/>
          <w:lang w:bidi="ar-SA"/>
        </w:rPr>
        <w:t>هَيهاتَ أن يَصِحَّ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ذلكَ </w:t>
      </w:r>
      <w:r>
        <w:rPr>
          <w:rStyle w:val="FootnoteAnchor"/>
          <w:rtl w:val="true"/>
        </w:rPr>
        <w:footnoteReference w:id="626"/>
      </w:r>
      <w:r>
        <w:rPr>
          <w:rFonts w:ascii="Amiri" w:hAnsi="Amiri" w:eastAsia="Amiri" w:cs="Amiri"/>
          <w:color w:val="111111"/>
          <w:sz w:val="28"/>
          <w:sz w:val="28"/>
          <w:szCs w:val="28"/>
          <w:rtl w:val="true"/>
          <w:lang w:bidi="ar-SA"/>
        </w:rPr>
        <w:t xml:space="preserve">أن نَجِدَ إنساناً يَروي خبراً عن مَجلِسٍ حافِلٍ </w:t>
      </w:r>
      <w:r>
        <w:rPr>
          <w:rStyle w:val="FootnoteAnchor"/>
          <w:rtl w:val="true"/>
        </w:rPr>
        <w:footnoteReference w:id="627"/>
      </w:r>
      <w:r>
        <w:rPr>
          <w:rFonts w:ascii="Amiri" w:hAnsi="Amiri" w:eastAsia="Amiri" w:cs="Amiri"/>
          <w:color w:val="111111"/>
          <w:sz w:val="28"/>
          <w:sz w:val="28"/>
          <w:szCs w:val="28"/>
          <w:rtl w:val="true"/>
          <w:lang w:bidi="ar-SA"/>
        </w:rPr>
        <w:t xml:space="preserve">و مَجمَعٍ عظيمٍ ، فالمعلومُ أنّه متىٰ كانَ كاذِباً أَنكَرَ عليهِ مَن يَحضُرُ ذلكَ المَجلِسَ ، </w:t>
      </w:r>
    </w:p>
    <w:p>
      <w:pPr>
        <w:pStyle w:val="BookText"/>
        <w:rPr/>
      </w:pPr>
      <w:r>
        <w:rPr>
          <w:rFonts w:ascii="Amiri" w:hAnsi="Amiri" w:eastAsia="Amiri" w:cs="Amiri"/>
          <w:color w:val="111111"/>
          <w:sz w:val="28"/>
          <w:sz w:val="28"/>
          <w:szCs w:val="28"/>
          <w:rtl w:val="true"/>
          <w:lang w:bidi="ar-SA"/>
        </w:rPr>
        <w:t>و إذا لَم يُنكِرْه</w:t>
      </w:r>
      <w:r>
        <w:rPr>
          <w:rStyle w:val="FootnoteAnchor"/>
          <w:rtl w:val="true"/>
        </w:rPr>
        <w:footnoteReference w:id="628"/>
      </w:r>
      <w:r>
        <w:rPr>
          <w:rFonts w:ascii="Amiri" w:hAnsi="Amiri" w:eastAsia="Amiri" w:cs="Amiri"/>
          <w:color w:val="111111"/>
          <w:sz w:val="28"/>
          <w:sz w:val="28"/>
          <w:szCs w:val="28"/>
          <w:rtl w:val="true"/>
          <w:lang w:bidi="ar-SA"/>
        </w:rPr>
        <w:t>عُلِمَ صِدقُه في خبرِه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فباطلٌ‌؛ لأنّه غَيرُ مُمتَنِعٍ أن يُمسِكَ أهلُ المَجمَعِ الذي ذَكرَه عن كاذبٍ يَعرِفونَ كَذِبَه إذا كانَ هُناكَ غرضٌ لهم، أو كانَ في الإمساكِ عن تكذيبِه دَفعُ ضررٍ</w:t>
      </w:r>
      <w:r>
        <w:rPr>
          <w:rStyle w:val="FootnoteAnchor"/>
          <w:rtl w:val="true"/>
        </w:rPr>
        <w:footnoteReference w:id="630"/>
      </w:r>
      <w:r>
        <w:rPr>
          <w:rFonts w:ascii="Amiri" w:hAnsi="Amiri" w:eastAsia="Amiri" w:cs="Amiri"/>
          <w:color w:val="111111"/>
          <w:sz w:val="28"/>
          <w:sz w:val="28"/>
          <w:szCs w:val="28"/>
          <w:rtl w:val="true"/>
          <w:lang w:bidi="ar-SA"/>
        </w:rPr>
        <w:t>عنهم، أو جَرُّ نَفعٍ إليهم؛ لأنّا نَعلَمُ أنّه لَو كانَت</w:t>
      </w:r>
      <w:r>
        <w:rPr>
          <w:rStyle w:val="FootnoteAnchor"/>
          <w:rtl w:val="true"/>
        </w:rPr>
        <w:footnoteReference w:id="631"/>
      </w:r>
      <w:r>
        <w:rPr>
          <w:rFonts w:ascii="Amiri" w:hAnsi="Amiri" w:eastAsia="Amiri" w:cs="Amiri"/>
          <w:color w:val="111111"/>
          <w:sz w:val="28"/>
          <w:sz w:val="28"/>
          <w:szCs w:val="28"/>
          <w:rtl w:val="true"/>
          <w:lang w:bidi="ar-SA"/>
        </w:rPr>
        <w:t>لأهلِ هذا المَجمَعِ‌</w:t>
      </w:r>
      <w:r>
        <w:rPr>
          <w:rStyle w:val="FootnoteAnchor"/>
          <w:rtl w:val="true"/>
        </w:rPr>
        <w:footnoteReference w:id="632"/>
      </w:r>
      <w:r>
        <w:rPr>
          <w:rFonts w:ascii="Amiri" w:hAnsi="Amiri" w:eastAsia="Amiri" w:cs="Amiri"/>
          <w:color w:val="111111"/>
          <w:sz w:val="28"/>
          <w:sz w:val="28"/>
          <w:szCs w:val="28"/>
          <w:rtl w:val="true"/>
          <w:lang w:bidi="ar-SA"/>
        </w:rPr>
        <w:t>ببعضِ الناسِ عنايةٌ‌، و كانَ شَريكاً لهم في أموالِهم، أو قَريباً إليهم في نَسَبِهم، و كانوا قد أَحَسّوا مِن بعضِ السَّلاطينِ الظَّلَمةِ يَطمَعُ في حالِه و مالِه</w:t>
      </w:r>
      <w:r>
        <w:rPr>
          <w:rStyle w:val="FootnoteAnchor"/>
          <w:rtl w:val="true"/>
        </w:rPr>
        <w:footnoteReference w:id="633"/>
      </w:r>
      <w:r>
        <w:rPr>
          <w:rFonts w:ascii="Amiri" w:hAnsi="Amiri" w:eastAsia="Amiri" w:cs="Amiri"/>
          <w:color w:val="111111"/>
          <w:sz w:val="28"/>
          <w:sz w:val="28"/>
          <w:szCs w:val="28"/>
          <w:rtl w:val="true"/>
          <w:lang w:bidi="ar-SA"/>
        </w:rPr>
        <w:t>، و قامَ هذا المُخبِرُ الكاذبُ بحَضرةِ ذلكَ السُّلطانِ‌، أو بحَضرةِ مَن يُبلِّغُه مِن أصحابِه، فقالَ و أهلُ المَجمَعِ حُضورٌ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يَعلَمونَ أنّ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الذي ذَكرناه أنّه شَريكٌ للقَومِ‌، أو هُم علىٰ عنايةٍ شديدةٍ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لا حالَ له و لا مالَ‌، و أنّه حَضَرَهم في يَومِ كَذا، فسأَلَهم ما يُصلِحُ به حالَه، و يَلُمُّ به شَعَثَه</w:t>
      </w:r>
      <w:r>
        <w:rPr>
          <w:rStyle w:val="FootnoteAnchor"/>
          <w:rtl w:val="true"/>
        </w:rPr>
        <w:footnoteReference w:id="634"/>
      </w:r>
      <w:r>
        <w:rPr>
          <w:rFonts w:ascii="Amiri" w:hAnsi="Amiri" w:eastAsia="Amiri" w:cs="Amiri"/>
          <w:color w:val="111111"/>
          <w:sz w:val="28"/>
          <w:sz w:val="28"/>
          <w:szCs w:val="28"/>
          <w:rtl w:val="true"/>
          <w:lang w:bidi="ar-SA"/>
        </w:rPr>
        <w:t xml:space="preserve">، لَكانَ جميعُ أهلِ المَجمَعِ </w:t>
      </w:r>
      <w:r>
        <w:rPr>
          <w:rStyle w:val="FootnoteAnchor"/>
          <w:rtl w:val="true"/>
        </w:rPr>
        <w:footnoteReference w:id="635"/>
      </w:r>
      <w:r>
        <w:rPr>
          <w:rFonts w:ascii="Amiri" w:hAnsi="Amiri" w:eastAsia="Amiri" w:cs="Amiri"/>
          <w:color w:val="111111"/>
          <w:sz w:val="28"/>
          <w:sz w:val="28"/>
          <w:szCs w:val="28"/>
          <w:rtl w:val="true"/>
          <w:lang w:bidi="ar-SA"/>
        </w:rPr>
        <w:t>يُمسِكونَ عن الردِّ عليه مع عِلمِهم بكَذِبِه، بَل رُبَّما صَدَّقوه و شَهِدوا لفظاً بمِثلِ قَولِه، و مَن دفَعَ هذا كانَ مُكابِراً لعَقلِه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ما ضَرَبَه مِن المَثَلِ غَيرُ مُشبِهٍ لِما نحنُ فيه لَو</w:t>
      </w:r>
      <w:r>
        <w:rPr>
          <w:rStyle w:val="FootnoteAnchor"/>
          <w:rtl w:val="true"/>
        </w:rPr>
        <w:footnoteReference w:id="636"/>
      </w:r>
      <w:r>
        <w:rPr>
          <w:rFonts w:ascii="Amiri" w:hAnsi="Amiri" w:eastAsia="Amiri" w:cs="Amiri"/>
          <w:color w:val="111111"/>
          <w:sz w:val="28"/>
          <w:sz w:val="28"/>
          <w:szCs w:val="28"/>
          <w:rtl w:val="true"/>
          <w:lang w:bidi="ar-SA"/>
        </w:rPr>
        <w:t>سُلِّمَ له؛ لأنّ خبرَ الإجماعِ لَم يَدَّعِه</w:t>
      </w:r>
      <w:r>
        <w:rPr>
          <w:rStyle w:val="FootnoteAnchor"/>
          <w:rtl w:val="true"/>
        </w:rPr>
        <w:footnoteReference w:id="637"/>
      </w:r>
      <w:r>
        <w:rPr>
          <w:rFonts w:ascii="Amiri" w:hAnsi="Amiri" w:eastAsia="Amiri" w:cs="Amiri"/>
          <w:color w:val="111111"/>
          <w:sz w:val="28"/>
          <w:sz w:val="28"/>
          <w:szCs w:val="28"/>
          <w:rtl w:val="true"/>
          <w:lang w:bidi="ar-SA"/>
        </w:rPr>
        <w:t>الراوي علَى الصَّحابةِ‌، و لا استَشهَدَهم عليهِ‌؛ لأنّا قد بيّنّا بُطلانَ‌</w:t>
      </w:r>
    </w:p>
    <w:p>
      <w:pPr>
        <w:pStyle w:val="BookText"/>
        <w:rPr/>
      </w:pPr>
      <w:r>
        <w:rPr>
          <w:rFonts w:ascii="Amiri" w:hAnsi="Amiri" w:eastAsia="Amiri" w:cs="Amiri"/>
          <w:color w:val="111111"/>
          <w:sz w:val="28"/>
          <w:sz w:val="28"/>
          <w:szCs w:val="28"/>
          <w:rtl w:val="true"/>
          <w:lang w:bidi="ar-SA"/>
        </w:rPr>
        <w:t>ما ظَنَّه مِن وجوبِ حُضورِ جميعِ الصَّحابةِ كُلَّ الأقوالِ المسموعةِ مِن الرسولِ صلّى اللّٰهُ عليهِ و آلِه</w:t>
      </w:r>
      <w:r>
        <w:rPr>
          <w:rStyle w:val="FootnoteAnchor"/>
          <w:rtl w:val="true"/>
        </w:rPr>
        <w:footnoteReference w:id="638"/>
      </w:r>
      <w:r>
        <w:rPr>
          <w:rFonts w:ascii="Amiri" w:hAnsi="Amiri" w:eastAsia="Amiri" w:cs="Amiri"/>
          <w:color w:val="111111"/>
          <w:sz w:val="28"/>
          <w:sz w:val="28"/>
          <w:szCs w:val="28"/>
          <w:rtl w:val="true"/>
          <w:lang w:bidi="ar-SA"/>
        </w:rPr>
        <w:t xml:space="preserve">، و أنّ المعلومَ مِن حالِهم تفرُّدُ بعضِهم بسَماعِ ما لَم يَسمَعْه الجميعُ ، و إذا صَحَّ هذا لَم يَلزَمْ أن يُكذِّبوا روايةً </w:t>
      </w:r>
      <w:r>
        <w:rPr>
          <w:rStyle w:val="FootnoteAnchor"/>
          <w:rtl w:val="true"/>
        </w:rPr>
        <w:footnoteReference w:id="639"/>
      </w:r>
      <w:r>
        <w:rPr>
          <w:rFonts w:ascii="Amiri" w:hAnsi="Amiri" w:eastAsia="Amiri" w:cs="Amiri"/>
          <w:color w:val="111111"/>
          <w:sz w:val="28"/>
          <w:sz w:val="28"/>
          <w:szCs w:val="28"/>
          <w:rtl w:val="true"/>
          <w:lang w:bidi="ar-SA"/>
        </w:rPr>
        <w:t xml:space="preserve">قياساً علىٰ </w:t>
      </w:r>
      <w:r>
        <w:rPr>
          <w:rStyle w:val="FootnoteAnchor"/>
          <w:rtl w:val="true"/>
        </w:rPr>
        <w:footnoteReference w:id="640"/>
      </w:r>
      <w:r>
        <w:rPr>
          <w:rFonts w:ascii="Amiri" w:hAnsi="Amiri" w:eastAsia="Amiri" w:cs="Amiri"/>
          <w:color w:val="111111"/>
          <w:sz w:val="28"/>
          <w:sz w:val="28"/>
          <w:szCs w:val="28"/>
          <w:rtl w:val="true"/>
          <w:lang w:bidi="ar-SA"/>
        </w:rPr>
        <w:t>تكذيبِ أهلِ المَجلِسِ لمَن</w:t>
      </w:r>
      <w:r>
        <w:rPr>
          <w:rStyle w:val="FootnoteAnchor"/>
          <w:rtl w:val="true"/>
        </w:rPr>
        <w:footnoteReference w:id="641"/>
      </w:r>
      <w:r>
        <w:rPr>
          <w:rFonts w:ascii="Amiri" w:hAnsi="Amiri" w:eastAsia="Amiri" w:cs="Amiri"/>
          <w:color w:val="111111"/>
          <w:sz w:val="28"/>
          <w:sz w:val="28"/>
          <w:szCs w:val="28"/>
          <w:rtl w:val="true"/>
          <w:lang w:bidi="ar-SA"/>
        </w:rPr>
        <w:t>يَروي عنهم خبراً، أو يَستَشهِدُهم علىٰ ما يَعلَمونَ أنّه كاذبٌ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أمرُ الصَّحابةِ و الخبرِ المرويِّ بحَضرتِها في الإجماعِ مَجرىٰ مَن يَروي خبراً في مَجلِسٍ لا يَدَّعيه عليهِم، و لا يَستَشهِدُهم علىٰ صحّتِه، و متىٰ فُرِضَ علىٰ هذا الوجهِ ، كانَ جائزاً مِنهم أن يُصدِّقوه إذا أَحسَنوا الظَّنَّ به و</w:t>
      </w:r>
      <w:r>
        <w:rPr>
          <w:rStyle w:val="FootnoteAnchor"/>
          <w:rtl w:val="true"/>
        </w:rPr>
        <w:footnoteReference w:id="642"/>
      </w:r>
      <w:r>
        <w:rPr>
          <w:rFonts w:ascii="Amiri" w:hAnsi="Amiri" w:eastAsia="Amiri" w:cs="Amiri"/>
          <w:color w:val="111111"/>
          <w:sz w:val="28"/>
          <w:sz w:val="28"/>
          <w:szCs w:val="28"/>
          <w:rtl w:val="true"/>
          <w:lang w:bidi="ar-SA"/>
        </w:rPr>
        <w:t>دخَلَت عليهِم الشُّبهةُ في صِحّةِ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يُمثَّلُ ذلكَ </w:t>
      </w:r>
      <w:r>
        <w:rPr>
          <w:rStyle w:val="FootnoteAnchor"/>
          <w:rtl w:val="true"/>
        </w:rPr>
        <w:footnoteReference w:id="643"/>
      </w:r>
      <w:r>
        <w:rPr>
          <w:rFonts w:ascii="Amiri" w:hAnsi="Amiri" w:eastAsia="Amiri" w:cs="Amiri"/>
          <w:color w:val="111111"/>
          <w:sz w:val="28"/>
          <w:sz w:val="28"/>
          <w:szCs w:val="28"/>
          <w:rtl w:val="true"/>
          <w:lang w:bidi="ar-SA"/>
        </w:rPr>
        <w:t>بما هو أَوقَعُ في القَلبِ مِمّا نَعرِفُه مِن حالِ أصحابِ العالِمِ الواحدِ، الذي جَرَت عادتُهم بمعرِفةِ مَذاهبِه و أقاويلِه، و التشَدُّدِ في ذلكَ و التبَجُّحِ بالروايةِ له</w:t>
      </w:r>
      <w:r>
        <w:rPr>
          <w:rStyle w:val="FootnoteAnchor"/>
          <w:rtl w:val="true"/>
        </w:rPr>
        <w:footnoteReference w:id="644"/>
      </w:r>
      <w:r>
        <w:rPr>
          <w:rFonts w:ascii="Amiri" w:hAnsi="Amiri" w:eastAsia="Amiri" w:cs="Amiri"/>
          <w:color w:val="111111"/>
          <w:sz w:val="28"/>
          <w:sz w:val="28"/>
          <w:szCs w:val="28"/>
          <w:rtl w:val="true"/>
          <w:lang w:bidi="ar-SA"/>
        </w:rPr>
        <w:t xml:space="preserve">، فغَيرُ جائزٍ و الحالُ هذه أن يَحكيَ </w:t>
      </w:r>
    </w:p>
    <w:p>
      <w:pPr>
        <w:pStyle w:val="BookText"/>
        <w:rPr/>
      </w:pPr>
      <w:r>
        <w:rPr>
          <w:rFonts w:ascii="Amiri" w:hAnsi="Amiri" w:eastAsia="Amiri" w:cs="Amiri"/>
          <w:color w:val="111111"/>
          <w:sz w:val="28"/>
          <w:sz w:val="28"/>
          <w:szCs w:val="28"/>
          <w:rtl w:val="true"/>
          <w:lang w:bidi="ar-SA"/>
        </w:rPr>
        <w:t>الواحدُ مِنهم عنه مَذهَباً تَشتَدُّ</w:t>
      </w:r>
      <w:r>
        <w:rPr>
          <w:rStyle w:val="FootnoteAnchor"/>
          <w:rtl w:val="true"/>
        </w:rPr>
        <w:footnoteReference w:id="645"/>
      </w:r>
      <w:r>
        <w:rPr>
          <w:rFonts w:ascii="Amiri" w:hAnsi="Amiri" w:eastAsia="Amiri" w:cs="Amiri"/>
          <w:color w:val="111111"/>
          <w:sz w:val="28"/>
          <w:sz w:val="28"/>
          <w:szCs w:val="28"/>
          <w:rtl w:val="true"/>
          <w:lang w:bidi="ar-SA"/>
        </w:rPr>
        <w:t>به العِنايةُ‌، و الباقونَ مُجتَمِعونَ‌</w:t>
      </w:r>
      <w:r>
        <w:rPr>
          <w:rStyle w:val="FootnoteAnchor"/>
          <w:rtl w:val="true"/>
        </w:rPr>
        <w:footnoteReference w:id="646"/>
      </w:r>
      <w:r>
        <w:rPr>
          <w:rFonts w:ascii="Amiri" w:hAnsi="Amiri" w:eastAsia="Amiri" w:cs="Amiri"/>
          <w:color w:val="111111"/>
          <w:sz w:val="28"/>
          <w:sz w:val="28"/>
          <w:szCs w:val="28"/>
          <w:rtl w:val="true"/>
          <w:lang w:bidi="ar-SA"/>
        </w:rPr>
        <w:t>فيُسلِّموا له</w:t>
      </w:r>
      <w:r>
        <w:rPr>
          <w:rStyle w:val="FootnoteAnchor"/>
          <w:rtl w:val="true"/>
        </w:rPr>
        <w:footnoteReference w:id="647"/>
      </w:r>
      <w:r>
        <w:rPr>
          <w:rFonts w:ascii="Amiri" w:hAnsi="Amiri" w:eastAsia="Amiri" w:cs="Amiri"/>
          <w:color w:val="111111"/>
          <w:sz w:val="28"/>
          <w:sz w:val="28"/>
          <w:szCs w:val="28"/>
          <w:rtl w:val="true"/>
          <w:lang w:bidi="ar-SA"/>
        </w:rPr>
        <w:t>، و ذلكَ المَذهَبُ‌</w:t>
      </w:r>
      <w:r>
        <w:rPr>
          <w:rStyle w:val="FootnoteAnchor"/>
          <w:rtl w:val="true"/>
        </w:rPr>
        <w:footnoteReference w:id="648"/>
      </w:r>
      <w:r>
        <w:rPr>
          <w:rFonts w:ascii="Amiri" w:hAnsi="Amiri" w:eastAsia="Amiri" w:cs="Amiri"/>
          <w:color w:val="111111"/>
          <w:sz w:val="28"/>
          <w:sz w:val="28"/>
          <w:szCs w:val="28"/>
          <w:rtl w:val="true"/>
          <w:lang w:bidi="ar-SA"/>
        </w:rPr>
        <w:t>مِمّا لَو كانَ حَقّاً لَظهَرَ ظُهوراً لا يَختَصُّ به ذلكَ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مِن حالِه عليهِ السلامُ‌</w:t>
      </w:r>
      <w:r>
        <w:rPr>
          <w:rStyle w:val="FootnoteAnchor"/>
          <w:rtl w:val="true"/>
        </w:rPr>
        <w:footnoteReference w:id="649"/>
      </w:r>
      <w:r>
        <w:rPr>
          <w:rFonts w:ascii="Amiri" w:hAnsi="Amiri" w:eastAsia="Amiri" w:cs="Amiri"/>
          <w:color w:val="111111"/>
          <w:sz w:val="28"/>
          <w:sz w:val="28"/>
          <w:szCs w:val="28"/>
          <w:rtl w:val="true"/>
          <w:lang w:bidi="ar-SA"/>
        </w:rPr>
        <w:t>في أصحابِه أنّهم إنْ لَم يَزيدوا معه فيما يُبلِّغونَه</w:t>
      </w:r>
      <w:r>
        <w:rPr>
          <w:rStyle w:val="FootnoteAnchor"/>
          <w:rtl w:val="true"/>
        </w:rPr>
        <w:footnoteReference w:id="650"/>
      </w:r>
      <w:r>
        <w:rPr>
          <w:rFonts w:ascii="Amiri" w:hAnsi="Amiri" w:eastAsia="Amiri" w:cs="Amiri"/>
          <w:color w:val="111111"/>
          <w:sz w:val="28"/>
          <w:sz w:val="28"/>
          <w:szCs w:val="28"/>
          <w:rtl w:val="true"/>
          <w:lang w:bidi="ar-SA"/>
        </w:rPr>
        <w:t>مِن شَرائعِه</w:t>
      </w:r>
      <w:r>
        <w:rPr>
          <w:rStyle w:val="FootnoteAnchor"/>
          <w:rtl w:val="true"/>
        </w:rPr>
        <w:footnoteReference w:id="651"/>
      </w:r>
      <w:r>
        <w:rPr>
          <w:rFonts w:ascii="Amiri" w:hAnsi="Amiri" w:eastAsia="Amiri" w:cs="Amiri"/>
          <w:color w:val="111111"/>
          <w:sz w:val="28"/>
          <w:sz w:val="28"/>
          <w:szCs w:val="28"/>
          <w:rtl w:val="true"/>
          <w:lang w:bidi="ar-SA"/>
        </w:rPr>
        <w:t>و يَنقُلونَه لَم يَنقُصوا مِمّا ذَكرناه</w:t>
      </w:r>
      <w:r>
        <w:rPr>
          <w:rStyle w:val="FootnoteAnchor"/>
          <w:rtl w:val="true"/>
        </w:rPr>
        <w:footnoteReference w:id="652"/>
      </w:r>
      <w:r>
        <w:rPr>
          <w:rFonts w:ascii="Amiri" w:hAnsi="Amiri" w:eastAsia="Amiri" w:cs="Amiri"/>
          <w:color w:val="111111"/>
          <w:sz w:val="28"/>
          <w:sz w:val="28"/>
          <w:szCs w:val="28"/>
          <w:rtl w:val="true"/>
          <w:lang w:bidi="ar-SA"/>
        </w:rPr>
        <w:t>فكَيفَ يَجوزُ مع كَونِ الإجماعِ أحَدَ الأُصولِ للدِّينِ‌</w:t>
      </w:r>
      <w:r>
        <w:rPr>
          <w:rStyle w:val="FootnoteAnchor"/>
          <w:rtl w:val="true"/>
        </w:rPr>
        <w:footnoteReference w:id="653"/>
      </w:r>
      <w:r>
        <w:rPr>
          <w:rFonts w:ascii="Amiri" w:hAnsi="Amiri" w:eastAsia="Amiri" w:cs="Amiri"/>
          <w:color w:val="111111"/>
          <w:sz w:val="28"/>
          <w:sz w:val="28"/>
          <w:szCs w:val="28"/>
          <w:rtl w:val="true"/>
          <w:lang w:bidi="ar-SA"/>
        </w:rPr>
        <w:t>أن يَتمسَّكوا بِه بخبرِ</w:t>
      </w:r>
      <w:r>
        <w:rPr>
          <w:rStyle w:val="FootnoteAnchor"/>
          <w:rtl w:val="true"/>
        </w:rPr>
        <w:footnoteReference w:id="654"/>
      </w:r>
      <w:r>
        <w:rPr>
          <w:rFonts w:ascii="Amiri" w:hAnsi="Amiri" w:eastAsia="Amiri" w:cs="Amiri"/>
          <w:color w:val="111111"/>
          <w:sz w:val="28"/>
          <w:sz w:val="28"/>
          <w:szCs w:val="28"/>
          <w:rtl w:val="true"/>
          <w:lang w:bidi="ar-SA"/>
        </w:rPr>
        <w:t>واحدٍ؟ مع عِلمِهم</w:t>
      </w:r>
      <w:r>
        <w:rPr>
          <w:rStyle w:val="FootnoteAnchor"/>
          <w:rtl w:val="true"/>
        </w:rPr>
        <w:footnoteReference w:id="655"/>
      </w:r>
      <w:r>
        <w:rPr>
          <w:rFonts w:ascii="Amiri" w:hAnsi="Amiri" w:eastAsia="Amiri" w:cs="Amiri"/>
          <w:color w:val="111111"/>
          <w:sz w:val="28"/>
          <w:sz w:val="28"/>
          <w:szCs w:val="28"/>
          <w:rtl w:val="true"/>
          <w:lang w:bidi="ar-SA"/>
        </w:rPr>
        <w:t xml:space="preserve">أنّه عليه السلامُ لا يَجوزُ أن يَخُصَّ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w:t>
      </w:r>
      <w:r>
        <w:rPr>
          <w:rStyle w:val="FootnoteAnchor"/>
          <w:rtl w:val="true"/>
        </w:rPr>
        <w:footnoteReference w:id="656"/>
      </w:r>
      <w:r>
        <w:rPr>
          <w:rFonts w:ascii="Amiri" w:hAnsi="Amiri" w:eastAsia="Amiri" w:cs="Amiri"/>
          <w:color w:val="111111"/>
          <w:sz w:val="28"/>
          <w:sz w:val="28"/>
          <w:szCs w:val="28"/>
          <w:rtl w:val="true"/>
          <w:lang w:bidi="ar-SA"/>
        </w:rPr>
        <w:t xml:space="preserve">عِلمِ الخاصِّ 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الاثنَينِ ، و أنّه في بابِه أوجَبُ إظهاراً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أكثَرِ</w:t>
      </w:r>
      <w:r>
        <w:rPr>
          <w:rStyle w:val="FootnoteAnchor"/>
          <w:rtl w:val="true"/>
        </w:rPr>
        <w:footnoteReference w:id="657"/>
      </w:r>
      <w:r>
        <w:rPr>
          <w:rFonts w:ascii="Amiri" w:hAnsi="Amiri" w:eastAsia="Amiri" w:cs="Amiri"/>
          <w:color w:val="111111"/>
          <w:sz w:val="28"/>
          <w:sz w:val="28"/>
          <w:szCs w:val="28"/>
          <w:rtl w:val="true"/>
          <w:lang w:bidi="ar-SA"/>
        </w:rPr>
        <w:t>أركانِ الدِّينِ ، و مَن جوَّزَ ذلكَ فقَد خرَجَ عن</w:t>
      </w:r>
      <w:r>
        <w:rPr>
          <w:rStyle w:val="FootnoteAnchor"/>
          <w:rtl w:val="true"/>
        </w:rPr>
        <w:footnoteReference w:id="658"/>
      </w:r>
      <w:r>
        <w:rPr>
          <w:rFonts w:ascii="Amiri" w:hAnsi="Amiri" w:eastAsia="Amiri" w:cs="Amiri"/>
          <w:color w:val="111111"/>
          <w:sz w:val="28"/>
          <w:sz w:val="28"/>
          <w:szCs w:val="28"/>
          <w:rtl w:val="true"/>
          <w:lang w:bidi="ar-SA"/>
        </w:rPr>
        <w:t xml:space="preserve">طريقةِ </w:t>
      </w:r>
      <w:r>
        <w:rPr>
          <w:rStyle w:val="FootnoteAnchor"/>
          <w:rtl w:val="true"/>
        </w:rPr>
        <w:footnoteReference w:id="659"/>
      </w:r>
      <w:r>
        <w:rPr>
          <w:rFonts w:ascii="Amiri" w:hAnsi="Amiri" w:eastAsia="Amiri" w:cs="Amiri"/>
          <w:color w:val="111111"/>
          <w:sz w:val="28"/>
          <w:sz w:val="28"/>
          <w:szCs w:val="28"/>
          <w:rtl w:val="true"/>
          <w:lang w:bidi="ar-SA"/>
        </w:rPr>
        <w:t xml:space="preserve">العاداتِ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لأحَدٍ أن يُنكِرَ صحّةَ ذلكَ بأن يَظُنَّ أنّا صَحَّحنا خبَرَ </w:t>
      </w:r>
    </w:p>
    <w:p>
      <w:pPr>
        <w:pStyle w:val="BookText"/>
        <w:rPr/>
      </w:pPr>
      <w:r>
        <w:rPr>
          <w:rFonts w:ascii="Amiri" w:hAnsi="Amiri" w:eastAsia="Amiri" w:cs="Amiri"/>
          <w:color w:val="111111"/>
          <w:sz w:val="28"/>
          <w:sz w:val="28"/>
          <w:szCs w:val="28"/>
          <w:rtl w:val="true"/>
          <w:lang w:bidi="ar-SA"/>
        </w:rPr>
        <w:t>الإجماعِ باجتماعِهم علَى العملِ أو علىٰ تَركِ النَّكيرِ؛ و ذلكَ لأنّا اعتَمَدنا علَى العاداتِ التي تَقتَضي صِحّةَ الأخبارِ، حتّىٰ لَو لَم يَكُنِ الإجماعُ حَقّاً لَم يوثِّرْ في أنّ هذه الطريقةَ تُعرَفُ بها صِحّةُ الخبرِ، كما بيّنّاه في بابِ الأخبارِ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تَقدَّمَ‌ الكلامُ علىٰ معناه في الفَصلِ الذي خَرَجنا عنه</w:t>
      </w:r>
      <w:r>
        <w:rPr>
          <w:rStyle w:val="FootnoteAnchor"/>
          <w:rtl w:val="true"/>
        </w:rPr>
        <w:footnoteReference w:id="661"/>
      </w:r>
      <w:r>
        <w:rPr>
          <w:rFonts w:ascii="Amiri" w:hAnsi="Amiri" w:eastAsia="Amiri" w:cs="Amiri"/>
          <w:color w:val="111111"/>
          <w:sz w:val="28"/>
          <w:sz w:val="28"/>
          <w:szCs w:val="28"/>
          <w:rtl w:val="true"/>
          <w:lang w:bidi="ar-SA"/>
        </w:rPr>
        <w:t>إلىٰ حِكايةِ كلامِه هذا، و بيّنّا أنّه غَيرُ مُمتَنِعٍ أن تُمسِكَ‌</w:t>
      </w:r>
      <w:r>
        <w:rPr>
          <w:rStyle w:val="FootnoteAnchor"/>
          <w:rtl w:val="true"/>
        </w:rPr>
        <w:footnoteReference w:id="662"/>
      </w:r>
      <w:r>
        <w:rPr>
          <w:rFonts w:ascii="Amiri" w:hAnsi="Amiri" w:eastAsia="Amiri" w:cs="Amiri"/>
          <w:color w:val="111111"/>
          <w:sz w:val="28"/>
          <w:sz w:val="28"/>
          <w:szCs w:val="28"/>
          <w:rtl w:val="true"/>
          <w:lang w:bidi="ar-SA"/>
        </w:rPr>
        <w:t xml:space="preserve">الجَماعةُ عن الإنكارِ علىٰ كاذبٍ يُعلَمُ كَذِبُه و إن كانَ مُدَّعياً عليها إذا حصَلَ هُناكَ غرضٌ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في هذا المثالِ الذي صارَ إليه كالقَولِ في المِثالِ الأوّلِ الذي ضرَبَه؛ لأنّا نَعلَمُ أنّ أصحابَ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 حالَه، و شِدّةَ عنايتِهم بحِفظِ مَذاهبِه و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w:t>
      </w:r>
      <w:r>
        <w:rPr>
          <w:rStyle w:val="FootnoteAnchor"/>
          <w:rtl w:val="true"/>
        </w:rPr>
        <w:footnoteReference w:id="663"/>
      </w:r>
      <w:r>
        <w:rPr>
          <w:rFonts w:ascii="Amiri" w:hAnsi="Amiri" w:eastAsia="Amiri" w:cs="Amiri"/>
          <w:color w:val="111111"/>
          <w:sz w:val="28"/>
          <w:sz w:val="28"/>
          <w:szCs w:val="28"/>
          <w:rtl w:val="true"/>
          <w:lang w:bidi="ar-SA"/>
        </w:rPr>
        <w:t>بحَضرةِ سُلطانٍ قاهرٍ ظالمٍ ، و كانَ له مَذهَبٌ يُخالِفُ مَذاهِبَ العالِمِ الذي يَصحَبونَه، يُعادي</w:t>
      </w:r>
      <w:r>
        <w:rPr>
          <w:rStyle w:val="FootnoteAnchor"/>
          <w:rtl w:val="true"/>
        </w:rPr>
        <w:footnoteReference w:id="664"/>
      </w:r>
      <w:r>
        <w:rPr>
          <w:rFonts w:ascii="Amiri" w:hAnsi="Amiri" w:eastAsia="Amiri" w:cs="Amiri"/>
          <w:color w:val="111111"/>
          <w:sz w:val="28"/>
          <w:sz w:val="28"/>
          <w:szCs w:val="28"/>
          <w:rtl w:val="true"/>
          <w:lang w:bidi="ar-SA"/>
        </w:rPr>
        <w:t>فيه الخارِجَ عنه، و لا يؤمَنُ علىٰ مَن عرَفَه بمُخالَفتِه سَطوَتُه، حتّىٰ يَقومَ قائمٌ في المَجلِسِ الذي جَمَعَهم، و يَحكيَ عن ذلكَ العالِمِ القَولَ بالمَذهَبِ الذي يَعتَقِدُه سُلطانُهم، ثمّ طَمِعوا</w:t>
      </w:r>
      <w:r>
        <w:rPr>
          <w:rStyle w:val="FootnoteAnchor"/>
          <w:rtl w:val="true"/>
        </w:rPr>
        <w:footnoteReference w:id="665"/>
      </w:r>
      <w:r>
        <w:rPr>
          <w:rFonts w:ascii="Amiri" w:hAnsi="Amiri" w:eastAsia="Amiri" w:cs="Amiri"/>
          <w:color w:val="111111"/>
          <w:sz w:val="28"/>
          <w:sz w:val="28"/>
          <w:szCs w:val="28"/>
          <w:rtl w:val="true"/>
          <w:lang w:bidi="ar-SA"/>
        </w:rPr>
        <w:t xml:space="preserve">في تمويهِ الحالِ عليه، و كَونِ ما جَرىٰ سبباً لكَفِّ شَرِّه عنه و عنهم، لَكانَت الجَماعةُ تُمسِكُ عن تكذيبِه و تُظهِرُ تصديقَه، هذا إن لَم يُقسَمْ علىٰ صِدقِه و صِحّةِ خبرِه بأغلَظِ الأَيمانِ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أيضاً أنّ ذلكَ لَو لَم يَجُز علىٰ هذا الوجهِ لَجازَ علىٰ طريقِ الشُّبهةِ ، </w:t>
      </w:r>
    </w:p>
    <w:p>
      <w:pPr>
        <w:pStyle w:val="BookText"/>
        <w:rPr/>
      </w:pPr>
      <w:r>
        <w:rPr>
          <w:rFonts w:ascii="Amiri" w:hAnsi="Amiri" w:eastAsia="Amiri" w:cs="Amiri"/>
          <w:color w:val="111111"/>
          <w:sz w:val="28"/>
          <w:sz w:val="28"/>
          <w:szCs w:val="28"/>
          <w:rtl w:val="true"/>
          <w:lang w:bidi="ar-SA"/>
        </w:rPr>
        <w:t>لكِنْ لَيسَ بأن يَكونَ الحالُ علَى التقديرِ الذي قدَّرَه؛ لأنّه أدخَلَ في جُملةِ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المَذهَبُ مِمّا لَو كانَ حقّاً لظهَرَ ظُهوراً لا يَختَصُّ به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فرَضَ فيهم أن يَكونَ‌</w:t>
      </w:r>
      <w:r>
        <w:rPr>
          <w:rStyle w:val="FootnoteAnchor"/>
          <w:rtl w:val="true"/>
        </w:rPr>
        <w:footnoteReference w:id="666"/>
      </w:r>
      <w:r>
        <w:rPr>
          <w:rFonts w:ascii="Amiri" w:hAnsi="Amiri" w:eastAsia="Amiri" w:cs="Amiri"/>
          <w:color w:val="111111"/>
          <w:sz w:val="28"/>
          <w:sz w:val="28"/>
          <w:szCs w:val="28"/>
          <w:rtl w:val="true"/>
          <w:lang w:bidi="ar-SA"/>
        </w:rPr>
        <w:t>كُلُّ ما لَم يَعرِفْه جَماعتُهم مَذهَباً للعالِمِ باطِلاً، و لَيسَ هذا مثالَ مسألتِنا؛ لأنّا قد مَنَعناه مِن مِثلِ‌</w:t>
      </w:r>
      <w:r>
        <w:rPr>
          <w:rStyle w:val="FootnoteAnchor"/>
          <w:rtl w:val="true"/>
        </w:rPr>
        <w:footnoteReference w:id="667"/>
      </w:r>
      <w:r>
        <w:rPr>
          <w:rFonts w:ascii="Amiri" w:hAnsi="Amiri" w:eastAsia="Amiri" w:cs="Amiri"/>
          <w:color w:val="111111"/>
          <w:sz w:val="28"/>
          <w:sz w:val="28"/>
          <w:szCs w:val="28"/>
          <w:rtl w:val="true"/>
          <w:lang w:bidi="ar-SA"/>
        </w:rPr>
        <w:t>ذلكَ في الصَّحابةِ‌</w:t>
      </w:r>
      <w:r>
        <w:rPr>
          <w:rStyle w:val="FootnoteAnchor"/>
          <w:rtl w:val="true"/>
        </w:rPr>
        <w:footnoteReference w:id="668"/>
      </w:r>
      <w:r>
        <w:rPr>
          <w:rFonts w:ascii="Amiri" w:hAnsi="Amiri" w:eastAsia="Amiri" w:cs="Amiri"/>
          <w:color w:val="111111"/>
          <w:sz w:val="28"/>
          <w:sz w:val="28"/>
          <w:szCs w:val="28"/>
          <w:rtl w:val="true"/>
          <w:lang w:bidi="ar-SA"/>
        </w:rPr>
        <w:t>، و أَعلَمناه أنّ كثيراً مِن المنقولِ</w:t>
      </w:r>
    </w:p>
    <w:p>
      <w:pPr>
        <w:pStyle w:val="BookText"/>
        <w:rPr/>
      </w:pPr>
      <w:r>
        <w:rPr>
          <w:rFonts w:ascii="Amiri" w:hAnsi="Amiri" w:eastAsia="Amiri" w:cs="Amiri"/>
          <w:color w:val="111111"/>
          <w:sz w:val="28"/>
          <w:sz w:val="28"/>
          <w:szCs w:val="28"/>
          <w:rtl w:val="true"/>
          <w:lang w:bidi="ar-SA"/>
        </w:rPr>
        <w:t>عن الرسولِ صلّى اللّٰهُ عليهِ و آلِه</w:t>
      </w:r>
      <w:r>
        <w:rPr>
          <w:rStyle w:val="FootnoteAnchor"/>
          <w:rtl w:val="true"/>
        </w:rPr>
        <w:footnoteReference w:id="669"/>
      </w:r>
      <w:r>
        <w:rPr>
          <w:rFonts w:ascii="Amiri" w:hAnsi="Amiri" w:eastAsia="Amiri" w:cs="Amiri"/>
          <w:color w:val="111111"/>
          <w:sz w:val="28"/>
          <w:sz w:val="28"/>
          <w:szCs w:val="28"/>
          <w:rtl w:val="true"/>
          <w:lang w:bidi="ar-SA"/>
        </w:rPr>
        <w:t>لَم يَكُن جميعُ الأصحابِ شاهِداً له</w:t>
      </w:r>
      <w:r>
        <w:rPr>
          <w:rStyle w:val="FootnoteAnchor"/>
          <w:rtl w:val="true"/>
        </w:rPr>
        <w:footnoteReference w:id="670"/>
      </w:r>
      <w:r>
        <w:rPr>
          <w:rFonts w:ascii="Amiri" w:hAnsi="Amiri" w:eastAsia="Amiri" w:cs="Amiri"/>
          <w:color w:val="111111"/>
          <w:sz w:val="28"/>
          <w:sz w:val="28"/>
          <w:szCs w:val="28"/>
          <w:rtl w:val="true"/>
          <w:lang w:bidi="ar-SA"/>
        </w:rPr>
        <w:t xml:space="preserve">، فكيفَ يَلزَمُ أن يَكونَ كُلُّ </w:t>
      </w:r>
      <w:r>
        <w:rPr>
          <w:rStyle w:val="FootnoteAnchor"/>
          <w:rtl w:val="true"/>
        </w:rPr>
        <w:footnoteReference w:id="671"/>
      </w:r>
      <w:r>
        <w:rPr>
          <w:rFonts w:ascii="Amiri" w:hAnsi="Amiri" w:eastAsia="Amiri" w:cs="Amiri"/>
          <w:color w:val="111111"/>
          <w:sz w:val="28"/>
          <w:sz w:val="28"/>
          <w:szCs w:val="28"/>
          <w:rtl w:val="true"/>
          <w:lang w:bidi="ar-SA"/>
        </w:rPr>
        <w:t>ما لَم تَعرِفْه الجَماعةُ و تَسمَعْه باطِلاً يَجِبُ عليهم ردُّه و تكذيبُ راويهِ؟</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673"/>
      </w:r>
      <w:r>
        <w:rPr>
          <w:rFonts w:ascii="Amiri" w:hAnsi="Amiri" w:eastAsia="Amiri" w:cs="Amiri"/>
          <w:color w:val="111111"/>
          <w:sz w:val="28"/>
          <w:sz w:val="28"/>
          <w:szCs w:val="28"/>
          <w:rtl w:val="true"/>
          <w:lang w:bidi="ar-SA"/>
        </w:rPr>
        <w:t>لَم تَكُن</w:t>
      </w:r>
      <w:r>
        <w:rPr>
          <w:rStyle w:val="FootnoteAnchor"/>
          <w:rtl w:val="true"/>
        </w:rPr>
        <w:footnoteReference w:id="674"/>
      </w:r>
      <w:r>
        <w:rPr>
          <w:rFonts w:ascii="Amiri" w:hAnsi="Amiri" w:eastAsia="Amiri" w:cs="Amiri"/>
          <w:color w:val="111111"/>
          <w:sz w:val="28"/>
          <w:sz w:val="28"/>
          <w:szCs w:val="28"/>
          <w:rtl w:val="true"/>
          <w:lang w:bidi="ar-SA"/>
        </w:rPr>
        <w:t>هذه حالَهم لَم يَكُن ما رَتَّبَه مثالاً صحيحاً فيهم، و كانَ المثالُ الصحيحُ أصحابَ عالِمٍ واحدٍ قد جَرَت عادتُه بأن يُلقيَ بعضَ مَذاهبِه إلىٰ بعضِهم</w:t>
      </w:r>
      <w:r>
        <w:rPr>
          <w:rStyle w:val="FootnoteAnchor"/>
          <w:rtl w:val="true"/>
        </w:rPr>
        <w:footnoteReference w:id="675"/>
      </w:r>
      <w:r>
        <w:rPr>
          <w:rFonts w:ascii="Amiri" w:hAnsi="Amiri" w:eastAsia="Amiri" w:cs="Amiri"/>
          <w:color w:val="111111"/>
          <w:sz w:val="28"/>
          <w:sz w:val="28"/>
          <w:szCs w:val="28"/>
          <w:rtl w:val="true"/>
          <w:lang w:bidi="ar-SA"/>
        </w:rPr>
        <w:t>، و يُعوِّلَ في وصولِ البعضِ الآخَرِ إلىٰ معرفتِه علىٰ خبرِ البعضِ الذي أُلقيَ إليه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676"/>
      </w:r>
      <w:r>
        <w:rPr>
          <w:rFonts w:ascii="Amiri" w:hAnsi="Amiri" w:eastAsia="Amiri" w:cs="Amiri"/>
          <w:color w:val="111111"/>
          <w:sz w:val="28"/>
          <w:sz w:val="28"/>
          <w:szCs w:val="28"/>
          <w:rtl w:val="true"/>
          <w:lang w:bidi="ar-SA"/>
        </w:rPr>
        <w:t>قُدِّرَت الحالُ هذا التقديرَ لَم يَجِبْ أن يُكذِّبَ هؤلاءِ الأصحابُ مَن أخبَرَهم عن العالِمِ بمَذهَبٍ لَم يَسمَعوه مِنه، بَل جائزٌ أن يُصدِّقوا هذا المُخبِرَ</w:t>
      </w:r>
      <w:r>
        <w:rPr>
          <w:rStyle w:val="FootnoteAnchor"/>
          <w:rtl w:val="true"/>
        </w:rPr>
        <w:footnoteReference w:id="677"/>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غلَبَ في ظَنِّهم صِدقُه، أو اعتَقَدوا ذلكَ لبعضِ الشُّبَهِ ، و إن كانَ علَى الحقيقةِ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يَجوزُ أن يَتمسَّكوا به بخبرِ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حِجاجاً لِمَن قطَعَ علىٰ أنّ خبرَ الإجماعِ لَم يتَّصِلْ بهم إلّامِن جهةِ الواحدِ، و هذا ممّا لَم نَقُلْه و لا عَوَّلنا عليه، بل قد مضىٰ في كلامِنا أنّه جائزٌ أن يَكونوا تلَقَّوه مِن جَماعةٍ لا يَقطَعُ مِثلُها</w:t>
      </w:r>
      <w:r>
        <w:rPr>
          <w:rStyle w:val="FootnoteAnchor"/>
          <w:rtl w:val="true"/>
        </w:rPr>
        <w:footnoteReference w:id="678"/>
      </w:r>
      <w:r>
        <w:rPr>
          <w:rFonts w:ascii="Amiri" w:hAnsi="Amiri" w:eastAsia="Amiri" w:cs="Amiri"/>
          <w:color w:val="111111"/>
          <w:sz w:val="28"/>
          <w:sz w:val="28"/>
          <w:szCs w:val="28"/>
          <w:rtl w:val="true"/>
          <w:lang w:bidi="ar-SA"/>
        </w:rPr>
        <w:t>العُذرَ، و اعتَقَدوا فيها بالشُّبهةِ أنّها تَقطَعُ العُذرَ</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ذَكرَه قادِحاً في أن يَكونوا عَرَفوه مِن جهةِ الواحدِ، فلَيسَ بقادِحٍ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w:t>
      </w:r>
      <w:r>
        <w:rPr>
          <w:rStyle w:val="FootnoteAnchor"/>
          <w:rtl w:val="true"/>
        </w:rPr>
        <w:footnoteReference w:id="680"/>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يَسمَعوه أيضاً مِن جَماعةٍ إلّاو يَجِبُ عليهم</w:t>
      </w:r>
      <w:r>
        <w:rPr>
          <w:rStyle w:val="FootnoteAnchor"/>
          <w:rtl w:val="true"/>
        </w:rPr>
        <w:footnoteReference w:id="681"/>
      </w:r>
      <w:r>
        <w:rPr>
          <w:rFonts w:ascii="Amiri" w:hAnsi="Amiri" w:eastAsia="Amiri" w:cs="Amiri"/>
          <w:color w:val="111111"/>
          <w:sz w:val="28"/>
          <w:sz w:val="28"/>
          <w:szCs w:val="28"/>
          <w:rtl w:val="true"/>
          <w:lang w:bidi="ar-SA"/>
        </w:rPr>
        <w:t>تكذيبُها مِن غَيرِ نَظَرٍ</w:t>
      </w:r>
      <w:r>
        <w:rPr>
          <w:rStyle w:val="FootnoteAnchor"/>
          <w:rtl w:val="true"/>
        </w:rPr>
        <w:footnoteReference w:id="682"/>
      </w:r>
      <w:r>
        <w:rPr>
          <w:rFonts w:ascii="Amiri" w:hAnsi="Amiri" w:eastAsia="Amiri" w:cs="Amiri"/>
          <w:color w:val="111111"/>
          <w:sz w:val="28"/>
          <w:sz w:val="28"/>
          <w:szCs w:val="28"/>
          <w:rtl w:val="true"/>
          <w:lang w:bidi="ar-SA"/>
        </w:rPr>
        <w:t xml:space="preserve">في حالِها، و هل يَقطَعُ أمثالُها العُذرَ أم لا؟ مِن حَيثُ لَو كانَ خبرُها صحيحاً لَعَرَفَه الكُلُّ ، و لَما اختَصَّ به جَماعةٌ دونَ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إن قالَه أُبطِلَ 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مضىٰ في كلامِه عند حِكايتِه عن أبي هاشمٍ ذِكرُ الأقسامِ التي عَرَفَت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Style w:val="FootnoteAnchor"/>
          <w:rtl w:val="true"/>
        </w:rPr>
        <w:footnoteReference w:id="683"/>
      </w:r>
      <w:r>
        <w:rPr>
          <w:rFonts w:ascii="Amiri" w:hAnsi="Amiri" w:eastAsia="Amiri" w:cs="Amiri"/>
          <w:color w:val="111111"/>
          <w:sz w:val="28"/>
          <w:sz w:val="28"/>
          <w:szCs w:val="28"/>
          <w:rtl w:val="true"/>
          <w:lang w:bidi="ar-SA"/>
        </w:rPr>
        <w:t>الصَّحابةُ صِحّةَ الخبرِ</w:t>
      </w:r>
      <w:r>
        <w:rPr>
          <w:rStyle w:val="FootnoteAnchor"/>
          <w:rtl w:val="true"/>
        </w:rPr>
        <w:footnoteReference w:id="684"/>
      </w:r>
      <w:r>
        <w:rPr>
          <w:rFonts w:ascii="Amiri" w:hAnsi="Amiri" w:eastAsia="Amiri" w:cs="Amiri"/>
          <w:color w:val="111111"/>
          <w:sz w:val="28"/>
          <w:sz w:val="28"/>
          <w:szCs w:val="28"/>
          <w:rtl w:val="true"/>
          <w:lang w:bidi="ar-SA"/>
        </w:rPr>
        <w:t>،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يَكونوا عَلِموا ذلكَ لِكَذا، أو يَكونوا</w:t>
      </w:r>
      <w:r>
        <w:rPr>
          <w:rStyle w:val="FootnoteAnchor"/>
          <w:rtl w:val="true"/>
        </w:rPr>
        <w:footnoteReference w:id="685"/>
      </w:r>
      <w:r>
        <w:rPr>
          <w:rFonts w:ascii="Amiri" w:hAnsi="Amiri" w:eastAsia="Amiri" w:cs="Amiri"/>
          <w:color w:val="111111"/>
          <w:sz w:val="28"/>
          <w:sz w:val="28"/>
          <w:szCs w:val="28"/>
          <w:rtl w:val="true"/>
          <w:lang w:bidi="ar-SA"/>
        </w:rPr>
        <w:t xml:space="preserve">عَلِموا ذلكَ بالاستدلالِ </w:t>
      </w:r>
      <w:r>
        <w:rPr>
          <w:rStyle w:val="FootnoteAnchor"/>
          <w:rtl w:val="true"/>
        </w:rPr>
        <w:footnoteReference w:id="686"/>
      </w:r>
      <w:r>
        <w:rPr>
          <w:rFonts w:ascii="Amiri" w:hAnsi="Amiri" w:eastAsia="Amiri" w:cs="Amiri"/>
          <w:color w:val="111111"/>
          <w:sz w:val="28"/>
          <w:sz w:val="28"/>
          <w:szCs w:val="28"/>
          <w:rtl w:val="true"/>
          <w:lang w:bidi="ar-SA"/>
        </w:rPr>
        <w:t>مِن حَيثُ أخبَرَهم</w:t>
      </w:r>
      <w:r>
        <w:rPr>
          <w:rStyle w:val="FootnoteAnchor"/>
          <w:rtl w:val="true"/>
        </w:rPr>
        <w:footnoteReference w:id="687"/>
      </w:r>
      <w:r>
        <w:rPr>
          <w:rFonts w:ascii="IRNazanin" w:hAnsi="IRNazanin" w:eastAsia="IRNazanin"/>
          <w:color w:val="111111"/>
          <w:sz w:val="28"/>
          <w:sz w:val="28"/>
          <w:szCs w:val="28"/>
          <w:rtl w:val="true"/>
          <w:lang w:bidi="fa-IR"/>
        </w:rPr>
        <w:t>به</w:t>
      </w:r>
      <w:r>
        <w:rPr>
          <w:rStyle w:val="FootnoteAnchor"/>
          <w:rtl w:val="true"/>
        </w:rPr>
        <w:footnoteReference w:id="688"/>
      </w:r>
      <w:r>
        <w:rPr>
          <w:rFonts w:ascii="Amiri" w:hAnsi="Amiri" w:eastAsia="Amiri" w:cs="Amiri"/>
          <w:color w:val="111111"/>
          <w:sz w:val="28"/>
          <w:sz w:val="28"/>
          <w:szCs w:val="28"/>
          <w:rtl w:val="true"/>
          <w:lang w:bidi="ar-SA"/>
        </w:rPr>
        <w:t xml:space="preserve">جَماعةٌ لا يَجوزُ عليهم </w:t>
      </w:r>
    </w:p>
    <w:p>
      <w:pPr>
        <w:pStyle w:val="BookText"/>
        <w:rPr/>
      </w:pPr>
      <w:r>
        <w:rPr>
          <w:rFonts w:ascii="Amiri" w:hAnsi="Amiri" w:eastAsia="Amiri" w:cs="Amiri"/>
          <w:color w:val="111111"/>
          <w:sz w:val="28"/>
          <w:sz w:val="28"/>
          <w:szCs w:val="28"/>
          <w:rtl w:val="true"/>
          <w:lang w:bidi="ar-SA"/>
        </w:rPr>
        <w:t>التواطؤُ</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مُحقِّقٌ‌</w:t>
      </w:r>
      <w:r>
        <w:rPr>
          <w:rStyle w:val="FootnoteAnchor"/>
          <w:rtl w:val="true"/>
        </w:rPr>
        <w:footnoteReference w:id="690"/>
      </w:r>
      <w:r>
        <w:rPr>
          <w:rFonts w:ascii="Amiri" w:hAnsi="Amiri" w:eastAsia="Amiri" w:cs="Amiri"/>
          <w:color w:val="111111"/>
          <w:sz w:val="28"/>
          <w:sz w:val="28"/>
          <w:szCs w:val="28"/>
          <w:rtl w:val="true"/>
          <w:lang w:bidi="ar-SA"/>
        </w:rPr>
        <w:t>لإلزامِنا، و ناقِضٌ لِما اعتمَدَ عليه في الفَصلِ الذي نحنُ في نَقضِه، و للمثالِ الذي</w:t>
      </w:r>
      <w:r>
        <w:rPr>
          <w:rStyle w:val="FootnoteAnchor"/>
          <w:rtl w:val="true"/>
        </w:rPr>
        <w:footnoteReference w:id="691"/>
      </w:r>
      <w:r>
        <w:rPr>
          <w:rFonts w:ascii="Amiri" w:hAnsi="Amiri" w:eastAsia="Amiri" w:cs="Amiri"/>
          <w:color w:val="111111"/>
          <w:sz w:val="28"/>
          <w:sz w:val="28"/>
          <w:szCs w:val="28"/>
          <w:rtl w:val="true"/>
          <w:lang w:bidi="ar-SA"/>
        </w:rPr>
        <w:t>أَورَدَه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تحقيقُه للإلزامِ فمِن حَيثُ يُقالُ له</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أجَزتَ‌</w:t>
      </w:r>
      <w:r>
        <w:rPr>
          <w:rStyle w:val="FootnoteAnchor"/>
          <w:rtl w:val="true"/>
        </w:rPr>
        <w:footnoteReference w:id="693"/>
      </w:r>
      <w:r>
        <w:rPr>
          <w:rFonts w:ascii="Amiri" w:hAnsi="Amiri" w:eastAsia="Amiri" w:cs="Amiri"/>
          <w:color w:val="111111"/>
          <w:sz w:val="28"/>
          <w:sz w:val="28"/>
          <w:szCs w:val="28"/>
          <w:rtl w:val="true"/>
          <w:lang w:bidi="ar-SA"/>
        </w:rPr>
        <w:t>أن يَكونوا استَدَلّوا علىٰ صِحّةِ الخبرِ مِن الوجهِ الذي ذَكرتَه، فما يؤمِنُكَ‌</w:t>
      </w:r>
      <w:r>
        <w:rPr>
          <w:rStyle w:val="FootnoteAnchor"/>
          <w:rtl w:val="true"/>
        </w:rPr>
        <w:footnoteReference w:id="694"/>
      </w:r>
      <w:r>
        <w:rPr>
          <w:rFonts w:ascii="Amiri" w:hAnsi="Amiri" w:eastAsia="Amiri" w:cs="Amiri"/>
          <w:color w:val="111111"/>
          <w:sz w:val="28"/>
          <w:sz w:val="28"/>
          <w:szCs w:val="28"/>
          <w:rtl w:val="true"/>
          <w:lang w:bidi="ar-SA"/>
        </w:rPr>
        <w:t>مِن أن يَكونوا غَلِطوا في الاستدلالِ‌، و اعتَقَدوا فيمَن يَجوزُ عليهِ التواطؤُ، و لا يَقطَعُ خبرُه العذرَ، خِلافَ ما هُم عليهِ ، و هذا ممّا لا سَبيلَ إلىٰ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ناقِضاً لكلامِه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عوَّلَ فيه علىٰ أنّ المُخبِرَ إذا أخبَرَ الصَّحابةَ بما</w:t>
      </w:r>
      <w:r>
        <w:rPr>
          <w:rStyle w:val="FootnoteAnchor"/>
          <w:rtl w:val="true"/>
        </w:rPr>
        <w:footnoteReference w:id="695"/>
      </w:r>
      <w:r>
        <w:rPr>
          <w:rFonts w:ascii="Amiri" w:hAnsi="Amiri" w:eastAsia="Amiri" w:cs="Amiri"/>
          <w:color w:val="111111"/>
          <w:sz w:val="28"/>
          <w:sz w:val="28"/>
          <w:szCs w:val="28"/>
          <w:rtl w:val="true"/>
          <w:lang w:bidi="ar-SA"/>
        </w:rPr>
        <w:t xml:space="preserve">لَم تَسمَعْه مِن الرسولِ صَلَّى اللّٰهُ عليهِ و آلِه، وَجَبَ أن يَرُدّوا خبرَه إذا كان الخبرُ متضمِّناً لِما يَشمَلُ </w:t>
      </w:r>
      <w:r>
        <w:rPr>
          <w:rStyle w:val="FootnoteAnchor"/>
          <w:rtl w:val="true"/>
        </w:rPr>
        <w:footnoteReference w:id="696"/>
      </w:r>
      <w:r>
        <w:rPr>
          <w:rFonts w:ascii="Amiri" w:hAnsi="Amiri" w:eastAsia="Amiri" w:cs="Amiri"/>
          <w:color w:val="111111"/>
          <w:sz w:val="28"/>
          <w:sz w:val="28"/>
          <w:szCs w:val="28"/>
          <w:rtl w:val="true"/>
          <w:lang w:bidi="ar-SA"/>
        </w:rPr>
        <w:t>وجوبُ العِلمِ به الخاصَّ و العامَّ ، و هو يَقولُ فيما حَكَيناه</w:t>
      </w:r>
      <w:r>
        <w:rPr>
          <w:rStyle w:val="FootnoteAnchor"/>
          <w:rtl w:val="true"/>
        </w:rPr>
        <w:footnoteReference w:id="69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جائزٌ أن يَكونَ الصَّحابةُ استدَلَّت علىٰ صِحّةِ الخبرِ مِن حَيثُ خبَّرَها</w:t>
      </w:r>
      <w:r>
        <w:rPr>
          <w:rStyle w:val="FootnoteAnchor"/>
          <w:rtl w:val="true"/>
        </w:rPr>
        <w:footnoteReference w:id="698"/>
      </w:r>
      <w:r>
        <w:rPr>
          <w:rFonts w:ascii="Amiri" w:hAnsi="Amiri" w:eastAsia="Amiri" w:cs="Amiri"/>
          <w:color w:val="111111"/>
          <w:sz w:val="28"/>
          <w:sz w:val="28"/>
          <w:szCs w:val="28"/>
          <w:rtl w:val="true"/>
          <w:lang w:bidi="ar-SA"/>
        </w:rPr>
        <w:t>به جَماعةٌ لا يَجوزُ عليها 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يوجَبْ عليهِم ردُّه مِن قِبَلِ أنّهم لَم يَسمَعوه كسَماعِهم</w:t>
      </w:r>
      <w:r>
        <w:rPr>
          <w:rStyle w:val="FootnoteAnchor"/>
          <w:rtl w:val="true"/>
        </w:rPr>
        <w:footnoteReference w:id="699"/>
      </w:r>
      <w:r>
        <w:rPr>
          <w:rFonts w:ascii="Amiri" w:hAnsi="Amiri" w:eastAsia="Amiri" w:cs="Amiri"/>
          <w:color w:val="111111"/>
          <w:sz w:val="28"/>
          <w:sz w:val="28"/>
          <w:szCs w:val="28"/>
          <w:rtl w:val="true"/>
          <w:lang w:bidi="ar-SA"/>
        </w:rPr>
        <w:t>مِن الرسولِ صَلَّى اللّٰهُ عليه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المَوضعانِ يَتَناقَضانِ كما تَرىٰ ؛ لأنّه إن صَحَّ وجوبُ رَدِّ ما لَم </w:t>
      </w:r>
      <w:bookmarkStart w:id="107" w:name="pg20015_284808"/>
    </w:p>
    <w:p>
      <w:pPr>
        <w:pStyle w:val="BookText"/>
        <w:rPr/>
      </w:pPr>
      <w:bookmarkEnd w:id="107"/>
      <w:r>
        <w:rPr>
          <w:rFonts w:ascii="Amiri" w:hAnsi="Amiri" w:eastAsia="Amiri" w:cs="Amiri"/>
          <w:color w:val="111111"/>
          <w:sz w:val="28"/>
          <w:sz w:val="28"/>
          <w:szCs w:val="28"/>
          <w:rtl w:val="true"/>
          <w:lang w:bidi="ar-SA"/>
        </w:rPr>
        <w:t xml:space="preserve">يَسمَعْه جميعُ الصَّحابةِ </w:t>
      </w:r>
      <w:r>
        <w:rPr>
          <w:rStyle w:val="FootnoteAnchor"/>
          <w:rtl w:val="true"/>
        </w:rPr>
        <w:footnoteReference w:id="700"/>
      </w:r>
      <w:r>
        <w:rPr>
          <w:rFonts w:ascii="Amiri" w:hAnsi="Amiri" w:eastAsia="Amiri" w:cs="Amiri"/>
          <w:color w:val="111111"/>
          <w:sz w:val="28"/>
          <w:sz w:val="28"/>
          <w:szCs w:val="28"/>
          <w:rtl w:val="true"/>
          <w:lang w:bidi="ar-SA"/>
        </w:rPr>
        <w:t>أو أكثرُهم و إن كانَ المُخبِرُ جَماعةً ، بطَلَ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استَدَلّوا علىٰ صحّةِ الخبرِ بنَقلِ مَن لا يَجوزُ عليه التواطؤُ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إذا لَم يَسمَعوه يَجِبُ علىٰ قَولِه أن يَرُدّوه، و إن كانوا قد سَمِعوه فكَيفَ يَصِحُّ أن يَستَدِلّوا عليه ؟</w:t>
      </w:r>
      <w:r>
        <w:rPr>
          <w:rStyle w:val="FootnoteAnchor"/>
          <w:rtl w:val="true"/>
        </w:rPr>
        <w:footnoteReference w:id="701"/>
      </w:r>
      <w:r>
        <w:rPr>
          <w:rFonts w:ascii="Amiri" w:hAnsi="Amiri" w:eastAsia="Amiri" w:cs="Amiri"/>
          <w:color w:val="111111"/>
          <w:sz w:val="28"/>
          <w:sz w:val="28"/>
          <w:szCs w:val="28"/>
          <w:rtl w:val="true"/>
          <w:lang w:bidi="ar-SA"/>
        </w:rPr>
        <w:t>و إنّ صَحَّ استدلالُهم علَى الخبرِ بطَلَ أن يَكونَ رَدُّ ما لَم يَسمَعوه و يَعرِفوه واجباً عليهِم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894797_2320776876"/>
      <w:bookmarkStart w:id="109" w:name="_Toc40"/>
      <w:bookmarkEnd w:id="108"/>
      <w:r>
        <w:rPr>
          <w:rtl w:val="true"/>
        </w:rPr>
        <w:t>مساواة حال أُمّتنا لسائر الأُمم في قبول الأخبار الصحيحة و الباطلة</w:t>
      </w:r>
      <w:bookmarkEnd w:id="10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فيَجِبُ أن تَقولوا</w:t>
      </w:r>
      <w:r>
        <w:rPr>
          <w:rStyle w:val="FootnoteAnchor"/>
          <w:rtl w:val="true"/>
        </w:rPr>
        <w:footnoteReference w:id="702"/>
      </w:r>
      <w:r>
        <w:rPr>
          <w:rFonts w:ascii="Amiri" w:hAnsi="Amiri" w:eastAsia="Amiri" w:cs="Amiri"/>
          <w:color w:val="111111"/>
          <w:sz w:val="28"/>
          <w:sz w:val="28"/>
          <w:szCs w:val="28"/>
          <w:rtl w:val="true"/>
          <w:lang w:bidi="ar-SA"/>
        </w:rPr>
        <w:t>بمِثلِ‌</w:t>
      </w:r>
      <w:r>
        <w:rPr>
          <w:rStyle w:val="FootnoteAnchor"/>
          <w:rtl w:val="true"/>
        </w:rPr>
        <w:footnoteReference w:id="703"/>
      </w:r>
      <w:r>
        <w:rPr>
          <w:rFonts w:ascii="Amiri" w:hAnsi="Amiri" w:eastAsia="Amiri" w:cs="Amiri"/>
          <w:color w:val="111111"/>
          <w:sz w:val="28"/>
          <w:sz w:val="28"/>
          <w:szCs w:val="28"/>
          <w:rtl w:val="true"/>
          <w:lang w:bidi="ar-SA"/>
        </w:rPr>
        <w:t xml:space="preserve">هذه العادةِ </w:t>
      </w:r>
      <w:r>
        <w:rPr>
          <w:rStyle w:val="FootnoteAnchor"/>
          <w:rtl w:val="true"/>
        </w:rPr>
        <w:footnoteReference w:id="704"/>
      </w:r>
      <w:r>
        <w:rPr>
          <w:rFonts w:ascii="Amiri" w:hAnsi="Amiri" w:eastAsia="Amiri" w:cs="Amiri"/>
          <w:color w:val="111111"/>
          <w:sz w:val="28"/>
          <w:sz w:val="28"/>
          <w:szCs w:val="28"/>
          <w:rtl w:val="true"/>
          <w:lang w:bidi="ar-SA"/>
        </w:rPr>
        <w:t>في غَيرِ أُمّتِنا</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بمَنزِلَتِها في أُمّتِنا في صِحّةِ التوَصُّلِ إلىٰ ثُبوتِ الأخبارِ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هذا يوجِبُ عليكم أن تُثبِتوا أخبارَ النَّصارىٰ </w:t>
      </w:r>
      <w:r>
        <w:rPr>
          <w:rStyle w:val="FootnoteAnchor"/>
          <w:rtl w:val="true"/>
        </w:rPr>
        <w:footnoteReference w:id="707"/>
      </w:r>
      <w:r>
        <w:rPr>
          <w:rFonts w:ascii="Amiri" w:hAnsi="Amiri" w:eastAsia="Amiri" w:cs="Amiri"/>
          <w:color w:val="111111"/>
          <w:sz w:val="28"/>
          <w:sz w:val="28"/>
          <w:szCs w:val="28"/>
          <w:rtl w:val="true"/>
          <w:lang w:bidi="ar-SA"/>
        </w:rPr>
        <w:t xml:space="preserve">في صَلبِ المَسيحِ عليهِ السلامُ ، إلىٰ غَيرِ ذلكَ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708"/>
      </w:r>
      <w:r>
        <w:rPr>
          <w:rFonts w:ascii="Amiri" w:hAnsi="Amiri" w:eastAsia="Amiri" w:cs="Amiri"/>
          <w:color w:val="111111"/>
          <w:sz w:val="28"/>
          <w:sz w:val="28"/>
          <w:szCs w:val="28"/>
          <w:rtl w:val="true"/>
          <w:lang w:bidi="ar-SA"/>
        </w:rPr>
        <w:t xml:space="preserve">عَرَفنا هذه العادةَ </w:t>
      </w:r>
      <w:r>
        <w:rPr>
          <w:rStyle w:val="FootnoteAnchor"/>
          <w:rtl w:val="true"/>
        </w:rPr>
        <w:footnoteReference w:id="709"/>
      </w:r>
      <w:r>
        <w:rPr>
          <w:rFonts w:ascii="Amiri" w:hAnsi="Amiri" w:eastAsia="Amiri" w:cs="Amiri"/>
          <w:color w:val="111111"/>
          <w:sz w:val="28"/>
          <w:sz w:val="28"/>
          <w:szCs w:val="28"/>
          <w:rtl w:val="true"/>
          <w:lang w:bidi="ar-SA"/>
        </w:rPr>
        <w:t>في أُمّةِ نَبيِّنا و لَم نَعرِفْ مِثلَها</w:t>
      </w:r>
      <w:r>
        <w:rPr>
          <w:rStyle w:val="FootnoteAnchor"/>
          <w:rtl w:val="true"/>
        </w:rPr>
        <w:footnoteReference w:id="71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غَيرِهم، و العاداتُ إذا</w:t>
      </w:r>
      <w:r>
        <w:rPr>
          <w:rStyle w:val="FootnoteAnchor"/>
          <w:rtl w:val="true"/>
        </w:rPr>
        <w:footnoteReference w:id="711"/>
      </w:r>
      <w:r>
        <w:rPr>
          <w:rFonts w:ascii="Amiri" w:hAnsi="Amiri" w:eastAsia="Amiri" w:cs="Amiri"/>
          <w:color w:val="111111"/>
          <w:sz w:val="28"/>
          <w:sz w:val="28"/>
          <w:szCs w:val="28"/>
          <w:rtl w:val="true"/>
          <w:lang w:bidi="ar-SA"/>
        </w:rPr>
        <w:t>كانَت تابِعةً للتمسُّكِ بالدِّينِ‌</w:t>
      </w:r>
      <w:r>
        <w:rPr>
          <w:rStyle w:val="FootnoteAnchor"/>
          <w:rtl w:val="true"/>
        </w:rPr>
        <w:footnoteReference w:id="712"/>
      </w:r>
      <w:r>
        <w:rPr>
          <w:rFonts w:ascii="Amiri" w:hAnsi="Amiri" w:eastAsia="Amiri" w:cs="Amiri"/>
          <w:color w:val="111111"/>
          <w:sz w:val="28"/>
          <w:sz w:val="28"/>
          <w:szCs w:val="28"/>
          <w:rtl w:val="true"/>
          <w:lang w:bidi="ar-SA"/>
        </w:rPr>
        <w:t>لَم يَمتَنِعْ أن يَختلِفَ‌</w:t>
      </w:r>
      <w:r>
        <w:rPr>
          <w:rStyle w:val="FootnoteAnchor"/>
          <w:rtl w:val="true"/>
        </w:rPr>
        <w:footnoteReference w:id="713"/>
      </w:r>
      <w:r>
        <w:rPr>
          <w:rFonts w:ascii="Amiri" w:hAnsi="Amiri" w:eastAsia="Amiri" w:cs="Amiri"/>
          <w:color w:val="111111"/>
          <w:sz w:val="28"/>
          <w:sz w:val="28"/>
          <w:szCs w:val="28"/>
          <w:rtl w:val="true"/>
          <w:lang w:bidi="ar-SA"/>
        </w:rPr>
        <w:t xml:space="preserve">أحوالُ أهلِ الدِّينِ فيها، و لَم يَثبُتْ عندَنا مِن حالِ سائرِ الأُمَمِ في التمسُّكِ في بابِ الدِّينِ و ما يُنقَلُ فيه مِن الأخبارِ ما ثبَتَ </w:t>
      </w:r>
      <w:r>
        <w:rPr>
          <w:rStyle w:val="FootnoteAnchor"/>
          <w:rtl w:val="true"/>
        </w:rPr>
        <w:footnoteReference w:id="714"/>
      </w:r>
      <w:r>
        <w:rPr>
          <w:rFonts w:ascii="Amiri" w:hAnsi="Amiri" w:eastAsia="Amiri" w:cs="Amiri"/>
          <w:color w:val="111111"/>
          <w:sz w:val="28"/>
          <w:sz w:val="28"/>
          <w:szCs w:val="28"/>
          <w:rtl w:val="true"/>
          <w:lang w:bidi="ar-SA"/>
        </w:rPr>
        <w:t xml:space="preserve">في أُمّة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أن نَقطَعَ بذلكَ ، و لَو كانَ حالُهم كحالِ أُمّةِ نَبِيِّنا كُنّا نُجوِّزُ الاتِّفاقَ فيه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 أمّا خبرُ الصَّلبِ فبَعيدٌ مِن هذا البابِ ؛ لأنّا إنّما نَذكُرُ في ذلكَ </w:t>
      </w:r>
      <w:r>
        <w:rPr>
          <w:rStyle w:val="FootnoteAnchor"/>
          <w:rtl w:val="true"/>
        </w:rPr>
        <w:footnoteReference w:id="716"/>
      </w:r>
      <w:r>
        <w:rPr>
          <w:rFonts w:ascii="Amiri" w:hAnsi="Amiri" w:eastAsia="Amiri" w:cs="Amiri"/>
          <w:color w:val="111111"/>
          <w:sz w:val="28"/>
          <w:sz w:val="28"/>
          <w:szCs w:val="28"/>
          <w:rtl w:val="true"/>
          <w:lang w:bidi="ar-SA"/>
        </w:rPr>
        <w:t xml:space="preserve">ما يُنقَلُ في بابِ الدِّينِ و التمسُّكِ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أَورَدتُموه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نَعرِفُ‌ لأُمّتِنا مَزِيّةً فيما ادَّعاه تَبينُ بها</w:t>
      </w:r>
      <w:r>
        <w:rPr>
          <w:rStyle w:val="FootnoteAnchor"/>
          <w:rtl w:val="true"/>
        </w:rPr>
        <w:footnoteReference w:id="718"/>
      </w:r>
      <w:r>
        <w:rPr>
          <w:rFonts w:ascii="Amiri" w:hAnsi="Amiri" w:eastAsia="Amiri" w:cs="Amiri"/>
          <w:color w:val="111111"/>
          <w:sz w:val="28"/>
          <w:sz w:val="28"/>
          <w:szCs w:val="28"/>
          <w:rtl w:val="true"/>
          <w:lang w:bidi="ar-SA"/>
        </w:rPr>
        <w:t xml:space="preserve">مِن سائرِ الأُمَمِ‌؛ لأنّا نَعلَمُ أنّ أهلَ العَقلِ و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أُمّةٍ‌</w:t>
      </w:r>
      <w:r>
        <w:rPr>
          <w:rStyle w:val="FootnoteAnchor"/>
          <w:rtl w:val="true"/>
        </w:rPr>
        <w:footnoteReference w:id="719"/>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يَقبَلوا إلّاما يَعلَمونَ أو يَعتقِدونَ صِحّتَه، و لَيسَ يَجوزُ أن يُجعَلَ رَدُّهم لبعضِ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عنهم الشُّبهةُ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أنّهم لا يَقبَلونَ باطلاً و إن قَوِيَت شُبهتُه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المقدارُ</w:t>
      </w:r>
      <w:r>
        <w:rPr>
          <w:rStyle w:val="FootnoteAnchor"/>
          <w:rtl w:val="true"/>
        </w:rPr>
        <w:footnoteReference w:id="720"/>
      </w:r>
      <w:r>
        <w:rPr>
          <w:rFonts w:ascii="Amiri" w:hAnsi="Amiri" w:eastAsia="Amiri" w:cs="Amiri"/>
          <w:color w:val="111111"/>
          <w:sz w:val="28"/>
          <w:sz w:val="28"/>
          <w:szCs w:val="28"/>
          <w:rtl w:val="true"/>
          <w:lang w:bidi="ar-SA"/>
        </w:rPr>
        <w:t>الذي استدَلَّ به علىٰ أنَّ‌</w:t>
      </w:r>
      <w:r>
        <w:rPr>
          <w:rStyle w:val="FootnoteAnchor"/>
          <w:rtl w:val="true"/>
        </w:rPr>
        <w:footnoteReference w:id="721"/>
      </w:r>
      <w:r>
        <w:rPr>
          <w:rFonts w:ascii="Amiri" w:hAnsi="Amiri" w:eastAsia="Amiri" w:cs="Amiri"/>
          <w:color w:val="111111"/>
          <w:sz w:val="28"/>
          <w:sz w:val="28"/>
          <w:szCs w:val="28"/>
          <w:rtl w:val="true"/>
          <w:lang w:bidi="ar-SA"/>
        </w:rPr>
        <w:t xml:space="preserve">أُمَّتَنا لا تَقبَلُ </w:t>
      </w:r>
      <w:r>
        <w:rPr>
          <w:rStyle w:val="FootnoteAnchor"/>
          <w:rtl w:val="true"/>
        </w:rPr>
        <w:footnoteReference w:id="722"/>
      </w:r>
      <w:r>
        <w:rPr>
          <w:rFonts w:ascii="Amiri" w:hAnsi="Amiri" w:eastAsia="Amiri" w:cs="Amiri"/>
          <w:color w:val="111111"/>
          <w:sz w:val="28"/>
          <w:sz w:val="28"/>
          <w:szCs w:val="28"/>
          <w:rtl w:val="true"/>
          <w:lang w:bidi="ar-SA"/>
        </w:rPr>
        <w:t xml:space="preserve">إلّاالحقَّ موجودٌ في كُلِّ أُمّةٍ ؛ لأنّا كما وَجَدنا أهلَ مِلّتِنا قد رَدّوا كَثيراً ممّا لَم يَصِحَّ عندَهم أو ممّا اعتَقَدوا </w:t>
      </w:r>
    </w:p>
    <w:p>
      <w:pPr>
        <w:pStyle w:val="BookText"/>
        <w:rPr/>
      </w:pPr>
      <w:r>
        <w:rPr>
          <w:rFonts w:ascii="Amiri" w:hAnsi="Amiri" w:eastAsia="Amiri" w:cs="Amiri"/>
          <w:color w:val="111111"/>
          <w:sz w:val="28"/>
          <w:sz w:val="28"/>
          <w:szCs w:val="28"/>
          <w:rtl w:val="true"/>
          <w:lang w:bidi="ar-SA"/>
        </w:rPr>
        <w:t>بُطلانَه، فقَد وَجَدنا أيضاً جَماعةً مِن الأُممِ الخارجةِ عن المِلّةِ قد استَعمَلوا مِثلَ ذلكَ ، و رَدّوا كَثيراً ممّا لَم يَصِحَّ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خُصومُنا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إن رَدّوا بعضَ الباطلِ فقَد قَبِلوا كَثيراً مِنه بالشُّبهةِ ، و قد عَلِمنا هذا مِن حالِهم، فكيفَ يَجوزُ أن يُساوِيَ حالُهم حالَ أُمّتِنا و لَم نَعثُرْ</w:t>
      </w:r>
      <w:r>
        <w:rPr>
          <w:rStyle w:val="FootnoteAnchor"/>
          <w:rtl w:val="true"/>
        </w:rPr>
        <w:footnoteReference w:id="723"/>
      </w:r>
      <w:r>
        <w:rPr>
          <w:rFonts w:ascii="Amiri" w:hAnsi="Amiri" w:eastAsia="Amiri" w:cs="Amiri"/>
          <w:color w:val="111111"/>
          <w:sz w:val="28"/>
          <w:sz w:val="28"/>
          <w:szCs w:val="28"/>
          <w:rtl w:val="true"/>
          <w:lang w:bidi="ar-SA"/>
        </w:rPr>
        <w:t>مِنهم علىٰ قَبولِ باطلٍ؟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w:t>
      </w:r>
      <w:r>
        <w:rPr>
          <w:rStyle w:val="FootnoteAnchor"/>
          <w:rtl w:val="true"/>
        </w:rPr>
        <w:footnoteReference w:id="724"/>
      </w:r>
      <w:r>
        <w:rPr>
          <w:rFonts w:ascii="Amiri" w:hAnsi="Amiri" w:eastAsia="Amiri" w:cs="Amiri"/>
          <w:color w:val="111111"/>
          <w:sz w:val="28"/>
          <w:sz w:val="28"/>
          <w:szCs w:val="28"/>
          <w:rtl w:val="true"/>
          <w:lang w:bidi="ar-SA"/>
        </w:rPr>
        <w:t>إذَن ما وقَعَ مِن التعويلِ مِنكم عليهِ‌؛ لأنّه إذا جازَ أن يَدفَعَ بعضَ الباطلِ و لا يَتَقَبَّلَه مَن يَتقبَّلُ باطلاً آخَرَ، فما المانِعُ مِن أن يَكونَ هذه حالَ أُمّتِنا؟ فلا يَكونَ‌</w:t>
      </w:r>
      <w:r>
        <w:rPr>
          <w:rStyle w:val="FootnoteAnchor"/>
          <w:rtl w:val="true"/>
        </w:rPr>
        <w:footnoteReference w:id="725"/>
      </w:r>
      <w:r>
        <w:rPr>
          <w:rFonts w:ascii="Amiri" w:hAnsi="Amiri" w:eastAsia="Amiri" w:cs="Amiri"/>
          <w:color w:val="111111"/>
          <w:sz w:val="28"/>
          <w:sz w:val="28"/>
          <w:szCs w:val="28"/>
          <w:rtl w:val="true"/>
          <w:lang w:bidi="ar-SA"/>
        </w:rPr>
        <w:t>ما سُلِّمَ في بعضِ المَواضعِ مِن دَفعِهم لِما لَم يَصِحَّ عندَهم دَلالةً علىٰ أنّهم مُستَعمِلونَ لهذه</w:t>
      </w:r>
      <w:r>
        <w:rPr>
          <w:rStyle w:val="FootnoteAnchor"/>
          <w:rtl w:val="true"/>
        </w:rPr>
        <w:footnoteReference w:id="726"/>
      </w:r>
      <w:r>
        <w:rPr>
          <w:rFonts w:ascii="Amiri" w:hAnsi="Amiri" w:eastAsia="Amiri" w:cs="Amiri"/>
          <w:color w:val="111111"/>
          <w:sz w:val="28"/>
          <w:sz w:val="28"/>
          <w:szCs w:val="28"/>
          <w:rtl w:val="true"/>
          <w:lang w:bidi="ar-SA"/>
        </w:rPr>
        <w:t>الطريقةِ في كُلِّ ما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الدَّعوىٰ لأنّه</w:t>
      </w:r>
      <w:r>
        <w:rPr>
          <w:rStyle w:val="FootnoteAnchor"/>
          <w:rtl w:val="true"/>
        </w:rPr>
        <w:footnoteReference w:id="727"/>
      </w:r>
      <w:r>
        <w:rPr>
          <w:rFonts w:ascii="Amiri" w:hAnsi="Amiri" w:eastAsia="Amiri" w:cs="Amiri"/>
          <w:color w:val="111111"/>
          <w:sz w:val="28"/>
          <w:sz w:val="28"/>
          <w:szCs w:val="28"/>
          <w:rtl w:val="true"/>
          <w:lang w:bidi="ar-SA"/>
        </w:rPr>
        <w:t>لَم يُعثَرْ مِنهم علىٰ تسليمِ باطلٍ و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مُسلَّمةٍ‌</w:t>
      </w:r>
      <w:r>
        <w:rPr>
          <w:rStyle w:val="FootnoteAnchor"/>
          <w:rtl w:val="true"/>
        </w:rPr>
        <w:footnoteReference w:id="728"/>
      </w:r>
      <w:r>
        <w:rPr>
          <w:rFonts w:ascii="Amiri" w:hAnsi="Amiri" w:eastAsia="Amiri" w:cs="Amiri"/>
          <w:color w:val="111111"/>
          <w:sz w:val="28"/>
          <w:sz w:val="28"/>
          <w:szCs w:val="28"/>
          <w:rtl w:val="true"/>
          <w:lang w:bidi="ar-SA"/>
        </w:rPr>
        <w:t>، و لا طريقَ إلىٰ تصحيحِها، و المُدَّعي لها كالمُستَسلِمِ‌</w:t>
      </w:r>
      <w:r>
        <w:rPr>
          <w:rStyle w:val="FootnoteAnchor"/>
          <w:rtl w:val="true"/>
        </w:rPr>
        <w:footnoteReference w:id="729"/>
      </w:r>
      <w:r>
        <w:rPr>
          <w:rFonts w:ascii="Amiri" w:hAnsi="Amiri" w:eastAsia="Amiri" w:cs="Amiri"/>
          <w:color w:val="111111"/>
          <w:sz w:val="28"/>
          <w:sz w:val="28"/>
          <w:szCs w:val="28"/>
          <w:rtl w:val="true"/>
          <w:lang w:bidi="ar-SA"/>
        </w:rPr>
        <w:t>نفسَ ما وَقَعَ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يُمكِنُ تصحيحُه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رَدّوا بعضَ الأخبارِ لَمّا لَم يَقطَعوا علىٰ صِحّتِها، و قد بيّنّا أنّ ذلكَ غَيرُ موجِبٍ للقَطعِ علىٰ أنّهم لا يَتقبَّلونَ إلّاالصحيحَ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يُرجِّحَ حالَ أُمّتِنا في هذه العادةِ المُدَّعاةِ بما هو معلومٌ مِن حالِهم مِن شِدّةِ التمَسُّكِ بالدِّينِ ، و قُوّةِ الحِرصِ و الاجتهادِ</w:t>
      </w:r>
      <w:r>
        <w:rPr>
          <w:rStyle w:val="FootnoteAnchor"/>
          <w:rtl w:val="true"/>
        </w:rPr>
        <w:footnoteReference w:id="730"/>
      </w:r>
      <w:r>
        <w:rPr>
          <w:rFonts w:ascii="Amiri" w:hAnsi="Amiri" w:eastAsia="Amiri" w:cs="Amiri"/>
          <w:color w:val="111111"/>
          <w:sz w:val="28"/>
          <w:sz w:val="28"/>
          <w:szCs w:val="28"/>
          <w:rtl w:val="true"/>
          <w:lang w:bidi="ar-SA"/>
        </w:rPr>
        <w:t xml:space="preserve">في تشييدِه؛ لأنّا نَعلَمُ </w:t>
      </w:r>
      <w:bookmarkStart w:id="110" w:name="pg20015_284811"/>
    </w:p>
    <w:p>
      <w:pPr>
        <w:pStyle w:val="BookText"/>
        <w:rPr/>
      </w:pPr>
      <w:bookmarkEnd w:id="110"/>
      <w:r>
        <w:rPr>
          <w:rFonts w:ascii="Amiri" w:hAnsi="Amiri" w:eastAsia="Amiri" w:cs="Amiri"/>
          <w:color w:val="111111"/>
          <w:sz w:val="28"/>
          <w:sz w:val="28"/>
          <w:szCs w:val="28"/>
          <w:rtl w:val="true"/>
          <w:lang w:bidi="ar-SA"/>
        </w:rPr>
        <w:t xml:space="preserve">ضَرورةً مِن حالِ كثيرٍ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التمسُّكِ و قُوّةِ التديُّنِ و الاجتهادِ في التقرُّبِ إلَى اللّٰهِ تَعالىٰ‌</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نَعلَمُه مِن حالِ أُمّتِنا أو قَريباً مِنه</w:t>
      </w:r>
      <w:r>
        <w:rPr>
          <w:rStyle w:val="FootnoteAnchor"/>
          <w:rtl w:val="true"/>
        </w:rPr>
        <w:footnoteReference w:id="732"/>
      </w:r>
      <w:r>
        <w:rPr>
          <w:rFonts w:ascii="Amiri" w:hAnsi="Amiri" w:eastAsia="Amiri" w:cs="Amiri"/>
          <w:color w:val="111111"/>
          <w:sz w:val="28"/>
          <w:sz w:val="28"/>
          <w:szCs w:val="28"/>
          <w:rtl w:val="true"/>
          <w:lang w:bidi="ar-SA"/>
        </w:rPr>
        <w:t xml:space="preserve">، و لَم يَكُن ذلكَ عاصِماً لهم مِن اعتقادِهم الباطلَ </w:t>
      </w:r>
      <w:r>
        <w:rPr>
          <w:rStyle w:val="FootnoteAnchor"/>
          <w:rtl w:val="true"/>
        </w:rPr>
        <w:footnoteReference w:id="733"/>
      </w:r>
      <w:r>
        <w:rPr>
          <w:rFonts w:ascii="Amiri" w:hAnsi="Amiri" w:eastAsia="Amiri" w:cs="Amiri"/>
          <w:color w:val="111111"/>
          <w:sz w:val="28"/>
          <w:sz w:val="28"/>
          <w:szCs w:val="28"/>
          <w:rtl w:val="true"/>
          <w:lang w:bidi="ar-SA"/>
        </w:rPr>
        <w:t xml:space="preserve">مِن طريقِ الروايةِ للشُّبهةِ ، و كذلكَ </w:t>
      </w:r>
      <w:r>
        <w:rPr>
          <w:rStyle w:val="FootnoteAnchor"/>
          <w:rtl w:val="true"/>
        </w:rPr>
        <w:footnoteReference w:id="734"/>
      </w:r>
      <w:r>
        <w:rPr>
          <w:rFonts w:ascii="Amiri" w:hAnsi="Amiri" w:eastAsia="Amiri" w:cs="Amiri"/>
          <w:color w:val="111111"/>
          <w:sz w:val="28"/>
          <w:sz w:val="28"/>
          <w:szCs w:val="28"/>
          <w:rtl w:val="true"/>
          <w:lang w:bidi="ar-SA"/>
        </w:rPr>
        <w:t>حالُ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735"/>
      </w:r>
      <w:r>
        <w:rPr>
          <w:rFonts w:ascii="Amiri" w:hAnsi="Amiri" w:eastAsia="Amiri" w:cs="Amiri"/>
          <w:color w:val="111111"/>
          <w:sz w:val="28"/>
          <w:sz w:val="28"/>
          <w:szCs w:val="28"/>
          <w:rtl w:val="true"/>
          <w:lang w:bidi="ar-SA"/>
        </w:rPr>
        <w:t>خبرَ الصَّلبِ لَيسَ داخلاً في هذا البابِ‌؛ مِن حَيثُ لَم يَكُن مِن 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فطَريفٌ‌؛ لأنّ المُراعىٰ‌</w:t>
      </w:r>
      <w:r>
        <w:rPr>
          <w:rStyle w:val="FootnoteAnchor"/>
          <w:rtl w:val="true"/>
        </w:rPr>
        <w:footnoteReference w:id="736"/>
      </w:r>
      <w:r>
        <w:rPr>
          <w:rFonts w:ascii="Amiri" w:hAnsi="Amiri" w:eastAsia="Amiri" w:cs="Amiri"/>
          <w:color w:val="111111"/>
          <w:sz w:val="28"/>
          <w:sz w:val="28"/>
          <w:szCs w:val="28"/>
          <w:rtl w:val="true"/>
          <w:lang w:bidi="ar-SA"/>
        </w:rPr>
        <w:t>في هذا الوجهِ اعتقادُ الناقِلينَ‌</w:t>
      </w:r>
      <w:r>
        <w:rPr>
          <w:rStyle w:val="FootnoteAnchor"/>
          <w:rtl w:val="true"/>
        </w:rPr>
        <w:footnoteReference w:id="737"/>
      </w:r>
      <w:r>
        <w:rPr>
          <w:rFonts w:ascii="Amiri" w:hAnsi="Amiri" w:eastAsia="Amiri" w:cs="Amiri"/>
          <w:color w:val="111111"/>
          <w:sz w:val="28"/>
          <w:sz w:val="28"/>
          <w:szCs w:val="28"/>
          <w:rtl w:val="true"/>
          <w:lang w:bidi="ar-SA"/>
        </w:rPr>
        <w:t xml:space="preserve">في الشيءِ أنّه مِن بابِ الدِّينِ أو أنّه خارجٌ عنه، و نحنُ نَعلَمُ أنّ اليَهودَ تَتديَّنُ </w:t>
      </w:r>
      <w:r>
        <w:rPr>
          <w:rStyle w:val="FootnoteAnchor"/>
          <w:rtl w:val="true"/>
        </w:rPr>
        <w:footnoteReference w:id="738"/>
      </w:r>
      <w:r>
        <w:rPr>
          <w:rFonts w:ascii="Amiri" w:hAnsi="Amiri" w:eastAsia="Amiri" w:cs="Amiri"/>
          <w:color w:val="111111"/>
          <w:sz w:val="28"/>
          <w:sz w:val="28"/>
          <w:szCs w:val="28"/>
          <w:rtl w:val="true"/>
          <w:lang w:bidi="ar-SA"/>
        </w:rPr>
        <w:t>بنَقلِ خبرِ الصَّلبِ و بتصديقِ ناقِليه؛ لاعتقادِها المعروفِ الذي يَقتَضي كَونَ ذلكَ عندَهم مِن أكبرِ أبوابِ الدِّينِ ، و النَّصارىٰ أيضاً في نَقلِ الخبرِ و تقبُّلِه بهذه المنزلةِ ، و إن كان تديُّنُها بنقلِه و قبولِه يُخالِفُ الوجهَ الذي مِنه تديَّنَت اليَهودُ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الوجهَينِ جميعاً لا يَخرُجُ الخبرُ عندَ القَومِ مِن أن يَكونَ داخلاً في بابِ الدِّينِ </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894799_2320776876"/>
      <w:bookmarkStart w:id="112" w:name="_Toc41"/>
      <w:bookmarkEnd w:id="111"/>
      <w:r>
        <w:rPr>
          <w:rtl w:val="true"/>
        </w:rPr>
        <w:t>بطلان دعوى الاضطرار في معرفة صحّة أخبار الإجماع</w:t>
      </w:r>
      <w:bookmarkEnd w:id="11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739"/>
      </w:r>
      <w:r>
        <w:rPr>
          <w:rFonts w:ascii="Amiri" w:hAnsi="Amiri" w:eastAsia="Amiri" w:cs="Amiri"/>
          <w:color w:val="111111"/>
          <w:sz w:val="28"/>
          <w:sz w:val="28"/>
          <w:szCs w:val="28"/>
          <w:rtl w:val="true"/>
          <w:lang w:bidi="ar-SA"/>
        </w:rPr>
        <w:t xml:space="preserve">ذَكرَ شَيخُنا أبو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الإلهام</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أنّ هذه الأخبارَ</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يُعلَمُ‌</w:t>
      </w:r>
      <w:r>
        <w:rPr>
          <w:rStyle w:val="FootnoteAnchor"/>
          <w:rtl w:val="true"/>
        </w:rPr>
        <w:footnoteReference w:id="742"/>
      </w:r>
      <w:r>
        <w:rPr>
          <w:rFonts w:ascii="Amiri" w:hAnsi="Amiri" w:eastAsia="Amiri" w:cs="Amiri"/>
          <w:color w:val="111111"/>
          <w:sz w:val="28"/>
          <w:sz w:val="28"/>
          <w:szCs w:val="28"/>
          <w:rtl w:val="true"/>
          <w:lang w:bidi="ar-SA"/>
        </w:rPr>
        <w:t>صِحّتُها باضطرارٍ؛ لأنّها متظاهِرةٌ فاشيةٌ‌، كما يُعلَمُ باضطرارٍ أنّه عليه السلامُ رَجَمَ‌،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عن سائرِ ما ذَكرناه مِن الاحتجاجِ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صَحَّ فهو أحسَمُ لِلأَشاغيبِ‌</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يُقوّي ذلكَ ، و أنّهم كانوا يَتَواصَونَ بالتمسُّكِ بالإجماعِ ، و يَذُمّونَ الشارِدَ عنهم، و يَذكُرونَ ذلكَ في العُهودِ و الكُتُبِ المتضمِّنةِ للأحكامِ ، و كُلُّ ذلكَ مُناسِبٌ في القُوّةِ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فلا شَكَّ‌ أنّ ما ادَّعاه أبو هاشمٍ لَو صَحَّ كانَ حاسِماً للأشاغيبِ‌، غَيرَ أنّ مَرامَ‌</w:t>
      </w:r>
      <w:r>
        <w:rPr>
          <w:rStyle w:val="FootnoteAnchor"/>
          <w:rtl w:val="true"/>
        </w:rPr>
        <w:footnoteReference w:id="745"/>
      </w:r>
      <w:r>
        <w:rPr>
          <w:rFonts w:ascii="Amiri" w:hAnsi="Amiri" w:eastAsia="Amiri" w:cs="Amiri"/>
          <w:color w:val="111111"/>
          <w:sz w:val="28"/>
          <w:sz w:val="28"/>
          <w:szCs w:val="28"/>
          <w:rtl w:val="true"/>
          <w:lang w:bidi="ar-SA"/>
        </w:rPr>
        <w:t>تصحيحِه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يَستَجيزُ</w:t>
      </w:r>
      <w:r>
        <w:rPr>
          <w:rStyle w:val="FootnoteAnchor"/>
          <w:rtl w:val="true"/>
        </w:rPr>
        <w:footnoteReference w:id="746"/>
      </w:r>
      <w:r>
        <w:rPr>
          <w:rFonts w:ascii="Amiri" w:hAnsi="Amiri" w:eastAsia="Amiri" w:cs="Amiri"/>
          <w:color w:val="111111"/>
          <w:sz w:val="28"/>
          <w:sz w:val="28"/>
          <w:szCs w:val="28"/>
          <w:rtl w:val="true"/>
          <w:lang w:bidi="ar-SA"/>
        </w:rPr>
        <w:t>مُتديِّنٌ أن يَدَّعيَ في صِحّةِ الأخبارِ التي يُسنِدونَ‌</w:t>
      </w:r>
      <w:r>
        <w:rPr>
          <w:rStyle w:val="FootnoteAnchor"/>
          <w:rtl w:val="true"/>
        </w:rPr>
        <w:footnoteReference w:id="747"/>
      </w:r>
      <w:r>
        <w:rPr>
          <w:rFonts w:ascii="Amiri" w:hAnsi="Amiri" w:eastAsia="Amiri" w:cs="Amiri"/>
          <w:color w:val="111111"/>
          <w:sz w:val="28"/>
          <w:sz w:val="28"/>
          <w:szCs w:val="28"/>
          <w:rtl w:val="true"/>
          <w:lang w:bidi="ar-SA"/>
        </w:rPr>
        <w:t>إليها الإجماعَ‌</w:t>
      </w:r>
      <w:r>
        <w:rPr>
          <w:rStyle w:val="FootnoteAnchor"/>
          <w:rtl w:val="true"/>
        </w:rPr>
        <w:footnoteReference w:id="748"/>
      </w:r>
      <w:r>
        <w:rPr>
          <w:rFonts w:ascii="Amiri" w:hAnsi="Amiri" w:eastAsia="Amiri" w:cs="Amiri"/>
          <w:color w:val="111111"/>
          <w:sz w:val="28"/>
          <w:sz w:val="28"/>
          <w:szCs w:val="28"/>
          <w:rtl w:val="true"/>
          <w:lang w:bidi="ar-SA"/>
        </w:rPr>
        <w:t>الاضطرارَ، مع كَثرةِ مَن يُخالِفُ فيها ممّن لا يَجوزُ علىٰ بعضِهم دفعُ الاضطرارِ؟ و لَم نَجِدْ أحَداً ممّن نصَرَ الإجماعَ مِن المتكلِّمينَ و الفُقَهاءِ أقدَمَ علَى ادّعاءِ الاضطرارِ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التي يَتعلَّقُ بها في صِحّتِه؛ بَل الجميعُ مُعتَرِفونَ بأنّها أخبارُ آحادٍ، و إنّما يَتوصَّلونَ إلىٰ تصحيحِها بالاستدلالِ الذي سَلَكَه صاحِبُ الكتابِ ، و بالَغَ فيه</w:t>
      </w:r>
      <w:r>
        <w:rPr>
          <w:rStyle w:val="FootnoteAnchor"/>
          <w:rtl w:val="true"/>
        </w:rPr>
        <w:footnoteReference w:id="749"/>
      </w:r>
      <w:r>
        <w:rPr>
          <w:rFonts w:ascii="Amiri" w:hAnsi="Amiri" w:eastAsia="Amiri" w:cs="Amiri"/>
          <w:color w:val="111111"/>
          <w:sz w:val="28"/>
          <w:sz w:val="28"/>
          <w:szCs w:val="28"/>
          <w:rtl w:val="true"/>
          <w:lang w:bidi="ar-SA"/>
        </w:rPr>
        <w:t xml:space="preserve">إلىٰ هذا </w:t>
      </w:r>
      <w:bookmarkStart w:id="113" w:name="pg20015_284813"/>
    </w:p>
    <w:p>
      <w:pPr>
        <w:pStyle w:val="BookText"/>
        <w:rPr/>
      </w:pPr>
      <w:bookmarkEnd w:id="113"/>
      <w:r>
        <w:rPr>
          <w:rFonts w:ascii="Amiri" w:hAnsi="Amiri" w:eastAsia="Amiri" w:cs="Amiri"/>
          <w:color w:val="111111"/>
          <w:sz w:val="28"/>
          <w:sz w:val="28"/>
          <w:szCs w:val="28"/>
          <w:rtl w:val="true"/>
          <w:lang w:bidi="ar-SA"/>
        </w:rPr>
        <w:t xml:space="preserve">المَوضعِ ، و مَن حَمَلَ </w:t>
      </w:r>
      <w:r>
        <w:rPr>
          <w:rStyle w:val="FootnoteAnchor"/>
          <w:rtl w:val="true"/>
        </w:rPr>
        <w:footnoteReference w:id="750"/>
      </w:r>
      <w:r>
        <w:rPr>
          <w:rFonts w:ascii="Amiri" w:hAnsi="Amiri" w:eastAsia="Amiri" w:cs="Amiri"/>
          <w:color w:val="111111"/>
          <w:sz w:val="28"/>
          <w:sz w:val="28"/>
          <w:szCs w:val="28"/>
          <w:rtl w:val="true"/>
          <w:lang w:bidi="ar-SA"/>
        </w:rPr>
        <w:t>نفسَه في هذه الأخبارِ علَى ادِّعاءِ الضرورةِ عُرِفَت</w:t>
      </w:r>
      <w:r>
        <w:rPr>
          <w:rStyle w:val="FootnoteAnchor"/>
          <w:rtl w:val="true"/>
        </w:rPr>
        <w:footnoteReference w:id="751"/>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894801_2320776876"/>
      <w:bookmarkStart w:id="115" w:name="_Toc42"/>
      <w:bookmarkEnd w:id="114"/>
      <w:r>
        <w:rPr>
          <w:rtl w:val="true"/>
        </w:rPr>
        <w:t xml:space="preserve">عَودةٌ إلىٰ حَديثِ </w:t>
      </w:r>
      <w:r>
        <w:rPr>
          <w:rtl w:val="true"/>
        </w:rPr>
        <w:t>«</w:t>
      </w:r>
      <w:r>
        <w:rPr>
          <w:rtl w:val="true"/>
        </w:rPr>
        <w:t>لا تَجتَمِعُ أُمّتي علىٰ خطإٍ</w:t>
      </w:r>
      <w:r>
        <w:rPr>
          <w:rtl w:val="true"/>
        </w:rPr>
        <w:t>»</w:t>
      </w:r>
      <w:bookmarkEnd w:id="11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أنّهم لا يَجتَمِعونَ علَى الخطإ الذي هو بمعنَى السهوِ</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لا وجهَ له؛ لأنّ ذلكَ لا يَختَصُّ الأُمّةَ‌؛ لأنّ حالَ كُلِّ فَريقٍ مِنهم كحالِهم في ذلكَ ، و</w:t>
      </w:r>
      <w:r>
        <w:rPr>
          <w:rStyle w:val="FootnoteAnchor"/>
          <w:rtl w:val="true"/>
        </w:rPr>
        <w:footnoteReference w:id="753"/>
      </w:r>
      <w:r>
        <w:rPr>
          <w:rFonts w:ascii="Amiri" w:hAnsi="Amiri" w:eastAsia="Amiri" w:cs="Amiri"/>
          <w:color w:val="111111"/>
          <w:sz w:val="28"/>
          <w:sz w:val="28"/>
          <w:szCs w:val="28"/>
          <w:rtl w:val="true"/>
          <w:lang w:bidi="ar-SA"/>
        </w:rPr>
        <w:t xml:space="preserve">لأنّ ذلكَ </w:t>
      </w:r>
      <w:r>
        <w:rPr>
          <w:rStyle w:val="FootnoteAnchor"/>
          <w:rtl w:val="true"/>
        </w:rPr>
        <w:footnoteReference w:id="754"/>
      </w:r>
      <w:r>
        <w:rPr>
          <w:rFonts w:ascii="Amiri" w:hAnsi="Amiri" w:eastAsia="Amiri" w:cs="Amiri"/>
          <w:color w:val="111111"/>
          <w:sz w:val="28"/>
          <w:sz w:val="28"/>
          <w:szCs w:val="28"/>
          <w:rtl w:val="true"/>
          <w:lang w:bidi="ar-SA"/>
        </w:rPr>
        <w:t>ممّا لا يَقتَضي فيهم طريقةَ المَدحِ ، و لا</w:t>
      </w:r>
      <w:r>
        <w:rPr>
          <w:rStyle w:val="FootnoteAnchor"/>
          <w:rtl w:val="true"/>
        </w:rPr>
        <w:footnoteReference w:id="755"/>
      </w:r>
      <w:r>
        <w:rPr>
          <w:rFonts w:ascii="Amiri" w:hAnsi="Amiri" w:eastAsia="Amiri" w:cs="Amiri"/>
          <w:color w:val="111111"/>
          <w:sz w:val="28"/>
          <w:sz w:val="28"/>
          <w:szCs w:val="28"/>
          <w:rtl w:val="true"/>
          <w:lang w:bidi="ar-SA"/>
        </w:rPr>
        <w:t xml:space="preserve">الاختصاصَ الذي يوجِبُ تميُّزَهم مِن سائرِ الأُمَمِ </w:t>
      </w:r>
      <w:r>
        <w:rPr>
          <w:rFonts w:eastAsia="Amiri" w:cs="Amiri" w:ascii="Amiri" w:hAnsi="Amiri"/>
          <w:color w:val="111111"/>
          <w:sz w:val="28"/>
          <w:szCs w:val="28"/>
          <w:rtl w:val="true"/>
          <w:lang w:bidi="ar-SA"/>
        </w:rPr>
        <w:t>.</w:t>
      </w:r>
      <w:r>
        <w:rPr>
          <w:rStyle w:val="FootnoteAnchor"/>
          <w:rtl w:val="true"/>
        </w:rPr>
        <w:footnoteReference w:id="756"/>
      </w:r>
    </w:p>
    <w:p>
      <w:pPr>
        <w:pStyle w:val="Heading6"/>
        <w:numPr>
          <w:ilvl w:val="5"/>
          <w:numId w:val="1"/>
        </w:numPr>
        <w:rPr/>
      </w:pPr>
      <w:bookmarkStart w:id="116" w:name="__RefHeading___Toc894803_2320776876"/>
      <w:bookmarkStart w:id="117" w:name="_Toc43"/>
      <w:bookmarkEnd w:id="116"/>
      <w:r>
        <w:rPr>
          <w:rtl w:val="true"/>
        </w:rPr>
        <w:t>بيان المصنّف حول دلالة الحديث</w:t>
      </w:r>
      <w:bookmarkEnd w:id="117"/>
    </w:p>
    <w:p>
      <w:pPr>
        <w:pStyle w:val="BookText"/>
        <w:rPr/>
      </w:pPr>
      <w:r>
        <w:rPr>
          <w:rFonts w:ascii="Amiri" w:hAnsi="Amiri" w:eastAsia="Amiri" w:cs="Amiri"/>
          <w:color w:val="111111"/>
          <w:sz w:val="28"/>
          <w:sz w:val="28"/>
          <w:szCs w:val="28"/>
          <w:rtl w:val="true"/>
          <w:lang w:bidi="ar-SA"/>
        </w:rPr>
        <w:t xml:space="preserve">فقَد بيّنّا فيما سلَفَ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كالمُجمَلةِ‌</w:t>
      </w:r>
      <w:r>
        <w:rPr>
          <w:rStyle w:val="FootnoteAnchor"/>
          <w:rtl w:val="true"/>
        </w:rPr>
        <w:footnoteReference w:id="757"/>
      </w:r>
      <w:r>
        <w:rPr>
          <w:rFonts w:ascii="Amiri" w:hAnsi="Amiri" w:eastAsia="Amiri" w:cs="Amiri"/>
          <w:color w:val="111111"/>
          <w:sz w:val="28"/>
          <w:sz w:val="28"/>
          <w:szCs w:val="28"/>
          <w:rtl w:val="true"/>
          <w:lang w:bidi="ar-SA"/>
        </w:rPr>
        <w:t>، و أنّه لا يُستفادُ مِن ظاهرِها نَفيُ جميعِ الخطإ، و لا نَفيُ بعضٍ مِنه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الواجبَ مع الاحتمالِ الإمساكُ عن القَطعِ‌، و انتظارُ الدليلِ المُنبِىَ‌</w:t>
      </w:r>
      <w:r>
        <w:rPr>
          <w:rStyle w:val="FootnoteAnchor"/>
          <w:rtl w:val="true"/>
        </w:rPr>
        <w:footnoteReference w:id="758"/>
      </w:r>
      <w:r>
        <w:rPr>
          <w:rFonts w:ascii="Amiri" w:hAnsi="Amiri" w:eastAsia="Amiri" w:cs="Amiri"/>
          <w:color w:val="111111"/>
          <w:sz w:val="28"/>
          <w:sz w:val="28"/>
          <w:szCs w:val="28"/>
          <w:rtl w:val="true"/>
          <w:lang w:bidi="ar-SA"/>
        </w:rPr>
        <w:t>عن المُرادِ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أن يُريدَ بالكلامِ نَفيَ السهوِ عنهم و إن شارَكَهم في ذلكَ سائرُ الأُمَمِ‌، و كانَ حُكمُ كُلِّ فَريقٍ مِنهم كحُكمِ جَماعتِهم في هذا المعنىٰ ؛ لأنّ نَفيَ السهوِ عن الأُمّةِ حُكمٌ منطوقٌ به فيهم، و لَيسَ يَدُلُّ تعليقُ </w:t>
      </w:r>
      <w:r>
        <w:rPr>
          <w:rStyle w:val="FootnoteAnchor"/>
          <w:rtl w:val="true"/>
        </w:rPr>
        <w:footnoteReference w:id="759"/>
      </w:r>
      <w:r>
        <w:rPr>
          <w:rFonts w:ascii="Amiri" w:hAnsi="Amiri" w:eastAsia="Amiri" w:cs="Amiri"/>
          <w:color w:val="111111"/>
          <w:sz w:val="28"/>
          <w:sz w:val="28"/>
          <w:szCs w:val="28"/>
          <w:rtl w:val="true"/>
          <w:lang w:bidi="ar-SA"/>
        </w:rPr>
        <w:t>هذا الحُكمِ بالأُمّةِ علىٰ نَفيِه عمّن عَداهم، بَل جائزٌ أن يَكونَ حُكمُ غَيرِهم فيه كحُكمِهم</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أصلٌ يوافِقُنا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761"/>
      </w:r>
      <w:r>
        <w:rPr>
          <w:rFonts w:ascii="Amiri" w:hAnsi="Amiri" w:eastAsia="Amiri" w:cs="Amiri"/>
          <w:color w:val="111111"/>
          <w:sz w:val="28"/>
          <w:sz w:val="28"/>
          <w:szCs w:val="28"/>
          <w:rtl w:val="true"/>
          <w:lang w:bidi="ar-SA"/>
        </w:rPr>
        <w:t xml:space="preserve">صاحبُ الكتابِ ، إلّاأنّه رُبَّما تَناساه حَيثُ </w:t>
      </w:r>
      <w:r>
        <w:rPr>
          <w:rStyle w:val="FootnoteAnchor"/>
          <w:rtl w:val="true"/>
        </w:rPr>
        <w:footnoteReference w:id="762"/>
      </w:r>
      <w:r>
        <w:rPr>
          <w:rFonts w:ascii="Amiri" w:hAnsi="Amiri" w:eastAsia="Amiri" w:cs="Amiri"/>
          <w:color w:val="111111"/>
          <w:sz w:val="28"/>
          <w:sz w:val="28"/>
          <w:szCs w:val="28"/>
          <w:rtl w:val="true"/>
          <w:lang w:bidi="ar-SA"/>
        </w:rPr>
        <w:t>يَضُرُّه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دالٌّ علىٰ نَفيِ السهوِ عنهم، فأيُّ وجهٍ لحَملِ </w:t>
      </w:r>
      <w:r>
        <w:rPr>
          <w:rStyle w:val="FootnoteAnchor"/>
          <w:rtl w:val="true"/>
        </w:rPr>
        <w:footnoteReference w:id="763"/>
      </w:r>
      <w:r>
        <w:rPr>
          <w:rFonts w:ascii="Amiri" w:hAnsi="Amiri" w:eastAsia="Amiri" w:cs="Amiri"/>
          <w:color w:val="111111"/>
          <w:sz w:val="28"/>
          <w:sz w:val="28"/>
          <w:szCs w:val="28"/>
          <w:rtl w:val="true"/>
          <w:lang w:bidi="ar-SA"/>
        </w:rPr>
        <w:t>الخبرِ علىٰ ذلكَ مع دَلالةِ العقلِ عليه ؟ و الواجبُ أن نَحمِلَه</w:t>
      </w:r>
      <w:r>
        <w:rPr>
          <w:rStyle w:val="FootnoteAnchor"/>
          <w:rtl w:val="true"/>
        </w:rPr>
        <w:footnoteReference w:id="764"/>
      </w:r>
      <w:r>
        <w:rPr>
          <w:rFonts w:ascii="Amiri" w:hAnsi="Amiri" w:eastAsia="Amiri" w:cs="Amiri"/>
          <w:color w:val="111111"/>
          <w:sz w:val="28"/>
          <w:sz w:val="28"/>
          <w:szCs w:val="28"/>
          <w:rtl w:val="true"/>
          <w:lang w:bidi="ar-SA"/>
        </w:rPr>
        <w:t>علىٰ أمرٍ لا نَستَفيدُه</w:t>
      </w:r>
      <w:r>
        <w:rPr>
          <w:rStyle w:val="FootnoteAnchor"/>
          <w:rtl w:val="true"/>
        </w:rPr>
        <w:footnoteReference w:id="765"/>
      </w:r>
      <w:r>
        <w:rPr>
          <w:rFonts w:ascii="Amiri" w:hAnsi="Amiri" w:eastAsia="Amiri" w:cs="Amiri"/>
          <w:color w:val="111111"/>
          <w:sz w:val="28"/>
          <w:sz w:val="28"/>
          <w:szCs w:val="28"/>
          <w:rtl w:val="true"/>
          <w:lang w:bidi="ar-SA"/>
        </w:rPr>
        <w:t>بالعقلِ ، و هو الخطأُ مِن</w:t>
      </w:r>
      <w:r>
        <w:rPr>
          <w:rStyle w:val="FootnoteAnchor"/>
          <w:rtl w:val="true"/>
        </w:rPr>
        <w:footnoteReference w:id="766"/>
      </w:r>
      <w:r>
        <w:rPr>
          <w:rFonts w:ascii="Amiri" w:hAnsi="Amiri" w:eastAsia="Amiri" w:cs="Amiri"/>
          <w:color w:val="111111"/>
          <w:sz w:val="28"/>
          <w:sz w:val="28"/>
          <w:szCs w:val="28"/>
          <w:rtl w:val="true"/>
          <w:lang w:bidi="ar-SA"/>
        </w:rPr>
        <w:t xml:space="preserve">طريقِ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 إن كانَ دالاًّ علىٰ ما ذُكِرَ</w:t>
      </w:r>
      <w:r>
        <w:rPr>
          <w:rStyle w:val="FootnoteAnchor"/>
          <w:rtl w:val="true"/>
        </w:rPr>
        <w:footnoteReference w:id="767"/>
      </w:r>
      <w:r>
        <w:rPr>
          <w:rFonts w:ascii="Amiri" w:hAnsi="Amiri" w:eastAsia="Amiri" w:cs="Amiri"/>
          <w:color w:val="111111"/>
          <w:sz w:val="28"/>
          <w:sz w:val="28"/>
          <w:szCs w:val="28"/>
          <w:rtl w:val="true"/>
          <w:lang w:bidi="ar-SA"/>
        </w:rPr>
        <w:t>، فغَيرُ مُنكَرٍ أن يَرِدَ السمعُ به علىٰ سبيلِ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أبطَلنا ورودَ السمعِ بما يدُلُّ العقلُ عليهِ‌</w:t>
      </w:r>
      <w:r>
        <w:rPr>
          <w:rStyle w:val="FootnoteAnchor"/>
          <w:rtl w:val="true"/>
        </w:rPr>
        <w:footnoteReference w:id="768"/>
      </w:r>
      <w:r>
        <w:rPr>
          <w:rFonts w:ascii="Amiri" w:hAnsi="Amiri" w:eastAsia="Amiri" w:cs="Amiri"/>
          <w:color w:val="111111"/>
          <w:sz w:val="28"/>
          <w:sz w:val="28"/>
          <w:szCs w:val="28"/>
          <w:rtl w:val="true"/>
          <w:lang w:bidi="ar-SA"/>
        </w:rPr>
        <w:t>لَلَزِمَنا إبطالُ أكثَرِ</w:t>
      </w:r>
    </w:p>
    <w:p>
      <w:pPr>
        <w:pStyle w:val="BookText"/>
        <w:rPr/>
      </w:pPr>
      <w:r>
        <w:rPr>
          <w:rFonts w:ascii="Amiri" w:hAnsi="Amiri" w:eastAsia="Amiri" w:cs="Amiri"/>
          <w:color w:val="111111"/>
          <w:sz w:val="28"/>
          <w:sz w:val="28"/>
          <w:szCs w:val="28"/>
          <w:rtl w:val="true"/>
          <w:lang w:bidi="ar-SA"/>
        </w:rPr>
        <w:t>السمعِ ، أو كَثيرٍ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ورودُ السمعِ مؤكِّداً لِما في العقلِ ممّا لا يأباه أحَدٌ مِن النُّظّارِ</w:t>
      </w:r>
      <w:r>
        <w:rPr>
          <w:rStyle w:val="FootnoteAnchor"/>
          <w:rtl w:val="true"/>
        </w:rPr>
        <w:footnoteReference w:id="769"/>
      </w:r>
      <w:r>
        <w:rPr>
          <w:rFonts w:ascii="Amiri" w:hAnsi="Amiri" w:eastAsia="Amiri" w:cs="Amiri"/>
          <w:color w:val="111111"/>
          <w:sz w:val="28"/>
          <w:sz w:val="28"/>
          <w:szCs w:val="28"/>
          <w:rtl w:val="true"/>
          <w:lang w:bidi="ar-SA"/>
        </w:rPr>
        <w:t>، و صَحَّ أيضاً الأصلُ الأخيرُ</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أنّ تعليقَ الحُكمِ بمَوصوفٍ لا يدُلُّ علىٰ أنّ ما عَداه بخِلافِه</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سائرُ ما تعلَّقَ به في هذا المَوضعِ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وُرودِ السمع بما يدُلُّ العقلُ عليهِ ، و مِن أنّ اختصاصَ اللفظِ بالأُمّةِ يَقتَضي تخصيصَها بالحُكمِ ، و يَمنَعُ مِن أن يَكونَ المُرادُ حُكماً يَشرَكُها فيه غَيرُها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الكلامِ ما يدُلُّ علَى المَدحِ حسَبَ ما توَهَّمَه، و أكثَرُ ما فيه نَفيُ الخطإ </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نَفيُ الخطإ علىٰ بعضِ الوجوهِ يَكونُ مَدحاً، و علىٰ بعضِها لا يَكونُ مَدحاً، لَم يُستَفَدْ</w:t>
      </w:r>
      <w:r>
        <w:rPr>
          <w:rStyle w:val="FootnoteAnchor"/>
          <w:rtl w:val="true"/>
        </w:rPr>
        <w:footnoteReference w:id="773"/>
      </w:r>
      <w:r>
        <w:rPr>
          <w:rFonts w:ascii="Amiri" w:hAnsi="Amiri" w:eastAsia="Amiri" w:cs="Amiri"/>
          <w:color w:val="111111"/>
          <w:sz w:val="28"/>
          <w:sz w:val="28"/>
          <w:szCs w:val="28"/>
          <w:rtl w:val="true"/>
          <w:lang w:bidi="ar-SA"/>
        </w:rPr>
        <w:t>مِن ظاهرِ الكلامِ ما يَقتَضي المَدحَ ، و كانَ مَن ادَّعىٰ ذلكَ مُفتَقِراً إلَى الدَّلالةِ علىٰ أنّ الخطأَ المَنفيَّ هاهُنا هو الواقعُ عن الشُّبهةِ لا عن السهوِ؛ ليَصِحَّ أن يَكونوا ممدوحينَ به</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اعتمَدَ في الاستدلالِ علىٰ أنّ الخطأَ المُرادَ لَيسَ هو الواقعَ بالسهوِ علَى ادِّعاءِ المَدحِ ، و كانَ المَدحُ لا يَثبُتُ له إلّابَعدَ أن يَثبُتَ أنّ الخطأَ المَنفيَّ هو ما أرادَه و ادَّعاه، فقَد بانَ بُطلانُ 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بذلكَ أنّه تَعالىٰ لا يَجمَعُهم علَى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بمِثلِ ما قَدَّمناه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فإنّما أرادَ به الوجهَينِ اللذَينِ ذَكرَهما</w:t>
      </w:r>
      <w:r>
        <w:rPr>
          <w:rStyle w:val="FootnoteAnchor"/>
          <w:rtl w:val="true"/>
        </w:rPr>
        <w:footnoteReference w:id="776"/>
      </w:r>
      <w:r>
        <w:rPr>
          <w:rFonts w:ascii="IRNazanin" w:hAnsi="IRNazanin" w:eastAsia="IRNazanin"/>
          <w:color w:val="111111"/>
          <w:sz w:val="28"/>
          <w:sz w:val="28"/>
          <w:szCs w:val="28"/>
          <w:rtl w:val="true"/>
          <w:lang w:bidi="fa-IR"/>
        </w:rPr>
        <w:t>، و</w:t>
      </w:r>
      <w:r>
        <w:rPr>
          <w:rStyle w:val="FootnoteAnchor"/>
          <w:rtl w:val="true"/>
        </w:rPr>
        <w:footnoteReference w:id="777"/>
      </w:r>
      <w:r>
        <w:rPr>
          <w:rFonts w:ascii="Amiri" w:hAnsi="Amiri" w:eastAsia="Amiri" w:cs="Amiri"/>
          <w:color w:val="111111"/>
          <w:sz w:val="28"/>
          <w:sz w:val="28"/>
          <w:szCs w:val="28"/>
          <w:rtl w:val="true"/>
          <w:lang w:bidi="ar-SA"/>
        </w:rPr>
        <w:t>أبطَلناهما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يَقتَضي التخصيصَ ، و وَصْفَ الأُمّةِ بما لا يَشرَكُها فيه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 للمَدحِ ، فلا</w:t>
      </w:r>
      <w:r>
        <w:rPr>
          <w:rStyle w:val="FootnoteAnchor"/>
          <w:rtl w:val="true"/>
        </w:rPr>
        <w:footnoteReference w:id="778"/>
      </w:r>
      <w:r>
        <w:rPr>
          <w:rFonts w:ascii="Amiri" w:hAnsi="Amiri" w:eastAsia="Amiri" w:cs="Amiri"/>
          <w:color w:val="111111"/>
          <w:sz w:val="28"/>
          <w:sz w:val="28"/>
          <w:szCs w:val="28"/>
          <w:rtl w:val="true"/>
          <w:lang w:bidi="ar-SA"/>
        </w:rPr>
        <w:t>يَجوزُ حَملُه علىٰ ما لا مَدخَلَ للمَدحِ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779"/>
      </w:r>
      <w:r>
        <w:rPr>
          <w:rFonts w:ascii="Amiri" w:hAnsi="Amiri" w:eastAsia="Amiri" w:cs="Amiri"/>
          <w:color w:val="111111"/>
          <w:sz w:val="28"/>
          <w:sz w:val="28"/>
          <w:szCs w:val="28"/>
          <w:rtl w:val="true"/>
          <w:lang w:bidi="ar-SA"/>
        </w:rPr>
        <w:t>أَفسَدنا الوجهَينِ بما يَمنَعُ مِن تَعلُّقِه بهما أوّلاً و ثانياً</w:t>
      </w:r>
      <w:r>
        <w:rPr>
          <w:rFonts w:eastAsia="Amiri" w:cs="Amiri" w:ascii="Amiri" w:hAnsi="Amiri"/>
          <w:color w:val="111111"/>
          <w:sz w:val="28"/>
          <w:szCs w:val="28"/>
          <w:rtl w:val="true"/>
          <w:lang w:bidi="ar-SA"/>
        </w:rPr>
        <w:t xml:space="preserve">. </w:t>
      </w:r>
      <w:bookmarkStart w:id="118" w:name="pg20015_284816"/>
    </w:p>
    <w:p>
      <w:pPr>
        <w:pStyle w:val="Heading6"/>
        <w:numPr>
          <w:ilvl w:val="5"/>
          <w:numId w:val="1"/>
        </w:numPr>
        <w:rPr/>
      </w:pPr>
      <w:bookmarkStart w:id="119" w:name="__RefHeading___Toc894805_2320776876"/>
      <w:bookmarkStart w:id="120" w:name="_Toc44"/>
      <w:bookmarkEnd w:id="118"/>
      <w:bookmarkEnd w:id="119"/>
      <w:r>
        <w:rPr>
          <w:rtl w:val="true"/>
        </w:rPr>
        <w:t>تهافت كلام صاحب الكتاب في تأويل ألفاظ الحديث المختلفة</w:t>
      </w:r>
      <w:bookmarkEnd w:id="12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لِيَجمَعَ أُمّةَ نَبيِّه علَى الخطإ؟</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Style w:val="FootnoteAnchor"/>
          <w:rtl w:val="true"/>
        </w:rPr>
        <w:footnoteReference w:id="783"/>
      </w:r>
      <w:r>
        <w:rPr>
          <w:rFonts w:ascii="Amiri" w:hAnsi="Amiri" w:eastAsia="Amiri" w:cs="Amiri"/>
          <w:color w:val="111111"/>
          <w:sz w:val="28"/>
          <w:sz w:val="28"/>
          <w:szCs w:val="28"/>
          <w:rtl w:val="true"/>
          <w:lang w:bidi="ar-SA"/>
        </w:rPr>
        <w:t>أنّه تَعالىٰ‌</w:t>
      </w:r>
      <w:r>
        <w:rPr>
          <w:rStyle w:val="FootnoteAnchor"/>
          <w:rtl w:val="true"/>
        </w:rPr>
        <w:footnoteReference w:id="784"/>
      </w:r>
      <w:r>
        <w:rPr>
          <w:rFonts w:ascii="Amiri" w:hAnsi="Amiri" w:eastAsia="Amiri" w:cs="Amiri"/>
          <w:color w:val="111111"/>
          <w:sz w:val="28"/>
          <w:sz w:val="28"/>
          <w:szCs w:val="28"/>
          <w:rtl w:val="true"/>
          <w:lang w:bidi="ar-SA"/>
        </w:rPr>
        <w:t xml:space="preserve">لا يَلطُفُ لهم إلّافي الحقِّ دونَ الباطلِ ، و أنّ اللّٰهَ تَعالىٰ </w:t>
      </w:r>
      <w:r>
        <w:rPr>
          <w:rStyle w:val="FootnoteAnchor"/>
          <w:rtl w:val="true"/>
        </w:rPr>
        <w:footnoteReference w:id="785"/>
      </w:r>
      <w:r>
        <w:rPr>
          <w:rFonts w:ascii="Amiri" w:hAnsi="Amiri" w:eastAsia="Amiri" w:cs="Amiri"/>
          <w:color w:val="111111"/>
          <w:sz w:val="28"/>
          <w:sz w:val="28"/>
          <w:szCs w:val="28"/>
          <w:rtl w:val="true"/>
          <w:lang w:bidi="ar-SA"/>
        </w:rPr>
        <w:t>يَصرِفُهم</w:t>
      </w:r>
      <w:r>
        <w:rPr>
          <w:rStyle w:val="FootnoteAnchor"/>
          <w:rtl w:val="true"/>
        </w:rPr>
        <w:footnoteReference w:id="786"/>
      </w:r>
      <w:r>
        <w:rPr>
          <w:rFonts w:ascii="Amiri" w:hAnsi="Amiri" w:eastAsia="Amiri" w:cs="Amiri"/>
          <w:color w:val="111111"/>
          <w:sz w:val="28"/>
          <w:sz w:val="28"/>
          <w:szCs w:val="28"/>
          <w:rtl w:val="true"/>
          <w:lang w:bidi="ar-SA"/>
        </w:rPr>
        <w:t>عن الاستفسادِ الذي يتَّفِقون عندَه</w:t>
      </w:r>
      <w:r>
        <w:rPr>
          <w:rStyle w:val="FootnoteAnchor"/>
          <w:rtl w:val="true"/>
        </w:rPr>
        <w:footnoteReference w:id="787"/>
      </w:r>
      <w:r>
        <w:rPr>
          <w:rFonts w:ascii="Amiri" w:hAnsi="Amiri" w:eastAsia="Amiri" w:cs="Amiri"/>
          <w:color w:val="111111"/>
          <w:sz w:val="28"/>
          <w:sz w:val="28"/>
          <w:szCs w:val="28"/>
          <w:rtl w:val="true"/>
          <w:lang w:bidi="ar-SA"/>
        </w:rPr>
        <w:t>علَى الخطإ، فلا يَكونُ ذلكَ مانِعاً مِن طريقةِ التكليفِ ، و مِن صِحّةِ الخبرِ الآخَرِ الدالِّ علىٰ أنّهم لا يَجتَمِعونَ علَى الخطإ باختيارِهم</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w:t>
      </w:r>
      <w:r>
        <w:rPr>
          <w:rStyle w:val="FootnoteAnchor"/>
          <w:rtl w:val="true"/>
        </w:rPr>
        <w:footnoteReference w:id="789"/>
      </w:r>
      <w:r>
        <w:rPr>
          <w:rFonts w:ascii="Amiri" w:hAnsi="Amiri" w:eastAsia="Amiri" w:cs="Amiri"/>
          <w:color w:val="111111"/>
          <w:sz w:val="28"/>
          <w:sz w:val="28"/>
          <w:szCs w:val="28"/>
          <w:rtl w:val="true"/>
          <w:lang w:bidi="ar-SA"/>
        </w:rPr>
        <w:t>كلامُ مَن لَم يَتعلَّقْ بما حَكَيناه قُبَيلَ‌</w:t>
      </w:r>
      <w:r>
        <w:rPr>
          <w:rStyle w:val="FootnoteAnchor"/>
          <w:rtl w:val="true"/>
        </w:rPr>
        <w:footnoteReference w:id="790"/>
      </w:r>
      <w:r>
        <w:rPr>
          <w:rFonts w:ascii="Amiri" w:hAnsi="Amiri" w:eastAsia="Amiri" w:cs="Amiri"/>
          <w:color w:val="111111"/>
          <w:sz w:val="28"/>
          <w:sz w:val="28"/>
          <w:szCs w:val="28"/>
          <w:rtl w:val="true"/>
          <w:lang w:bidi="ar-SA"/>
        </w:rPr>
        <w:t xml:space="preserve">هذا الفَصلِ ؛ لأنّه 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 إلزامِ مَن ألزَمَه أن يَكونَ الخطأُ المُرادُ بمعنَى السَّهوِ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لا يَقتَضي تخصيصاً لهذه الأُمّةِ مِن غَيرِها، و علىٰ أنّ الكلامَ مُقتَضٍ للمَدحِ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الوجهانِ جميعاً يَدخُلانِ علىٰ جوابِه هذا الذي نحنُ في الكلامِ عليهِ‌؛ لأنّه تأوَّلَ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تَعالىٰ ليَجمَعَ أُمّةَ نَبيِّه علَى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تَعالىٰ لا يَلطُفُ لهُم</w:t>
      </w:r>
      <w:r>
        <w:rPr>
          <w:rStyle w:val="FootnoteAnchor"/>
          <w:rtl w:val="true"/>
        </w:rPr>
        <w:footnoteReference w:id="791"/>
      </w:r>
      <w:r>
        <w:rPr>
          <w:rFonts w:ascii="Amiri" w:hAnsi="Amiri" w:eastAsia="Amiri" w:cs="Amiri"/>
          <w:color w:val="111111"/>
          <w:sz w:val="28"/>
          <w:sz w:val="28"/>
          <w:szCs w:val="28"/>
          <w:rtl w:val="true"/>
          <w:lang w:bidi="ar-SA"/>
        </w:rPr>
        <w:t>في الباطلِ و لا يَستَفسِدُهم، و هذا حُكمٌ يَعُمُّ سائرَ المكلَّفينَ و جميعَ الأُمَمِ‌؛ لأنّ الدليلَ قد أمَّنَ مِن أن يَلطُفَ اللّٰهُ تَعالىٰ لهم</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قَبيحٍ أو يَستَفسِدَهم،</w:t>
      </w:r>
      <w:r>
        <w:rPr>
          <w:rStyle w:val="FootnoteAnchor"/>
          <w:rtl w:val="true"/>
        </w:rPr>
        <w:footnoteReference w:id="793"/>
      </w:r>
      <w:r>
        <w:rPr>
          <w:rFonts w:ascii="Amiri" w:hAnsi="Amiri" w:eastAsia="Amiri" w:cs="Amiri"/>
          <w:color w:val="111111"/>
          <w:sz w:val="28"/>
          <w:sz w:val="28"/>
          <w:szCs w:val="28"/>
          <w:rtl w:val="true"/>
          <w:lang w:bidi="ar-SA"/>
        </w:rPr>
        <w:t>و لا يَفتَرِقُ‌</w:t>
      </w:r>
      <w:r>
        <w:rPr>
          <w:rStyle w:val="FootnoteAnchor"/>
          <w:rtl w:val="true"/>
        </w:rPr>
        <w:footnoteReference w:id="794"/>
      </w:r>
      <w:r>
        <w:rPr>
          <w:rFonts w:ascii="Amiri" w:hAnsi="Amiri" w:eastAsia="Amiri" w:cs="Amiri"/>
          <w:color w:val="111111"/>
          <w:sz w:val="28"/>
          <w:sz w:val="28"/>
          <w:szCs w:val="28"/>
          <w:rtl w:val="true"/>
          <w:lang w:bidi="ar-SA"/>
        </w:rPr>
        <w:t>في هذا البابِ حُكمُ أُمّةٍ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مَدْحَ أيضاً في موجَبِ تأويلِه هذا يَتعلَّقُ بالأُمّةِ‌؛ لأنّ نَفيَ لُطفِ اللّٰهِ تَعالىٰ لهم في القَبيحِ ممّا لَو اقتَضىٰ مَدحاً فيهم لَاقتَضاه في الفَراعِنةِ و</w:t>
      </w:r>
      <w:r>
        <w:rPr>
          <w:rStyle w:val="FootnoteAnchor"/>
          <w:rtl w:val="true"/>
        </w:rPr>
        <w:footnoteReference w:id="795"/>
      </w:r>
      <w:r>
        <w:rPr>
          <w:rFonts w:ascii="Amiri" w:hAnsi="Amiri" w:eastAsia="Amiri" w:cs="Amiri"/>
          <w:color w:val="111111"/>
          <w:sz w:val="28"/>
          <w:sz w:val="28"/>
          <w:szCs w:val="28"/>
          <w:rtl w:val="true"/>
          <w:lang w:bidi="ar-SA"/>
        </w:rPr>
        <w:t>الشياطينِ و الكُفّارِ، و كُلِّ مَن قَطَعنا علىٰ أنّه لا يَجوزُ أن يَلطُفَ له في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اعتمَدَ صاحِبُ الكتابِ علىٰ بعضِ ما يَقتَضي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المكلَّفينَ و إن اشتَرَكوا فيما ذَكَرتُموه، فغَيرُ مُمتَنِعٍ أن يَكونَ </w:t>
      </w:r>
      <w:r>
        <w:rPr>
          <w:rStyle w:val="FootnoteAnchor"/>
          <w:rtl w:val="true"/>
        </w:rPr>
        <w:footnoteReference w:id="796"/>
      </w:r>
      <w:r>
        <w:rPr>
          <w:rFonts w:ascii="Amiri" w:hAnsi="Amiri" w:eastAsia="Amiri" w:cs="Amiri"/>
          <w:color w:val="111111"/>
          <w:sz w:val="28"/>
          <w:sz w:val="28"/>
          <w:szCs w:val="28"/>
          <w:rtl w:val="true"/>
          <w:lang w:bidi="ar-SA"/>
        </w:rPr>
        <w:t>هذا القَولُ صَدَرَ مِن النبيِّ صَلَّى اللّٰهُ عليه و آلِه عن</w:t>
      </w:r>
      <w:r>
        <w:rPr>
          <w:rStyle w:val="FootnoteAnchor"/>
          <w:rtl w:val="true"/>
        </w:rPr>
        <w:footnoteReference w:id="797"/>
      </w:r>
      <w:r>
        <w:rPr>
          <w:rFonts w:ascii="Amiri" w:hAnsi="Amiri" w:eastAsia="Amiri" w:cs="Amiri"/>
          <w:color w:val="111111"/>
          <w:sz w:val="28"/>
          <w:sz w:val="28"/>
          <w:szCs w:val="28"/>
          <w:rtl w:val="true"/>
          <w:lang w:bidi="ar-SA"/>
        </w:rPr>
        <w:t>سببٍ يَقتَضي تخصيصَ أُمّتِه بهذا الكلامِ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بأن</w:t>
      </w:r>
      <w:r>
        <w:rPr>
          <w:rStyle w:val="FootnoteAnchor"/>
          <w:rtl w:val="true"/>
        </w:rPr>
        <w:footnoteReference w:id="798"/>
      </w:r>
      <w:r>
        <w:rPr>
          <w:rFonts w:ascii="Amiri" w:hAnsi="Amiri" w:eastAsia="Amiri" w:cs="Amiri"/>
          <w:color w:val="111111"/>
          <w:sz w:val="28"/>
          <w:sz w:val="28"/>
          <w:szCs w:val="28"/>
          <w:rtl w:val="true"/>
          <w:lang w:bidi="ar-SA"/>
        </w:rPr>
        <w:t xml:space="preserve">يَكونَ مُعتَقِدٌ اعتقَدَ ذلكَ فيهم، أو سائلٌ </w:t>
      </w:r>
      <w:r>
        <w:rPr>
          <w:rStyle w:val="FootnoteAnchor"/>
          <w:rtl w:val="true"/>
        </w:rPr>
        <w:footnoteReference w:id="799"/>
      </w:r>
      <w:r>
        <w:rPr>
          <w:rFonts w:ascii="Amiri" w:hAnsi="Amiri" w:eastAsia="Amiri" w:cs="Amiri"/>
          <w:color w:val="111111"/>
          <w:sz w:val="28"/>
          <w:sz w:val="28"/>
          <w:szCs w:val="28"/>
          <w:rtl w:val="true"/>
          <w:lang w:bidi="ar-SA"/>
        </w:rPr>
        <w:t>سأَلَ عن ذلكَ مِن حالِهم</w:t>
      </w:r>
      <w:r>
        <w:rPr>
          <w:rStyle w:val="FootnoteAnchor"/>
          <w:rtl w:val="true"/>
        </w:rPr>
        <w:footnoteReference w:id="800"/>
      </w:r>
      <w:r>
        <w:rPr>
          <w:rFonts w:ascii="Amiri" w:hAnsi="Amiri" w:eastAsia="Amiri" w:cs="Amiri"/>
          <w:color w:val="111111"/>
          <w:sz w:val="28"/>
          <w:sz w:val="28"/>
          <w:szCs w:val="28"/>
          <w:rtl w:val="true"/>
          <w:lang w:bidi="ar-SA"/>
        </w:rPr>
        <w:t xml:space="preserve">، إلىٰ </w:t>
      </w:r>
      <w:bookmarkStart w:id="121" w:name="pg20015_284818"/>
    </w:p>
    <w:p>
      <w:pPr>
        <w:pStyle w:val="BookText"/>
        <w:rPr/>
      </w:pPr>
      <w:bookmarkEnd w:id="121"/>
      <w:r>
        <w:rPr>
          <w:rFonts w:ascii="Amiri" w:hAnsi="Amiri" w:eastAsia="Amiri" w:cs="Amiri"/>
          <w:color w:val="111111"/>
          <w:sz w:val="28"/>
          <w:sz w:val="28"/>
          <w:szCs w:val="28"/>
          <w:rtl w:val="true"/>
          <w:lang w:bidi="ar-SA"/>
        </w:rPr>
        <w:t>غَيرِ ذلكَ‌</w:t>
      </w:r>
      <w:r>
        <w:rPr>
          <w:rStyle w:val="FootnoteAnchor"/>
          <w:rtl w:val="true"/>
        </w:rPr>
        <w:footnoteReference w:id="801"/>
      </w:r>
      <w:r>
        <w:rPr>
          <w:rFonts w:ascii="Amiri" w:hAnsi="Amiri" w:eastAsia="Amiri" w:cs="Amiri"/>
          <w:color w:val="111111"/>
          <w:sz w:val="28"/>
          <w:sz w:val="28"/>
          <w:szCs w:val="28"/>
          <w:rtl w:val="true"/>
          <w:lang w:bidi="ar-SA"/>
        </w:rPr>
        <w:t xml:space="preserve">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أن نَعتَمِدَ في بابِ السهوِ علىٰ مِثلِ ما أَورَدَه، و نَدفَعَ </w:t>
      </w:r>
      <w:r>
        <w:rPr>
          <w:rStyle w:val="FootnoteAnchor"/>
          <w:rtl w:val="true"/>
        </w:rPr>
        <w:footnoteReference w:id="802"/>
      </w:r>
      <w:r>
        <w:rPr>
          <w:rFonts w:ascii="Amiri" w:hAnsi="Amiri" w:eastAsia="Amiri" w:cs="Amiri"/>
          <w:color w:val="111111"/>
          <w:sz w:val="28"/>
          <w:sz w:val="28"/>
          <w:szCs w:val="28"/>
          <w:rtl w:val="true"/>
          <w:lang w:bidi="ar-SA"/>
        </w:rPr>
        <w:t xml:space="preserve">به كلامَه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w:t>
      </w:r>
      <w:r>
        <w:rPr>
          <w:rStyle w:val="FootnoteAnchor"/>
          <w:rtl w:val="true"/>
        </w:rPr>
        <w:footnoteReference w:id="803"/>
      </w:r>
      <w:r>
        <w:rPr>
          <w:rFonts w:ascii="Amiri" w:hAnsi="Amiri" w:eastAsia="Amiri" w:cs="Amiri"/>
          <w:color w:val="111111"/>
          <w:sz w:val="28"/>
          <w:sz w:val="28"/>
          <w:szCs w:val="28"/>
          <w:rtl w:val="true"/>
          <w:lang w:bidi="ar-SA"/>
        </w:rPr>
        <w:t xml:space="preserve">وَضَحَ أنّ الذي دفَعَ به الإلزامَ عن نَفسِه في الروايةِ الأُولىٰ يُفسِدُ تأويلَه الذي اعتمَدَه في الروايةِ الأُخرىٰ ، و أنّهما لا يَجوزُ أن يَجتَمِعا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نَعلَمُ كيفَ ذهَبَ مِثلُ هذا عليهِ؟</w:t>
      </w:r>
    </w:p>
    <w:p>
      <w:pPr>
        <w:pStyle w:val="Heading6"/>
        <w:numPr>
          <w:ilvl w:val="5"/>
          <w:numId w:val="1"/>
        </w:numPr>
        <w:rPr/>
      </w:pPr>
      <w:bookmarkStart w:id="122" w:name="__RefHeading___Toc894807_2320776876"/>
      <w:bookmarkStart w:id="123" w:name="_Toc45"/>
      <w:bookmarkEnd w:id="122"/>
      <w:r>
        <w:rPr>
          <w:rtl w:val="true"/>
        </w:rPr>
        <w:t>بيان المرجع في دلالة قوله</w:t>
      </w:r>
      <w:r>
        <w:rPr>
          <w:rtl w:val="true"/>
        </w:rPr>
        <w:t>: «</w:t>
      </w:r>
      <w:r>
        <w:rPr>
          <w:rtl w:val="true"/>
        </w:rPr>
        <w:t>لا تجتمع</w:t>
      </w:r>
      <w:r>
        <w:rPr>
          <w:rtl w:val="true"/>
        </w:rPr>
        <w:t xml:space="preserve">» </w:t>
      </w:r>
      <w:r>
        <w:rPr>
          <w:rtl w:val="true"/>
        </w:rPr>
        <w:t>على الخبر أو النهي</w:t>
      </w:r>
      <w:bookmarkEnd w:id="12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w:t>
      </w:r>
      <w:r>
        <w:rPr>
          <w:rStyle w:val="FootnoteAnchor"/>
          <w:rtl w:val="true"/>
        </w:rPr>
        <w:footnoteReference w:id="804"/>
      </w:r>
      <w:r>
        <w:rPr>
          <w:rFonts w:ascii="Amiri" w:hAnsi="Amiri" w:eastAsia="Amiri" w:cs="Amiri"/>
          <w:color w:val="111111"/>
          <w:sz w:val="28"/>
          <w:sz w:val="28"/>
          <w:szCs w:val="28"/>
          <w:rtl w:val="true"/>
          <w:lang w:bidi="ar-SA"/>
        </w:rPr>
        <w:t>أُمّتي علىٰ خَطإٍ</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بصورةِ الخبرِ فالمُرادُ به الإلزامُ‌،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يَجتَمِعوا</w:t>
      </w:r>
      <w:r>
        <w:rPr>
          <w:rStyle w:val="FootnoteAnchor"/>
          <w:rtl w:val="true"/>
        </w:rPr>
        <w:footnoteReference w:id="806"/>
      </w:r>
      <w:r>
        <w:rPr>
          <w:rFonts w:ascii="Amiri" w:hAnsi="Amiri" w:eastAsia="Amiri" w:cs="Amiri"/>
          <w:color w:val="111111"/>
          <w:sz w:val="28"/>
          <w:sz w:val="28"/>
          <w:szCs w:val="28"/>
          <w:rtl w:val="true"/>
          <w:lang w:bidi="ar-SA"/>
        </w:rPr>
        <w:t xml:space="preserve">علىٰ 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Style w:val="FootnoteAnchor"/>
          <w:rtl w:val="true"/>
        </w:rPr>
        <w:footnoteReference w:id="807"/>
      </w:r>
      <w:r>
        <w:rPr>
          <w:rFonts w:ascii="Amiri" w:hAnsi="Amiri" w:eastAsia="Amiri" w:cs="Amiri"/>
          <w:color w:val="111111"/>
          <w:sz w:val="28"/>
          <w:sz w:val="28"/>
          <w:szCs w:val="28"/>
          <w:rtl w:val="true"/>
          <w:lang w:bidi="ar-SA"/>
        </w:rPr>
        <w:t>و ذلكَ لأنّ‌</w:t>
      </w:r>
      <w:r>
        <w:rPr>
          <w:rStyle w:val="FootnoteAnchor"/>
          <w:rtl w:val="true"/>
        </w:rPr>
        <w:footnoteReference w:id="808"/>
      </w:r>
      <w:r>
        <w:rPr>
          <w:rFonts w:ascii="Amiri" w:hAnsi="Amiri" w:eastAsia="Amiri" w:cs="Amiri"/>
          <w:color w:val="111111"/>
          <w:sz w:val="28"/>
          <w:sz w:val="28"/>
          <w:szCs w:val="28"/>
          <w:rtl w:val="true"/>
          <w:lang w:bidi="ar-SA"/>
        </w:rPr>
        <w:t xml:space="preserve">ظاهرَ الخبرِ لا يُترَكُ للمَجازِ بغَيرِ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الوجهَ يوجِبُ أن لا مَزيّةَ لهم علىٰ سائرِ الأُمَمِ ، و يَقتَضي أن لا يَلحَقَهم بذلكَ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ما عَوَّلَ عليه في دَفعِ أن يَكونَ الخبرُ إلزاماً بشيءٍ ، و إنّما المَرجِعُ </w:t>
      </w:r>
      <w:bookmarkStart w:id="124" w:name="pg20015_284819"/>
    </w:p>
    <w:p>
      <w:pPr>
        <w:pStyle w:val="BookText"/>
        <w:rPr/>
      </w:pPr>
      <w:bookmarkEnd w:id="124"/>
      <w:r>
        <w:rPr>
          <w:rFonts w:ascii="Amiri" w:hAnsi="Amiri" w:eastAsia="Amiri" w:cs="Amiri"/>
          <w:color w:val="111111"/>
          <w:sz w:val="28"/>
          <w:sz w:val="28"/>
          <w:szCs w:val="28"/>
          <w:rtl w:val="true"/>
          <w:lang w:bidi="ar-SA"/>
        </w:rPr>
        <w:t>في حَملِ الكلامِ على الخبرِ أو النهيِ‌</w:t>
      </w:r>
      <w:r>
        <w:rPr>
          <w:rStyle w:val="FootnoteAnchor"/>
          <w:rtl w:val="true"/>
        </w:rPr>
        <w:footnoteReference w:id="810"/>
      </w:r>
      <w:r>
        <w:rPr>
          <w:rFonts w:ascii="Amiri" w:hAnsi="Amiri" w:eastAsia="Amiri" w:cs="Amiri"/>
          <w:color w:val="111111"/>
          <w:sz w:val="28"/>
          <w:sz w:val="28"/>
          <w:szCs w:val="28"/>
          <w:rtl w:val="true"/>
          <w:lang w:bidi="ar-SA"/>
        </w:rPr>
        <w:t xml:space="preserve">إلى الروايةِ‌؛ فإن ورَدَت بتحريكِ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فالمرادُ الخبرُ، و إن ورَدَت بجَزمِها فالنهيُ‌</w:t>
      </w:r>
      <w:r>
        <w:rPr>
          <w:rStyle w:val="FootnoteAnchor"/>
          <w:rtl w:val="true"/>
        </w:rPr>
        <w:footnoteReference w:id="812"/>
      </w:r>
      <w:r>
        <w:rPr>
          <w:rFonts w:ascii="Amiri" w:hAnsi="Amiri" w:eastAsia="Amiri" w:cs="Amiri"/>
          <w:color w:val="111111"/>
          <w:sz w:val="28"/>
          <w:sz w:val="28"/>
          <w:szCs w:val="28"/>
          <w:rtl w:val="true"/>
          <w:lang w:bidi="ar-SA"/>
        </w:rPr>
        <w:t xml:space="preserve">، و لَيسَ للمَجازِ و الحقيقةِ هاهُنا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يَكونَ أجابَ بما أجابَ به عن سؤالِ مَن يَسألُه</w:t>
      </w:r>
      <w:r>
        <w:rPr>
          <w:rStyle w:val="FootnoteAnchor"/>
          <w:rtl w:val="true"/>
        </w:rPr>
        <w:footnoteReference w:id="813"/>
      </w:r>
      <w:r>
        <w:rPr>
          <w:rFonts w:ascii="Amiri" w:hAnsi="Amiri" w:eastAsia="Amiri" w:cs="Amiri"/>
          <w:color w:val="111111"/>
          <w:sz w:val="28"/>
          <w:sz w:val="28"/>
          <w:szCs w:val="28"/>
          <w:rtl w:val="true"/>
          <w:lang w:bidi="ar-SA"/>
        </w:rPr>
        <w:t xml:space="preserve">مع تسليمِ حركةِ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تَجتَمِعُ </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 يُلزِمُه مع ذلكَ أن لا يَكونَ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أيضاً عن هذا بما قالَه</w:t>
      </w:r>
      <w:r>
        <w:rPr>
          <w:rStyle w:val="FootnoteAnchor"/>
          <w:rtl w:val="true"/>
        </w:rPr>
        <w:footnoteReference w:id="815"/>
      </w:r>
      <w:r>
        <w:rPr>
          <w:rFonts w:ascii="Amiri" w:hAnsi="Amiri" w:eastAsia="Amiri" w:cs="Amiri"/>
          <w:color w:val="111111"/>
          <w:sz w:val="28"/>
          <w:sz w:val="28"/>
          <w:szCs w:val="28"/>
          <w:rtl w:val="true"/>
          <w:lang w:bidi="ar-SA"/>
        </w:rPr>
        <w:t>غَيرُ صحيح، بَل الواجبُ في جوابِ هذا السائلِ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يَجوزُ أن يُفهَمَ النهيُ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مع الحركةِ ؛ لا حقيقةً و لا مَجازاً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894809_2320776876"/>
      <w:bookmarkStart w:id="126" w:name="_Toc46"/>
      <w:bookmarkEnd w:id="125"/>
      <w:r>
        <w:rPr>
          <w:rtl w:val="true"/>
        </w:rPr>
        <w:t>بيان دلالة الحديث علىٰ حجيّة إجماع أهل عصر واحد أو جميع الأعصار</w:t>
      </w:r>
      <w:bookmarkEnd w:id="12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لا يدُلُّ إلّاعلىٰ أنّ إجماعَ مَن كانَ‌</w:t>
      </w:r>
      <w:r>
        <w:rPr>
          <w:rStyle w:val="FootnoteAnchor"/>
          <w:rtl w:val="true"/>
        </w:rPr>
        <w:footnoteReference w:id="817"/>
      </w:r>
      <w:r>
        <w:rPr>
          <w:rFonts w:ascii="Amiri" w:hAnsi="Amiri" w:eastAsia="Amiri" w:cs="Amiri"/>
          <w:color w:val="111111"/>
          <w:sz w:val="28"/>
          <w:sz w:val="28"/>
          <w:szCs w:val="28"/>
          <w:rtl w:val="true"/>
          <w:lang w:bidi="ar-SA"/>
        </w:rPr>
        <w:t>في زَمَنِه مِن أُمّتِه حُجّةٌ‌، فمِن أينَ أنّ الإجماعَ في سائرِ الأعصارِ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لأنّا قد بيّنّا أنّ أُمّتَه تقَعُ علىٰ مَن يَجيءُ بَعدَه</w:t>
      </w:r>
      <w:r>
        <w:rPr>
          <w:rStyle w:val="FootnoteAnchor"/>
          <w:rtl w:val="true"/>
        </w:rPr>
        <w:footnoteReference w:id="818"/>
      </w:r>
      <w:r>
        <w:rPr>
          <w:rFonts w:ascii="Amiri" w:hAnsi="Amiri" w:eastAsia="Amiri" w:cs="Amiri"/>
          <w:color w:val="111111"/>
          <w:sz w:val="28"/>
          <w:sz w:val="28"/>
          <w:szCs w:val="28"/>
          <w:rtl w:val="true"/>
          <w:lang w:bidi="ar-SA"/>
        </w:rPr>
        <w:t xml:space="preserve">مِن المكلَّفينَ ، كما تقَعُ علىٰ مَن كانَ في زَمَنِه، فالكُلُّ </w:t>
      </w:r>
      <w:r>
        <w:rPr>
          <w:rStyle w:val="FootnoteAnchor"/>
          <w:rtl w:val="true"/>
        </w:rPr>
        <w:footnoteReference w:id="819"/>
      </w:r>
      <w:r>
        <w:rPr>
          <w:rFonts w:ascii="Amiri" w:hAnsi="Amiri" w:eastAsia="Amiri" w:cs="Amiri"/>
          <w:color w:val="111111"/>
          <w:sz w:val="28"/>
          <w:sz w:val="28"/>
          <w:szCs w:val="28"/>
          <w:rtl w:val="true"/>
          <w:lang w:bidi="ar-SA"/>
        </w:rPr>
        <w:t>داخِلونَ فيه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المَحكيَّ عنهم أنّهم جَعَلوا الإجماعَ حُجّةً ، فإذا كانَ إجماعُهم حُجّةً ، و ثبَتَ عنهم جَعلُهم الإجماعَ حُجّةً في كُلِّ وقتٍ </w:t>
      </w:r>
      <w:r>
        <w:rPr>
          <w:rStyle w:val="FootnoteAnchor"/>
          <w:rtl w:val="true"/>
        </w:rPr>
        <w:footnoteReference w:id="821"/>
      </w:r>
      <w:r>
        <w:rPr>
          <w:rFonts w:ascii="Amiri" w:hAnsi="Amiri" w:eastAsia="Amiri" w:cs="Amiri"/>
          <w:color w:val="111111"/>
          <w:sz w:val="28"/>
          <w:sz w:val="28"/>
          <w:szCs w:val="28"/>
          <w:rtl w:val="true"/>
          <w:lang w:bidi="ar-SA"/>
        </w:rPr>
        <w:t>، فقَد صَحَّ ما ذَكرناه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فمؤكِّدٌ لِما كُنّا قدَّمناه في إبطالِ التعَلُّقِ بالخبرِ</w:t>
      </w:r>
      <w:r>
        <w:rPr>
          <w:rStyle w:val="FootnoteAnchor"/>
          <w:rtl w:val="true"/>
        </w:rPr>
        <w:footnoteReference w:id="823"/>
      </w: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غَيرَ مُختصّةٍ بمَن كانَ في زَمَنِه صلّى اللّٰهُ عليه و آلِه</w:t>
      </w:r>
      <w:r>
        <w:rPr>
          <w:rStyle w:val="FootnoteAnchor"/>
          <w:rtl w:val="true"/>
        </w:rPr>
        <w:footnoteReference w:id="824"/>
      </w:r>
      <w:r>
        <w:rPr>
          <w:rFonts w:ascii="Amiri" w:hAnsi="Amiri" w:eastAsia="Amiri" w:cs="Amiri"/>
          <w:color w:val="111111"/>
          <w:sz w:val="28"/>
          <w:sz w:val="28"/>
          <w:szCs w:val="28"/>
          <w:rtl w:val="true"/>
          <w:lang w:bidi="ar-SA"/>
        </w:rPr>
        <w:t>حسَبَ ما ادَّعاه</w:t>
      </w:r>
      <w:r>
        <w:rPr>
          <w:rStyle w:val="FootnoteAnchor"/>
          <w:rtl w:val="true"/>
        </w:rPr>
        <w:footnoteReference w:id="825"/>
      </w:r>
      <w:r>
        <w:rPr>
          <w:rFonts w:ascii="Amiri" w:hAnsi="Amiri" w:eastAsia="Amiri" w:cs="Amiri"/>
          <w:color w:val="111111"/>
          <w:sz w:val="28"/>
          <w:sz w:val="28"/>
          <w:szCs w:val="28"/>
          <w:rtl w:val="true"/>
          <w:lang w:bidi="ar-SA"/>
        </w:rPr>
        <w:t>، و وَجَبَ حَملُها علىٰ جميعِ مَن يأتي في المُستقبَلِ‌، فقَد تأكَّدَ إلزامُنا له</w:t>
      </w:r>
      <w:r>
        <w:rPr>
          <w:rStyle w:val="FootnoteAnchor"/>
          <w:rtl w:val="true"/>
        </w:rPr>
        <w:footnoteReference w:id="826"/>
      </w:r>
      <w:r>
        <w:rPr>
          <w:rFonts w:ascii="Amiri" w:hAnsi="Amiri" w:eastAsia="Amiri" w:cs="Amiri"/>
          <w:color w:val="111111"/>
          <w:sz w:val="28"/>
          <w:sz w:val="28"/>
          <w:szCs w:val="28"/>
          <w:rtl w:val="true"/>
          <w:lang w:bidi="ar-SA"/>
        </w:rPr>
        <w:t xml:space="preserve">أن يَكونَ المُرادُ بالخبرِ إجماعَ سائرِ الأُممِ في جميعِ الأعصارِ علىٰ سَبيلِ الجَمعِ‌؛ لأنّ اللفظَ إذا أُخِذَ بعُمومِه اقتَضىٰ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أنّ إجماعَ سائرِ الأعصارِ داخلٌ فيه علىٰ سَبيلِ البدَلِ لا الجَمعِ ، كانَ مخَصِّصاً لظاهرِ اللفظِ، و مُطرِّقاً لخَصمِه</w:t>
      </w:r>
      <w:r>
        <w:rPr>
          <w:rStyle w:val="FootnoteAnchor"/>
          <w:rtl w:val="true"/>
        </w:rPr>
        <w:footnoteReference w:id="827"/>
      </w:r>
      <w:r>
        <w:rPr>
          <w:rFonts w:ascii="Amiri" w:hAnsi="Amiri" w:eastAsia="Amiri" w:cs="Amiri"/>
          <w:color w:val="111111"/>
          <w:sz w:val="28"/>
          <w:sz w:val="28"/>
          <w:szCs w:val="28"/>
          <w:rtl w:val="true"/>
          <w:lang w:bidi="ar-SA"/>
        </w:rPr>
        <w:t>أن يَجعَلَه مُختَصّاً ببعضِ أهلِ كُلِّ عصرٍ</w:t>
      </w:r>
      <w:r>
        <w:rPr>
          <w:rStyle w:val="FootnoteAnchor"/>
          <w:rtl w:val="true"/>
        </w:rPr>
        <w:footnoteReference w:id="828"/>
      </w:r>
      <w:r>
        <w:rPr>
          <w:rFonts w:ascii="Amiri" w:hAnsi="Amiri" w:eastAsia="Amiri" w:cs="Amiri"/>
          <w:color w:val="111111"/>
          <w:sz w:val="28"/>
          <w:sz w:val="28"/>
          <w:szCs w:val="28"/>
          <w:rtl w:val="true"/>
          <w:lang w:bidi="ar-SA"/>
        </w:rPr>
        <w:t>دونَ جميعِهم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رَضِينا بما ذَكَره مِن</w:t>
      </w:r>
      <w:r>
        <w:rPr>
          <w:rStyle w:val="FootnoteAnchor"/>
          <w:rtl w:val="true"/>
        </w:rPr>
        <w:footnoteReference w:id="82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أُمّتَه تقَعُ علىٰ مَن يَجيءُ بَعدَه</w:t>
      </w:r>
      <w:r>
        <w:rPr>
          <w:rStyle w:val="FootnoteAnchor"/>
          <w:rtl w:val="true"/>
        </w:rPr>
        <w:footnoteReference w:id="830"/>
      </w:r>
      <w:r>
        <w:rPr>
          <w:rFonts w:ascii="Amiri" w:hAnsi="Amiri" w:eastAsia="Amiri" w:cs="Amiri"/>
          <w:color w:val="111111"/>
          <w:sz w:val="28"/>
          <w:sz w:val="28"/>
          <w:szCs w:val="28"/>
          <w:rtl w:val="true"/>
          <w:lang w:bidi="ar-SA"/>
        </w:rPr>
        <w:t>مِن المكلَّفينَ ، كما تقَعُ علىٰ مَن كانَ في زَمَنِه؛ فالكُلُّ داخِلونَ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شاهدٌ</w:t>
      </w:r>
      <w:r>
        <w:rPr>
          <w:rStyle w:val="FootnoteAnchor"/>
          <w:rtl w:val="true"/>
        </w:rPr>
        <w:footnoteReference w:id="831"/>
      </w:r>
      <w:r>
        <w:rPr>
          <w:rFonts w:ascii="Amiri" w:hAnsi="Amiri" w:eastAsia="Amiri" w:cs="Amiri"/>
          <w:color w:val="111111"/>
          <w:sz w:val="28"/>
          <w:sz w:val="28"/>
          <w:szCs w:val="28"/>
          <w:rtl w:val="true"/>
          <w:lang w:bidi="ar-SA"/>
        </w:rPr>
        <w:t xml:space="preserve">لِصحّةِ </w:t>
      </w:r>
    </w:p>
    <w:p>
      <w:pPr>
        <w:pStyle w:val="BookText"/>
        <w:rPr/>
      </w:pPr>
      <w:r>
        <w:rPr>
          <w:rFonts w:ascii="Amiri" w:hAnsi="Amiri" w:eastAsia="Amiri" w:cs="Amiri"/>
          <w:color w:val="111111"/>
          <w:sz w:val="28"/>
          <w:sz w:val="28"/>
          <w:szCs w:val="28"/>
          <w:rtl w:val="true"/>
          <w:lang w:bidi="ar-SA"/>
        </w:rPr>
        <w:t>إلزامِنا</w:t>
      </w:r>
      <w:r>
        <w:rPr>
          <w:rStyle w:val="FootnoteAnchor"/>
          <w:rtl w:val="true"/>
        </w:rPr>
        <w:footnoteReference w:id="832"/>
      </w:r>
      <w:r>
        <w:rPr>
          <w:rFonts w:ascii="Amiri" w:hAnsi="Amiri" w:eastAsia="Amiri" w:cs="Amiri"/>
          <w:color w:val="111111"/>
          <w:sz w:val="28"/>
          <w:sz w:val="28"/>
          <w:szCs w:val="28"/>
          <w:rtl w:val="true"/>
          <w:lang w:bidi="ar-SA"/>
        </w:rPr>
        <w:t>لأنّ وقوعَ اللفظِ علَى الكُلِّ لا يَكونُ إلّاعلَى الجَمعِ دونَ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w:t>
      </w:r>
      <w:r>
        <w:rPr>
          <w:rStyle w:val="FootnoteAnchor"/>
          <w:rtl w:val="true"/>
        </w:rPr>
        <w:footnoteReference w:id="833"/>
      </w:r>
      <w:r>
        <w:rPr>
          <w:rFonts w:ascii="Amiri" w:hAnsi="Amiri" w:eastAsia="Amiri" w:cs="Amiri"/>
          <w:color w:val="111111"/>
          <w:sz w:val="28"/>
          <w:sz w:val="28"/>
          <w:szCs w:val="28"/>
          <w:rtl w:val="true"/>
          <w:lang w:bidi="ar-SA"/>
        </w:rPr>
        <w:t>ما ادَّعاه مِن جَعلِهم الإجماعَ حُجّةً في كُلِّ وقتٍ‌</w:t>
      </w:r>
      <w:r>
        <w:rPr>
          <w:rStyle w:val="FootnoteAnchor"/>
          <w:rtl w:val="true"/>
        </w:rPr>
        <w:footnoteReference w:id="834"/>
      </w:r>
      <w:r>
        <w:rPr>
          <w:rFonts w:ascii="Amiri" w:hAnsi="Amiri" w:eastAsia="Amiri" w:cs="Amiri"/>
          <w:color w:val="111111"/>
          <w:sz w:val="28"/>
          <w:sz w:val="28"/>
          <w:szCs w:val="28"/>
          <w:rtl w:val="true"/>
          <w:lang w:bidi="ar-SA"/>
        </w:rPr>
        <w:t>بصحيحٍ‌؛ لأنّا لا نَعرِفُ‌</w:t>
      </w:r>
      <w:r>
        <w:rPr>
          <w:rStyle w:val="FootnoteAnchor"/>
          <w:rtl w:val="true"/>
        </w:rPr>
        <w:footnoteReference w:id="835"/>
      </w:r>
      <w:r>
        <w:rPr>
          <w:rFonts w:ascii="Amiri" w:hAnsi="Amiri" w:eastAsia="Amiri" w:cs="Amiri"/>
          <w:color w:val="111111"/>
          <w:sz w:val="28"/>
          <w:sz w:val="28"/>
          <w:szCs w:val="28"/>
          <w:rtl w:val="true"/>
          <w:lang w:bidi="ar-SA"/>
        </w:rPr>
        <w:t>عنهم ذلكَ و لا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ما يُمكِنُ أن يُدَّعىٰ أنّهم كانوا يَكرَهونَ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عن أقوالِهم و مَذاهبِهم</w:t>
      </w:r>
      <w:r>
        <w:rPr>
          <w:rStyle w:val="FootnoteAnchor"/>
          <w:rtl w:val="true"/>
        </w:rPr>
        <w:footnoteReference w:id="836"/>
      </w:r>
      <w:r>
        <w:rPr>
          <w:rFonts w:ascii="Amiri" w:hAnsi="Amiri" w:eastAsia="Amiri" w:cs="Amiri"/>
          <w:color w:val="111111"/>
          <w:sz w:val="28"/>
          <w:sz w:val="28"/>
          <w:szCs w:val="28"/>
          <w:rtl w:val="true"/>
          <w:lang w:bidi="ar-SA"/>
        </w:rPr>
        <w:t>، و يُبدِّعونَ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اعتقادُهم أنّ ذلكَ واجبٌ في كُلِّ عصرٍ و أوانٍ فغَيرُ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ما يَتحرَّزُ</w:t>
      </w:r>
      <w:r>
        <w:rPr>
          <w:rStyle w:val="FootnoteAnchor"/>
          <w:rtl w:val="true"/>
        </w:rPr>
        <w:footnoteReference w:id="837"/>
      </w:r>
      <w:r>
        <w:rPr>
          <w:rFonts w:ascii="Amiri" w:hAnsi="Amiri" w:eastAsia="Amiri" w:cs="Amiri"/>
          <w:color w:val="111111"/>
          <w:sz w:val="28"/>
          <w:sz w:val="28"/>
          <w:szCs w:val="28"/>
          <w:rtl w:val="true"/>
          <w:lang w:bidi="ar-SA"/>
        </w:rPr>
        <w:t xml:space="preserve">به مِن المَطاعِنِ في كلامِه إلَى الصَّحابةِ ، و يَجعَلُه معلوماً مِن جهتِهم، و قَلَّما يَنفَعُ ذلكَ </w:t>
      </w:r>
      <w:r>
        <w:rPr>
          <w:rFonts w:eastAsia="Amiri" w:cs="Amiri" w:ascii="Amiri" w:hAnsi="Amiri"/>
          <w:color w:val="111111"/>
          <w:sz w:val="28"/>
          <w:szCs w:val="28"/>
          <w:rtl w:val="true"/>
          <w:lang w:bidi="ar-SA"/>
        </w:rPr>
        <w:t xml:space="preserve">. </w:t>
      </w:r>
      <w:bookmarkStart w:id="127" w:name="pg20015_284822"/>
    </w:p>
    <w:p>
      <w:pPr>
        <w:pStyle w:val="Heading5"/>
        <w:numPr>
          <w:ilvl w:val="4"/>
          <w:numId w:val="1"/>
        </w:numPr>
        <w:rPr/>
      </w:pPr>
      <w:bookmarkStart w:id="128" w:name="__RefHeading___Toc894811_2320776876"/>
      <w:bookmarkStart w:id="129" w:name="_Toc47"/>
      <w:bookmarkEnd w:id="127"/>
      <w:bookmarkEnd w:id="128"/>
      <w:r>
        <w:rPr>
          <w:rtl w:val="true"/>
        </w:rPr>
        <w:t xml:space="preserve">الحجّة الثامنة قوله تعالىٰ </w:t>
      </w:r>
      <w:r>
        <w:rPr>
          <w:rtl w:val="true"/>
        </w:rPr>
        <w:t>: (</w:t>
      </w:r>
      <w:r>
        <w:rPr>
          <w:rtl w:val="true"/>
        </w:rPr>
        <w:t xml:space="preserve">كُنْتُمْ خَيْرَ أُمَّةٍ </w:t>
      </w:r>
      <w:r>
        <w:rPr>
          <w:rtl w:val="true"/>
        </w:rPr>
        <w:t>...)</w:t>
      </w:r>
      <w:bookmarkEnd w:id="129"/>
    </w:p>
    <w:p>
      <w:pPr>
        <w:pStyle w:val="Heading6"/>
        <w:numPr>
          <w:ilvl w:val="5"/>
          <w:numId w:val="1"/>
        </w:numPr>
        <w:rPr/>
      </w:pPr>
      <w:bookmarkStart w:id="130" w:name="__RefHeading___Toc894813_2320776876"/>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الحجّة الثامنة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الخَلقُ علىٰ صِحّةِ الإجماعِ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فوَصَفَهم بهذه الصفاتِ الموجِبةِ لِكَونِ فِعلِهم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دَلَّ فإنّما يدُلُّ علىٰ أنّ الكَبائرَ لا تقَعُ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حالَ جميعِهم</w:t>
      </w:r>
      <w:r>
        <w:rPr>
          <w:rStyle w:val="FootnoteAnchor"/>
          <w:rtl w:val="true"/>
        </w:rPr>
        <w:footnoteReference w:id="841"/>
      </w:r>
      <w:r>
        <w:rPr>
          <w:rFonts w:ascii="Amiri" w:hAnsi="Amiri" w:eastAsia="Amiri" w:cs="Amiri"/>
          <w:color w:val="111111"/>
          <w:sz w:val="28"/>
          <w:sz w:val="28"/>
          <w:szCs w:val="28"/>
          <w:rtl w:val="true"/>
          <w:lang w:bidi="ar-SA"/>
        </w:rPr>
        <w:t>كحالِ الواحدِ إذا وُصِفَ بهذه الصفةِ ، و قد عَلِمنا أنّ ذلكَ لا يَمنَعُ مِن وقوعِ الصغيرِ مِنهم</w:t>
      </w:r>
      <w:r>
        <w:rPr>
          <w:rStyle w:val="FootnoteAnchor"/>
          <w:rtl w:val="true"/>
        </w:rPr>
        <w:footnoteReference w:id="842"/>
      </w:r>
      <w:r>
        <w:rPr>
          <w:rFonts w:ascii="Amiri" w:hAnsi="Amiri" w:eastAsia="Amiri" w:cs="Amiri"/>
          <w:color w:val="111111"/>
          <w:sz w:val="28"/>
          <w:sz w:val="28"/>
          <w:szCs w:val="28"/>
          <w:rtl w:val="true"/>
          <w:lang w:bidi="ar-SA"/>
        </w:rPr>
        <w:t>، فكذلكَ حالُ جميعِهم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الصغيرِ</w:t>
      </w:r>
      <w:r>
        <w:rPr>
          <w:rStyle w:val="FootnoteAnchor"/>
          <w:rtl w:val="true"/>
        </w:rPr>
        <w:footnoteReference w:id="843"/>
      </w:r>
      <w:r>
        <w:rPr>
          <w:rFonts w:ascii="Amiri" w:hAnsi="Amiri" w:eastAsia="Amiri" w:cs="Amiri"/>
          <w:color w:val="111111"/>
          <w:sz w:val="28"/>
          <w:sz w:val="28"/>
          <w:szCs w:val="28"/>
          <w:rtl w:val="true"/>
          <w:lang w:bidi="ar-SA"/>
        </w:rPr>
        <w:t>مِنهم لا يَمنَعُ مِن كَونِهم</w:t>
      </w:r>
      <w:r>
        <w:rPr>
          <w:rStyle w:val="FootnoteAnchor"/>
          <w:rtl w:val="true"/>
        </w:rPr>
        <w:footnoteReference w:id="844"/>
      </w:r>
      <w:r>
        <w:rPr>
          <w:rFonts w:ascii="Amiri" w:hAnsi="Amiri" w:eastAsia="Amiri" w:cs="Amiri"/>
          <w:color w:val="111111"/>
          <w:sz w:val="28"/>
          <w:sz w:val="28"/>
          <w:szCs w:val="28"/>
          <w:rtl w:val="true"/>
          <w:lang w:bidi="ar-SA"/>
        </w:rPr>
        <w:t>حُجّةً كما لا يَمنَعُ ذلكَ في</w:t>
      </w:r>
      <w:r>
        <w:rPr>
          <w:rStyle w:val="FootnoteAnchor"/>
          <w:rtl w:val="true"/>
        </w:rPr>
        <w:footnoteReference w:id="845"/>
      </w:r>
      <w:r>
        <w:rPr>
          <w:rFonts w:ascii="Amiri" w:hAnsi="Amiri" w:eastAsia="Amiri" w:cs="Amiri"/>
          <w:color w:val="111111"/>
          <w:sz w:val="28"/>
          <w:sz w:val="28"/>
          <w:szCs w:val="28"/>
          <w:rtl w:val="true"/>
          <w:lang w:bidi="ar-SA"/>
        </w:rPr>
        <w:t xml:space="preserve">الرسولِ عليهِ السلامُ </w:t>
      </w:r>
      <w:r>
        <w:rPr>
          <w:rFonts w:eastAsia="Amiri" w:cs="Amiri" w:ascii="Amiri" w:hAnsi="Amiri"/>
          <w:color w:val="111111"/>
          <w:sz w:val="28"/>
          <w:szCs w:val="28"/>
          <w:rtl w:val="true"/>
          <w:lang w:bidi="ar-SA"/>
        </w:rPr>
        <w:t xml:space="preserve">. </w:t>
      </w:r>
      <w:bookmarkStart w:id="132" w:name="pg20015_284823"/>
    </w:p>
    <w:p>
      <w:pPr>
        <w:pStyle w:val="BookText"/>
        <w:rPr/>
      </w:pPr>
      <w:bookmarkEnd w:id="132"/>
      <w:r>
        <w:rPr>
          <w:rFonts w:ascii="Amiri" w:hAnsi="Amiri" w:eastAsia="Amiri" w:cs="Amiri"/>
          <w:color w:val="111111"/>
          <w:sz w:val="28"/>
          <w:sz w:val="28"/>
          <w:szCs w:val="28"/>
          <w:rtl w:val="true"/>
          <w:lang w:bidi="ar-SA"/>
        </w:rPr>
        <w:t>لأنّا قد بيّنّا أنّ الذي نُجيزُه في</w:t>
      </w:r>
      <w:r>
        <w:rPr>
          <w:rStyle w:val="FootnoteAnchor"/>
          <w:rtl w:val="true"/>
        </w:rPr>
        <w:footnoteReference w:id="846"/>
      </w:r>
      <w:r>
        <w:rPr>
          <w:rFonts w:ascii="Amiri" w:hAnsi="Amiri" w:eastAsia="Amiri" w:cs="Amiri"/>
          <w:color w:val="111111"/>
          <w:sz w:val="28"/>
          <w:sz w:val="28"/>
          <w:szCs w:val="28"/>
          <w:rtl w:val="true"/>
          <w:lang w:bidi="ar-SA"/>
        </w:rPr>
        <w:t>الرسولِ لا يَمنَعُ مِن تميُّزِ</w:t>
      </w:r>
      <w:r>
        <w:rPr>
          <w:rStyle w:val="FootnoteAnchor"/>
          <w:rtl w:val="true"/>
        </w:rPr>
        <w:footnoteReference w:id="847"/>
      </w:r>
      <w:r>
        <w:rPr>
          <w:rFonts w:ascii="Amiri" w:hAnsi="Amiri" w:eastAsia="Amiri" w:cs="Amiri"/>
          <w:color w:val="111111"/>
          <w:sz w:val="28"/>
          <w:sz w:val="28"/>
          <w:szCs w:val="28"/>
          <w:rtl w:val="true"/>
          <w:lang w:bidi="ar-SA"/>
        </w:rPr>
        <w:t>أفعالِه و أقوالِه التي هو</w:t>
      </w:r>
      <w:r>
        <w:rPr>
          <w:rStyle w:val="FootnoteAnchor"/>
          <w:rtl w:val="true"/>
        </w:rPr>
        <w:footnoteReference w:id="848"/>
      </w:r>
      <w:r>
        <w:rPr>
          <w:rFonts w:ascii="Amiri" w:hAnsi="Amiri" w:eastAsia="Amiri" w:cs="Amiri"/>
          <w:color w:val="111111"/>
          <w:sz w:val="28"/>
          <w:sz w:val="28"/>
          <w:szCs w:val="28"/>
          <w:rtl w:val="true"/>
          <w:lang w:bidi="ar-SA"/>
        </w:rPr>
        <w:t>حُجّةٌ فيها مِن الصغائرِ التي نُجيزُها عليهِ‌</w:t>
      </w:r>
      <w:r>
        <w:rPr>
          <w:rStyle w:val="FootnoteAnchor"/>
          <w:rtl w:val="true"/>
        </w:rPr>
        <w:footnoteReference w:id="849"/>
      </w:r>
      <w:r>
        <w:rPr>
          <w:rFonts w:ascii="Amiri" w:hAnsi="Amiri" w:eastAsia="Amiri" w:cs="Amiri"/>
          <w:color w:val="111111"/>
          <w:sz w:val="28"/>
          <w:sz w:val="28"/>
          <w:szCs w:val="28"/>
          <w:rtl w:val="true"/>
          <w:lang w:bidi="ar-SA"/>
        </w:rPr>
        <w:t>، و لا طريقَ في ذلكَ يَتَمَيَّزُ به الصغيرُ مِن الكبيرِ</w:t>
      </w:r>
      <w:r>
        <w:rPr>
          <w:rStyle w:val="FootnoteAnchor"/>
          <w:rtl w:val="true"/>
        </w:rPr>
        <w:footnoteReference w:id="850"/>
      </w:r>
      <w:r>
        <w:rPr>
          <w:rFonts w:ascii="Amiri" w:hAnsi="Amiri" w:eastAsia="Amiri" w:cs="Amiri"/>
          <w:color w:val="111111"/>
          <w:sz w:val="28"/>
          <w:sz w:val="28"/>
          <w:szCs w:val="28"/>
          <w:rtl w:val="true"/>
          <w:lang w:bidi="ar-SA"/>
        </w:rPr>
        <w:t xml:space="preserve">فيما يُضافُ إلَى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فتجويزُ الصغائرِ عليهم يَقتَضي تجويزَ كَبيرٍ مِن الكبائرِ ممّا لا نَعلَمُه؛ لأنّ ما يَجوزُ كَونُه صَغيراً أو كَبيراً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لَم يَثبُتْ أنّهم حُجّةٌ إلّافيما لَو وَقَعَ لَكانَ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الاستغناءُ في معرفةِ ذلكَ عنهم حاصلٌ ؛ للأدِلّةِ القائمةِ ، فلا يَثبُتُ مع ذلكَ كَونُهم حُجّةً في شَيءٍ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894815_2320776876"/>
      <w:bookmarkStart w:id="134" w:name="_Toc49"/>
      <w:bookmarkEnd w:id="133"/>
      <w:r>
        <w:rPr>
          <w:rtl w:val="true"/>
        </w:rPr>
        <w:t>تهافت كلام صاحب الكتاب في استدلاله ببعض الآيات علىٰ حجّيّة الإجماع دون بعض</w:t>
      </w:r>
      <w:bookmarkEnd w:id="1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سَلَكَ‌ في الطعنِ علَى الاستدلالِ بهذه الآيةِ مَسلَكَنا</w:t>
      </w:r>
      <w:r>
        <w:rPr>
          <w:rStyle w:val="FootnoteAnchor"/>
          <w:rtl w:val="true"/>
        </w:rPr>
        <w:footnoteReference w:id="852"/>
      </w:r>
      <w:r>
        <w:rPr>
          <w:rFonts w:ascii="Amiri" w:hAnsi="Amiri" w:eastAsia="Amiri" w:cs="Amiri"/>
          <w:color w:val="111111"/>
          <w:sz w:val="28"/>
          <w:sz w:val="28"/>
          <w:szCs w:val="28"/>
          <w:rtl w:val="true"/>
          <w:lang w:bidi="ar-SA"/>
        </w:rPr>
        <w:t xml:space="preserve">في الطعنِ علَى استدلالِه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فصارَ ما أورَدَه هاهُنا مِن الطعنِ طَعناً في كلامِه المُتقَدِّمِ و اعتراضاً عليهِ ؛ لأنّه إذا كانَ ما تَقتَضيه</w:t>
      </w:r>
      <w:r>
        <w:rPr>
          <w:rStyle w:val="FootnoteAnchor"/>
          <w:rtl w:val="true"/>
        </w:rPr>
        <w:footnoteReference w:id="854"/>
      </w:r>
      <w:r>
        <w:rPr>
          <w:rFonts w:ascii="Amiri" w:hAnsi="Amiri" w:eastAsia="Amiri" w:cs="Amiri"/>
          <w:color w:val="111111"/>
          <w:sz w:val="28"/>
          <w:sz w:val="28"/>
          <w:szCs w:val="28"/>
          <w:rtl w:val="true"/>
          <w:lang w:bidi="ar-SA"/>
        </w:rPr>
        <w:t xml:space="preserve">هذه الآيةُ هو نَفيَ الكبائرِ التي يَخرُجونَ بها مِن أن يَكونوا مؤمنينَ ، و لا حَظَّ لها في نَفيِ </w:t>
      </w:r>
    </w:p>
    <w:p>
      <w:pPr>
        <w:pStyle w:val="BookText"/>
        <w:rPr/>
      </w:pPr>
      <w:r>
        <w:rPr>
          <w:rFonts w:ascii="Amiri" w:hAnsi="Amiri" w:eastAsia="Amiri" w:cs="Amiri"/>
          <w:color w:val="111111"/>
          <w:sz w:val="28"/>
          <w:sz w:val="28"/>
          <w:szCs w:val="28"/>
          <w:rtl w:val="true"/>
          <w:lang w:bidi="ar-SA"/>
        </w:rPr>
        <w:t>الصغائرِ، و كانَت</w:t>
      </w:r>
      <w:r>
        <w:rPr>
          <w:rStyle w:val="FootnoteAnchor"/>
          <w:rtl w:val="true"/>
        </w:rPr>
        <w:footnoteReference w:id="855"/>
      </w:r>
      <w:r>
        <w:rPr>
          <w:rFonts w:ascii="Amiri" w:hAnsi="Amiri" w:eastAsia="Amiri" w:cs="Amiri"/>
          <w:color w:val="111111"/>
          <w:sz w:val="28"/>
          <w:sz w:val="28"/>
          <w:szCs w:val="28"/>
          <w:rtl w:val="true"/>
          <w:lang w:bidi="ar-SA"/>
        </w:rPr>
        <w:t>حالُ جميعِهم كحالِ واحدِهم لَو</w:t>
      </w:r>
      <w:r>
        <w:rPr>
          <w:rStyle w:val="FootnoteAnchor"/>
          <w:rtl w:val="true"/>
        </w:rPr>
        <w:footnoteReference w:id="856"/>
      </w:r>
      <w:r>
        <w:rPr>
          <w:rFonts w:ascii="Amiri" w:hAnsi="Amiri" w:eastAsia="Amiri" w:cs="Amiri"/>
          <w:color w:val="111111"/>
          <w:sz w:val="28"/>
          <w:sz w:val="28"/>
          <w:szCs w:val="28"/>
          <w:rtl w:val="true"/>
          <w:lang w:bidi="ar-SA"/>
        </w:rPr>
        <w:t>وُصِفَ‌</w:t>
      </w:r>
      <w:r>
        <w:rPr>
          <w:rStyle w:val="FootnoteAnchor"/>
          <w:rtl w:val="true"/>
        </w:rPr>
        <w:footnoteReference w:id="857"/>
      </w:r>
      <w:r>
        <w:rPr>
          <w:rFonts w:ascii="Amiri" w:hAnsi="Amiri" w:eastAsia="Amiri" w:cs="Amiri"/>
          <w:color w:val="111111"/>
          <w:sz w:val="28"/>
          <w:sz w:val="28"/>
          <w:szCs w:val="28"/>
          <w:rtl w:val="true"/>
          <w:lang w:bidi="ar-SA"/>
        </w:rPr>
        <w:t>بهذه الصفةِ علىٰ ما</w:t>
      </w:r>
    </w:p>
    <w:p>
      <w:pPr>
        <w:pStyle w:val="BookText"/>
        <w:rPr/>
      </w:pPr>
      <w:r>
        <w:rPr>
          <w:rFonts w:ascii="Amiri" w:hAnsi="Amiri" w:eastAsia="Amiri" w:cs="Amiri"/>
          <w:color w:val="111111"/>
          <w:sz w:val="28"/>
          <w:sz w:val="28"/>
          <w:szCs w:val="28"/>
          <w:rtl w:val="true"/>
          <w:lang w:bidi="ar-SA"/>
        </w:rPr>
        <w:t>قرَّرَه</w:t>
      </w:r>
      <w:r>
        <w:rPr>
          <w:rStyle w:val="FootnoteAnchor"/>
          <w:rtl w:val="true"/>
        </w:rPr>
        <w:footnoteReference w:id="858"/>
      </w:r>
      <w:r>
        <w:rPr>
          <w:rFonts w:ascii="Amiri" w:hAnsi="Amiri" w:eastAsia="Amiri" w:cs="Amiri"/>
          <w:color w:val="111111"/>
          <w:sz w:val="28"/>
          <w:sz w:val="28"/>
          <w:szCs w:val="28"/>
          <w:rtl w:val="true"/>
          <w:lang w:bidi="ar-SA"/>
        </w:rPr>
        <w:t>، فهكذا القَولُ في الشُّهَداءِ‌</w:t>
      </w:r>
      <w:r>
        <w:rPr>
          <w:rStyle w:val="FootnoteAnchor"/>
          <w:rtl w:val="true"/>
        </w:rPr>
        <w:footnoteReference w:id="859"/>
      </w:r>
      <w:r>
        <w:rPr>
          <w:rFonts w:ascii="Amiri" w:hAnsi="Amiri" w:eastAsia="Amiri" w:cs="Amiri"/>
          <w:color w:val="111111"/>
          <w:sz w:val="28"/>
          <w:sz w:val="28"/>
          <w:szCs w:val="28"/>
          <w:rtl w:val="true"/>
          <w:lang w:bidi="ar-SA"/>
        </w:rPr>
        <w:t>لأنّ أكثَرَ ما تَقتَضيه</w:t>
      </w:r>
      <w:r>
        <w:rPr>
          <w:rStyle w:val="FootnoteAnchor"/>
          <w:rtl w:val="true"/>
        </w:rPr>
        <w:footnoteReference w:id="860"/>
      </w:r>
      <w:r>
        <w:rPr>
          <w:rFonts w:ascii="Amiri" w:hAnsi="Amiri" w:eastAsia="Amiri" w:cs="Amiri"/>
          <w:color w:val="111111"/>
          <w:sz w:val="28"/>
          <w:sz w:val="28"/>
          <w:szCs w:val="28"/>
          <w:rtl w:val="true"/>
          <w:lang w:bidi="ar-SA"/>
        </w:rPr>
        <w:t xml:space="preserve">الشهادةُ نَفيُ الكبائرِ عن صاحبِها دونَ الصغائرِ، و حالُ الجميعِ في ذلكَ كحالِ الواحدِ و الاثنَينِ </w:t>
      </w:r>
      <w:r>
        <w:rPr>
          <w:rStyle w:val="FootnoteAnchor"/>
          <w:rtl w:val="true"/>
        </w:rPr>
        <w:footnoteReference w:id="861"/>
      </w:r>
      <w:r>
        <w:rPr>
          <w:rFonts w:ascii="Amiri" w:hAnsi="Amiri" w:eastAsia="Amiri" w:cs="Amiri"/>
          <w:color w:val="111111"/>
          <w:sz w:val="28"/>
          <w:sz w:val="28"/>
          <w:szCs w:val="28"/>
          <w:rtl w:val="true"/>
          <w:lang w:bidi="ar-SA"/>
        </w:rPr>
        <w:t>لَو وُصِفا</w:t>
      </w:r>
      <w:r>
        <w:rPr>
          <w:rStyle w:val="FootnoteAnchor"/>
          <w:rtl w:val="true"/>
        </w:rPr>
        <w:footnoteReference w:id="862"/>
      </w:r>
      <w:r>
        <w:rPr>
          <w:rFonts w:ascii="Amiri" w:hAnsi="Amiri" w:eastAsia="Amiri" w:cs="Amiri"/>
          <w:color w:val="111111"/>
          <w:sz w:val="28"/>
          <w:sz w:val="28"/>
          <w:szCs w:val="28"/>
          <w:rtl w:val="true"/>
          <w:lang w:bidi="ar-SA"/>
        </w:rPr>
        <w:t xml:space="preserve">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خرَجَت إحدَى الآيتَينِ مِن أن تدُلَّ علىٰ صِحّةِ الإجماعِ خرَجَت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أعادَ هاهُنا ما كُنّا حَكَيناه عنه؛ مِن أنّ تجويزَ الصغائرِ علَى الشُّهَداءِ يُخرِجُهم مِن أن يَكونوا حُجّةً في شيءٍ مِن أفعالِهم و أقوالِهم، و قد ثبَتَ بمُقتَضَى الآيةِ أنّهم حُجّةٌ ، فإذا</w:t>
      </w:r>
      <w:r>
        <w:rPr>
          <w:rStyle w:val="FootnoteAnchor"/>
          <w:rtl w:val="true"/>
        </w:rPr>
        <w:footnoteReference w:id="863"/>
      </w:r>
      <w:r>
        <w:rPr>
          <w:rFonts w:ascii="Amiri" w:hAnsi="Amiri" w:eastAsia="Amiri" w:cs="Amiri"/>
          <w:color w:val="111111"/>
          <w:sz w:val="28"/>
          <w:sz w:val="28"/>
          <w:szCs w:val="28"/>
          <w:rtl w:val="true"/>
          <w:lang w:bidi="ar-SA"/>
        </w:rPr>
        <w:t>ثبَتَ ذلكَ و لَم يَكُن بعضُ أقوالِهم و أفعالِهم</w:t>
      </w:r>
      <w:r>
        <w:rPr>
          <w:rStyle w:val="FootnoteAnchor"/>
          <w:rtl w:val="true"/>
        </w:rPr>
        <w:footnoteReference w:id="864"/>
      </w:r>
      <w:r>
        <w:rPr>
          <w:rFonts w:ascii="Amiri" w:hAnsi="Amiri" w:eastAsia="Amiri" w:cs="Amiri"/>
          <w:color w:val="111111"/>
          <w:sz w:val="28"/>
          <w:sz w:val="28"/>
          <w:szCs w:val="28"/>
          <w:rtl w:val="true"/>
          <w:lang w:bidi="ar-SA"/>
        </w:rPr>
        <w:t>بذلكَ أَولىٰ مِن بعضٍ ، مَنَعنا مِن وقوعِ الصغائرِ مِنهم</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أُنسيتَ هذا الضربَ مِن الاستخراجِ في هذه الآيةِ؟ و ألّاسَوَّغتَ مَن تَعلَّقَ بها أن يَعتَمِدَ مِثلَه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r>
        <w:rPr>
          <w:rStyle w:val="FootnoteAnchor"/>
          <w:rtl w:val="true"/>
        </w:rPr>
        <w:footnoteReference w:id="866"/>
      </w:r>
      <w:r>
        <w:rPr>
          <w:rFonts w:ascii="Amiri" w:hAnsi="Amiri" w:eastAsia="Amiri" w:cs="Amiri"/>
          <w:color w:val="111111"/>
          <w:sz w:val="28"/>
          <w:sz w:val="28"/>
          <w:szCs w:val="28"/>
          <w:rtl w:val="true"/>
          <w:lang w:bidi="ar-SA"/>
        </w:rPr>
        <w:t xml:space="preserve">كَونَ المَوصوفِينَ بالآيةِ حُجّةً ، و لَيسَ بعضُ أقوالِهم </w:t>
      </w:r>
    </w:p>
    <w:p>
      <w:pPr>
        <w:pStyle w:val="BookText"/>
        <w:rPr/>
      </w:pPr>
      <w:r>
        <w:rPr>
          <w:rFonts w:ascii="Amiri" w:hAnsi="Amiri" w:eastAsia="Amiri" w:cs="Amiri"/>
          <w:color w:val="111111"/>
          <w:sz w:val="28"/>
          <w:sz w:val="28"/>
          <w:szCs w:val="28"/>
          <w:rtl w:val="true"/>
          <w:lang w:bidi="ar-SA"/>
        </w:rPr>
        <w:t>و أفعالِهم</w:t>
      </w:r>
      <w:r>
        <w:rPr>
          <w:rStyle w:val="FootnoteAnchor"/>
          <w:rtl w:val="true"/>
        </w:rPr>
        <w:footnoteReference w:id="867"/>
      </w:r>
      <w:r>
        <w:rPr>
          <w:rFonts w:ascii="Amiri" w:hAnsi="Amiri" w:eastAsia="Amiri" w:cs="Amiri"/>
          <w:color w:val="111111"/>
          <w:sz w:val="28"/>
          <w:sz w:val="28"/>
          <w:szCs w:val="28"/>
          <w:rtl w:val="true"/>
          <w:lang w:bidi="ar-SA"/>
        </w:rPr>
        <w:t>بذلكَ أَولىٰ مِن بعضٍ‌؛ لأنّها لا تَتميَّزُ كتَمَيُّزِ</w:t>
      </w:r>
      <w:r>
        <w:rPr>
          <w:rStyle w:val="FootnoteAnchor"/>
          <w:rtl w:val="true"/>
        </w:rPr>
        <w:footnoteReference w:id="868"/>
      </w:r>
      <w:r>
        <w:rPr>
          <w:rFonts w:ascii="Amiri" w:hAnsi="Amiri" w:eastAsia="Amiri" w:cs="Amiri"/>
          <w:color w:val="111111"/>
          <w:sz w:val="28"/>
          <w:sz w:val="28"/>
          <w:szCs w:val="28"/>
          <w:rtl w:val="true"/>
          <w:lang w:bidi="ar-SA"/>
        </w:rPr>
        <w:t>أفعالِ الرسولِ صَلَّى اللّٰهُ عليهِ و آلِه</w:t>
      </w:r>
      <w:r>
        <w:rPr>
          <w:rStyle w:val="FootnoteAnchor"/>
          <w:rtl w:val="true"/>
        </w:rPr>
        <w:footnoteReference w:id="869"/>
      </w:r>
      <w:r>
        <w:rPr>
          <w:rFonts w:ascii="Amiri" w:hAnsi="Amiri" w:eastAsia="Amiri" w:cs="Amiri"/>
          <w:color w:val="111111"/>
          <w:sz w:val="28"/>
          <w:sz w:val="28"/>
          <w:szCs w:val="28"/>
          <w:rtl w:val="true"/>
          <w:lang w:bidi="ar-SA"/>
        </w:rPr>
        <w:t>، فيَجِبُ نفيُ الصغائرِ عنهم، و إلّاخرَجَ‌</w:t>
      </w:r>
      <w:r>
        <w:rPr>
          <w:rStyle w:val="FootnoteAnchor"/>
          <w:rtl w:val="true"/>
        </w:rPr>
        <w:footnoteReference w:id="870"/>
      </w:r>
      <w:r>
        <w:rPr>
          <w:rFonts w:ascii="Amiri" w:hAnsi="Amiri" w:eastAsia="Amiri" w:cs="Amiri"/>
          <w:color w:val="111111"/>
          <w:sz w:val="28"/>
          <w:sz w:val="28"/>
          <w:szCs w:val="28"/>
          <w:rtl w:val="true"/>
          <w:lang w:bidi="ar-SA"/>
        </w:rPr>
        <w:t>جميعُ أقوالِهم و أفعالِهم مِن أن يَكونَ‌</w:t>
      </w:r>
      <w:r>
        <w:rPr>
          <w:rStyle w:val="FootnoteAnchor"/>
          <w:rtl w:val="true"/>
        </w:rPr>
        <w:footnoteReference w:id="871"/>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كُنّا أبطَلنا هذه الطريقةَ عند اعتصامِه بها في الآيةِ </w:t>
      </w:r>
      <w:r>
        <w:rPr>
          <w:rStyle w:val="FootnoteAnchor"/>
          <w:rtl w:val="true"/>
        </w:rPr>
        <w:footnoteReference w:id="872"/>
      </w:r>
      <w:r>
        <w:rPr>
          <w:rFonts w:ascii="Amiri" w:hAnsi="Amiri" w:eastAsia="Amiri" w:cs="Amiri"/>
          <w:color w:val="111111"/>
          <w:sz w:val="28"/>
          <w:sz w:val="28"/>
          <w:szCs w:val="28"/>
          <w:rtl w:val="true"/>
          <w:lang w:bidi="ar-SA"/>
        </w:rPr>
        <w:t>المتقدِّمةِ و بيّنّا فَسادَها،</w:t>
      </w:r>
      <w:r>
        <w:rPr>
          <w:rStyle w:val="FootnoteAnchor"/>
          <w:rtl w:val="true"/>
        </w:rPr>
        <w:footnoteReference w:id="873"/>
      </w:r>
      <w:r>
        <w:rPr>
          <w:rFonts w:ascii="Amiri" w:hAnsi="Amiri" w:eastAsia="Amiri" w:cs="Amiri"/>
          <w:color w:val="111111"/>
          <w:sz w:val="28"/>
          <w:sz w:val="28"/>
          <w:szCs w:val="28"/>
          <w:rtl w:val="true"/>
          <w:lang w:bidi="ar-SA"/>
        </w:rPr>
        <w:t>فلا حاجةَ بِنا إلىٰ إعادةِ كلامِنا عليها، و إنّما قَصَدنا بما أَورَدناه</w:t>
      </w:r>
      <w:r>
        <w:rPr>
          <w:rStyle w:val="FootnoteAnchor"/>
          <w:rtl w:val="true"/>
        </w:rPr>
        <w:footnoteReference w:id="874"/>
      </w:r>
      <w:r>
        <w:rPr>
          <w:rFonts w:ascii="Amiri" w:hAnsi="Amiri" w:eastAsia="Amiri" w:cs="Amiri"/>
          <w:color w:val="111111"/>
          <w:sz w:val="28"/>
          <w:sz w:val="28"/>
          <w:szCs w:val="28"/>
          <w:rtl w:val="true"/>
          <w:lang w:bidi="ar-SA"/>
        </w:rPr>
        <w:t xml:space="preserve">هاهُنا إلزامَه تصحيحَ التعلُّقِ بالآيتَينِ ، أو اطِّراحَهما و الكشفَ عن دُخولِ ما طُعِنَ به في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ما بيّنّاه مِن فَسادِ التعلُّقِ بكُلِّ واحدةٍ مِنهما في صِحّةِ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إشارةً إلىٰ جميعِ المُصدِّقينَ فالمُتَعالَمُ مِن حالِ كَثيرٍ مِنهم خِلافُه، و إن كانَت إشارةً إلىٰ غَيرِهم فذلكَ مجهولٌ لا يُعلَمُ به</w:t>
      </w:r>
      <w:r>
        <w:rPr>
          <w:rStyle w:val="FootnoteAnchor"/>
          <w:rtl w:val="true"/>
        </w:rPr>
        <w:footnoteReference w:id="875"/>
      </w:r>
      <w:r>
        <w:rPr>
          <w:rFonts w:ascii="Amiri" w:hAnsi="Amiri" w:eastAsia="Amiri" w:cs="Amiri"/>
          <w:color w:val="111111"/>
          <w:sz w:val="28"/>
          <w:sz w:val="28"/>
          <w:szCs w:val="28"/>
          <w:rtl w:val="true"/>
          <w:lang w:bidi="ar-SA"/>
        </w:rPr>
        <w:t xml:space="preserve">حالُ جماعةٍ مخصوصةٍ يَصيرُ إجماعُها حُجّةً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أجمَعَ </w:t>
      </w:r>
      <w:r>
        <w:rPr>
          <w:rStyle w:val="FootnoteAnchor"/>
          <w:rtl w:val="true"/>
        </w:rPr>
        <w:footnoteReference w:id="877"/>
      </w:r>
      <w:r>
        <w:rPr>
          <w:rFonts w:ascii="Amiri" w:hAnsi="Amiri" w:eastAsia="Amiri" w:cs="Amiri"/>
          <w:color w:val="111111"/>
          <w:sz w:val="28"/>
          <w:sz w:val="28"/>
          <w:szCs w:val="28"/>
          <w:rtl w:val="true"/>
          <w:lang w:bidi="ar-SA"/>
        </w:rPr>
        <w:t xml:space="preserve">المُصدِّقونَ علىٰ شيءٍ يُعلَمُ دخولُ هذه الجماعةِ فيهم، فيَصيرُ الإجماعُ حُجّةً ، كما ذَكَرتم في الشُّهَداءِ و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w:t>
      </w:r>
      <w:r>
        <w:rPr>
          <w:rStyle w:val="FootnoteAnchor"/>
          <w:rtl w:val="true"/>
        </w:rPr>
        <w:footnoteReference w:id="878"/>
      </w:r>
      <w:r>
        <w:rPr>
          <w:rFonts w:ascii="Amiri" w:hAnsi="Amiri" w:eastAsia="Amiri" w:cs="Amiri"/>
          <w:color w:val="111111"/>
          <w:sz w:val="28"/>
          <w:sz w:val="28"/>
          <w:szCs w:val="28"/>
          <w:rtl w:val="true"/>
          <w:lang w:bidi="ar-SA"/>
        </w:rPr>
        <w:t>ذلكَ لأنّهم وُصِفوا بصفةٍ‌</w:t>
      </w:r>
      <w:r>
        <w:rPr>
          <w:rStyle w:val="FootnoteAnchor"/>
          <w:rtl w:val="true"/>
        </w:rPr>
        <w:footnoteReference w:id="879"/>
      </w:r>
      <w:r>
        <w:rPr>
          <w:rFonts w:ascii="Amiri" w:hAnsi="Amiri" w:eastAsia="Amiri" w:cs="Amiri"/>
          <w:color w:val="111111"/>
          <w:sz w:val="28"/>
          <w:sz w:val="28"/>
          <w:szCs w:val="28"/>
          <w:rtl w:val="true"/>
          <w:lang w:bidi="ar-SA"/>
        </w:rPr>
        <w:t>عَلِمنا معها دُخولَهم تَحتَ المُصدِّقينَ و خُروجَهم عمّن سِواهم، و لَيسَ كذلكَ الحالُ فيما تَعلَّقتَ به مِن هذه الآيةِ‌؛ لأنّه يَجوزُ</w:t>
      </w:r>
      <w:r>
        <w:rPr>
          <w:rStyle w:val="FootnoteAnchor"/>
          <w:rtl w:val="true"/>
        </w:rPr>
        <w:footnoteReference w:id="880"/>
      </w:r>
      <w:r>
        <w:rPr>
          <w:rFonts w:ascii="Amiri" w:hAnsi="Amiri" w:eastAsia="Amiri" w:cs="Amiri"/>
          <w:color w:val="111111"/>
          <w:sz w:val="28"/>
          <w:sz w:val="28"/>
          <w:szCs w:val="28"/>
          <w:rtl w:val="true"/>
          <w:lang w:bidi="ar-SA"/>
        </w:rPr>
        <w:t>أن يَكونَ المُرادُ بها مَن كان في عَهدِ الرسولِ صَلَّى اللّٰهُ عليه</w:t>
      </w:r>
      <w:r>
        <w:rPr>
          <w:rStyle w:val="FootnoteAnchor"/>
          <w:rtl w:val="true"/>
        </w:rPr>
        <w:footnoteReference w:id="881"/>
      </w:r>
      <w:r>
        <w:rPr>
          <w:rFonts w:ascii="Amiri" w:hAnsi="Amiri" w:eastAsia="Amiri" w:cs="Amiri"/>
          <w:color w:val="111111"/>
          <w:sz w:val="28"/>
          <w:sz w:val="28"/>
          <w:szCs w:val="28"/>
          <w:rtl w:val="true"/>
          <w:lang w:bidi="ar-SA"/>
        </w:rPr>
        <w:t>و عندَ نُزولِ الخِطابِ‌؛ لأنّهم في تِلكَ الحالِ كانوا بهذه الصِّفةِ‌، فمِن أينَ أنّ غَيرَهم بمَنزِلتِهم</w:t>
      </w:r>
      <w:r>
        <w:rPr>
          <w:rStyle w:val="FootnoteAnchor"/>
          <w:rtl w:val="true"/>
        </w:rPr>
        <w:footnoteReference w:id="88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في</w:t>
      </w:r>
      <w:r>
        <w:rPr>
          <w:rStyle w:val="FootnoteAnchor"/>
          <w:rtl w:val="true"/>
        </w:rPr>
        <w:footnoteReference w:id="883"/>
      </w:r>
      <w:r>
        <w:rPr>
          <w:rFonts w:ascii="Amiri" w:hAnsi="Amiri" w:eastAsia="Amiri" w:cs="Amiri"/>
          <w:color w:val="111111"/>
          <w:sz w:val="28"/>
          <w:sz w:val="28"/>
          <w:szCs w:val="28"/>
          <w:rtl w:val="true"/>
          <w:lang w:bidi="ar-SA"/>
        </w:rPr>
        <w:t>هذا الوجهِ ما قَدَّمناه مِن</w:t>
      </w:r>
      <w:r>
        <w:rPr>
          <w:rStyle w:val="FootnoteAnchor"/>
          <w:rtl w:val="true"/>
        </w:rPr>
        <w:footnoteReference w:id="88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جَعَلْنٰاكُمْ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تِلكَ الآيةَ و إن كانَت تَقتَضي الإشارةَ ففيها ما يدُلُّ علَى</w:t>
      </w:r>
      <w:r>
        <w:rPr>
          <w:rStyle w:val="FootnoteAnchor"/>
          <w:rtl w:val="true"/>
        </w:rPr>
        <w:footnoteReference w:id="885"/>
      </w:r>
      <w:r>
        <w:rPr>
          <w:rFonts w:ascii="Amiri" w:hAnsi="Amiri" w:eastAsia="Amiri" w:cs="Amiri"/>
          <w:color w:val="111111"/>
          <w:sz w:val="28"/>
          <w:sz w:val="28"/>
          <w:szCs w:val="28"/>
          <w:rtl w:val="true"/>
          <w:lang w:bidi="ar-SA"/>
        </w:rPr>
        <w:t>العُمومِ ؛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هذه الآيةِ ما يَقتَضي هذا المعنىٰ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نَراه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يورِدُه مِن الكلامِ علىٰ مَن تَعلَّقَ بالآيةِ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يأتي </w:t>
      </w:r>
    </w:p>
    <w:p>
      <w:pPr>
        <w:pStyle w:val="BookText"/>
        <w:rPr/>
      </w:pPr>
      <w:r>
        <w:rPr>
          <w:rFonts w:ascii="Amiri" w:hAnsi="Amiri" w:eastAsia="Amiri" w:cs="Amiri"/>
          <w:color w:val="111111"/>
          <w:sz w:val="28"/>
          <w:sz w:val="28"/>
          <w:szCs w:val="28"/>
          <w:rtl w:val="true"/>
          <w:lang w:bidi="ar-SA"/>
        </w:rPr>
        <w:t>علىٰ جميعِ ما اعتمَدَه في الآيةِ الأُولىٰ‌، حتّىٰ‌</w:t>
      </w:r>
      <w:r>
        <w:rPr>
          <w:rStyle w:val="FootnoteAnchor"/>
          <w:rtl w:val="true"/>
        </w:rPr>
        <w:footnoteReference w:id="887"/>
      </w:r>
      <w:r>
        <w:rPr>
          <w:rFonts w:ascii="Amiri" w:hAnsi="Amiri" w:eastAsia="Amiri" w:cs="Amiri"/>
          <w:color w:val="111111"/>
          <w:sz w:val="28"/>
          <w:sz w:val="28"/>
          <w:szCs w:val="28"/>
          <w:rtl w:val="true"/>
          <w:lang w:bidi="ar-SA"/>
        </w:rPr>
        <w:t>كأنّه يُناقِضُ مَن تَعلَّقَ بالآيتَينِ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استدَلَّ‌</w:t>
      </w:r>
      <w:r>
        <w:rPr>
          <w:rStyle w:val="FootnoteAnchor"/>
          <w:rtl w:val="true"/>
        </w:rPr>
        <w:footnoteReference w:id="888"/>
      </w:r>
      <w:r>
        <w:rPr>
          <w:rFonts w:ascii="Amiri" w:hAnsi="Amiri" w:eastAsia="Amiri" w:cs="Amiri"/>
          <w:color w:val="111111"/>
          <w:sz w:val="28"/>
          <w:sz w:val="28"/>
          <w:szCs w:val="28"/>
          <w:rtl w:val="true"/>
          <w:lang w:bidi="ar-SA"/>
        </w:rPr>
        <w:t>بالآيةِ التي يَضعُفُ التعَلُّقُ بها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المعنيُّ بها جميعَ المُصدِّقينَ‌، بل مَن كانَ مؤمِناً خيِّراً يَستَحِقُّ ما تَضمَّنَته الآيةُ مِن الأوصافِ‌، و نَعلَمُ‌</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إجماعَهم عندَ عِلمِنا بإجماعِ المُصدِّقينَ الذينَ هُم في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الشُّهَداءِ 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وُصِفوا بصِفةٍ عَلِمنا معها دُخولَهم تَحتَ المُصدِّقينَ و خُروجَهم عمّن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 الآيةِ الأُخرىٰ‌؛ لأنّها تَتضمَّنُ مِن أَوصافِ المَدحِ و التعظيمِ ما يَقتَضي كَونَ المُرادِ بها في جُملةِ المُصدِّقينَ و إن لَم يَكُن جميعَهم، و يَقتَضي أيضاً خُروجَهم عمّن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الآيةَ‌</w:t>
      </w:r>
      <w:r>
        <w:rPr>
          <w:rStyle w:val="FootnoteAnchor"/>
          <w:rtl w:val="true"/>
        </w:rPr>
        <w:footnoteReference w:id="890"/>
      </w:r>
      <w:r>
        <w:rPr>
          <w:rFonts w:ascii="Amiri" w:hAnsi="Amiri" w:eastAsia="Amiri" w:cs="Amiri"/>
          <w:color w:val="111111"/>
          <w:sz w:val="28"/>
          <w:sz w:val="28"/>
          <w:szCs w:val="28"/>
          <w:rtl w:val="true"/>
          <w:lang w:bidi="ar-SA"/>
        </w:rPr>
        <w:t>بمَن كانَ في عصرِ الرسولِ صَلَّى اللّٰهُ عليهِ و آلِه</w:t>
      </w:r>
      <w:r>
        <w:rPr>
          <w:rStyle w:val="FootnoteAnchor"/>
          <w:rtl w:val="true"/>
        </w:rPr>
        <w:footnoteReference w:id="891"/>
      </w:r>
      <w:r>
        <w:rPr>
          <w:rFonts w:ascii="Amiri" w:hAnsi="Amiri" w:eastAsia="Amiri" w:cs="Amiri"/>
          <w:color w:val="111111"/>
          <w:sz w:val="28"/>
          <w:sz w:val="28"/>
          <w:szCs w:val="28"/>
          <w:rtl w:val="true"/>
          <w:lang w:bidi="ar-SA"/>
        </w:rPr>
        <w:t>يَلزَمُه مِثلُه في الآيةِ الأُخرىٰ‌، و يُقابَلُ بمِثلِ كلامِه،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لِمَن كانَ في عهدِ الرسولِ صَلَّى اللّٰهُ عليهِ و آلِه</w:t>
      </w:r>
      <w:r>
        <w:rPr>
          <w:rStyle w:val="FootnoteAnchor"/>
          <w:rtl w:val="true"/>
        </w:rPr>
        <w:footnoteReference w:id="892"/>
      </w:r>
      <w:r>
        <w:rPr>
          <w:rFonts w:ascii="Amiri" w:hAnsi="Amiri" w:eastAsia="Amiri" w:cs="Amiri"/>
          <w:color w:val="111111"/>
          <w:sz w:val="28"/>
          <w:sz w:val="28"/>
          <w:szCs w:val="28"/>
          <w:rtl w:val="true"/>
          <w:lang w:bidi="ar-SA"/>
        </w:rPr>
        <w:t>لأنّهم كانوا في تِلكَ الحالِ بهذه الصِّفةِ ، فمِن أينَ أنّ غَيرَهم بمَنزِلتِهم ؟</w:t>
      </w:r>
    </w:p>
    <w:p>
      <w:pPr>
        <w:pStyle w:val="BookText"/>
        <w:rPr/>
      </w:pPr>
      <w:r>
        <w:rPr>
          <w:rFonts w:ascii="Amiri" w:hAnsi="Amiri" w:eastAsia="Amiri" w:cs="Amiri"/>
          <w:color w:val="111111"/>
          <w:sz w:val="28"/>
          <w:sz w:val="28"/>
          <w:szCs w:val="28"/>
          <w:rtl w:val="true"/>
          <w:lang w:bidi="ar-SA"/>
        </w:rPr>
        <w:t xml:space="preserve">و الإشارةُ التي تَشبَّثَ بها في إحدَى الآيتَينِ مِثلُها في الأُخرىٰ ؛ لأنّ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الإشارةِ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ترجيحُه الآيةَ‌</w:t>
      </w:r>
      <w:r>
        <w:rPr>
          <w:rStyle w:val="FootnoteAnchor"/>
          <w:rtl w:val="true"/>
        </w:rPr>
        <w:footnoteReference w:id="893"/>
      </w:r>
      <w:r>
        <w:rPr>
          <w:rFonts w:ascii="Amiri" w:hAnsi="Amiri" w:eastAsia="Amiri" w:cs="Amiri"/>
          <w:color w:val="111111"/>
          <w:sz w:val="28"/>
          <w:sz w:val="28"/>
          <w:szCs w:val="28"/>
          <w:rtl w:val="true"/>
          <w:lang w:bidi="ar-SA"/>
        </w:rPr>
        <w:t>التي اعتمَدَها مع اعترافِه بالإشارةِ فيها بقَولِه</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لِتَكُونُوا </w:t>
      </w:r>
    </w:p>
    <w:p>
      <w:pPr>
        <w:pStyle w:val="BookText"/>
        <w:rPr/>
      </w:pP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بِناءٌ علىٰ ما تَقدَّمَ مِن الكلامِ‌؛ فإذا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التخصيصَ مِن حَيثُ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بِناءٌ عليهِ و متَعلَّقٌ 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مَجراه في الخُصوصِ‌؛ لأنّ الاعتبارَ في العُمومِ و الخُصوصِ بما تَقدَّمَ في الكلامِ‌، دونَ ما هو مَبنيٌّ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 رَضِيَ لنفسِه بما ذَكرَه فليَرضَ بمِثلِه إذا قالَ له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معنَى الإشارةِ فقَد تَلاه ما يَقتَضي العُمومَ ، و يَخرُجُ عن معنَى التخصيصِ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Style w:val="FootnoteAnchor"/>
          <w:rtl w:val="true"/>
        </w:rPr>
        <w:footnoteReference w:id="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لَيسَ‌</w:t>
      </w:r>
      <w:r>
        <w:rPr>
          <w:rStyle w:val="FootnoteAnchor"/>
          <w:rtl w:val="true"/>
        </w:rPr>
        <w:footnoteReference w:id="898"/>
      </w:r>
      <w:r>
        <w:rPr>
          <w:rFonts w:ascii="Amiri" w:hAnsi="Amiri" w:eastAsia="Amiri" w:cs="Amiri"/>
          <w:color w:val="111111"/>
          <w:sz w:val="28"/>
          <w:sz w:val="28"/>
          <w:szCs w:val="28"/>
          <w:rtl w:val="true"/>
          <w:lang w:bidi="ar-SA"/>
        </w:rPr>
        <w:t>فيه دَلالةٌ علىٰ أنّهم لا يأمُرونَ إلّابه، حتّىٰ يُستَدَلَّ‌</w:t>
      </w:r>
      <w:r>
        <w:rPr>
          <w:rStyle w:val="FootnoteAnchor"/>
          <w:rtl w:val="true"/>
        </w:rPr>
        <w:footnoteReference w:id="899"/>
      </w:r>
      <w:r>
        <w:rPr>
          <w:rFonts w:ascii="Amiri" w:hAnsi="Amiri" w:eastAsia="Amiri" w:cs="Amiri"/>
          <w:color w:val="111111"/>
          <w:sz w:val="28"/>
          <w:sz w:val="28"/>
          <w:szCs w:val="28"/>
          <w:rtl w:val="true"/>
          <w:lang w:bidi="ar-SA"/>
        </w:rPr>
        <w:t>باتّفاقِهم علَى الأمرِ بالشيءِ علىٰ أنّه حقٌّ‌،</w:t>
      </w:r>
      <w:r>
        <w:rPr>
          <w:rStyle w:val="FootnoteAnchor"/>
          <w:rtl w:val="true"/>
        </w:rPr>
        <w:footnoteReference w:id="900"/>
      </w:r>
      <w:r>
        <w:rPr>
          <w:rFonts w:ascii="Amiri" w:hAnsi="Amiri" w:eastAsia="Amiri" w:cs="Amiri"/>
          <w:color w:val="111111"/>
          <w:sz w:val="28"/>
          <w:sz w:val="28"/>
          <w:szCs w:val="28"/>
          <w:rtl w:val="true"/>
          <w:lang w:bidi="ar-SA"/>
        </w:rPr>
        <w:t>و إنّما بَيَّنَ‌</w:t>
      </w:r>
      <w:r>
        <w:rPr>
          <w:rStyle w:val="FootnoteAnchor"/>
          <w:rtl w:val="true"/>
        </w:rPr>
        <w:footnoteReference w:id="901"/>
      </w:r>
      <w:r>
        <w:rPr>
          <w:rFonts w:ascii="Amiri" w:hAnsi="Amiri" w:eastAsia="Amiri" w:cs="Amiri"/>
          <w:color w:val="111111"/>
          <w:sz w:val="28"/>
          <w:sz w:val="28"/>
          <w:szCs w:val="28"/>
          <w:rtl w:val="true"/>
          <w:lang w:bidi="ar-SA"/>
        </w:rPr>
        <w:t>بذلكَ‌</w:t>
      </w:r>
      <w:r>
        <w:rPr>
          <w:rStyle w:val="FootnoteAnchor"/>
          <w:rtl w:val="true"/>
        </w:rPr>
        <w:footnoteReference w:id="902"/>
      </w:r>
      <w:r>
        <w:rPr>
          <w:rFonts w:ascii="Amiri" w:hAnsi="Amiri" w:eastAsia="Amiri" w:cs="Amiri"/>
          <w:color w:val="111111"/>
          <w:sz w:val="28"/>
          <w:sz w:val="28"/>
          <w:szCs w:val="28"/>
          <w:rtl w:val="true"/>
          <w:lang w:bidi="ar-SA"/>
        </w:rPr>
        <w:t>أنّ هذه طريقتُهم</w:t>
      </w:r>
      <w:r>
        <w:rPr>
          <w:rStyle w:val="FootnoteAnchor"/>
          <w:rtl w:val="true"/>
        </w:rPr>
        <w:footnoteReference w:id="903"/>
      </w:r>
      <w:r>
        <w:rPr>
          <w:rFonts w:ascii="Amiri" w:hAnsi="Amiri" w:eastAsia="Amiri" w:cs="Amiri"/>
          <w:color w:val="111111"/>
          <w:sz w:val="28"/>
          <w:sz w:val="28"/>
          <w:szCs w:val="28"/>
          <w:rtl w:val="true"/>
          <w:lang w:bidi="ar-SA"/>
        </w:rPr>
        <w:t xml:space="preserve">و سجيّتُهم علىٰ طريقِ </w:t>
      </w:r>
    </w:p>
    <w:p>
      <w:pPr>
        <w:pStyle w:val="BookText"/>
        <w:rPr/>
      </w:pPr>
      <w:r>
        <w:rPr>
          <w:rFonts w:ascii="Amiri" w:hAnsi="Amiri" w:eastAsia="Amiri" w:cs="Amiri"/>
          <w:color w:val="111111"/>
          <w:sz w:val="28"/>
          <w:sz w:val="28"/>
          <w:szCs w:val="28"/>
          <w:rtl w:val="true"/>
          <w:lang w:bidi="ar-SA"/>
        </w:rPr>
        <w:t>المَدحِ‌، فلا يَمتَنِعُ‌</w:t>
      </w:r>
      <w:r>
        <w:rPr>
          <w:rStyle w:val="FootnoteAnchor"/>
          <w:rtl w:val="true"/>
        </w:rPr>
        <w:footnoteReference w:id="904"/>
      </w:r>
      <w:r>
        <w:rPr>
          <w:rFonts w:ascii="Amiri" w:hAnsi="Amiri" w:eastAsia="Amiri" w:cs="Amiri"/>
          <w:color w:val="111111"/>
          <w:sz w:val="28"/>
          <w:sz w:val="28"/>
          <w:szCs w:val="28"/>
          <w:rtl w:val="true"/>
          <w:lang w:bidi="ar-SA"/>
        </w:rPr>
        <w:t xml:space="preserve">أن يقَعَ مِنهم خِلافُه إذا لَم يُخرِجْهم مِن طريقةِ </w:t>
      </w:r>
      <w:r>
        <w:rPr>
          <w:rStyle w:val="FootnoteAnchor"/>
          <w:rtl w:val="true"/>
        </w:rPr>
        <w:footnoteReference w:id="905"/>
      </w:r>
      <w:r>
        <w:rPr>
          <w:rFonts w:ascii="Amiri" w:hAnsi="Amiri" w:eastAsia="Amiri" w:cs="Amiri"/>
          <w:color w:val="111111"/>
          <w:sz w:val="28"/>
          <w:sz w:val="28"/>
          <w:szCs w:val="28"/>
          <w:rtl w:val="true"/>
          <w:lang w:bidi="ar-SA"/>
        </w:rPr>
        <w:t xml:space="preserve">المَدحِ ، و لأنّ ذلكَ يوجِبُ تَقدُّمَ </w:t>
      </w:r>
      <w:r>
        <w:rPr>
          <w:rStyle w:val="FootnoteAnchor"/>
          <w:rtl w:val="true"/>
        </w:rPr>
        <w:footnoteReference w:id="906"/>
      </w:r>
      <w:r>
        <w:rPr>
          <w:rFonts w:ascii="Amiri" w:hAnsi="Amiri" w:eastAsia="Amiri" w:cs="Amiri"/>
          <w:color w:val="111111"/>
          <w:sz w:val="28"/>
          <w:sz w:val="28"/>
          <w:szCs w:val="28"/>
          <w:rtl w:val="true"/>
          <w:lang w:bidi="ar-SA"/>
        </w:rPr>
        <w:t>المعرفةِ بالمعروفِ و المُنكَرِ، و يُخرِجُ بذلكَ أمرَهم مِن أن يَكونَ دالاًّ علىٰ أنّ المأمورَ به مِن قِبَلِهم معروفٌ ، و المَنهيَّ عنه مِن قِبَلِهم مُنكَرٌ</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فكذلكَ‌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أنّهم خِيارٌ عُدولٌ في كُلِّ شيءٍ و في كُلِّ حالٍ‌، و لا أنّهم أيضاً شُهودٌ بكُلِّ أمرٍ و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يَخرُجوا مِن أن يَكونوا شُهَداءَ‌</w:t>
      </w:r>
      <w:r>
        <w:rPr>
          <w:rStyle w:val="FootnoteAnchor"/>
          <w:rtl w:val="true"/>
        </w:rPr>
        <w:footnoteReference w:id="908"/>
      </w:r>
      <w:r>
        <w:rPr>
          <w:rFonts w:ascii="Amiri" w:hAnsi="Amiri" w:eastAsia="Amiri" w:cs="Amiri"/>
          <w:color w:val="111111"/>
          <w:sz w:val="28"/>
          <w:sz w:val="28"/>
          <w:szCs w:val="28"/>
          <w:rtl w:val="true"/>
          <w:lang w:bidi="ar-SA"/>
        </w:rPr>
        <w:t>فلا يَجِبُ‌</w:t>
      </w:r>
      <w:r>
        <w:rPr>
          <w:rStyle w:val="FootnoteAnchor"/>
          <w:rtl w:val="true"/>
        </w:rPr>
        <w:footnoteReference w:id="909"/>
      </w:r>
      <w:r>
        <w:rPr>
          <w:rFonts w:ascii="Amiri" w:hAnsi="Amiri" w:eastAsia="Amiri" w:cs="Amiri"/>
          <w:color w:val="111111"/>
          <w:sz w:val="28"/>
          <w:sz w:val="28"/>
          <w:szCs w:val="28"/>
          <w:rtl w:val="true"/>
          <w:lang w:bidi="ar-SA"/>
        </w:rPr>
        <w:t>أن يَكونوا عُدولاً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في هذا الكلامِ تارِكٌ لعُمومِ القَولِ بظاهِرِه</w:t>
      </w:r>
      <w:r>
        <w:rPr>
          <w:rStyle w:val="FootnoteAnchor"/>
          <w:rtl w:val="true"/>
        </w:rPr>
        <w:footnoteReference w:id="910"/>
      </w:r>
      <w:r>
        <w:rPr>
          <w:rFonts w:ascii="Amiri" w:hAnsi="Amiri" w:eastAsia="Amiri" w:cs="Amiri"/>
          <w:color w:val="111111"/>
          <w:sz w:val="28"/>
          <w:sz w:val="28"/>
          <w:szCs w:val="28"/>
          <w:rtl w:val="true"/>
          <w:lang w:bidi="ar-SA"/>
        </w:rPr>
        <w:t xml:space="preserve">الذي لا يَزالُ يَتعلَّقُ به و يَعتَمِدُ عليهِ ؛ لأنّ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علىٰ عُمومِه</w:t>
      </w:r>
      <w:r>
        <w:rPr>
          <w:rStyle w:val="FootnoteAnchor"/>
          <w:rtl w:val="true"/>
        </w:rPr>
        <w:footnoteReference w:id="911"/>
      </w:r>
      <w:r>
        <w:rPr>
          <w:rFonts w:ascii="Amiri" w:hAnsi="Amiri" w:eastAsia="Amiri" w:cs="Amiri"/>
          <w:color w:val="111111"/>
          <w:sz w:val="28"/>
          <w:sz w:val="28"/>
          <w:szCs w:val="28"/>
          <w:rtl w:val="true"/>
          <w:lang w:bidi="ar-SA"/>
        </w:rPr>
        <w:t xml:space="preserve">لَم يَسُغْ </w:t>
      </w:r>
      <w:r>
        <w:rPr>
          <w:rStyle w:val="FootnoteAnchor"/>
          <w:rtl w:val="true"/>
        </w:rPr>
        <w:footnoteReference w:id="912"/>
      </w:r>
      <w:r>
        <w:rPr>
          <w:rFonts w:ascii="Amiri" w:hAnsi="Amiri" w:eastAsia="Amiri" w:cs="Amiri"/>
          <w:color w:val="111111"/>
          <w:sz w:val="28"/>
          <w:sz w:val="28"/>
          <w:szCs w:val="28"/>
          <w:rtl w:val="true"/>
          <w:lang w:bidi="ar-SA"/>
        </w:rPr>
        <w:t>ما ذَكرَه مِن التجويزِ عليهم أن يأمُروا بغَيرِ المعروفِ ؛ لأنّ تجويزَ ذلكَ تخصيصٌ للعُمومِ الذي يَقتَضيهِ إطلاقُ القَولِ علىٰ أصلِه</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يَجِبُ تَقدُّمُ‌</w:t>
      </w:r>
      <w:r>
        <w:rPr>
          <w:rStyle w:val="FootnoteAnchor"/>
          <w:rtl w:val="true"/>
        </w:rPr>
        <w:footnoteReference w:id="913"/>
      </w:r>
      <w:r>
        <w:rPr>
          <w:rFonts w:ascii="Amiri" w:hAnsi="Amiri" w:eastAsia="Amiri" w:cs="Amiri"/>
          <w:color w:val="111111"/>
          <w:sz w:val="28"/>
          <w:sz w:val="28"/>
          <w:szCs w:val="28"/>
          <w:rtl w:val="true"/>
          <w:lang w:bidi="ar-SA"/>
        </w:rPr>
        <w:t>المعرفةِ لنا بالمعروفِ و المُنكَرِ كما ظَنَّه، بَل لا يُنكَرُ أن يَكونَ المُرادُ أنّهم يأمُرونَ بالمعروفِ الذي يَعلَمُه اللّٰهُ تَعالىٰ كذلكَ‌، و يَنهَونَ عن المُنكَرِ علىٰ هذا السَّبيلِ ؛ فيَكونُ إجماعُهم</w:t>
      </w:r>
      <w:r>
        <w:rPr>
          <w:rStyle w:val="FootnoteAnchor"/>
          <w:rtl w:val="true"/>
        </w:rPr>
        <w:footnoteReference w:id="914"/>
      </w:r>
      <w:r>
        <w:rPr>
          <w:rFonts w:ascii="Amiri" w:hAnsi="Amiri" w:eastAsia="Amiri" w:cs="Amiri"/>
          <w:color w:val="111111"/>
          <w:sz w:val="28"/>
          <w:sz w:val="28"/>
          <w:szCs w:val="28"/>
          <w:rtl w:val="true"/>
          <w:lang w:bidi="ar-SA"/>
        </w:rPr>
        <w:t xml:space="preserve">علَى الأمرِ بالشيءِ </w:t>
      </w:r>
      <w:r>
        <w:rPr>
          <w:rStyle w:val="FootnoteAnchor"/>
          <w:rtl w:val="true"/>
        </w:rPr>
        <w:footnoteReference w:id="915"/>
      </w:r>
      <w:r>
        <w:rPr>
          <w:rFonts w:ascii="Amiri" w:hAnsi="Amiri" w:eastAsia="Amiri" w:cs="Amiri"/>
          <w:color w:val="111111"/>
          <w:sz w:val="28"/>
          <w:sz w:val="28"/>
          <w:szCs w:val="28"/>
          <w:rtl w:val="true"/>
          <w:lang w:bidi="ar-SA"/>
        </w:rPr>
        <w:t xml:space="preserve">دَلالةً علىٰ أنّه معروفٌ ، و نَهيُهم عنه دَلالةً علىٰ أنّه مُنكَرٌ، و لَسنا نَعلَمُ مِن أيِّ وَجهٍ </w:t>
      </w:r>
      <w:r>
        <w:rPr>
          <w:rStyle w:val="FootnoteAnchor"/>
          <w:rtl w:val="true"/>
        </w:rPr>
        <w:footnoteReference w:id="916"/>
      </w:r>
      <w:r>
        <w:rPr>
          <w:rFonts w:ascii="Amiri" w:hAnsi="Amiri" w:eastAsia="Amiri" w:cs="Amiri"/>
          <w:color w:val="111111"/>
          <w:sz w:val="28"/>
          <w:sz w:val="28"/>
          <w:szCs w:val="28"/>
          <w:rtl w:val="true"/>
          <w:lang w:bidi="ar-SA"/>
        </w:rPr>
        <w:t xml:space="preserve">يَلزَمُ أن يَتقدَّمَ عِلمُنا بالمعروفِ و المُنكَرِ في هذا القَولِ؟ </w:t>
      </w:r>
      <w:bookmarkStart w:id="135" w:name="pg20015_284831"/>
    </w:p>
    <w:p>
      <w:pPr>
        <w:pStyle w:val="Heading5"/>
        <w:numPr>
          <w:ilvl w:val="4"/>
          <w:numId w:val="1"/>
        </w:numPr>
        <w:rPr/>
      </w:pPr>
      <w:bookmarkStart w:id="136" w:name="__RefHeading___Toc894817_2320776876"/>
      <w:bookmarkStart w:id="137" w:name="_Toc50"/>
      <w:bookmarkEnd w:id="135"/>
      <w:bookmarkEnd w:id="136"/>
      <w:r>
        <w:rPr>
          <w:rtl w:val="true"/>
        </w:rPr>
        <w:t>الحجّة التاسعة دلالة حال الأُمّة علىٰ عدم اتّفاقهم علىٰ خطإٍ</w:t>
      </w:r>
      <w:bookmarkEnd w:id="137"/>
    </w:p>
    <w:p>
      <w:pPr>
        <w:pStyle w:val="Heading6"/>
        <w:numPr>
          <w:ilvl w:val="5"/>
          <w:numId w:val="1"/>
        </w:numPr>
        <w:rPr/>
      </w:pPr>
      <w:bookmarkStart w:id="138" w:name="__RefHeading___Toc894819_2320776876"/>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الحجّة التاسعة دلالة حال الأُمّة علىٰ عدم اتّفاقهم علىٰ خطإٍ</w:t>
      </w:r>
      <w:r>
        <w:rPr>
          <w:rStyle w:val="FootnoteAnchor"/>
          <w:rtl w:val="true"/>
        </w:rPr>
        <w:footnoteReference w:id="917"/>
      </w:r>
    </w:p>
    <w:p>
      <w:pPr>
        <w:pStyle w:val="Heading6"/>
        <w:numPr>
          <w:ilvl w:val="5"/>
          <w:numId w:val="1"/>
        </w:numPr>
        <w:rPr/>
      </w:pPr>
      <w:bookmarkStart w:id="140" w:name="__RefHeading___Toc894821_2320776876"/>
      <w:bookmarkStart w:id="141" w:name="_Toc52"/>
      <w:bookmarkEnd w:id="140"/>
      <w:r>
        <w:rPr>
          <w:rtl w:val="true"/>
        </w:rPr>
        <w:t>تجويز الخطأ على الأُمّة لورود شبهة عليها</w:t>
      </w:r>
      <w:bookmarkEnd w:id="141"/>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91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التعَلُّقُ في صِحّةِ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المُتَعالَمَ مِن حالِ أُمّةِ الرسولِ صَلَّى اللّٰهُ عليهِ و آلِه و سَلَّمَ‌</w:t>
      </w:r>
      <w:r>
        <w:rPr>
          <w:rStyle w:val="FootnoteAnchor"/>
          <w:rtl w:val="true"/>
        </w:rPr>
        <w:footnoteReference w:id="919"/>
      </w:r>
      <w:r>
        <w:rPr>
          <w:rFonts w:ascii="Amiri" w:hAnsi="Amiri" w:eastAsia="Amiri" w:cs="Amiri"/>
          <w:color w:val="111111"/>
          <w:sz w:val="28"/>
          <w:sz w:val="28"/>
          <w:szCs w:val="28"/>
          <w:rtl w:val="true"/>
          <w:lang w:bidi="ar-SA"/>
        </w:rPr>
        <w:t>عُدولُهم عن الأَوطانِ‌</w:t>
      </w:r>
      <w:r>
        <w:rPr>
          <w:rStyle w:val="FootnoteAnchor"/>
          <w:rtl w:val="true"/>
        </w:rPr>
        <w:footnoteReference w:id="920"/>
      </w:r>
      <w:r>
        <w:rPr>
          <w:rFonts w:ascii="Amiri" w:hAnsi="Amiri" w:eastAsia="Amiri" w:cs="Amiri"/>
          <w:color w:val="111111"/>
          <w:sz w:val="28"/>
          <w:sz w:val="28"/>
          <w:szCs w:val="28"/>
          <w:rtl w:val="true"/>
          <w:lang w:bidi="ar-SA"/>
        </w:rPr>
        <w:t>و اللذّاتِ علىٰ جهةِ التدَيُّنِ‌، و أَنَفَتُهم</w:t>
      </w:r>
      <w:r>
        <w:rPr>
          <w:rStyle w:val="FootnoteAnchor"/>
          <w:rtl w:val="true"/>
        </w:rPr>
        <w:footnoteReference w:id="921"/>
      </w:r>
      <w:r>
        <w:rPr>
          <w:rFonts w:ascii="Amiri" w:hAnsi="Amiri" w:eastAsia="Amiri" w:cs="Amiri"/>
          <w:color w:val="111111"/>
          <w:sz w:val="28"/>
          <w:sz w:val="28"/>
          <w:szCs w:val="28"/>
          <w:rtl w:val="true"/>
          <w:lang w:bidi="ar-SA"/>
        </w:rPr>
        <w:t>مِن</w:t>
      </w:r>
      <w:r>
        <w:rPr>
          <w:rStyle w:val="FootnoteAnchor"/>
          <w:rtl w:val="true"/>
        </w:rPr>
        <w:footnoteReference w:id="922"/>
      </w:r>
      <w:r>
        <w:rPr>
          <w:rFonts w:ascii="Amiri" w:hAnsi="Amiri" w:eastAsia="Amiri" w:cs="Amiri"/>
          <w:color w:val="111111"/>
          <w:sz w:val="28"/>
          <w:sz w:val="28"/>
          <w:szCs w:val="28"/>
          <w:rtl w:val="true"/>
          <w:lang w:bidi="ar-SA"/>
        </w:rPr>
        <w:t xml:space="preserve">الكَذِبِ ، و إظهارُهم العارَ في اتّباعِ الغَيرِ و تَقليدِه إلّابَعدَ وُضوحِ الحُجّةِ ، فكيفَ يَصِحُّ و هذه حالُهم أن يتَّفِقوا علَى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كُلَّ الذي ذَكَروه</w:t>
      </w:r>
      <w:r>
        <w:rPr>
          <w:rStyle w:val="FootnoteAnchor"/>
          <w:rtl w:val="true"/>
        </w:rPr>
        <w:footnoteReference w:id="923"/>
      </w:r>
      <w:r>
        <w:rPr>
          <w:rFonts w:ascii="Amiri" w:hAnsi="Amiri" w:eastAsia="Amiri" w:cs="Amiri"/>
          <w:color w:val="111111"/>
          <w:sz w:val="28"/>
          <w:sz w:val="28"/>
          <w:szCs w:val="28"/>
          <w:rtl w:val="true"/>
          <w:lang w:bidi="ar-SA"/>
        </w:rPr>
        <w:t xml:space="preserve">لا يَمنَعُ مِن صِحّةِ </w:t>
      </w:r>
    </w:p>
    <w:p>
      <w:pPr>
        <w:pStyle w:val="BookText"/>
        <w:rPr/>
      </w:pPr>
      <w:r>
        <w:rPr>
          <w:rFonts w:ascii="Amiri" w:hAnsi="Amiri" w:eastAsia="Amiri" w:cs="Amiri"/>
          <w:color w:val="111111"/>
          <w:sz w:val="28"/>
          <w:sz w:val="28"/>
          <w:szCs w:val="28"/>
          <w:rtl w:val="true"/>
          <w:lang w:bidi="ar-SA"/>
        </w:rPr>
        <w:t>اتّفاقِهم علَى الشيءِ بشُبهةٍ‌</w:t>
      </w:r>
      <w:r>
        <w:rPr>
          <w:rStyle w:val="FootnoteAnchor"/>
          <w:rtl w:val="true"/>
        </w:rPr>
        <w:footnoteReference w:id="924"/>
      </w:r>
      <w:r>
        <w:rPr>
          <w:rFonts w:ascii="Amiri" w:hAnsi="Amiri" w:eastAsia="Amiri" w:cs="Amiri"/>
          <w:color w:val="111111"/>
          <w:sz w:val="28"/>
          <w:sz w:val="28"/>
          <w:szCs w:val="28"/>
          <w:rtl w:val="true"/>
          <w:lang w:bidi="ar-SA"/>
        </w:rPr>
        <w:t>ظَنّوا أنّها</w:t>
      </w:r>
      <w:r>
        <w:rPr>
          <w:rStyle w:val="FootnoteAnchor"/>
          <w:rtl w:val="true"/>
        </w:rPr>
        <w:footnoteReference w:id="925"/>
      </w:r>
      <w:r>
        <w:rPr>
          <w:rFonts w:ascii="Amiri" w:hAnsi="Amiri" w:eastAsia="Amiri" w:cs="Amiri"/>
          <w:color w:val="111111"/>
          <w:sz w:val="28"/>
          <w:sz w:val="28"/>
          <w:szCs w:val="28"/>
          <w:rtl w:val="true"/>
          <w:lang w:bidi="ar-SA"/>
        </w:rPr>
        <w:t xml:space="preserve">دَلالةٌ‌؛ لأنّ هذه القَضيّةَ قائمةٌ في كَثيرٍ مِن أُمَمِ مَن تَقدَّمَ‌، و قد اتَّفَقوا مع ذلكَ علَى الخطإ مِن هذا الوجهِ‌، و هي أيضاً قائمةٌ في الجَماعةِ الكَثيرةِ مِن الأُمّةِ </w:t>
      </w:r>
      <w:r>
        <w:rPr>
          <w:rStyle w:val="FootnoteAnchor"/>
          <w:rtl w:val="true"/>
        </w:rPr>
        <w:footnoteReference w:id="926"/>
      </w:r>
      <w:r>
        <w:rPr>
          <w:rFonts w:ascii="Amiri" w:hAnsi="Amiri" w:eastAsia="Amiri" w:cs="Amiri"/>
          <w:color w:val="111111"/>
          <w:sz w:val="28"/>
          <w:sz w:val="28"/>
          <w:szCs w:val="28"/>
          <w:rtl w:val="true"/>
          <w:lang w:bidi="ar-SA"/>
        </w:rPr>
        <w:t>، و لَم يَمنَعْ مِن اتّفاقِها علَى الخطإ مِن هذه</w:t>
      </w:r>
      <w:r>
        <w:rPr>
          <w:rStyle w:val="FootnoteAnchor"/>
          <w:rtl w:val="true"/>
        </w:rPr>
        <w:footnoteReference w:id="927"/>
      </w:r>
      <w:r>
        <w:rPr>
          <w:rFonts w:ascii="Amiri" w:hAnsi="Amiri" w:eastAsia="Amiri" w:cs="Amiri"/>
          <w:color w:val="111111"/>
          <w:sz w:val="28"/>
          <w:sz w:val="28"/>
          <w:szCs w:val="28"/>
          <w:rtl w:val="true"/>
          <w:lang w:bidi="ar-SA"/>
        </w:rPr>
        <w:t xml:space="preserve">الجهةِ </w:t>
      </w:r>
      <w:r>
        <w:rPr>
          <w:rStyle w:val="FootnoteAnchor"/>
          <w:rtl w:val="true"/>
        </w:rPr>
        <w:footnoteReference w:id="928"/>
      </w:r>
      <w:r>
        <w:rPr>
          <w:rFonts w:ascii="Amiri" w:hAnsi="Amiri" w:eastAsia="Amiri" w:cs="Amiri"/>
          <w:color w:val="111111"/>
          <w:sz w:val="28"/>
          <w:sz w:val="28"/>
          <w:szCs w:val="28"/>
          <w:rtl w:val="true"/>
          <w:lang w:bidi="ar-SA"/>
        </w:rPr>
        <w:t xml:space="preserve">، فما الذي يَمنَعُ مِن مِثلِه في إجماعِ </w:t>
      </w:r>
      <w:r>
        <w:rPr>
          <w:rStyle w:val="FootnoteAnchor"/>
          <w:rtl w:val="true"/>
        </w:rPr>
        <w:footnoteReference w:id="929"/>
      </w:r>
      <w:r>
        <w:rPr>
          <w:rFonts w:ascii="Amiri" w:hAnsi="Amiri" w:eastAsia="Amiri" w:cs="Amiri"/>
          <w:color w:val="111111"/>
          <w:sz w:val="28"/>
          <w:sz w:val="28"/>
          <w:szCs w:val="28"/>
          <w:rtl w:val="true"/>
          <w:lang w:bidi="ar-SA"/>
        </w:rPr>
        <w:t xml:space="preserve">كُلِّ الأُمّةِ؟ فلا بُدَّ للتمسُّكِ بأنّ الإجماعَ حُجّةٌ مِن الرجوعِ إلىٰ غَيرِ ذلكَ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فمُبطِلٌ‌</w:t>
      </w:r>
      <w:r>
        <w:rPr>
          <w:rStyle w:val="FootnoteAnchor"/>
          <w:rtl w:val="true"/>
        </w:rPr>
        <w:footnoteReference w:id="931"/>
      </w:r>
      <w:r>
        <w:rPr>
          <w:rFonts w:ascii="Amiri" w:hAnsi="Amiri" w:eastAsia="Amiri" w:cs="Amiri"/>
          <w:color w:val="111111"/>
          <w:sz w:val="28"/>
          <w:sz w:val="28"/>
          <w:szCs w:val="28"/>
          <w:rtl w:val="true"/>
          <w:lang w:bidi="ar-SA"/>
        </w:rPr>
        <w:t xml:space="preserve">أيضاً ما اعتمَدَه مِن قَبلُ في تصحيحِ الخبرِ؛ لأنّه إذا جازَ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استبدادِهم بالأوصافِ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يَتَّفِقوا علَى الخطإ للشُّبهةِ‌، و لا يَكونَ ما هُم عليهِ مِن تَحَرّي الحقِّ و تجنُّبِ الخطإ عاصِماً مِن جوازِ ذلكَ عليهِم، فألّا جازَ أيضاً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عادتُهم جاريةً بأن يَرُدّوا السقيمَ مِنَ الأخبارِ، و يَقبَلوا الصحيحَ</w:t>
      </w:r>
    </w:p>
    <w:p>
      <w:pPr>
        <w:pStyle w:val="BookText"/>
        <w:rPr/>
      </w:pPr>
      <w:r>
        <w:rPr>
          <w:rFonts w:ascii="Amiri" w:hAnsi="Amiri" w:eastAsia="Amiri" w:cs="Amiri"/>
          <w:color w:val="111111"/>
          <w:sz w:val="28"/>
          <w:sz w:val="28"/>
          <w:szCs w:val="28"/>
          <w:rtl w:val="true"/>
          <w:lang w:bidi="ar-SA"/>
        </w:rPr>
        <w:t>مِنها، و يَتَثَبَّتوا</w:t>
      </w:r>
      <w:r>
        <w:rPr>
          <w:rStyle w:val="FootnoteAnchor"/>
          <w:rtl w:val="true"/>
        </w:rPr>
        <w:footnoteReference w:id="932"/>
      </w:r>
      <w:r>
        <w:rPr>
          <w:rFonts w:ascii="Amiri" w:hAnsi="Amiri" w:eastAsia="Amiri" w:cs="Amiri"/>
          <w:color w:val="111111"/>
          <w:sz w:val="28"/>
          <w:sz w:val="28"/>
          <w:szCs w:val="28"/>
          <w:rtl w:val="true"/>
          <w:lang w:bidi="ar-SA"/>
        </w:rPr>
        <w:t xml:space="preserve">في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يَقبَلوا بالشُّبهةِ خبراً غَيرَ صحيحٍ و يُجمِعوا عليه، و لا يَكونَ ما جَرَت به عادتُهم مانِعاً ممّا ذَكرناه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نَجِدُ</w:t>
      </w:r>
      <w:r>
        <w:rPr>
          <w:rStyle w:val="FootnoteAnchor"/>
          <w:rtl w:val="true"/>
        </w:rPr>
        <w:footnoteReference w:id="933"/>
      </w:r>
      <w:r>
        <w:rPr>
          <w:rFonts w:ascii="Amiri" w:hAnsi="Amiri" w:eastAsia="Amiri" w:cs="Amiri"/>
          <w:color w:val="111111"/>
          <w:sz w:val="28"/>
          <w:sz w:val="28"/>
          <w:szCs w:val="28"/>
          <w:rtl w:val="true"/>
          <w:lang w:bidi="ar-SA"/>
        </w:rPr>
        <w:t xml:space="preserve">بَينَ </w:t>
      </w:r>
      <w:r>
        <w:rPr>
          <w:rStyle w:val="FootnoteAnchor"/>
          <w:rtl w:val="true"/>
        </w:rPr>
        <w:footnoteReference w:id="934"/>
      </w:r>
      <w:r>
        <w:rPr>
          <w:rFonts w:ascii="Amiri" w:hAnsi="Amiri" w:eastAsia="Amiri" w:cs="Amiri"/>
          <w:color w:val="111111"/>
          <w:sz w:val="28"/>
          <w:sz w:val="28"/>
          <w:szCs w:val="28"/>
          <w:rtl w:val="true"/>
          <w:lang w:bidi="ar-SA"/>
        </w:rPr>
        <w:t xml:space="preserve">الطريقةِ التي اعتمَدَها و التي أبطَلَها فَرقاً يَرجِعُ إلَى المعنىٰ ، </w:t>
      </w:r>
    </w:p>
    <w:p>
      <w:pPr>
        <w:pStyle w:val="BookText"/>
        <w:rPr/>
      </w:pPr>
      <w:r>
        <w:rPr>
          <w:rFonts w:ascii="Amiri" w:hAnsi="Amiri" w:eastAsia="Amiri" w:cs="Amiri"/>
          <w:color w:val="111111"/>
          <w:sz w:val="28"/>
          <w:sz w:val="28"/>
          <w:szCs w:val="28"/>
          <w:rtl w:val="true"/>
          <w:lang w:bidi="ar-SA"/>
        </w:rPr>
        <w:t>و إن كانَ قد ذَكرَ في إحداهُما العادةَ و لَم يَذكُرْها في الأُخرىٰ‌، بَل أَورَدَ معناها، و جعَلَها في طريقتِه عادةً في قَبولِ الصحيحِ مِن الأخبارِ دونَ السقيمِ‌، و في هذا المَوضعِ عادةً في تَجنُّبِ الخطإ علىٰ سَبيلِ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الأمرَينِ في المَعنىٰ ؛ لأنّه إذا جَوَّزَ عليهم خِلافَ المعلومِ مِنهم مِن قَصدِ الحقِّ و مُفارَقةِ الباطلِ و تَجنُّبِه علىٰ سَبيلِ الجُملةِ ، جوَّزَ عليهِم خِلافَ المعلومِ مِنهم مِن رَدِّ سَقيمِ الأخبارِ و قَبولِ صَحيحِها و ما قامَت به الحُجّةُ مِنها؛ فإنّ تجويزَ ذلكَ ضَربٌ مِن تفصيلِ الجُملةِ </w:t>
      </w:r>
      <w:r>
        <w:rPr>
          <w:rStyle w:val="FootnoteAnchor"/>
          <w:rtl w:val="true"/>
        </w:rPr>
        <w:footnoteReference w:id="935"/>
      </w:r>
      <w:r>
        <w:rPr>
          <w:rFonts w:ascii="Amiri" w:hAnsi="Amiri" w:eastAsia="Amiri" w:cs="Amiri"/>
          <w:color w:val="111111"/>
          <w:sz w:val="28"/>
          <w:sz w:val="28"/>
          <w:szCs w:val="28"/>
          <w:rtl w:val="true"/>
          <w:lang w:bidi="ar-SA"/>
        </w:rPr>
        <w:t xml:space="preserve">المجوَّزةِ </w:t>
      </w:r>
      <w:r>
        <w:rPr>
          <w:rStyle w:val="FootnoteAnchor"/>
          <w:rtl w:val="true"/>
        </w:rPr>
        <w:footnoteReference w:id="936"/>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9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القضيّةُ قائمةٌ في كَثيرٍ مِن أُمَمِ مَن تَقدَّمَ‌، و هي أيضاً قائمةٌ في الجَماعةِ‌</w:t>
      </w:r>
      <w:r>
        <w:rPr>
          <w:rStyle w:val="FootnoteAnchor"/>
          <w:rtl w:val="true"/>
        </w:rPr>
        <w:footnoteReference w:id="938"/>
      </w:r>
      <w:r>
        <w:rPr>
          <w:rFonts w:ascii="Amiri" w:hAnsi="Amiri" w:eastAsia="Amiri" w:cs="Amiri"/>
          <w:color w:val="111111"/>
          <w:sz w:val="28"/>
          <w:sz w:val="28"/>
          <w:szCs w:val="28"/>
          <w:rtl w:val="true"/>
          <w:lang w:bidi="ar-SA"/>
        </w:rPr>
        <w:t>الكَثيرةِ مِن الأُمّةِ‌</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Style w:val="FootnoteAnchor"/>
          <w:rtl w:val="true"/>
        </w:rPr>
        <w:footnoteReference w:id="940"/>
      </w:r>
      <w:r>
        <w:rPr>
          <w:rFonts w:ascii="Amiri" w:hAnsi="Amiri" w:eastAsia="Amiri" w:cs="Amiri"/>
          <w:color w:val="111111"/>
          <w:sz w:val="28"/>
          <w:sz w:val="28"/>
          <w:szCs w:val="28"/>
          <w:rtl w:val="true"/>
          <w:lang w:bidi="ar-SA"/>
        </w:rPr>
        <w:t xml:space="preserve">ما ذَكرَه مِن قَبولِ الثابتِ مِن الأخبارِ و رَدِّ المشكوكِ فيه، هو قائمٌ في الجَماعاتِ مِن أُمّتِنا و غَيرِهم مِن الأُمَمِ المُتقدِّمةِ ، و لَم يَمنَعْ </w:t>
      </w:r>
      <w:r>
        <w:rPr>
          <w:rStyle w:val="FootnoteAnchor"/>
          <w:rtl w:val="true"/>
        </w:rPr>
        <w:footnoteReference w:id="941"/>
      </w:r>
      <w:r>
        <w:rPr>
          <w:rFonts w:ascii="Amiri" w:hAnsi="Amiri" w:eastAsia="Amiri" w:cs="Amiri"/>
          <w:color w:val="111111"/>
          <w:sz w:val="28"/>
          <w:sz w:val="28"/>
          <w:szCs w:val="28"/>
          <w:rtl w:val="true"/>
          <w:lang w:bidi="ar-SA"/>
        </w:rPr>
        <w:t xml:space="preserve">حُصولُه فيهم مِن الخطإ بالشُّبهةِ ، فيَجِبُ أن يَجوزَ مِثلُه علَى الكُلِّ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الكلامُ في الإجماعِ </w:t>
      </w:r>
      <w:r>
        <w:rPr>
          <w:rStyle w:val="FootnoteAnchor"/>
          <w:rtl w:val="true"/>
        </w:rPr>
        <w:footnoteReference w:id="942"/>
      </w:r>
      <w:r>
        <w:rPr>
          <w:rFonts w:ascii="Amiri" w:hAnsi="Amiri" w:eastAsia="Amiri" w:cs="Amiri"/>
          <w:color w:val="111111"/>
          <w:sz w:val="28"/>
          <w:sz w:val="28"/>
          <w:szCs w:val="28"/>
          <w:rtl w:val="true"/>
          <w:lang w:bidi="ar-SA"/>
        </w:rPr>
        <w:t xml:space="preserve">، و نَحنُ نَعودُ إلىٰ حِكايةِ </w:t>
      </w:r>
      <w:r>
        <w:rPr>
          <w:rStyle w:val="FootnoteAnchor"/>
          <w:rtl w:val="true"/>
        </w:rPr>
        <w:footnoteReference w:id="943"/>
      </w:r>
      <w:r>
        <w:rPr>
          <w:rFonts w:ascii="Amiri" w:hAnsi="Amiri" w:eastAsia="Amiri" w:cs="Amiri"/>
          <w:color w:val="111111"/>
          <w:sz w:val="28"/>
          <w:sz w:val="28"/>
          <w:szCs w:val="28"/>
          <w:rtl w:val="true"/>
          <w:lang w:bidi="ar-SA"/>
        </w:rPr>
        <w:t xml:space="preserve">كلامِه فيما يَتعلَّقُ بالإمامةِ و النقضِ عليهِ </w:t>
      </w:r>
      <w:r>
        <w:rPr>
          <w:rFonts w:eastAsia="Amiri" w:cs="Amiri" w:ascii="Amiri" w:hAnsi="Amiri"/>
          <w:color w:val="111111"/>
          <w:sz w:val="28"/>
          <w:szCs w:val="28"/>
          <w:rtl w:val="true"/>
          <w:lang w:bidi="ar-SA"/>
        </w:rPr>
        <w:t xml:space="preserve">. </w:t>
      </w:r>
      <w:bookmarkStart w:id="142" w:name="pg20015_284834"/>
    </w:p>
    <w:p>
      <w:pPr>
        <w:pStyle w:val="Heading6"/>
        <w:numPr>
          <w:ilvl w:val="5"/>
          <w:numId w:val="1"/>
        </w:numPr>
        <w:rPr/>
      </w:pPr>
      <w:bookmarkStart w:id="143" w:name="__RefHeading___Toc894823_2320776876"/>
      <w:bookmarkStart w:id="144" w:name="_Toc53"/>
      <w:bookmarkEnd w:id="142"/>
      <w:bookmarkEnd w:id="143"/>
      <w:r>
        <w:rPr>
          <w:rtl w:val="true"/>
        </w:rPr>
        <w:t>عدم حفظ الشريعة بواسطة التواتر و القياس</w:t>
      </w:r>
      <w:bookmarkEnd w:id="14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صَحَّ ما قالوه، كانَ لا يَجِبُ إثباتُ معصومٍ‌؛ لِجَوازِ أن تَكونَ‌</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الشريعةُ محفوظةً بالنَّقلِ المتَواتِرِ، كما أنّ القُرآنَ محفوظٌ بهذه الطريقةِ ، إلىٰ غَيرِ ذلكَ مِن السُّنَنِ ؛ فكانَ لا يَمتَنِعُ في كُلِّ شَرعٍ أن يَكونَ مُنقَسِماً</w:t>
      </w:r>
      <w:r>
        <w:rPr>
          <w:rStyle w:val="FootnoteAnchor"/>
          <w:rtl w:val="true"/>
        </w:rPr>
        <w:footnoteReference w:id="945"/>
      </w:r>
      <w:r>
        <w:rPr>
          <w:rFonts w:ascii="Amiri" w:hAnsi="Amiri" w:eastAsia="Amiri" w:cs="Amiri"/>
          <w:color w:val="111111"/>
          <w:sz w:val="28"/>
          <w:sz w:val="28"/>
          <w:szCs w:val="28"/>
          <w:rtl w:val="true"/>
          <w:lang w:bidi="ar-SA"/>
        </w:rPr>
        <w:t xml:space="preserve">إلىٰ ما يَثبُتُ بالتواتُرِ، و إلىٰ ما يَثبُتُ بطريقةِ الاجتهادِ 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يَتمكَّنُ العُلَماءُ مِنها، فلا يَبطُلُ كَونُ الشريعةِ محفوظةً و إنْ لَم يَثبُتْ إمامٌ معصومٌ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علىٰ هذا؛ حَيثُ بيّنّا أنّ التواتُرَ لا يَجوزُ أن يُحفَظَ</w:t>
      </w:r>
      <w:r>
        <w:rPr>
          <w:rStyle w:val="FootnoteAnchor"/>
          <w:rtl w:val="true"/>
        </w:rPr>
        <w:footnoteReference w:id="948"/>
      </w:r>
      <w:r>
        <w:rPr>
          <w:rFonts w:ascii="Amiri" w:hAnsi="Amiri" w:eastAsia="Amiri" w:cs="Amiri"/>
          <w:color w:val="111111"/>
          <w:sz w:val="28"/>
          <w:sz w:val="28"/>
          <w:szCs w:val="28"/>
          <w:rtl w:val="true"/>
          <w:lang w:bidi="ar-SA"/>
        </w:rPr>
        <w:t xml:space="preserve">به الشريعةُ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الحُجّةُ تَثبُتُ به</w:t>
      </w:r>
      <w:r>
        <w:rPr>
          <w:rStyle w:val="FootnoteAnchor"/>
          <w:rtl w:val="true"/>
        </w:rPr>
        <w:footnoteReference w:id="950"/>
      </w:r>
      <w:r>
        <w:rPr>
          <w:rFonts w:ascii="Amiri" w:hAnsi="Amiri" w:eastAsia="Amiri" w:cs="Amiri"/>
          <w:color w:val="111111"/>
          <w:sz w:val="28"/>
          <w:sz w:val="28"/>
          <w:szCs w:val="28"/>
          <w:rtl w:val="true"/>
          <w:lang w:bidi="ar-SA"/>
        </w:rPr>
        <w:t xml:space="preserve">عندَ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بُدَّ مِن معصومٍ يَكونُ وَراءَ الناقِلينَ </w:t>
      </w:r>
      <w:r>
        <w:rPr>
          <w:rFonts w:eastAsia="Amiri" w:cs="Amiri" w:ascii="Amiri" w:hAnsi="Amiri"/>
          <w:color w:val="111111"/>
          <w:sz w:val="28"/>
          <w:szCs w:val="28"/>
          <w:rtl w:val="true"/>
          <w:lang w:bidi="ar-SA"/>
        </w:rPr>
        <w:t xml:space="preserve">. </w:t>
      </w:r>
      <w:bookmarkStart w:id="145" w:name="pg20015_284835"/>
    </w:p>
    <w:p>
      <w:pPr>
        <w:pStyle w:val="BookText"/>
        <w:rPr/>
      </w:pPr>
      <w:bookmarkEnd w:id="145"/>
      <w:r>
        <w:rPr>
          <w:rFonts w:ascii="Amiri" w:hAnsi="Amiri" w:eastAsia="Amiri" w:cs="Amiri"/>
          <w:color w:val="111111"/>
          <w:sz w:val="28"/>
          <w:sz w:val="28"/>
          <w:szCs w:val="28"/>
          <w:rtl w:val="true"/>
          <w:lang w:bidi="ar-SA"/>
        </w:rPr>
        <w:t>فأمّا</w:t>
      </w:r>
      <w:r>
        <w:rPr>
          <w:rStyle w:val="FootnoteAnchor"/>
          <w:rtl w:val="true"/>
        </w:rPr>
        <w:footnoteReference w:id="951"/>
      </w:r>
      <w:r>
        <w:rPr>
          <w:rFonts w:ascii="Amiri" w:hAnsi="Amiri" w:eastAsia="Amiri" w:cs="Amiri"/>
          <w:color w:val="111111"/>
          <w:sz w:val="28"/>
          <w:sz w:val="28"/>
          <w:szCs w:val="28"/>
          <w:rtl w:val="true"/>
          <w:lang w:bidi="ar-SA"/>
        </w:rPr>
        <w:t xml:space="preserve">الاجتهادُ و القياسُ فقَد بيّنّا بُطلانَهما في الشريعةِ ، و أنّهما لا يُثمِرانِ فائدةً ، و لا يُنتِجانِ </w:t>
      </w:r>
      <w:r>
        <w:rPr>
          <w:rStyle w:val="FootnoteAnchor"/>
          <w:rtl w:val="true"/>
        </w:rPr>
        <w:footnoteReference w:id="952"/>
      </w:r>
      <w:r>
        <w:rPr>
          <w:rFonts w:ascii="Amiri" w:hAnsi="Amiri" w:eastAsia="Amiri" w:cs="Amiri"/>
          <w:color w:val="111111"/>
          <w:sz w:val="28"/>
          <w:sz w:val="28"/>
          <w:szCs w:val="28"/>
          <w:rtl w:val="true"/>
          <w:lang w:bidi="ar-SA"/>
        </w:rPr>
        <w:t xml:space="preserve">عِلماً و لا ظَنّاً، فَضلاً عن أن يَكونَ </w:t>
      </w:r>
      <w:r>
        <w:rPr>
          <w:rStyle w:val="FootnoteAnchor"/>
          <w:rtl w:val="true"/>
        </w:rPr>
        <w:footnoteReference w:id="953"/>
      </w:r>
      <w:r>
        <w:rPr>
          <w:rFonts w:ascii="Amiri" w:hAnsi="Amiri" w:eastAsia="Amiri" w:cs="Amiri"/>
          <w:color w:val="111111"/>
          <w:sz w:val="28"/>
          <w:sz w:val="28"/>
          <w:szCs w:val="28"/>
          <w:rtl w:val="true"/>
          <w:lang w:bidi="ar-SA"/>
        </w:rPr>
        <w:t>الشريعةُ محفوظةً بِهما</w:t>
      </w:r>
      <w:r>
        <w:rPr>
          <w:rFonts w:eastAsia="Amiri" w:cs="Amiri" w:ascii="Amiri" w:hAnsi="Amiri"/>
          <w:color w:val="111111"/>
          <w:sz w:val="28"/>
          <w:szCs w:val="28"/>
          <w:rtl w:val="true"/>
          <w:lang w:bidi="ar-SA"/>
        </w:rPr>
        <w:t>.</w:t>
      </w:r>
      <w:r>
        <w:rPr>
          <w:rStyle w:val="FootnoteAnchor"/>
          <w:rtl w:val="true"/>
        </w:rPr>
        <w:footnoteReference w:id="954"/>
      </w:r>
    </w:p>
    <w:p>
      <w:pPr>
        <w:pStyle w:val="Heading6"/>
        <w:numPr>
          <w:ilvl w:val="5"/>
          <w:numId w:val="1"/>
        </w:numPr>
        <w:rPr/>
      </w:pPr>
      <w:bookmarkStart w:id="146" w:name="__RefHeading___Toc894825_2320776876"/>
      <w:bookmarkStart w:id="147" w:name="_Toc54"/>
      <w:bookmarkEnd w:id="146"/>
      <w:r>
        <w:rPr>
          <w:rtl w:val="true"/>
        </w:rPr>
        <w:t>إشارة إلىٰ كيفيّة معرفة الإمام</w:t>
      </w:r>
      <w:bookmarkEnd w:id="14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w:t>
      </w:r>
      <w:r>
        <w:rPr>
          <w:rStyle w:val="FootnoteAnchor"/>
          <w:rtl w:val="true"/>
        </w:rPr>
        <w:footnoteReference w:id="955"/>
      </w:r>
      <w:r>
        <w:rPr>
          <w:rFonts w:ascii="Amiri" w:hAnsi="Amiri" w:eastAsia="Amiri" w:cs="Amiri"/>
          <w:color w:val="111111"/>
          <w:sz w:val="28"/>
          <w:sz w:val="28"/>
          <w:szCs w:val="28"/>
          <w:rtl w:val="true"/>
          <w:lang w:bidi="ar-SA"/>
        </w:rPr>
        <w:t>للقَومِ ممّا ذَكرناه في الطريقِ الذي يُعرَفُ به الإمامُ المعصومُ ؛ لأنّه لا بُدَّ مِن أن يَرجِعوا فيه إلَى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ذلكَ محفوظاً و هو مِن أصلِ الشريعةِ ، لَم يَمتنِعْ مِثلُه فيما عَداه، و إلّاأدّىٰ ذلكَ إلىٰ إثباتِ أئمّةٍ لا نِهايةَ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القَولُ فيه</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هذا أيضاً ممّا قد مضَى الكلامُ عليهِ‌؛ لأنّا قد بيّنّا أنّ المعرفةَ بوُجودِ إمامٍ معصومٍ حُجّةٍ في كُلِّ زَمانٍ لا يَفْتَقِرُ إلَى التواتُرِ و النَّقلِ‌؛ بل هو مُستَفادٌ بأدِلّةِ العُقولِ‌</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فأمّا المعرفةُ بعَينِ الإمامِ‌، و أنّه فُلانٌ دونَ فُلانٍ‌، فهو و إن كانَ معلوماً بالنَّقلِ فالأمانُ‌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للمكلَّفينَ مِن ضَياعِه</w:t>
      </w:r>
      <w:r>
        <w:rPr>
          <w:rStyle w:val="FootnoteAnchor"/>
          <w:rtl w:val="true"/>
        </w:rPr>
        <w:footnoteReference w:id="958"/>
      </w:r>
      <w:r>
        <w:rPr>
          <w:rFonts w:ascii="Amiri" w:hAnsi="Amiri" w:eastAsia="Amiri" w:cs="Amiri"/>
          <w:color w:val="111111"/>
          <w:sz w:val="28"/>
          <w:sz w:val="28"/>
          <w:szCs w:val="28"/>
          <w:rtl w:val="true"/>
          <w:lang w:bidi="ar-SA"/>
        </w:rPr>
        <w:t>لعِلمِهم</w:t>
      </w:r>
      <w:r>
        <w:rPr>
          <w:rStyle w:val="FootnoteAnchor"/>
          <w:rtl w:val="true"/>
        </w:rPr>
        <w:footnoteReference w:id="959"/>
      </w:r>
      <w:r>
        <w:rPr>
          <w:rFonts w:ascii="Amiri" w:hAnsi="Amiri" w:eastAsia="Amiri" w:cs="Amiri"/>
          <w:color w:val="111111"/>
          <w:sz w:val="28"/>
          <w:sz w:val="28"/>
          <w:szCs w:val="28"/>
          <w:rtl w:val="true"/>
          <w:lang w:bidi="ar-SA"/>
        </w:rPr>
        <w:t xml:space="preserve">بوُجودِ معصومٍ في الزَّمانِ‌، فمتىٰ </w:t>
      </w:r>
      <w:r>
        <w:rPr>
          <w:rStyle w:val="FootnoteAnchor"/>
          <w:rtl w:val="true"/>
        </w:rPr>
        <w:footnoteReference w:id="960"/>
      </w:r>
      <w:r>
        <w:rPr>
          <w:rFonts w:ascii="Amiri" w:hAnsi="Amiri" w:eastAsia="Amiri" w:cs="Amiri"/>
          <w:color w:val="111111"/>
          <w:sz w:val="28"/>
          <w:sz w:val="28"/>
          <w:szCs w:val="28"/>
          <w:rtl w:val="true"/>
          <w:lang w:bidi="ar-SA"/>
        </w:rPr>
        <w:t xml:space="preserve">لَم يَقُمِ </w:t>
      </w:r>
      <w:bookmarkStart w:id="148" w:name="pg20015_284836"/>
    </w:p>
    <w:p>
      <w:pPr>
        <w:pStyle w:val="BookText"/>
        <w:rPr/>
      </w:pPr>
      <w:bookmarkEnd w:id="148"/>
      <w:r>
        <w:rPr>
          <w:rFonts w:ascii="Amiri" w:hAnsi="Amiri" w:eastAsia="Amiri" w:cs="Amiri"/>
          <w:color w:val="111111"/>
          <w:sz w:val="28"/>
          <w:sz w:val="28"/>
          <w:szCs w:val="28"/>
          <w:rtl w:val="true"/>
          <w:lang w:bidi="ar-SA"/>
        </w:rPr>
        <w:t>الناقِلونَ بما يَجِبُ عليهم مِن النَّقلِ للنَّصِّ علىٰ عَينِ الإمامِ ، ظهَرَ الإمامُ ، و دَلَّ علىٰ نَفسِه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w:t>
      </w:r>
      <w:r>
        <w:rPr>
          <w:rStyle w:val="FootnoteAnchor"/>
          <w:rtl w:val="true"/>
        </w:rPr>
        <w:footnoteReference w:id="961"/>
      </w:r>
      <w:r>
        <w:rPr>
          <w:rFonts w:ascii="Amiri" w:hAnsi="Amiri" w:eastAsia="Amiri" w:cs="Amiri"/>
          <w:color w:val="111111"/>
          <w:sz w:val="28"/>
          <w:sz w:val="28"/>
          <w:szCs w:val="28"/>
          <w:rtl w:val="true"/>
          <w:lang w:bidi="ar-SA"/>
        </w:rPr>
        <w:t xml:space="preserve">ما ظَنَّه صاحبُ الكتابِ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894827_2320776876"/>
      <w:bookmarkStart w:id="150" w:name="_Toc55"/>
      <w:bookmarkEnd w:id="149"/>
      <w:r>
        <w:rPr>
          <w:rtl w:val="true"/>
        </w:rPr>
        <w:t>في بيان الحاجة إلى الإمام، حتّىٰ مع كون الشريعة واصلة بالتواتر</w:t>
      </w:r>
      <w:bookmarkEnd w:id="15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لهم مِن</w:t>
      </w:r>
      <w:r>
        <w:rPr>
          <w:rStyle w:val="FootnoteAnchor"/>
          <w:rtl w:val="true"/>
        </w:rPr>
        <w:footnoteReference w:id="963"/>
      </w:r>
      <w:r>
        <w:rPr>
          <w:rFonts w:ascii="Amiri" w:hAnsi="Amiri" w:eastAsia="Amiri" w:cs="Amiri"/>
          <w:color w:val="111111"/>
          <w:sz w:val="28"/>
          <w:sz w:val="28"/>
          <w:szCs w:val="28"/>
          <w:rtl w:val="true"/>
          <w:lang w:bidi="ar-SA"/>
        </w:rPr>
        <w:t>ذلكَ‌</w:t>
      </w:r>
      <w:r>
        <w:rPr>
          <w:rStyle w:val="FootnoteAnchor"/>
          <w:rtl w:val="true"/>
        </w:rPr>
        <w:footnoteReference w:id="964"/>
      </w:r>
      <w:r>
        <w:rPr>
          <w:rFonts w:ascii="Amiri" w:hAnsi="Amiri" w:eastAsia="Amiri" w:cs="Amiri"/>
          <w:color w:val="111111"/>
          <w:sz w:val="28"/>
          <w:sz w:val="28"/>
          <w:szCs w:val="28"/>
          <w:rtl w:val="true"/>
          <w:lang w:bidi="ar-SA"/>
        </w:rPr>
        <w:t>مِن وجهٍ آخَرَ؛ و ذلكَ أنّهم زَعَموا أنّ الإمامَ الذي يَحفَظُ الشَّرعَ لا يَلقىٰ كُلَّ المكلَّفينَ‌، و لا يَلقاه جميعُهم، فلا</w:t>
      </w:r>
      <w:r>
        <w:rPr>
          <w:rStyle w:val="FootnoteAnchor"/>
          <w:rtl w:val="true"/>
        </w:rPr>
        <w:footnoteReference w:id="965"/>
      </w:r>
      <w:r>
        <w:rPr>
          <w:rFonts w:ascii="Amiri" w:hAnsi="Amiri" w:eastAsia="Amiri" w:cs="Amiri"/>
          <w:color w:val="111111"/>
          <w:sz w:val="28"/>
          <w:sz w:val="28"/>
          <w:szCs w:val="28"/>
          <w:rtl w:val="true"/>
          <w:lang w:bidi="ar-SA"/>
        </w:rPr>
        <w:t>بُدَّ فيما يَحفَظُه أن يُبلِغَه المُحتاجَ إليه مِنهم بطريقِ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فيما يَحفَظُه أن يَنتَهيَ إلَى المكلَّفينَ بهذا الوجهِ‌، لَم يَمتَنِعْ‌</w:t>
      </w:r>
      <w:r>
        <w:rPr>
          <w:rStyle w:val="FootnoteAnchor"/>
          <w:rtl w:val="true"/>
        </w:rPr>
        <w:footnoteReference w:id="966"/>
      </w:r>
      <w:r>
        <w:rPr>
          <w:rFonts w:ascii="Amiri" w:hAnsi="Amiri" w:eastAsia="Amiri" w:cs="Amiri"/>
          <w:color w:val="111111"/>
          <w:sz w:val="28"/>
          <w:sz w:val="28"/>
          <w:szCs w:val="28"/>
          <w:rtl w:val="true"/>
          <w:lang w:bidi="ar-SA"/>
        </w:rPr>
        <w:t xml:space="preserve">مِثلُه في شَريعةِ الرسولِ عليه السلامُ‌، و يُستَغنىٰ عن إثباتِ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استُغنيَ عن إبلاغِ المعصومِ ما يَحفَظُه إليهم عن معصومٍ آخَرَ</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قد تَكلَّمنا عليهِ ، و بيّنّا أنّ الشَّرعَ و إن كانَ واصِلاً إلىٰ مَن نأىٰ عن الإمامِ بالتواتُرِ، فإنّه محفوظٌ بالإمامِ </w:t>
      </w:r>
      <w:r>
        <w:rPr>
          <w:rStyle w:val="FootnoteAnchor"/>
          <w:rtl w:val="true"/>
        </w:rPr>
        <w:footnoteReference w:id="968"/>
      </w:r>
      <w:r>
        <w:rPr>
          <w:rFonts w:ascii="Amiri" w:hAnsi="Amiri" w:eastAsia="Amiri" w:cs="Amiri"/>
          <w:color w:val="111111"/>
          <w:sz w:val="28"/>
          <w:sz w:val="28"/>
          <w:szCs w:val="28"/>
          <w:rtl w:val="true"/>
          <w:lang w:bidi="ar-SA"/>
        </w:rPr>
        <w:t xml:space="preserve">لِكَونِه مُراعياً له، و مُتَلافياً لِما يَعرِضُ </w:t>
      </w:r>
      <w:r>
        <w:rPr>
          <w:rStyle w:val="FootnoteAnchor"/>
          <w:rtl w:val="true"/>
        </w:rPr>
        <w:footnoteReference w:id="969"/>
      </w:r>
      <w:r>
        <w:rPr>
          <w:rFonts w:ascii="Amiri" w:hAnsi="Amiri" w:eastAsia="Amiri" w:cs="Amiri"/>
          <w:color w:val="111111"/>
          <w:sz w:val="28"/>
          <w:sz w:val="28"/>
          <w:szCs w:val="28"/>
          <w:rtl w:val="true"/>
          <w:lang w:bidi="ar-SA"/>
        </w:rPr>
        <w:t xml:space="preserve">فيه مِن خطإٍ و إخلالٍ بواجبٍ </w:t>
      </w:r>
      <w:r>
        <w:rPr>
          <w:rFonts w:eastAsia="Amiri" w:cs="Amiri" w:ascii="Amiri" w:hAnsi="Amiri"/>
          <w:color w:val="111111"/>
          <w:sz w:val="28"/>
          <w:szCs w:val="28"/>
          <w:rtl w:val="true"/>
          <w:lang w:bidi="ar-SA"/>
        </w:rPr>
        <w:t xml:space="preserve">. </w:t>
      </w:r>
      <w:bookmarkStart w:id="151" w:name="pg20015_284837"/>
    </w:p>
    <w:p>
      <w:pPr>
        <w:pStyle w:val="BookText"/>
        <w:rPr/>
      </w:pPr>
      <w:bookmarkEnd w:id="151"/>
      <w:r>
        <w:rPr>
          <w:rFonts w:ascii="Amiri" w:hAnsi="Amiri" w:eastAsia="Amiri" w:cs="Amiri"/>
          <w:color w:val="111111"/>
          <w:sz w:val="28"/>
          <w:sz w:val="28"/>
          <w:szCs w:val="28"/>
          <w:rtl w:val="true"/>
          <w:lang w:bidi="ar-SA"/>
        </w:rPr>
        <w:t>فإن ألزَمَنا مُخالِفونا القَولَ بوُصولِ شَريعةِ الرسولِ صَلَّى اللّٰهُ عليهِ و آلِه</w:t>
      </w:r>
      <w:r>
        <w:rPr>
          <w:rStyle w:val="FootnoteAnchor"/>
          <w:rtl w:val="true"/>
        </w:rPr>
        <w:footnoteReference w:id="970"/>
      </w:r>
      <w:r>
        <w:rPr>
          <w:rFonts w:ascii="Amiri" w:hAnsi="Amiri" w:eastAsia="Amiri" w:cs="Amiri"/>
          <w:color w:val="111111"/>
          <w:sz w:val="28"/>
          <w:sz w:val="28"/>
          <w:szCs w:val="28"/>
          <w:rtl w:val="true"/>
          <w:lang w:bidi="ar-SA"/>
        </w:rPr>
        <w:t xml:space="preserve">إلينا علىٰ هذا الوجهِ التَزَمناه؛ لأنّا لا نأبىٰ أن يَكونَ </w:t>
      </w:r>
      <w:r>
        <w:rPr>
          <w:rStyle w:val="FootnoteAnchor"/>
          <w:rtl w:val="true"/>
        </w:rPr>
        <w:footnoteReference w:id="971"/>
      </w:r>
      <w:r>
        <w:rPr>
          <w:rFonts w:ascii="Amiri" w:hAnsi="Amiri" w:eastAsia="Amiri" w:cs="Amiri"/>
          <w:color w:val="111111"/>
          <w:sz w:val="28"/>
          <w:sz w:val="28"/>
          <w:szCs w:val="28"/>
          <w:rtl w:val="true"/>
          <w:lang w:bidi="ar-SA"/>
        </w:rPr>
        <w:t>الشريعةُ واصلةً إلينا بنَقلٍ متَواتِرٍ يَكونُ مِن وَرائِه مَعصومٌ يُراعيهِ و يَتَلافىٰ ما يَعرِضُ فيه</w:t>
      </w:r>
      <w:r>
        <w:rPr>
          <w:rStyle w:val="FootnoteAnchor"/>
          <w:rtl w:val="true"/>
        </w:rPr>
        <w:footnoteReference w:id="972"/>
      </w:r>
      <w:r>
        <w:rPr>
          <w:rFonts w:ascii="Amiri" w:hAnsi="Amiri" w:eastAsia="Amiri" w:cs="Amiri"/>
          <w:color w:val="111111"/>
          <w:sz w:val="28"/>
          <w:sz w:val="28"/>
          <w:szCs w:val="28"/>
          <w:rtl w:val="true"/>
          <w:lang w:bidi="ar-SA"/>
        </w:rPr>
        <w:t>، بَل هذا هو نَصُّ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إلزامَنا كَونَ الشريعةِ منقولةً إلينا و لا معصومَ وراءَها، لَم يَكُن هذا مُشبِهاً لِما نَقولُه فيما يُنقَلُ عن الإمامِ و هو حَيٌّ إلىٰ مَن نأىٰ عنه في أطرافِ البلادِ، و صارَ قَولُهم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في هذا ما قُلتُموه في ذلكَ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894829_2320776876"/>
      <w:bookmarkStart w:id="153" w:name="_Toc56"/>
      <w:bookmarkEnd w:id="152"/>
      <w:r>
        <w:rPr>
          <w:rtl w:val="true"/>
        </w:rPr>
        <w:t>عدم مانعيّة غلبة الخوارج أو وقوع الغيبة، من حفظ الإمام للشرع</w:t>
      </w:r>
      <w:bookmarkEnd w:id="15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لهم مِن ذلكَ مِن وجهٍ آخَرَ؛ لأنّ الإمامَ عندَهم قد يَكونُ مغلوباً</w:t>
      </w:r>
    </w:p>
    <w:p>
      <w:pPr>
        <w:pStyle w:val="BookText"/>
        <w:rPr/>
      </w:pPr>
      <w:r>
        <w:rPr>
          <w:rFonts w:ascii="Amiri" w:hAnsi="Amiri" w:eastAsia="Amiri" w:cs="Amiri"/>
          <w:color w:val="111111"/>
          <w:sz w:val="28"/>
          <w:sz w:val="28"/>
          <w:szCs w:val="28"/>
          <w:rtl w:val="true"/>
          <w:lang w:bidi="ar-SA"/>
        </w:rPr>
        <w:t xml:space="preserve">بالخَوارِجِ و غَيرِهم، و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ثَباتِ‌</w:t>
      </w:r>
      <w:r>
        <w:rPr>
          <w:rStyle w:val="FootnoteAnchor"/>
          <w:rtl w:val="true"/>
        </w:rPr>
        <w:footnoteReference w:id="974"/>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الشرائعِ‌</w:t>
      </w:r>
      <w:r>
        <w:rPr>
          <w:rStyle w:val="FootnoteAnchor"/>
          <w:rtl w:val="true"/>
        </w:rPr>
        <w:footnoteReference w:id="975"/>
      </w:r>
      <w:r>
        <w:rPr>
          <w:rFonts w:ascii="Amiri" w:hAnsi="Amiri" w:eastAsia="Amiri" w:cs="Amiri"/>
          <w:color w:val="111111"/>
          <w:sz w:val="28"/>
          <w:sz w:val="28"/>
          <w:szCs w:val="28"/>
          <w:rtl w:val="true"/>
          <w:lang w:bidi="ar-SA"/>
        </w:rPr>
        <w:t>فإذا صَحَّ أن يَعرِفوها</w:t>
      </w:r>
      <w:r>
        <w:rPr>
          <w:rStyle w:val="FootnoteAnchor"/>
          <w:rtl w:val="true"/>
        </w:rPr>
        <w:footnoteReference w:id="976"/>
      </w:r>
      <w:r>
        <w:rPr>
          <w:rFonts w:ascii="Amiri" w:hAnsi="Amiri" w:eastAsia="Amiri" w:cs="Amiri"/>
          <w:color w:val="111111"/>
          <w:sz w:val="28"/>
          <w:sz w:val="28"/>
          <w:szCs w:val="28"/>
          <w:rtl w:val="true"/>
          <w:lang w:bidi="ar-SA"/>
        </w:rPr>
        <w:t xml:space="preserve">و الحالُ هذه لا مِن جهةِ الإمامِ‌، فلا يَمتَنِعُ في سائرِ الأحوالِ مِثلُه، و يُستَغنىٰ عن الإمامِ المعصومِ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ذلكَ مِن وجهٍ آخَرَ؛ لأنّ الإمامَ مُنذُ زَمانٍ غَيرُ معلومٍ عَينُه، و إن كانَ له عَينٌ فغَيرُ معلومٍ مَكانُه، و غَيرُ متميِّزٍ علىٰ وجهٍ يَصِحُّ أن يُقصَدَ، و قد صَحَّ مع ذلكَ أن نَعرِفَ </w:t>
      </w:r>
      <w:r>
        <w:rPr>
          <w:rStyle w:val="FootnoteAnchor"/>
          <w:rtl w:val="true"/>
        </w:rPr>
        <w:footnoteReference w:id="977"/>
      </w:r>
      <w:r>
        <w:rPr>
          <w:rFonts w:ascii="Amiri" w:hAnsi="Amiri" w:eastAsia="Amiri" w:cs="Amiri"/>
          <w:color w:val="111111"/>
          <w:sz w:val="28"/>
          <w:sz w:val="28"/>
          <w:szCs w:val="28"/>
          <w:rtl w:val="true"/>
          <w:lang w:bidi="ar-SA"/>
        </w:rPr>
        <w:t xml:space="preserve">الشرائعَ و نَقومَ </w:t>
      </w:r>
      <w:r>
        <w:rPr>
          <w:rStyle w:val="FootnoteAnchor"/>
          <w:rtl w:val="true"/>
        </w:rPr>
        <w:footnoteReference w:id="978"/>
      </w:r>
      <w:r>
        <w:rPr>
          <w:rFonts w:ascii="Amiri" w:hAnsi="Amiri" w:eastAsia="Amiri" w:cs="Amiri"/>
          <w:color w:val="111111"/>
          <w:sz w:val="28"/>
          <w:sz w:val="28"/>
          <w:szCs w:val="28"/>
          <w:rtl w:val="true"/>
          <w:lang w:bidi="ar-SA"/>
        </w:rPr>
        <w:t xml:space="preserve">بها؛ فغَيرُ مُمتَنِعٍ </w:t>
      </w:r>
      <w:bookmarkStart w:id="154" w:name="pg20015_284838"/>
    </w:p>
    <w:p>
      <w:pPr>
        <w:pStyle w:val="BookText"/>
        <w:rPr/>
      </w:pPr>
      <w:bookmarkEnd w:id="154"/>
      <w:r>
        <w:rPr>
          <w:rFonts w:ascii="Amiri" w:hAnsi="Amiri" w:eastAsia="Amiri" w:cs="Amiri"/>
          <w:color w:val="111111"/>
          <w:sz w:val="28"/>
          <w:sz w:val="28"/>
          <w:szCs w:val="28"/>
          <w:rtl w:val="true"/>
          <w:lang w:bidi="ar-SA"/>
        </w:rPr>
        <w:t xml:space="preserve">مِثلُه في سائرِ الأزمِنةِ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غَلَبةُ الخَوارِجِ فغَيرُ مانِعةٍ مِن حِفظِ الشرعِ‌، و أمّا معرفتُه في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أحوالَ غَلَبتِهم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بالنَّقلِ عن صاحبِ الشرعِ‌، أو عمّن تَقدَّمَ إمامَ الزمانِ مِن الأئمّةِ‌، و يَكونُ ذلكَ النَّقلُ محفوظاً بإمامِ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يَنتَهيَ‌</w:t>
      </w:r>
      <w:r>
        <w:rPr>
          <w:rStyle w:val="FootnoteAnchor"/>
          <w:rtl w:val="true"/>
        </w:rPr>
        <w:footnoteReference w:id="980"/>
      </w:r>
      <w:r>
        <w:rPr>
          <w:rFonts w:ascii="Amiri" w:hAnsi="Amiri" w:eastAsia="Amiri" w:cs="Amiri"/>
          <w:color w:val="111111"/>
          <w:sz w:val="28"/>
          <w:sz w:val="28"/>
          <w:szCs w:val="28"/>
          <w:rtl w:val="true"/>
          <w:lang w:bidi="ar-SA"/>
        </w:rPr>
        <w:t>غَلَبةُ الخَوارِجِ إلىٰ حَدٍّ يَمنَعُ الإمامَ مِن بَيانِ ما ضاعَ مِنَ الشرعِ‌</w:t>
      </w:r>
      <w:r>
        <w:rPr>
          <w:rStyle w:val="FootnoteAnchor"/>
          <w:rtl w:val="true"/>
        </w:rPr>
        <w:footnoteReference w:id="981"/>
      </w:r>
      <w:r>
        <w:rPr>
          <w:rFonts w:ascii="Amiri" w:hAnsi="Amiri" w:eastAsia="Amiri" w:cs="Amiri"/>
          <w:color w:val="111111"/>
          <w:sz w:val="28"/>
          <w:sz w:val="28"/>
          <w:szCs w:val="28"/>
          <w:rtl w:val="true"/>
          <w:lang w:bidi="ar-SA"/>
        </w:rPr>
        <w:t>و أخَلَّ به الناقِلونَ‌؛ لأنّ ذلكَ لَو عُلِمَ لَما كلَّفَنا اللّٰهُ تَعالَى العملَ بالشرعِ و الثقةَ به و القَطعَ علىٰ وصولِه إلينا، و في العِلمِ بأنّا مكلَّفونَ بما ذَكرناه دليلٌ‌</w:t>
      </w:r>
      <w:r>
        <w:rPr>
          <w:rStyle w:val="FootnoteAnchor"/>
          <w:rtl w:val="true"/>
        </w:rPr>
        <w:footnoteReference w:id="982"/>
      </w:r>
      <w:r>
        <w:rPr>
          <w:rFonts w:ascii="Amiri" w:hAnsi="Amiri" w:eastAsia="Amiri" w:cs="Amiri"/>
          <w:color w:val="111111"/>
          <w:sz w:val="28"/>
          <w:sz w:val="28"/>
          <w:szCs w:val="28"/>
          <w:rtl w:val="true"/>
          <w:lang w:bidi="ar-SA"/>
        </w:rPr>
        <w:t>علىٰ أنّ الإمامَ لا يَجوزُ أن يَنتَهيَ به غَلَبةُ الخَوارِجِ إلىٰ حَدٍّ يَمنَعُه مِن بَيانِ ما يَضيعُ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حالُ الغَيبةِ فغَيرُ مانِعةٍ مِن المعرفةِ بالشرعِ‌، و مِن حِفظِه أيضاً علَى الوجهِ الذي بيّنّاه، و 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نَحتاجُ إلَى الإمامِ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الشرعَ ، بَل لِنَثِقَ بوُصولِه إلينا، و نحنُ نَثِقُ بذلكَ في حالِ الغَيبةِ ؛ لِعِلمِنا بأنّه لَو أخَلَّ الناقِلونَ مِنه بشَيءٍ يَلزَمُنا معرفتُه لَظهَرَ الإمامُ ، و بيَّنَ بنفسِه عنه</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894831_2320776876"/>
      <w:bookmarkStart w:id="156" w:name="_Toc57"/>
      <w:bookmarkEnd w:id="155"/>
      <w:r>
        <w:rPr>
          <w:rtl w:val="true"/>
        </w:rPr>
        <w:t>بيان الفرق بين وجود الإمام الغائب و بين عدمه، و أيضاً الفرق بينه و بين جبرئيل</w:t>
      </w:r>
      <w:bookmarkEnd w:id="15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شَيخُنا أبو عليٍّ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الغرضُ إثباتَ إمامٍ في الزمانِ ، و إن لَم يُبلِّغْ </w:t>
      </w:r>
      <w:r>
        <w:rPr>
          <w:rStyle w:val="FootnoteAnchor"/>
          <w:rtl w:val="true"/>
        </w:rPr>
        <w:footnoteReference w:id="984"/>
      </w:r>
      <w:r>
        <w:rPr>
          <w:rFonts w:ascii="Amiri" w:hAnsi="Amiri" w:eastAsia="Amiri" w:cs="Amiri"/>
          <w:color w:val="111111"/>
          <w:sz w:val="28"/>
          <w:sz w:val="28"/>
          <w:szCs w:val="28"/>
          <w:rtl w:val="true"/>
          <w:lang w:bidi="ar-SA"/>
        </w:rPr>
        <w:t>و لَم يَقُمْ بالأُمورِ، و صَحَّ ذلكَ ، فما الأمانُ مِن أنّه</w:t>
      </w:r>
      <w:r>
        <w:rPr>
          <w:rStyle w:val="FootnoteAnchor"/>
          <w:rtl w:val="true"/>
        </w:rPr>
        <w:footnoteReference w:id="985"/>
      </w:r>
      <w:r>
        <w:rPr>
          <w:rFonts w:ascii="Amiri" w:hAnsi="Amiri" w:eastAsia="Amiri" w:cs="Amiri"/>
          <w:color w:val="111111"/>
          <w:sz w:val="28"/>
          <w:sz w:val="28"/>
          <w:szCs w:val="28"/>
          <w:rtl w:val="true"/>
          <w:lang w:bidi="ar-SA"/>
        </w:rPr>
        <w:t xml:space="preserve">جَبرَئيلُ أو </w:t>
      </w:r>
    </w:p>
    <w:p>
      <w:pPr>
        <w:pStyle w:val="BookText"/>
        <w:rPr/>
      </w:pPr>
      <w:r>
        <w:rPr>
          <w:rFonts w:ascii="Amiri" w:hAnsi="Amiri" w:eastAsia="Amiri" w:cs="Amiri"/>
          <w:color w:val="111111"/>
          <w:sz w:val="28"/>
          <w:sz w:val="28"/>
          <w:szCs w:val="28"/>
          <w:rtl w:val="true"/>
          <w:lang w:bidi="ar-SA"/>
        </w:rPr>
        <w:t>بعضُ الملائكةِ في السماءِ‌، و يُستَغنىٰ‌</w:t>
      </w:r>
      <w:r>
        <w:rPr>
          <w:rStyle w:val="FootnoteAnchor"/>
          <w:rtl w:val="true"/>
        </w:rPr>
        <w:footnoteReference w:id="986"/>
      </w:r>
      <w:r>
        <w:rPr>
          <w:rFonts w:ascii="Amiri" w:hAnsi="Amiri" w:eastAsia="Amiri" w:cs="Amiri"/>
          <w:color w:val="111111"/>
          <w:sz w:val="28"/>
          <w:sz w:val="28"/>
          <w:szCs w:val="28"/>
          <w:rtl w:val="true"/>
          <w:lang w:bidi="ar-SA"/>
        </w:rPr>
        <w:t xml:space="preserve">عن إمامٍ في الأرضِ ؛ لأنّ المعنَى الذي لأجلِه يُطلَبُ </w:t>
      </w:r>
      <w:r>
        <w:rPr>
          <w:rStyle w:val="FootnoteAnchor"/>
          <w:rtl w:val="true"/>
        </w:rPr>
        <w:footnoteReference w:id="987"/>
      </w:r>
      <w:r>
        <w:rPr>
          <w:rFonts w:ascii="Amiri" w:hAnsi="Amiri" w:eastAsia="Amiri" w:cs="Amiri"/>
          <w:color w:val="111111"/>
          <w:sz w:val="28"/>
          <w:sz w:val="28"/>
          <w:szCs w:val="28"/>
          <w:rtl w:val="true"/>
          <w:lang w:bidi="ar-SA"/>
        </w:rPr>
        <w:t xml:space="preserve">الإمامُ عندَكم يَقتَضي ظُهورَه، فإذا لَم يَظهَرْ كان وُجودُه كعدمِه، و كانَ كَونُه في الزمانِ بمنزِلةِ كَونِ </w:t>
      </w:r>
      <w:r>
        <w:rPr>
          <w:rStyle w:val="FootnoteAnchor"/>
          <w:rtl w:val="true"/>
        </w:rPr>
        <w:footnoteReference w:id="988"/>
      </w:r>
      <w:r>
        <w:rPr>
          <w:rFonts w:ascii="Amiri" w:hAnsi="Amiri" w:eastAsia="Amiri" w:cs="Amiri"/>
          <w:color w:val="111111"/>
          <w:sz w:val="28"/>
          <w:sz w:val="28"/>
          <w:szCs w:val="28"/>
          <w:rtl w:val="true"/>
          <w:lang w:bidi="ar-SA"/>
        </w:rPr>
        <w:t xml:space="preserve">جَبرَئيلَ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إثباتُ جَبرَئيلَ مُتَيقَّنٌ ، و إثباتُ هذا الإمامِ مشكوكٌ فيه</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الغرضَ لَيسَ هو وُجودَ الإمامِ فقط، بَل أمرُه و نهيُه و تَصرُّفُه؛ لأنّ بهذه الأُمورِ ما يَكونُ المكلَّفونَ مِن القَبيحِ أبعَدَ، و إلىٰ فِعلِ الواجبِ أقرَبَ‌، غَيرَ أنّ الظالِمينَ مَنَعوه</w:t>
      </w:r>
      <w:r>
        <w:rPr>
          <w:rStyle w:val="FootnoteAnchor"/>
          <w:rtl w:val="true"/>
        </w:rPr>
        <w:footnoteReference w:id="990"/>
      </w:r>
      <w:r>
        <w:rPr>
          <w:rFonts w:ascii="Amiri" w:hAnsi="Amiri" w:eastAsia="Amiri" w:cs="Amiri"/>
          <w:color w:val="111111"/>
          <w:sz w:val="28"/>
          <w:sz w:val="28"/>
          <w:szCs w:val="28"/>
          <w:rtl w:val="true"/>
          <w:lang w:bidi="ar-SA"/>
        </w:rPr>
        <w:t>ممّا هو الغرضُ‌، فَاللَّومُ‌</w:t>
      </w:r>
      <w:r>
        <w:rPr>
          <w:rStyle w:val="FootnoteAnchor"/>
          <w:rtl w:val="true"/>
        </w:rPr>
        <w:footnoteReference w:id="991"/>
      </w:r>
      <w:r>
        <w:rPr>
          <w:rFonts w:ascii="Amiri" w:hAnsi="Amiri" w:eastAsia="Amiri" w:cs="Amiri"/>
          <w:color w:val="111111"/>
          <w:sz w:val="28"/>
          <w:sz w:val="28"/>
          <w:szCs w:val="28"/>
          <w:rtl w:val="true"/>
          <w:lang w:bidi="ar-SA"/>
        </w:rPr>
        <w:t>فيه عليهِم، و اللّٰهُ المُطالِبُ لهُم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ما هو الغرضُ لا يَتِمُّ إلّابوُجودِه أَوجَدَه اللّٰهُ تَعالىٰ‌، و جعَلَه بحَيثُ لَو شاءَ المكلَّفونَ أن يَصِلوا إليه و يَنتَفِعوا به لَوَصَلوا و انتَفَعوا، بأن يَعدِلوا عمّا أَوجَبَ خَوفَه و تَقيّتَه، فيقَعَ منه الظهورُ الذي أَوجَبَه اللّٰهُ تَعالىٰ عليهِ مع التمكُّنِ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المانعُ مِن تصرُّفِه و أمرِه و نهيِه غَيرَ مانعٍ مِن وُجودِه، لَم يَجِبْ </w:t>
      </w:r>
      <w:r>
        <w:rPr>
          <w:rStyle w:val="FootnoteAnchor"/>
          <w:rtl w:val="true"/>
        </w:rPr>
        <w:footnoteReference w:id="993"/>
      </w:r>
      <w:r>
        <w:rPr>
          <w:rFonts w:ascii="Amiri" w:hAnsi="Amiri" w:eastAsia="Amiri" w:cs="Amiri"/>
          <w:color w:val="111111"/>
          <w:sz w:val="28"/>
          <w:sz w:val="28"/>
          <w:szCs w:val="28"/>
          <w:rtl w:val="true"/>
          <w:lang w:bidi="ar-SA"/>
        </w:rPr>
        <w:t xml:space="preserve">مِن حَيثُ امتنَعَ عليه التصرُّفُ بفِعلِ الظلَمةِ </w:t>
      </w:r>
      <w:r>
        <w:rPr>
          <w:rStyle w:val="FootnoteAnchor"/>
          <w:rtl w:val="true"/>
        </w:rPr>
        <w:footnoteReference w:id="994"/>
      </w:r>
      <w:r>
        <w:rPr>
          <w:rFonts w:ascii="Amiri" w:hAnsi="Amiri" w:eastAsia="Amiri" w:cs="Amiri"/>
          <w:color w:val="111111"/>
          <w:sz w:val="28"/>
          <w:sz w:val="28"/>
          <w:szCs w:val="28"/>
          <w:rtl w:val="true"/>
          <w:lang w:bidi="ar-SA"/>
        </w:rPr>
        <w:t>أن يُعدِمَه اللّٰهُ تَعالىٰ ، أو</w:t>
      </w:r>
      <w:r>
        <w:rPr>
          <w:rStyle w:val="FootnoteAnchor"/>
          <w:rtl w:val="true"/>
        </w:rPr>
        <w:footnoteReference w:id="995"/>
      </w:r>
      <w:r>
        <w:rPr>
          <w:rFonts w:ascii="Amiri" w:hAnsi="Amiri" w:eastAsia="Amiri" w:cs="Amiri"/>
          <w:color w:val="111111"/>
          <w:sz w:val="28"/>
          <w:sz w:val="28"/>
          <w:szCs w:val="28"/>
          <w:rtl w:val="true"/>
          <w:lang w:bidi="ar-SA"/>
        </w:rPr>
        <w:t xml:space="preserve">أن لا يوجِدَه في </w:t>
      </w:r>
      <w:bookmarkStart w:id="157" w:name="pg20015_284840"/>
    </w:p>
    <w:p>
      <w:pPr>
        <w:pStyle w:val="BookText"/>
        <w:rPr/>
      </w:pPr>
      <w:bookmarkEnd w:id="157"/>
      <w:r>
        <w:rPr>
          <w:rFonts w:ascii="Amiri" w:hAnsi="Amiri" w:eastAsia="Amiri" w:cs="Amiri"/>
          <w:color w:val="111111"/>
          <w:sz w:val="28"/>
          <w:sz w:val="28"/>
          <w:szCs w:val="28"/>
          <w:rtl w:val="true"/>
          <w:lang w:bidi="ar-SA"/>
        </w:rPr>
        <w:t>الأصلِ‌؛ لأنّه لَو فعَلَ‌</w:t>
      </w:r>
      <w:r>
        <w:rPr>
          <w:rStyle w:val="FootnoteAnchor"/>
          <w:rtl w:val="true"/>
        </w:rPr>
        <w:footnoteReference w:id="996"/>
      </w:r>
      <w:r>
        <w:rPr>
          <w:rFonts w:ascii="Amiri" w:hAnsi="Amiri" w:eastAsia="Amiri" w:cs="Amiri"/>
          <w:color w:val="111111"/>
          <w:sz w:val="28"/>
          <w:sz w:val="28"/>
          <w:szCs w:val="28"/>
          <w:rtl w:val="true"/>
          <w:lang w:bidi="ar-SA"/>
        </w:rPr>
        <w:t>ذلكَ لَكانَ هو المانِعَ حينَئذٍ للمكلَّفينَ لُطفَهم، و لَكانوا إنّما أُتوا</w:t>
      </w:r>
      <w:r>
        <w:rPr>
          <w:rStyle w:val="FootnoteAnchor"/>
          <w:rtl w:val="true"/>
        </w:rPr>
        <w:footnoteReference w:id="997"/>
      </w:r>
      <w:r>
        <w:rPr>
          <w:rFonts w:ascii="Amiri" w:hAnsi="Amiri" w:eastAsia="Amiri" w:cs="Amiri"/>
          <w:color w:val="111111"/>
          <w:sz w:val="28"/>
          <w:sz w:val="28"/>
          <w:szCs w:val="28"/>
          <w:rtl w:val="true"/>
          <w:lang w:bidi="ar-SA"/>
        </w:rPr>
        <w:t>في فَسادِهم و ارتفاعِ صَلاحِهم مِن جهتِه</w:t>
      </w:r>
      <w:r>
        <w:rPr>
          <w:rStyle w:val="FootnoteAnchor"/>
          <w:rtl w:val="true"/>
        </w:rPr>
        <w:footnoteReference w:id="998"/>
      </w:r>
      <w:r>
        <w:rPr>
          <w:rFonts w:ascii="Amiri" w:hAnsi="Amiri" w:eastAsia="Amiri" w:cs="Amiri"/>
          <w:color w:val="111111"/>
          <w:sz w:val="28"/>
          <w:sz w:val="28"/>
          <w:szCs w:val="28"/>
          <w:rtl w:val="true"/>
          <w:lang w:bidi="ar-SA"/>
        </w:rPr>
        <w:t>لأنّهم غَيرُ مُتَمكِّنينَ مع عدمِ</w:t>
      </w:r>
    </w:p>
    <w:p>
      <w:pPr>
        <w:pStyle w:val="BookText"/>
        <w:rPr/>
      </w:pPr>
      <w:r>
        <w:rPr>
          <w:rFonts w:ascii="Amiri" w:hAnsi="Amiri" w:eastAsia="Amiri" w:cs="Amiri"/>
          <w:color w:val="111111"/>
          <w:sz w:val="28"/>
          <w:sz w:val="28"/>
          <w:szCs w:val="28"/>
          <w:rtl w:val="true"/>
          <w:lang w:bidi="ar-SA"/>
        </w:rPr>
        <w:t>الإمامِ مِن الوصولِ إلىٰ ما فيه لُطفُهم و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ذَكرناه يُفرِّقُ بَينَ وجودِ الإمامِ مع الاستتارِ و 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تَقدَّمَ يُعلَمُ أيضاً الفَرقُ بَينَه و بَينَ جَبرَئيلَ في السماءِ </w:t>
      </w:r>
      <w:r>
        <w:rPr>
          <w:rStyle w:val="FootnoteAnchor"/>
          <w:rtl w:val="true"/>
        </w:rPr>
        <w:footnoteReference w:id="999"/>
      </w:r>
      <w:r>
        <w:rPr>
          <w:rFonts w:ascii="Amiri" w:hAnsi="Amiri" w:eastAsia="Amiri" w:cs="Amiri"/>
          <w:color w:val="111111"/>
          <w:sz w:val="28"/>
          <w:sz w:val="28"/>
          <w:szCs w:val="28"/>
          <w:rtl w:val="true"/>
          <w:lang w:bidi="ar-SA"/>
        </w:rPr>
        <w:t>لأنّ الإمامَ إذا كانَ موجوداً مُستَتِراً كانَت الحُجّةُ لِلّهِ تَعالىٰ علَى المكلَّفينَ به ثابتةً ؛ لأنّهم قادِرونَ علىٰ أفعالٍ تَقتَضي ظُهورَه، و وُصولَهم مِن جهتِه إلىٰ مَنافعِهم و مَصالحِهم، و كُلُّ هذا غَيرُ حاصلٍ في جَبرَئيل عليه السلامُ ؛ فالمعارِضُ به</w:t>
      </w:r>
      <w:r>
        <w:rPr>
          <w:rStyle w:val="FootnoteAnchor"/>
          <w:rtl w:val="true"/>
        </w:rPr>
        <w:footnoteReference w:id="1000"/>
      </w:r>
      <w:r>
        <w:rPr>
          <w:rFonts w:ascii="Amiri" w:hAnsi="Amiri" w:eastAsia="Amiri" w:cs="Amiri"/>
          <w:color w:val="111111"/>
          <w:sz w:val="28"/>
          <w:sz w:val="28"/>
          <w:szCs w:val="28"/>
          <w:rtl w:val="true"/>
          <w:lang w:bidi="ar-SA"/>
        </w:rPr>
        <w:t>ظاهرُ الغَلَطِ</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894833_2320776876"/>
      <w:bookmarkStart w:id="159" w:name="_Toc58"/>
      <w:bookmarkEnd w:id="158"/>
      <w:r>
        <w:rPr>
          <w:rtl w:val="true"/>
        </w:rPr>
        <w:t>في بيان أنّ الاستدلال بالإجماع إنّما يصحّ عند عدم تميّز الإمام</w:t>
      </w:r>
      <w:bookmarkEnd w:id="15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قالوا بأنّ الإجماعَ حقٌّ لِكَونِ الإمامِ فيه، أَرَيناهم أنّه لا فائدةَ تَحتَ هذا القَولِ‌؛ لأنّ الحُجّةَ هي قَولُ الإمامِ‌، فضَمُّ سائرِهم إليه لا وجهَ له، كَما لا يَجوزُ أن يُقالَ‌</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002"/>
      </w:r>
      <w:r>
        <w:rPr>
          <w:rFonts w:ascii="Amiri" w:hAnsi="Amiri" w:eastAsia="Amiri" w:cs="Amiri"/>
          <w:color w:val="111111"/>
          <w:sz w:val="28"/>
          <w:sz w:val="28"/>
          <w:szCs w:val="28"/>
          <w:rtl w:val="true"/>
          <w:lang w:bidi="ar-SA"/>
        </w:rPr>
        <w:t xml:space="preserve">إجماعَ النَّصارىٰ حقٌّ إذا كانَ عيسىٰ فيهم، و قَولَ اليَهودِ حقٌّ إذا كانَ موسىٰ فيهم، و كَما لا يَجوزُ أن يُقالَ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إجماعَ الكُفّارِ حقٌّ إذا كانَ رسولُ اللّٰهِ‌</w:t>
      </w:r>
      <w:r>
        <w:rPr>
          <w:rStyle w:val="FootnoteAnchor"/>
          <w:rtl w:val="true"/>
        </w:rPr>
        <w:footnoteReference w:id="1004"/>
      </w:r>
      <w:r>
        <w:rPr>
          <w:rFonts w:ascii="Amiri" w:hAnsi="Amiri" w:eastAsia="Amiri" w:cs="Amiri"/>
          <w:color w:val="111111"/>
          <w:sz w:val="28"/>
          <w:sz w:val="28"/>
          <w:szCs w:val="28"/>
          <w:rtl w:val="true"/>
          <w:lang w:bidi="ar-SA"/>
        </w:rPr>
        <w:t>عليه السلامُ فيهم؛ فقَد</w:t>
      </w:r>
      <w:r>
        <w:rPr>
          <w:rStyle w:val="FootnoteAnchor"/>
          <w:rtl w:val="true"/>
        </w:rPr>
        <w:footnoteReference w:id="1005"/>
      </w:r>
      <w:r>
        <w:rPr>
          <w:rFonts w:ascii="Amiri" w:hAnsi="Amiri" w:eastAsia="Amiri" w:cs="Amiri"/>
          <w:color w:val="111111"/>
          <w:sz w:val="28"/>
          <w:sz w:val="28"/>
          <w:szCs w:val="28"/>
          <w:rtl w:val="true"/>
          <w:lang w:bidi="ar-SA"/>
        </w:rPr>
        <w:t>بيّنّا مِن قَبلُ أنّه لا بُدَّ مِن مُحقِّينَ‌</w:t>
      </w:r>
      <w:r>
        <w:rPr>
          <w:rStyle w:val="FootnoteAnchor"/>
          <w:rtl w:val="true"/>
        </w:rPr>
        <w:footnoteReference w:id="1006"/>
      </w:r>
      <w:r>
        <w:rPr>
          <w:rFonts w:ascii="Amiri" w:hAnsi="Amiri" w:eastAsia="Amiri" w:cs="Amiri"/>
          <w:color w:val="111111"/>
          <w:sz w:val="28"/>
          <w:sz w:val="28"/>
          <w:szCs w:val="28"/>
          <w:rtl w:val="true"/>
          <w:lang w:bidi="ar-SA"/>
        </w:rPr>
        <w:t>في الأُمّةِ مِن الشَّهَداءِ و غَيرِهم، علىٰ ما يَقولُه</w:t>
      </w:r>
      <w:r>
        <w:rPr>
          <w:rStyle w:val="FootnoteAnchor"/>
          <w:rtl w:val="true"/>
        </w:rPr>
        <w:footnoteReference w:id="1007"/>
      </w:r>
      <w:r>
        <w:rPr>
          <w:rFonts w:ascii="Amiri" w:hAnsi="Amiri" w:eastAsia="Amiri" w:cs="Amiri"/>
          <w:color w:val="111111"/>
          <w:sz w:val="28"/>
          <w:sz w:val="28"/>
          <w:szCs w:val="28"/>
          <w:rtl w:val="true"/>
          <w:lang w:bidi="ar-SA"/>
        </w:rPr>
        <w:t>شَيخُنا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رَجَعوا بهذا الكلامِ عَلَينا في الشُّهَداءِ لَم يَكُن لازِماً؛ لأنّا لا نُعيِّنُهم، و لا يَمتَنِعُ لفَقدِ التعيينِ‌</w:t>
      </w:r>
      <w:r>
        <w:rPr>
          <w:rStyle w:val="FootnoteAnchor"/>
          <w:rtl w:val="true"/>
        </w:rPr>
        <w:footnoteReference w:id="1008"/>
      </w:r>
      <w:r>
        <w:rPr>
          <w:rFonts w:ascii="Amiri" w:hAnsi="Amiri" w:eastAsia="Amiri" w:cs="Amiri"/>
          <w:color w:val="111111"/>
          <w:sz w:val="28"/>
          <w:sz w:val="28"/>
          <w:szCs w:val="28"/>
          <w:rtl w:val="true"/>
          <w:lang w:bidi="ar-SA"/>
        </w:rPr>
        <w:t>أن يُجعَلَ‌</w:t>
      </w:r>
      <w:r>
        <w:rPr>
          <w:rStyle w:val="FootnoteAnchor"/>
          <w:rtl w:val="true"/>
        </w:rPr>
        <w:footnoteReference w:id="1009"/>
      </w:r>
      <w:r>
        <w:rPr>
          <w:rFonts w:ascii="Amiri" w:hAnsi="Amiri" w:eastAsia="Amiri" w:cs="Amiri"/>
          <w:color w:val="111111"/>
          <w:sz w:val="28"/>
          <w:sz w:val="28"/>
          <w:szCs w:val="28"/>
          <w:rtl w:val="true"/>
          <w:lang w:bidi="ar-SA"/>
        </w:rPr>
        <w:t>الإجماعُ الذي هو حُجّةٌ إجماعَ المؤمنينَ‌، و لَو تَميَّزوا</w:t>
      </w:r>
      <w:r>
        <w:rPr>
          <w:rStyle w:val="FootnoteAnchor"/>
          <w:rtl w:val="true"/>
        </w:rPr>
        <w:footnoteReference w:id="1010"/>
      </w:r>
      <w:r>
        <w:rPr>
          <w:rFonts w:ascii="Amiri" w:hAnsi="Amiri" w:eastAsia="Amiri" w:cs="Amiri"/>
          <w:color w:val="111111"/>
          <w:sz w:val="28"/>
          <w:sz w:val="28"/>
          <w:szCs w:val="28"/>
          <w:rtl w:val="true"/>
          <w:lang w:bidi="ar-SA"/>
        </w:rPr>
        <w:t>لَجعَلنا إجماعَهم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ما قاله القَومُ‌؛ لأنّ </w:t>
      </w:r>
      <w:r>
        <w:rPr>
          <w:rStyle w:val="FootnoteAnchor"/>
          <w:rtl w:val="true"/>
        </w:rPr>
        <w:footnoteReference w:id="1011"/>
      </w:r>
      <w:r>
        <w:rPr>
          <w:rFonts w:ascii="Amiri" w:hAnsi="Amiri" w:eastAsia="Amiri" w:cs="Amiri"/>
          <w:color w:val="111111"/>
          <w:sz w:val="28"/>
          <w:sz w:val="28"/>
          <w:szCs w:val="28"/>
          <w:rtl w:val="true"/>
          <w:lang w:bidi="ar-SA"/>
        </w:rPr>
        <w:t>الإمامَ عندَهم متميِّزٌ</w:t>
      </w:r>
      <w:r>
        <w:rPr>
          <w:rStyle w:val="FootnoteAnchor"/>
          <w:rtl w:val="true"/>
        </w:rPr>
        <w:footnoteReference w:id="1012"/>
      </w:r>
      <w:r>
        <w:rPr>
          <w:rFonts w:ascii="Amiri" w:hAnsi="Amiri" w:eastAsia="Amiri" w:cs="Amiri"/>
          <w:color w:val="111111"/>
          <w:sz w:val="28"/>
          <w:sz w:val="28"/>
          <w:szCs w:val="28"/>
          <w:rtl w:val="true"/>
          <w:lang w:bidi="ar-SA"/>
        </w:rPr>
        <w:t>، فالذي أَلزَمناه</w:t>
      </w:r>
      <w:r>
        <w:rPr>
          <w:rStyle w:val="FootnoteAnchor"/>
          <w:rtl w:val="true"/>
        </w:rPr>
        <w:footnoteReference w:id="1013"/>
      </w:r>
      <w:r>
        <w:rPr>
          <w:rFonts w:ascii="Amiri" w:hAnsi="Amiri" w:eastAsia="Amiri" w:cs="Amiri"/>
          <w:color w:val="111111"/>
          <w:sz w:val="28"/>
          <w:sz w:val="28"/>
          <w:szCs w:val="28"/>
          <w:rtl w:val="true"/>
          <w:lang w:bidi="ar-SA"/>
        </w:rPr>
        <w:t>متوجِّهٌ ، و هو عنّا</w:t>
      </w:r>
      <w:r>
        <w:rPr>
          <w:rStyle w:val="FootnoteAnchor"/>
          <w:rtl w:val="true"/>
        </w:rPr>
        <w:footnoteReference w:id="1014"/>
      </w:r>
      <w:r>
        <w:rPr>
          <w:rFonts w:ascii="Amiri" w:hAnsi="Amiri" w:eastAsia="Amiri" w:cs="Amiri"/>
          <w:color w:val="111111"/>
          <w:sz w:val="28"/>
          <w:sz w:val="28"/>
          <w:szCs w:val="28"/>
          <w:rtl w:val="true"/>
          <w:lang w:bidi="ar-SA"/>
        </w:rPr>
        <w:t xml:space="preserve">زائلٌ </w:t>
      </w:r>
      <w:r>
        <w:rPr>
          <w:rFonts w:eastAsia="Amiri" w:cs="Amiri" w:ascii="Amiri" w:hAnsi="Amiri"/>
          <w:color w:val="111111"/>
          <w:sz w:val="28"/>
          <w:szCs w:val="28"/>
          <w:rtl w:val="true"/>
          <w:lang w:bidi="ar-SA"/>
        </w:rPr>
        <w:t>.</w:t>
      </w:r>
      <w:r>
        <w:rPr>
          <w:rStyle w:val="FootnoteAnchor"/>
          <w:rtl w:val="true"/>
        </w:rPr>
        <w:footnoteReference w:id="10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و إن كانَ بانفرادِه حقّاً، و لا تأثيرَ لضَمِّ غَيرِه إليه، فلا بُدَّ مِن أن يَكونَ جوابُ مَن سَألَ عن الإجماعِ الذي الإمامُ في جُملتِه أنّه حقٌّ ، كما يَكونُ مِثلُ ذلكَ الجوابِ لِمَن سَألَ عن عَشَرةٍ </w:t>
      </w:r>
      <w:r>
        <w:rPr>
          <w:rStyle w:val="FootnoteAnchor"/>
          <w:rtl w:val="true"/>
        </w:rPr>
        <w:footnoteReference w:id="1016"/>
      </w:r>
      <w:r>
        <w:rPr>
          <w:rFonts w:ascii="Amiri" w:hAnsi="Amiri" w:eastAsia="Amiri" w:cs="Amiri"/>
          <w:color w:val="111111"/>
          <w:sz w:val="28"/>
          <w:sz w:val="28"/>
          <w:szCs w:val="28"/>
          <w:rtl w:val="true"/>
          <w:lang w:bidi="ar-SA"/>
        </w:rPr>
        <w:t xml:space="preserve">في جُملتِهم 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الفائدةُ في ذِكرِ غَيرِ الإمامِ معه، و الحُجّةُ هي قَولُه</w:t>
      </w:r>
      <w:r>
        <w:rPr>
          <w:rStyle w:val="FootnoteAnchor"/>
          <w:rtl w:val="true"/>
        </w:rPr>
        <w:footnoteReference w:id="1017"/>
      </w:r>
      <w:r>
        <w:rPr>
          <w:rFonts w:ascii="Amiri" w:hAnsi="Amiri" w:eastAsia="Amiri" w:cs="Amiri"/>
          <w:color w:val="111111"/>
          <w:sz w:val="28"/>
          <w:sz w:val="28"/>
          <w:szCs w:val="28"/>
          <w:rtl w:val="true"/>
          <w:lang w:bidi="ar-SA"/>
        </w:rPr>
        <w:t>بعَينِه، فإنّما يُسألُ‌</w:t>
      </w:r>
      <w:r>
        <w:rPr>
          <w:rStyle w:val="FootnoteAnchor"/>
          <w:rtl w:val="true"/>
        </w:rPr>
        <w:footnoteReference w:id="1018"/>
      </w:r>
      <w:r>
        <w:rPr>
          <w:rFonts w:ascii="Amiri" w:hAnsi="Amiri" w:eastAsia="Amiri" w:cs="Amiri"/>
          <w:color w:val="111111"/>
          <w:sz w:val="28"/>
          <w:sz w:val="28"/>
          <w:szCs w:val="28"/>
          <w:rtl w:val="true"/>
          <w:lang w:bidi="ar-SA"/>
        </w:rPr>
        <w:t>عنها مَن استَعمَلَ‌</w:t>
      </w:r>
      <w:r>
        <w:rPr>
          <w:rStyle w:val="FootnoteAnchor"/>
          <w:rtl w:val="true"/>
        </w:rPr>
        <w:footnoteReference w:id="1019"/>
      </w:r>
      <w:r>
        <w:rPr>
          <w:rFonts w:ascii="Amiri" w:hAnsi="Amiri" w:eastAsia="Amiri" w:cs="Amiri"/>
          <w:color w:val="111111"/>
          <w:sz w:val="28"/>
          <w:sz w:val="28"/>
          <w:szCs w:val="28"/>
          <w:rtl w:val="true"/>
          <w:lang w:bidi="ar-SA"/>
        </w:rPr>
        <w:t>هذه اللفظةَ‌</w:t>
      </w:r>
      <w:r>
        <w:rPr>
          <w:rStyle w:val="FootnoteAnchor"/>
          <w:rtl w:val="true"/>
        </w:rPr>
        <w:footnoteReference w:id="1020"/>
      </w:r>
      <w:r>
        <w:rPr>
          <w:rFonts w:ascii="Amiri" w:hAnsi="Amiri" w:eastAsia="Amiri" w:cs="Amiri"/>
          <w:color w:val="111111"/>
          <w:sz w:val="28"/>
          <w:sz w:val="28"/>
          <w:szCs w:val="28"/>
          <w:rtl w:val="true"/>
          <w:lang w:bidi="ar-SA"/>
        </w:rPr>
        <w:t>مُبتَدِئاً مع تَميُّزِ قَولِ الإمامِ‌، و نحنُ لا نَكادُ نَستَعمِلُها</w:t>
      </w:r>
      <w:r>
        <w:rPr>
          <w:rStyle w:val="FootnoteAnchor"/>
          <w:rtl w:val="true"/>
        </w:rPr>
        <w:footnoteReference w:id="1021"/>
      </w:r>
      <w:r>
        <w:rPr>
          <w:rFonts w:ascii="Amiri" w:hAnsi="Amiri" w:eastAsia="Amiri" w:cs="Amiri"/>
          <w:color w:val="111111"/>
          <w:sz w:val="28"/>
          <w:sz w:val="28"/>
          <w:szCs w:val="28"/>
          <w:rtl w:val="true"/>
          <w:lang w:bidi="ar-SA"/>
        </w:rPr>
        <w:t>في مِثلِ هذه الحالِ‌، و إنّما نُجيبُ بالصحيحِ‌</w:t>
      </w:r>
      <w:r>
        <w:rPr>
          <w:rStyle w:val="FootnoteAnchor"/>
          <w:rtl w:val="true"/>
        </w:rPr>
        <w:footnoteReference w:id="1022"/>
      </w:r>
      <w:r>
        <w:rPr>
          <w:rFonts w:ascii="Amiri" w:hAnsi="Amiri" w:eastAsia="Amiri" w:cs="Amiri"/>
          <w:color w:val="111111"/>
          <w:sz w:val="28"/>
          <w:sz w:val="28"/>
          <w:szCs w:val="28"/>
          <w:rtl w:val="true"/>
          <w:lang w:bidi="ar-SA"/>
        </w:rPr>
        <w:t>عندَنا فيه عندَ سؤالِ المُخالِفِ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يَمتَنِعُ أن يَكونَ لذلك فائدةٌ‌، و هي أنّ قَولَ الإمامِ قد يَكونُ غَيرَ متميِّزٍ في بعضِ الأحوالِ‌؛ كأحوالِ الغَيبةِ و الخَوفِ التي لا يُعرَفُ قَولُ‌</w:t>
      </w:r>
      <w:r>
        <w:rPr>
          <w:rStyle w:val="FootnoteAnchor"/>
          <w:rtl w:val="true"/>
        </w:rPr>
        <w:footnoteReference w:id="1023"/>
      </w:r>
      <w:r>
        <w:rPr>
          <w:rFonts w:ascii="Amiri" w:hAnsi="Amiri" w:eastAsia="Amiri" w:cs="Amiri"/>
          <w:color w:val="111111"/>
          <w:sz w:val="28"/>
          <w:sz w:val="28"/>
          <w:szCs w:val="28"/>
          <w:rtl w:val="true"/>
          <w:lang w:bidi="ar-SA"/>
        </w:rPr>
        <w:t>الإمامِ فيها علىٰ سَبيلِ التفصيلِ‌</w:t>
      </w:r>
      <w:r>
        <w:rPr>
          <w:rStyle w:val="FootnoteAnchor"/>
          <w:rtl w:val="true"/>
        </w:rPr>
        <w:footnoteReference w:id="1024"/>
      </w:r>
      <w:r>
        <w:rPr>
          <w:rFonts w:ascii="Amiri" w:hAnsi="Amiri" w:eastAsia="Amiri" w:cs="Amiri"/>
          <w:color w:val="111111"/>
          <w:sz w:val="28"/>
          <w:sz w:val="28"/>
          <w:szCs w:val="28"/>
          <w:rtl w:val="true"/>
          <w:lang w:bidi="ar-SA"/>
        </w:rPr>
        <w:t>، فلا يَمتَنِعُ في مِثلِ هذه الأحوالِ أن يُعتبَرَ الإجماعُ‌؛ لعِلمِنا بدُخولِ الإمامِ فيه، كما يَقولُ خُصومُنا في الشُّهَداءِ و المؤمِنينَ‌؛ لأنّ إجماعَ‌</w:t>
      </w:r>
      <w:r>
        <w:rPr>
          <w:rStyle w:val="FootnoteAnchor"/>
          <w:rtl w:val="true"/>
        </w:rPr>
        <w:footnoteReference w:id="1025"/>
      </w:r>
      <w:r>
        <w:rPr>
          <w:rFonts w:ascii="Amiri" w:hAnsi="Amiri" w:eastAsia="Amiri" w:cs="Amiri"/>
          <w:color w:val="111111"/>
          <w:sz w:val="28"/>
          <w:sz w:val="28"/>
          <w:szCs w:val="28"/>
          <w:rtl w:val="true"/>
          <w:lang w:bidi="ar-SA"/>
        </w:rPr>
        <w:t>هؤلاءِ عندَهم هو الحُجّةُ‌، و لا</w:t>
      </w:r>
      <w:r>
        <w:rPr>
          <w:rStyle w:val="FootnoteAnchor"/>
          <w:rtl w:val="true"/>
        </w:rPr>
        <w:footnoteReference w:id="1026"/>
      </w:r>
      <w:r>
        <w:rPr>
          <w:rFonts w:ascii="Amiri" w:hAnsi="Amiri" w:eastAsia="Amiri" w:cs="Amiri"/>
          <w:color w:val="111111"/>
          <w:sz w:val="28"/>
          <w:sz w:val="28"/>
          <w:szCs w:val="28"/>
          <w:rtl w:val="true"/>
          <w:lang w:bidi="ar-SA"/>
        </w:rPr>
        <w:t>تأثيرَ لضَمِّ‌</w:t>
      </w:r>
      <w:r>
        <w:rPr>
          <w:rStyle w:val="FootnoteAnchor"/>
          <w:rtl w:val="true"/>
        </w:rPr>
        <w:footnoteReference w:id="1027"/>
      </w:r>
      <w:r>
        <w:rPr>
          <w:rFonts w:ascii="Amiri" w:hAnsi="Amiri" w:eastAsia="Amiri" w:cs="Amiri"/>
          <w:color w:val="111111"/>
          <w:sz w:val="28"/>
          <w:sz w:val="28"/>
          <w:szCs w:val="28"/>
          <w:rtl w:val="true"/>
          <w:lang w:bidi="ar-SA"/>
        </w:rPr>
        <w:t>غَيرِه إليه</w:t>
      </w:r>
      <w:r>
        <w:rPr>
          <w:rStyle w:val="FootnoteAnchor"/>
          <w:rtl w:val="true"/>
        </w:rPr>
        <w:footnoteReference w:id="1028"/>
      </w:r>
      <w:r>
        <w:rPr>
          <w:rFonts w:ascii="Amiri" w:hAnsi="Amiri" w:eastAsia="Amiri" w:cs="Amiri"/>
          <w:color w:val="111111"/>
          <w:sz w:val="28"/>
          <w:sz w:val="28"/>
          <w:szCs w:val="28"/>
          <w:rtl w:val="true"/>
          <w:lang w:bidi="ar-SA"/>
        </w:rPr>
        <w:t>، و مع ذلكَ فنَحنُ نَراهُم يَعتَبِرونَ إجماعَ الأُمّةِ‌؛ مِن حَيثُ لَم يَتميَّزْ عندَهم أقوالُ الشُّهَداءِ و</w:t>
      </w:r>
      <w:r>
        <w:rPr>
          <w:rStyle w:val="FootnoteAnchor"/>
          <w:rtl w:val="true"/>
        </w:rPr>
        <w:footnoteReference w:id="1029"/>
      </w:r>
      <w:r>
        <w:rPr>
          <w:rFonts w:ascii="Amiri" w:hAnsi="Amiri" w:eastAsia="Amiri" w:cs="Amiri"/>
          <w:color w:val="111111"/>
          <w:sz w:val="28"/>
          <w:sz w:val="28"/>
          <w:szCs w:val="28"/>
          <w:rtl w:val="true"/>
          <w:lang w:bidi="ar-SA"/>
        </w:rPr>
        <w:t xml:space="preserve">المؤمِنينَ ، و عَلِموا دُخولَها في جُملةِ أقوالِ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الجوابِ الذي ذَكرناه يَجِبُ أن</w:t>
      </w:r>
      <w:r>
        <w:rPr>
          <w:rStyle w:val="FootnoteAnchor"/>
          <w:rtl w:val="true"/>
        </w:rPr>
        <w:footnoteReference w:id="1030"/>
      </w:r>
      <w:r>
        <w:rPr>
          <w:rFonts w:ascii="Amiri" w:hAnsi="Amiri" w:eastAsia="Amiri" w:cs="Amiri"/>
          <w:color w:val="111111"/>
          <w:sz w:val="28"/>
          <w:sz w:val="28"/>
          <w:szCs w:val="28"/>
          <w:rtl w:val="true"/>
          <w:lang w:bidi="ar-SA"/>
        </w:rPr>
        <w:t>يُجيبَ‌</w:t>
      </w:r>
      <w:r>
        <w:rPr>
          <w:rStyle w:val="FootnoteAnchor"/>
          <w:rtl w:val="true"/>
        </w:rPr>
        <w:footnoteReference w:id="1031"/>
      </w:r>
      <w:r>
        <w:rPr>
          <w:rFonts w:ascii="Amiri" w:hAnsi="Amiri" w:eastAsia="Amiri" w:cs="Amiri"/>
          <w:color w:val="111111"/>
          <w:sz w:val="28"/>
          <w:sz w:val="28"/>
          <w:szCs w:val="28"/>
          <w:rtl w:val="true"/>
          <w:lang w:bidi="ar-SA"/>
        </w:rPr>
        <w:t>مَن سلَّمَ الخبرَ</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الإجماعِ‌</w:t>
      </w:r>
      <w:r>
        <w:rPr>
          <w:rStyle w:val="FootnoteAnchor"/>
          <w:rtl w:val="true"/>
        </w:rPr>
        <w:footnoteReference w:id="1033"/>
      </w:r>
      <w:r>
        <w:rPr>
          <w:rFonts w:ascii="Amiri" w:hAnsi="Amiri" w:eastAsia="Amiri" w:cs="Amiri"/>
          <w:color w:val="111111"/>
          <w:sz w:val="28"/>
          <w:sz w:val="28"/>
          <w:szCs w:val="28"/>
          <w:rtl w:val="true"/>
          <w:lang w:bidi="ar-SA"/>
        </w:rPr>
        <w:t>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w:t>
      </w:r>
      <w:r>
        <w:rPr>
          <w:rStyle w:val="FootnoteAnchor"/>
          <w:rtl w:val="true"/>
        </w:rPr>
        <w:footnoteReference w:id="1034"/>
      </w:r>
      <w:r>
        <w:rPr>
          <w:rFonts w:ascii="Amiri" w:hAnsi="Amiri" w:eastAsia="Amiri" w:cs="Amiri"/>
          <w:color w:val="111111"/>
          <w:sz w:val="28"/>
          <w:sz w:val="28"/>
          <w:szCs w:val="28"/>
          <w:rtl w:val="true"/>
          <w:lang w:bidi="ar-SA"/>
        </w:rPr>
        <w:t>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تأوَّلَه علىٰ أنّ إجماعَهم</w:t>
      </w:r>
      <w:r>
        <w:rPr>
          <w:rStyle w:val="FootnoteAnchor"/>
          <w:rtl w:val="true"/>
        </w:rPr>
        <w:footnoteReference w:id="1035"/>
      </w:r>
      <w:r>
        <w:rPr>
          <w:rFonts w:ascii="Amiri" w:hAnsi="Amiri" w:eastAsia="Amiri" w:cs="Amiri"/>
          <w:color w:val="111111"/>
          <w:sz w:val="28"/>
          <w:sz w:val="28"/>
          <w:szCs w:val="28"/>
          <w:rtl w:val="true"/>
          <w:lang w:bidi="ar-SA"/>
        </w:rPr>
        <w:t>حقٌّ لِمَكانِ الإمامِ المعصومِ و دُخولِه</w:t>
      </w:r>
      <w:r>
        <w:rPr>
          <w:rStyle w:val="FootnoteAnchor"/>
          <w:rtl w:val="true"/>
        </w:rPr>
        <w:footnoteReference w:id="1036"/>
      </w:r>
      <w:r>
        <w:rPr>
          <w:rFonts w:ascii="Amiri" w:hAnsi="Amiri" w:eastAsia="Amiri" w:cs="Amiri"/>
          <w:color w:val="111111"/>
          <w:sz w:val="28"/>
          <w:sz w:val="28"/>
          <w:szCs w:val="28"/>
          <w:rtl w:val="true"/>
          <w:lang w:bidi="ar-SA"/>
        </w:rPr>
        <w:t xml:space="preserve">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 الإمامِ هو الحُجّةَ بانفرادِه، فأيُّ معنىً لضَمِّ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الوجهَ في حُسنِ استعمالِ‌</w:t>
      </w:r>
      <w:r>
        <w:rPr>
          <w:rStyle w:val="FootnoteAnchor"/>
          <w:rtl w:val="true"/>
        </w:rPr>
        <w:footnoteReference w:id="1037"/>
      </w:r>
      <w:r>
        <w:rPr>
          <w:rFonts w:ascii="Amiri" w:hAnsi="Amiri" w:eastAsia="Amiri" w:cs="Amiri"/>
          <w:color w:val="111111"/>
          <w:sz w:val="28"/>
          <w:sz w:val="28"/>
          <w:szCs w:val="28"/>
          <w:rtl w:val="true"/>
          <w:lang w:bidi="ar-SA"/>
        </w:rPr>
        <w:t>ذلكَ ابتداءً‌، و نَبَّهنا علىٰ وجهِ‌</w:t>
      </w:r>
      <w:r>
        <w:rPr>
          <w:rStyle w:val="FootnoteAnchor"/>
          <w:rtl w:val="true"/>
        </w:rPr>
        <w:footnoteReference w:id="1038"/>
      </w:r>
      <w:r>
        <w:rPr>
          <w:rFonts w:ascii="Amiri" w:hAnsi="Amiri" w:eastAsia="Amiri" w:cs="Amiri"/>
          <w:color w:val="111111"/>
          <w:sz w:val="28"/>
          <w:sz w:val="28"/>
          <w:szCs w:val="28"/>
          <w:rtl w:val="true"/>
          <w:lang w:bidi="ar-SA"/>
        </w:rPr>
        <w:t>الفائدةِ فيه في الأحوالِ التي لا يَتميَّزُ قَولُ الإمامِ فيها، و بيّنّا أيضاً الفَرقَ بَينَ ما يَبتدئُ‌</w:t>
      </w:r>
      <w:r>
        <w:rPr>
          <w:rStyle w:val="FootnoteAnchor"/>
          <w:rtl w:val="true"/>
        </w:rPr>
        <w:footnoteReference w:id="1039"/>
      </w:r>
      <w:r>
        <w:rPr>
          <w:rFonts w:ascii="Amiri" w:hAnsi="Amiri" w:eastAsia="Amiri" w:cs="Amiri"/>
          <w:color w:val="111111"/>
          <w:sz w:val="28"/>
          <w:sz w:val="28"/>
          <w:szCs w:val="28"/>
          <w:rtl w:val="true"/>
          <w:lang w:bidi="ar-SA"/>
        </w:rPr>
        <w:t>المستَعمِلُ باستعمالِه</w:t>
      </w:r>
      <w:r>
        <w:rPr>
          <w:rStyle w:val="FootnoteAnchor"/>
          <w:rtl w:val="true"/>
        </w:rPr>
        <w:footnoteReference w:id="1040"/>
      </w:r>
      <w:r>
        <w:rPr>
          <w:rFonts w:ascii="Amiri" w:hAnsi="Amiri" w:eastAsia="Amiri" w:cs="Amiri"/>
          <w:color w:val="111111"/>
          <w:sz w:val="28"/>
          <w:sz w:val="28"/>
          <w:szCs w:val="28"/>
          <w:rtl w:val="true"/>
          <w:lang w:bidi="ar-SA"/>
        </w:rPr>
        <w:t>مِن الكلامِ فيَلزَمُه المطالَبةُ بفائدتِه</w:t>
      </w:r>
      <w:r>
        <w:rPr>
          <w:rStyle w:val="FootnoteAnchor"/>
          <w:rtl w:val="true"/>
        </w:rPr>
        <w:footnoteReference w:id="1041"/>
      </w:r>
      <w:r>
        <w:rPr>
          <w:rFonts w:ascii="Amiri" w:hAnsi="Amiri" w:eastAsia="Amiri" w:cs="Amiri"/>
          <w:color w:val="111111"/>
          <w:sz w:val="28"/>
          <w:sz w:val="28"/>
          <w:szCs w:val="28"/>
          <w:rtl w:val="true"/>
          <w:lang w:bidi="ar-SA"/>
        </w:rPr>
        <w:t>، و بَينَ ما يَتَناوَلُه</w:t>
      </w:r>
      <w:r>
        <w:rPr>
          <w:rStyle w:val="FootnoteAnchor"/>
          <w:rtl w:val="true"/>
        </w:rPr>
        <w:footnoteReference w:id="1042"/>
      </w:r>
      <w:r>
        <w:rPr>
          <w:rFonts w:ascii="Amiri" w:hAnsi="Amiri" w:eastAsia="Amiri" w:cs="Amiri"/>
          <w:color w:val="111111"/>
          <w:sz w:val="28"/>
          <w:sz w:val="28"/>
          <w:szCs w:val="28"/>
          <w:rtl w:val="true"/>
          <w:lang w:bidi="ar-SA"/>
        </w:rPr>
        <w:t>مِن سؤالِ خَصمِه و يُخرِجُ له الوجوهَ‌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أن يُجيبَ مَن سُئلَ </w:t>
      </w:r>
      <w:r>
        <w:rPr>
          <w:rStyle w:val="FootnoteAnchor"/>
          <w:rtl w:val="true"/>
        </w:rPr>
        <w:footnoteReference w:id="1043"/>
      </w:r>
      <w:r>
        <w:rPr>
          <w:rFonts w:ascii="Amiri" w:hAnsi="Amiri" w:eastAsia="Amiri" w:cs="Amiri"/>
          <w:color w:val="111111"/>
          <w:sz w:val="28"/>
          <w:sz w:val="28"/>
          <w:szCs w:val="28"/>
          <w:rtl w:val="true"/>
          <w:lang w:bidi="ar-SA"/>
        </w:rPr>
        <w:t xml:space="preserve">عن إجماعِ النَّصارىٰ إذا كانَ عيسىٰ عليه السلامُ فيهِم بأنّه حقٌّ ، و كذلكَ القَولُ في إجماعِ اليَهودِ إذا كانَ قَولُ </w:t>
      </w:r>
      <w:r>
        <w:rPr>
          <w:rStyle w:val="FootnoteAnchor"/>
          <w:rtl w:val="true"/>
        </w:rPr>
        <w:footnoteReference w:id="1044"/>
      </w:r>
      <w:r>
        <w:rPr>
          <w:rFonts w:ascii="Amiri" w:hAnsi="Amiri" w:eastAsia="Amiri" w:cs="Amiri"/>
          <w:color w:val="111111"/>
          <w:sz w:val="28"/>
          <w:sz w:val="28"/>
          <w:szCs w:val="28"/>
          <w:rtl w:val="true"/>
          <w:lang w:bidi="ar-SA"/>
        </w:rPr>
        <w:t xml:space="preserve">موسىٰ عليه </w:t>
      </w:r>
    </w:p>
    <w:p>
      <w:pPr>
        <w:pStyle w:val="BookText"/>
        <w:rPr/>
      </w:pPr>
      <w:r>
        <w:rPr>
          <w:rFonts w:ascii="Amiri" w:hAnsi="Amiri" w:eastAsia="Amiri" w:cs="Amiri"/>
          <w:color w:val="111111"/>
          <w:sz w:val="28"/>
          <w:sz w:val="28"/>
          <w:szCs w:val="28"/>
          <w:rtl w:val="true"/>
          <w:lang w:bidi="ar-SA"/>
        </w:rPr>
        <w:t>السلامُ في جُملةِ أقوالِهم؛ لأنّا إن لم نَقُلْ أنّه حقٌّ فلا بُدَّ مِن</w:t>
      </w:r>
      <w:r>
        <w:rPr>
          <w:rStyle w:val="FootnoteAnchor"/>
          <w:rtl w:val="true"/>
        </w:rPr>
        <w:footnoteReference w:id="1045"/>
      </w:r>
      <w:r>
        <w:rPr>
          <w:rFonts w:ascii="Amiri" w:hAnsi="Amiri" w:eastAsia="Amiri" w:cs="Amiri"/>
          <w:color w:val="111111"/>
          <w:sz w:val="28"/>
          <w:sz w:val="28"/>
          <w:szCs w:val="28"/>
          <w:rtl w:val="true"/>
          <w:lang w:bidi="ar-SA"/>
        </w:rPr>
        <w:t>أن يَكونَ باطلاً؛ و كيفَ يَكونُ باطلاً و في جُملتِهم نَبيٌّ مقطوعٌ علىٰ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يُسألَ عن الفائدةِ في الابتداءِ بهذا القَولِ </w:t>
      </w:r>
      <w:r>
        <w:rPr>
          <w:rStyle w:val="FootnoteAnchor"/>
          <w:rtl w:val="true"/>
        </w:rPr>
        <w:footnoteReference w:id="1046"/>
      </w:r>
      <w:r>
        <w:rPr>
          <w:rFonts w:ascii="Amiri" w:hAnsi="Amiri" w:eastAsia="Amiri" w:cs="Amiri"/>
          <w:color w:val="111111"/>
          <w:sz w:val="28"/>
          <w:sz w:val="28"/>
          <w:szCs w:val="28"/>
          <w:rtl w:val="true"/>
          <w:lang w:bidi="ar-SA"/>
        </w:rPr>
        <w:t>،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فيه إذا كانَ قَولُ عيسىٰ عليه السلامُ منفَرِداً متميِّزاً، و لَو عُدِمَ تميُّزُه في بعضِ الأحوالِ لَحَسُنَ استعمالُه، كما حَسُنَ ذلكَ في الإمامِ عندَ الغَيبةِ علىٰ مَذهبِنا</w:t>
      </w:r>
      <w:r>
        <w:rPr>
          <w:rStyle w:val="FootnoteAnchor"/>
          <w:rtl w:val="true"/>
        </w:rPr>
        <w:footnoteReference w:id="1047"/>
      </w:r>
      <w:r>
        <w:rPr>
          <w:rFonts w:ascii="Amiri" w:hAnsi="Amiri" w:eastAsia="Amiri" w:cs="Amiri"/>
          <w:color w:val="111111"/>
          <w:sz w:val="28"/>
          <w:sz w:val="28"/>
          <w:szCs w:val="28"/>
          <w:rtl w:val="true"/>
          <w:lang w:bidi="ar-SA"/>
        </w:rPr>
        <w:t>، و في الشُّهَداءِ و المؤمنينَ علىٰ مَذاهِبِ خُصومِنا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تَعاطيهِ </w:t>
      </w:r>
      <w:r>
        <w:rPr>
          <w:rStyle w:val="FootnoteAnchor"/>
          <w:rtl w:val="true"/>
        </w:rPr>
        <w:footnoteReference w:id="1048"/>
      </w:r>
      <w:r>
        <w:rPr>
          <w:rFonts w:ascii="Amiri" w:hAnsi="Amiri" w:eastAsia="Amiri" w:cs="Amiri"/>
          <w:color w:val="111111"/>
          <w:sz w:val="28"/>
          <w:sz w:val="28"/>
          <w:szCs w:val="28"/>
          <w:rtl w:val="true"/>
          <w:lang w:bidi="ar-SA"/>
        </w:rPr>
        <w:t xml:space="preserve">الفَرقَ بَينَ قَولِنا في الإمامِ و قَولِه في الشُّهَداءِ ؛ لأنّ الإمامَ متميِّزٌ و الشُّهداءَ غَيرُ متميِّزينَ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بيّنّا أنّ قَولَ الإمامِ قد يَكونُ غَيرَ متميِّزٍ في بعضِ الأحوالِ ، فيَجِبُ أن يَسوغَ لنا فيه ما ساغَ له في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الشُّهَداءُ عندَكم</w:t>
      </w:r>
      <w:r>
        <w:rPr>
          <w:rStyle w:val="FootnoteAnchor"/>
          <w:rtl w:val="true"/>
        </w:rPr>
        <w:footnoteReference w:id="1049"/>
      </w:r>
      <w:r>
        <w:rPr>
          <w:rFonts w:ascii="Amiri" w:hAnsi="Amiri" w:eastAsia="Amiri" w:cs="Amiri"/>
          <w:color w:val="111111"/>
          <w:sz w:val="28"/>
          <w:sz w:val="28"/>
          <w:szCs w:val="28"/>
          <w:rtl w:val="true"/>
          <w:lang w:bidi="ar-SA"/>
        </w:rPr>
        <w:t>و تمَيَّزوا و سُئلتَ عن إجماعِ الأُمّةِ هل هو حقٌّ ، بأيِّ شيءٍ كُنتَ تُجيبُ؟</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w:t>
      </w:r>
      <w:r>
        <w:rPr>
          <w:rStyle w:val="FootnoteAnchor"/>
          <w:rtl w:val="true"/>
        </w:rPr>
        <w:footnoteReference w:id="1050"/>
      </w:r>
      <w:r>
        <w:rPr>
          <w:rFonts w:ascii="Amiri" w:hAnsi="Amiri" w:eastAsia="Amiri" w:cs="Amiri"/>
          <w:color w:val="111111"/>
          <w:sz w:val="28"/>
          <w:sz w:val="28"/>
          <w:szCs w:val="28"/>
          <w:rtl w:val="true"/>
          <w:lang w:bidi="ar-SA"/>
        </w:rPr>
        <w:t xml:space="preserve">بأنّه حقٌّ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عِبتَ عَلَينا أن نُجيبَ بمِثلِ ذلك إذا سُئلنا عن إجماعِ الأُمّةِ؟ و ألّامنَعكَ مِن الجوابِ بأنّه حقٌّ تميُّزُ الشُّهَداءِ و</w:t>
      </w:r>
      <w:r>
        <w:rPr>
          <w:rStyle w:val="FootnoteAnchor"/>
          <w:rtl w:val="true"/>
        </w:rPr>
        <w:footnoteReference w:id="1051"/>
      </w:r>
      <w:r>
        <w:rPr>
          <w:rFonts w:ascii="Amiri" w:hAnsi="Amiri" w:eastAsia="Amiri" w:cs="Amiri"/>
          <w:color w:val="111111"/>
          <w:sz w:val="28"/>
          <w:sz w:val="28"/>
          <w:szCs w:val="28"/>
          <w:rtl w:val="true"/>
          <w:lang w:bidi="ar-SA"/>
        </w:rPr>
        <w:t xml:space="preserve">تعيُّنُهم، و أنّه لا تأثيرَ لضَمِّ غَيرِهم إليهم ؟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يَمنَعُ مِن الجوابِ بأنّه حقٌّ إذا سُئلتُ عن ذلكَ‌؛ لأنّه لا بُدَّ أن يَكونَ حقّاً إذا فَرَضنا</w:t>
      </w:r>
      <w:r>
        <w:rPr>
          <w:rStyle w:val="FootnoteAnchor"/>
          <w:rtl w:val="true"/>
        </w:rPr>
        <w:footnoteReference w:id="1052"/>
      </w:r>
      <w:r>
        <w:rPr>
          <w:rFonts w:ascii="Amiri" w:hAnsi="Amiri" w:eastAsia="Amiri" w:cs="Amiri"/>
          <w:color w:val="111111"/>
          <w:sz w:val="28"/>
          <w:sz w:val="28"/>
          <w:szCs w:val="28"/>
          <w:rtl w:val="true"/>
          <w:lang w:bidi="ar-SA"/>
        </w:rPr>
        <w:t>هذا الفَرضَ‌، و إنّما المَعيبُ‌</w:t>
      </w:r>
      <w:r>
        <w:rPr>
          <w:rStyle w:val="FootnoteAnchor"/>
          <w:rtl w:val="true"/>
        </w:rPr>
        <w:footnoteReference w:id="1053"/>
      </w:r>
      <w:r>
        <w:rPr>
          <w:rFonts w:ascii="Amiri" w:hAnsi="Amiri" w:eastAsia="Amiri" w:cs="Amiri"/>
          <w:color w:val="111111"/>
          <w:sz w:val="28"/>
          <w:sz w:val="28"/>
          <w:szCs w:val="28"/>
          <w:rtl w:val="true"/>
          <w:lang w:bidi="ar-SA"/>
        </w:rPr>
        <w:t>أن أضُمَّ‌</w:t>
      </w:r>
      <w:r>
        <w:rPr>
          <w:rStyle w:val="FootnoteAnchor"/>
          <w:rtl w:val="true"/>
        </w:rPr>
        <w:footnoteReference w:id="1054"/>
      </w:r>
      <w:r>
        <w:rPr>
          <w:rFonts w:ascii="Amiri" w:hAnsi="Amiri" w:eastAsia="Amiri" w:cs="Amiri"/>
          <w:color w:val="111111"/>
          <w:sz w:val="28"/>
          <w:sz w:val="28"/>
          <w:szCs w:val="28"/>
          <w:rtl w:val="true"/>
          <w:lang w:bidi="ar-SA"/>
        </w:rPr>
        <w:t xml:space="preserve">مُبتدِئاً إلَى الشُّهَداءِ مع تعيُّنِهم و تميُّزِهم غَيرَهم، ثُمّ أقضيَ </w:t>
      </w:r>
      <w:r>
        <w:rPr>
          <w:rStyle w:val="FootnoteAnchor"/>
          <w:rtl w:val="true"/>
        </w:rPr>
        <w:footnoteReference w:id="1055"/>
      </w:r>
      <w:r>
        <w:rPr>
          <w:rFonts w:ascii="Amiri" w:hAnsi="Amiri" w:eastAsia="Amiri" w:cs="Amiri"/>
          <w:color w:val="111111"/>
          <w:sz w:val="28"/>
          <w:sz w:val="28"/>
          <w:szCs w:val="28"/>
          <w:rtl w:val="true"/>
          <w:lang w:bidi="ar-SA"/>
        </w:rPr>
        <w:t>بأنّ في</w:t>
      </w:r>
      <w:r>
        <w:rPr>
          <w:rStyle w:val="FootnoteAnchor"/>
          <w:rtl w:val="true"/>
        </w:rPr>
        <w:footnoteReference w:id="1056"/>
      </w:r>
      <w:r>
        <w:rPr>
          <w:rFonts w:ascii="Amiri" w:hAnsi="Amiri" w:eastAsia="Amiri" w:cs="Amiri"/>
          <w:color w:val="111111"/>
          <w:sz w:val="28"/>
          <w:sz w:val="28"/>
          <w:szCs w:val="28"/>
          <w:rtl w:val="true"/>
          <w:lang w:bidi="ar-SA"/>
        </w:rPr>
        <w:t xml:space="preserve">قَولِهم الحقَّ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هذا التفصيلِ ، و بمِثلِه أَجَبنا</w:t>
      </w:r>
      <w:r>
        <w:rPr>
          <w:rFonts w:eastAsia="Amiri" w:cs="Amiri" w:ascii="Amiri" w:hAnsi="Amiri"/>
          <w:color w:val="111111"/>
          <w:sz w:val="28"/>
          <w:szCs w:val="28"/>
          <w:rtl w:val="true"/>
          <w:lang w:bidi="ar-SA"/>
        </w:rPr>
        <w:t xml:space="preserve">. </w:t>
      </w:r>
      <w:bookmarkStart w:id="160" w:name="pg20015_284846"/>
    </w:p>
    <w:p>
      <w:pPr>
        <w:pStyle w:val="Heading5"/>
        <w:numPr>
          <w:ilvl w:val="4"/>
          <w:numId w:val="1"/>
        </w:numPr>
        <w:rPr/>
      </w:pPr>
      <w:bookmarkStart w:id="161" w:name="__RefHeading___Toc894835_2320776876"/>
      <w:bookmarkStart w:id="162" w:name="_Toc59"/>
      <w:bookmarkEnd w:id="160"/>
      <w:bookmarkEnd w:id="161"/>
      <w:r>
        <w:rPr>
          <w:rtl w:val="true"/>
        </w:rPr>
        <w:t>الدليل التاسع في بيان أنّ الحافظ للشرع هو الإمام لا التواتر</w:t>
      </w:r>
      <w:bookmarkEnd w:id="162"/>
    </w:p>
    <w:p>
      <w:pPr>
        <w:pStyle w:val="Heading6"/>
        <w:numPr>
          <w:ilvl w:val="5"/>
          <w:numId w:val="1"/>
        </w:numPr>
        <w:rPr/>
      </w:pPr>
      <w:bookmarkStart w:id="163" w:name="__RefHeading___Toc894837_2320776876"/>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في شريعةِ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خاتَمُ الأنبياءِ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حافِظٍ و مبلِّغٍ‌، و كانَ لا يَصِحُّ أن يقَعَ ذلكَ بالتواتُرِ، فلا بُدَّ مِن إثباتِ إمامٍ معصومٍ يَكونُ في كُلِّ حالٍ بمَنزلةِ الرسولِ في أنّه يُبلِّغُ‌</w:t>
      </w:r>
      <w:r>
        <w:rPr>
          <w:rStyle w:val="FootnoteAnchor"/>
          <w:rtl w:val="true"/>
        </w:rPr>
        <w:footnoteReference w:id="1058"/>
      </w:r>
      <w:r>
        <w:rPr>
          <w:rFonts w:ascii="Amiri" w:hAnsi="Amiri" w:eastAsia="Amiri" w:cs="Amiri"/>
          <w:color w:val="111111"/>
          <w:sz w:val="28"/>
          <w:sz w:val="28"/>
          <w:szCs w:val="28"/>
          <w:rtl w:val="true"/>
          <w:lang w:bidi="ar-SA"/>
        </w:rPr>
        <w:t xml:space="preserve">و يُعلِّمُ و يُرجَعُ إليه في المُشكِلِ‌، و يؤخَذُ عنه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w:t>
      </w:r>
      <w:r>
        <w:rPr>
          <w:rStyle w:val="FootnoteAnchor"/>
          <w:rtl w:val="true"/>
        </w:rPr>
        <w:footnoteReference w:id="1059"/>
      </w:r>
      <w:r>
        <w:rPr>
          <w:rFonts w:ascii="Amiri" w:hAnsi="Amiri" w:eastAsia="Amiri" w:cs="Amiri"/>
          <w:color w:val="111111"/>
          <w:sz w:val="28"/>
          <w:sz w:val="28"/>
          <w:szCs w:val="28"/>
          <w:rtl w:val="true"/>
          <w:lang w:bidi="ar-SA"/>
        </w:rPr>
        <w:t xml:space="preserve">لا يَجوزُ أن لا يَكونَ الرسولُ في كُلِّ حالٍ </w:t>
      </w:r>
      <w:r>
        <w:rPr>
          <w:rStyle w:val="FootnoteAnchor"/>
          <w:rtl w:val="true"/>
        </w:rPr>
        <w:footnoteReference w:id="1060"/>
      </w:r>
      <w:r>
        <w:rPr>
          <w:rFonts w:ascii="Amiri" w:hAnsi="Amiri" w:eastAsia="Amiri" w:cs="Amiri"/>
          <w:color w:val="111111"/>
          <w:sz w:val="28"/>
          <w:sz w:val="28"/>
          <w:szCs w:val="28"/>
          <w:rtl w:val="true"/>
          <w:lang w:bidi="ar-SA"/>
        </w:rPr>
        <w:t xml:space="preserve">مع الحاجةِ إلىٰ معرفةِ الشرعِ </w:t>
      </w:r>
      <w:r>
        <w:rPr>
          <w:rStyle w:val="FootnoteAnchor"/>
          <w:rtl w:val="true"/>
        </w:rPr>
        <w:footnoteReference w:id="1061"/>
      </w:r>
      <w:r>
        <w:rPr>
          <w:rFonts w:ascii="Amiri" w:hAnsi="Amiri" w:eastAsia="Amiri" w:cs="Amiri"/>
          <w:color w:val="111111"/>
          <w:sz w:val="28"/>
          <w:sz w:val="28"/>
          <w:szCs w:val="28"/>
          <w:rtl w:val="true"/>
          <w:lang w:bidi="ar-SA"/>
        </w:rPr>
        <w:t xml:space="preserve">، فكذلكَ لا يَجوزُ أن لا يَكونَ الإمامُ في كُلِّ حالٍ مع الحاجةِ إلىٰ ذلكَ </w:t>
      </w:r>
      <w:r>
        <w:rPr>
          <w:rFonts w:eastAsia="Amiri" w:cs="Amiri" w:ascii="Amiri" w:hAnsi="Amiri"/>
          <w:color w:val="111111"/>
          <w:sz w:val="28"/>
          <w:szCs w:val="28"/>
          <w:rtl w:val="true"/>
          <w:lang w:bidi="ar-SA"/>
        </w:rPr>
        <w:t xml:space="preserve">. </w:t>
      </w:r>
      <w:bookmarkStart w:id="165" w:name="pg20015_284847"/>
    </w:p>
    <w:p>
      <w:pPr>
        <w:pStyle w:val="BookText"/>
        <w:rPr/>
      </w:pPr>
      <w:bookmarkEnd w:id="165"/>
      <w:r>
        <w:rPr>
          <w:rFonts w:ascii="Amiri" w:hAnsi="Amiri" w:eastAsia="Amiri" w:cs="Amiri"/>
          <w:color w:val="111111"/>
          <w:sz w:val="28"/>
          <w:sz w:val="28"/>
          <w:szCs w:val="28"/>
          <w:rtl w:val="true"/>
          <w:lang w:bidi="ar-SA"/>
        </w:rPr>
        <w:t>و قَدَحوا في التواتُرِ بوُجوهٍ قد</w:t>
      </w:r>
      <w:r>
        <w:rPr>
          <w:rStyle w:val="FootnoteAnchor"/>
          <w:rtl w:val="true"/>
        </w:rPr>
        <w:footnoteReference w:id="1062"/>
      </w:r>
      <w:r>
        <w:rPr>
          <w:rFonts w:ascii="Amiri" w:hAnsi="Amiri" w:eastAsia="Amiri" w:cs="Amiri"/>
          <w:color w:val="111111"/>
          <w:sz w:val="28"/>
          <w:sz w:val="28"/>
          <w:szCs w:val="28"/>
          <w:rtl w:val="true"/>
          <w:lang w:bidi="ar-SA"/>
        </w:rPr>
        <w:t>قَدَّمنا ذِكرَها في بابِ الأخبارِ</w:t>
      </w:r>
      <w:r>
        <w:rPr>
          <w:rStyle w:val="FootnoteAnchor"/>
          <w:rtl w:val="true"/>
        </w:rPr>
        <w:footnoteReference w:id="1063"/>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إذا جازَ أن يَكتُمَ النقلَ و يَكذِبَ و يُغيِّرَ، فيَجِبُ جَوازُ ذلكَ علىٰ جميعِهم، و أن لا يَصِحَّ القَطعُ علىٰ صِحّةِ خبرِهم</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صحيحةٌ معتمَدةٌ ، و يؤيِّدُها ما دَلَّلنا عليه مِن قَبلُ مِن</w:t>
      </w:r>
      <w:r>
        <w:rPr>
          <w:rStyle w:val="FootnoteAnchor"/>
          <w:rtl w:val="true"/>
        </w:rPr>
        <w:footnoteReference w:id="1065"/>
      </w:r>
      <w:r>
        <w:rPr>
          <w:rFonts w:ascii="Amiri" w:hAnsi="Amiri" w:eastAsia="Amiri" w:cs="Amiri"/>
          <w:color w:val="111111"/>
          <w:sz w:val="28"/>
          <w:sz w:val="28"/>
          <w:szCs w:val="28"/>
          <w:rtl w:val="true"/>
          <w:lang w:bidi="ar-SA"/>
        </w:rPr>
        <w:t xml:space="preserve">أنّ التواتُرَ لا يَجوزُ أن يُقتصَرَ عليهِ في حِفظِ الشرعِ و أدائه، و أنّه لا بُدَّ مِن كَونِ </w:t>
      </w:r>
      <w:r>
        <w:rPr>
          <w:rStyle w:val="FootnoteAnchor"/>
          <w:rtl w:val="true"/>
        </w:rPr>
        <w:footnoteReference w:id="1066"/>
      </w:r>
      <w:r>
        <w:rPr>
          <w:rFonts w:ascii="Amiri" w:hAnsi="Amiri" w:eastAsia="Amiri" w:cs="Amiri"/>
          <w:color w:val="111111"/>
          <w:sz w:val="28"/>
          <w:sz w:val="28"/>
          <w:szCs w:val="28"/>
          <w:rtl w:val="true"/>
          <w:lang w:bidi="ar-SA"/>
        </w:rPr>
        <w:t>معصومٍ وَراءَه</w:t>
      </w:r>
      <w:r>
        <w:rPr>
          <w:rFonts w:eastAsia="Amiri" w:cs="Amiri" w:ascii="Amiri" w:hAnsi="Amiri"/>
          <w:color w:val="111111"/>
          <w:sz w:val="28"/>
          <w:szCs w:val="28"/>
          <w:rtl w:val="true"/>
          <w:lang w:bidi="ar-SA"/>
        </w:rPr>
        <w:t>.</w:t>
      </w:r>
      <w:r>
        <w:rPr>
          <w:rStyle w:val="FootnoteAnchor"/>
          <w:rtl w:val="true"/>
        </w:rPr>
        <w:footnoteReference w:id="1067"/>
      </w:r>
    </w:p>
    <w:p>
      <w:pPr>
        <w:pStyle w:val="Heading6"/>
        <w:numPr>
          <w:ilvl w:val="5"/>
          <w:numId w:val="1"/>
        </w:numPr>
        <w:rPr/>
      </w:pPr>
      <w:bookmarkStart w:id="166" w:name="__RefHeading___Toc894839_2320776876"/>
      <w:bookmarkStart w:id="167" w:name="_Toc61"/>
      <w:bookmarkEnd w:id="166"/>
      <w:r>
        <w:rPr>
          <w:rtl w:val="true"/>
        </w:rPr>
        <w:t>في بيان اعتبار التواتر و حجّيّته</w:t>
      </w:r>
      <w:bookmarkEnd w:id="167"/>
    </w:p>
    <w:p>
      <w:pPr>
        <w:pStyle w:val="BookText"/>
        <w:rPr/>
      </w:pPr>
      <w:r>
        <w:rPr>
          <w:rFonts w:ascii="Amiri" w:hAnsi="Amiri" w:eastAsia="Amiri" w:cs="Amiri"/>
          <w:color w:val="111111"/>
          <w:sz w:val="28"/>
          <w:sz w:val="28"/>
          <w:szCs w:val="28"/>
          <w:rtl w:val="true"/>
          <w:lang w:bidi="ar-SA"/>
        </w:rPr>
        <w:t>فأمّا القَدحُ في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فمَعاذَ اللّٰهِ أن نَراه أو</w:t>
      </w:r>
      <w:r>
        <w:rPr>
          <w:rStyle w:val="FootnoteAnchor"/>
          <w:rtl w:val="true"/>
        </w:rPr>
        <w:footnoteReference w:id="1068"/>
      </w:r>
      <w:r>
        <w:rPr>
          <w:rFonts w:ascii="Amiri" w:hAnsi="Amiri" w:eastAsia="Amiri" w:cs="Amiri"/>
          <w:color w:val="111111"/>
          <w:sz w:val="28"/>
          <w:sz w:val="28"/>
          <w:szCs w:val="28"/>
          <w:rtl w:val="true"/>
          <w:lang w:bidi="ar-SA"/>
        </w:rPr>
        <w:t>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يَظُنُّ أنّا إذا مَنَعنا مِن أن يُحفَظَ الشرعُ به فقَد قَدَحنا فيه، فقَد أبعَدَ؛ لأنّ القَدحَ فيه إنّما يَكونُ بالطعنِ في كَونِه حُجّةً ، و طريقاً إلَى العِلمِ عند وُرودِه علىٰ شَرائطِه، فأمّا لِما ذَكرناه فلا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الحكايةِ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واحدٍ مِنهم إذا جازَ أن يَكتُمَ و يَكذِبَ ، فيَجِبُ جوازُ ذلكَ علىٰ جميعِهم، و أن لا يَصِحَّ القَطعُ علىٰ صِحّةِ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طَريفٌ </w:t>
      </w:r>
      <w:r>
        <w:rPr>
          <w:rStyle w:val="FootnoteAnchor"/>
          <w:rtl w:val="true"/>
        </w:rPr>
        <w:footnoteReference w:id="1069"/>
      </w:r>
      <w:r>
        <w:rPr>
          <w:rFonts w:ascii="Amiri" w:hAnsi="Amiri" w:eastAsia="Amiri" w:cs="Amiri"/>
          <w:color w:val="111111"/>
          <w:sz w:val="28"/>
          <w:sz w:val="28"/>
          <w:szCs w:val="28"/>
          <w:rtl w:val="true"/>
          <w:lang w:bidi="ar-SA"/>
        </w:rPr>
        <w:t xml:space="preserve">لأنّا لا نُجيزُ الكَذِبَ علىٰ جَماعتِهم علَى الحَدِّ الذي أَجَزناه علىٰ آحادِهم، و لَو كُنّا </w:t>
      </w:r>
    </w:p>
    <w:p>
      <w:pPr>
        <w:pStyle w:val="BookText"/>
        <w:rPr/>
      </w:pPr>
      <w:r>
        <w:rPr>
          <w:rFonts w:ascii="Amiri" w:hAnsi="Amiri" w:eastAsia="Amiri" w:cs="Amiri"/>
          <w:color w:val="111111"/>
          <w:sz w:val="28"/>
          <w:sz w:val="28"/>
          <w:szCs w:val="28"/>
          <w:rtl w:val="true"/>
          <w:lang w:bidi="ar-SA"/>
        </w:rPr>
        <w:t>نُجيزُ ذلكَ لَلَحِقنا</w:t>
      </w:r>
      <w:r>
        <w:rPr>
          <w:rStyle w:val="FootnoteAnchor"/>
          <w:rtl w:val="true"/>
        </w:rPr>
        <w:footnoteReference w:id="1070"/>
      </w:r>
      <w:r>
        <w:rPr>
          <w:rFonts w:ascii="Amiri" w:hAnsi="Amiri" w:eastAsia="Amiri" w:cs="Amiri"/>
          <w:color w:val="111111"/>
          <w:sz w:val="28"/>
          <w:sz w:val="28"/>
          <w:szCs w:val="28"/>
          <w:rtl w:val="true"/>
          <w:lang w:bidi="ar-SA"/>
        </w:rPr>
        <w:t>بمُنكِري</w:t>
      </w:r>
      <w:r>
        <w:rPr>
          <w:rStyle w:val="FootnoteAnchor"/>
          <w:rtl w:val="true"/>
        </w:rPr>
        <w:footnoteReference w:id="1071"/>
      </w:r>
      <w:r>
        <w:rPr>
          <w:rFonts w:ascii="Amiri" w:hAnsi="Amiri" w:eastAsia="Amiri" w:cs="Amiri"/>
          <w:color w:val="111111"/>
          <w:sz w:val="28"/>
          <w:sz w:val="28"/>
          <w:szCs w:val="28"/>
          <w:rtl w:val="true"/>
          <w:lang w:bidi="ar-SA"/>
        </w:rPr>
        <w:t>الأخبارِ و الذاهِبينَ إلىٰ أنّها لا توجِبُ عِلماً، و المعلومُ مِن مَذهَبِنا خِلافُ هذا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073"/>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علىٰ آحادِهم و جَماعاتِهم، فلَيسَ يَجِبُ أن يَكونَ مانِعاً مِن القَطعِ علىٰ صِحّةِ خبرِهم إذا وَرَدَ علَى الشرائطِ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يَكونُ مانِعاً مِن كَونِهم حافِظينَ للشرعِ ؛ لأنّه إذا جازَ ذلكَ عليهِم لَم نَثِقْ </w:t>
      </w:r>
      <w:r>
        <w:rPr>
          <w:rStyle w:val="FootnoteAnchor"/>
          <w:rtl w:val="true"/>
        </w:rPr>
        <w:footnoteReference w:id="1074"/>
      </w:r>
      <w:r>
        <w:rPr>
          <w:rFonts w:ascii="Amiri" w:hAnsi="Amiri" w:eastAsia="Amiri" w:cs="Amiri"/>
          <w:color w:val="111111"/>
          <w:sz w:val="28"/>
          <w:sz w:val="28"/>
          <w:szCs w:val="28"/>
          <w:rtl w:val="true"/>
          <w:lang w:bidi="ar-SA"/>
        </w:rPr>
        <w:t xml:space="preserve">بأنّه لَم يقَعْ مِنهم إلّا بأن يُقطَعَ </w:t>
      </w:r>
      <w:r>
        <w:rPr>
          <w:rStyle w:val="FootnoteAnchor"/>
          <w:rtl w:val="true"/>
        </w:rPr>
        <w:footnoteReference w:id="1075"/>
      </w:r>
      <w:r>
        <w:rPr>
          <w:rFonts w:ascii="Amiri" w:hAnsi="Amiri" w:eastAsia="Amiri" w:cs="Amiri"/>
          <w:color w:val="111111"/>
          <w:sz w:val="28"/>
          <w:sz w:val="28"/>
          <w:szCs w:val="28"/>
          <w:rtl w:val="true"/>
          <w:lang w:bidi="ar-SA"/>
        </w:rPr>
        <w:t>علىٰ وُجودِ معصومٍ يَكونُ وَراءَهم</w:t>
      </w:r>
      <w:r>
        <w:rPr>
          <w:rStyle w:val="FootnoteAnchor"/>
          <w:rtl w:val="true"/>
        </w:rPr>
        <w:footnoteReference w:id="1076"/>
      </w:r>
      <w:r>
        <w:rPr>
          <w:rFonts w:ascii="Amiri" w:hAnsi="Amiri" w:eastAsia="Amiri" w:cs="Amiri"/>
          <w:color w:val="111111"/>
          <w:sz w:val="28"/>
          <w:sz w:val="28"/>
          <w:szCs w:val="28"/>
          <w:rtl w:val="true"/>
          <w:lang w:bidi="ar-SA"/>
        </w:rPr>
        <w:t xml:space="preserve">متىٰ وقَعَ مِنهم الكِتمانُ الجائزُ عليهِم تَلافاه و بيَّنَ عنه، فلَيسَ يَجِبُ أن يَخلِطَ صاحبُ الكتابِ جَوازَ الكِتمانِ بجَوازِ الكَذِبِ </w:t>
      </w:r>
      <w:r>
        <w:rPr>
          <w:rStyle w:val="FootnoteAnchor"/>
          <w:rtl w:val="true"/>
        </w:rPr>
        <w:footnoteReference w:id="1077"/>
      </w:r>
      <w:r>
        <w:rPr>
          <w:rFonts w:ascii="Amiri" w:hAnsi="Amiri" w:eastAsia="Amiri" w:cs="Amiri"/>
          <w:color w:val="111111"/>
          <w:sz w:val="28"/>
          <w:sz w:val="28"/>
          <w:szCs w:val="28"/>
          <w:rtl w:val="true"/>
          <w:lang w:bidi="ar-SA"/>
        </w:rPr>
        <w:t>، و إخراجَهم مِن أن يَكونوا حافِظينَ للشرعِ بإخراجِهم مِن أن يَكونوا حُجّةً فيما يَتَواتَرونَ به؛ فإنّ ذلكَ لا يَختَلِطُ إلّاعندَ مَن لا معرفةَ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أمثالَ هذه الشُّبهةِ </w:t>
      </w:r>
      <w:r>
        <w:rPr>
          <w:rStyle w:val="FootnoteAnchor"/>
          <w:rtl w:val="true"/>
        </w:rPr>
        <w:footnoteReference w:id="1078"/>
      </w:r>
      <w:r>
        <w:rPr>
          <w:rFonts w:ascii="Amiri" w:hAnsi="Amiri" w:eastAsia="Amiri" w:cs="Amiri"/>
          <w:color w:val="111111"/>
          <w:sz w:val="28"/>
          <w:sz w:val="28"/>
          <w:szCs w:val="28"/>
          <w:rtl w:val="true"/>
          <w:lang w:bidi="ar-SA"/>
        </w:rPr>
        <w:t>لا يَجوزُ أن يَكونَ مبتدَأُها إلّامِن</w:t>
      </w:r>
      <w:r>
        <w:rPr>
          <w:rStyle w:val="FootnoteAnchor"/>
          <w:rtl w:val="true"/>
        </w:rPr>
        <w:footnoteReference w:id="1079"/>
      </w:r>
      <w:r>
        <w:rPr>
          <w:rFonts w:ascii="Amiri" w:hAnsi="Amiri" w:eastAsia="Amiri" w:cs="Amiri"/>
          <w:color w:val="111111"/>
          <w:sz w:val="28"/>
          <w:sz w:val="28"/>
          <w:szCs w:val="28"/>
          <w:rtl w:val="true"/>
          <w:lang w:bidi="ar-SA"/>
        </w:rPr>
        <w:t xml:space="preserve">مُلحِدٍ طاعِنٍ في الدِّينِ ؛ لأنّها إذا صَحَّت وَجَبَ بُطلانُ النبوّةِ و الإمامةِ ؛ </w:t>
      </w:r>
    </w:p>
    <w:p>
      <w:pPr>
        <w:pStyle w:val="BookText"/>
        <w:rPr/>
      </w:pPr>
      <w:r>
        <w:rPr>
          <w:rFonts w:ascii="Amiri" w:hAnsi="Amiri" w:eastAsia="Amiri" w:cs="Amiri"/>
          <w:color w:val="111111"/>
          <w:sz w:val="28"/>
          <w:sz w:val="28"/>
          <w:szCs w:val="28"/>
          <w:rtl w:val="true"/>
          <w:lang w:bidi="ar-SA"/>
        </w:rPr>
        <w:t>لأنّا إنّما</w:t>
      </w:r>
      <w:r>
        <w:rPr>
          <w:rStyle w:val="FootnoteAnchor"/>
          <w:rtl w:val="true"/>
        </w:rPr>
        <w:footnoteReference w:id="1080"/>
      </w:r>
      <w:r>
        <w:rPr>
          <w:rFonts w:ascii="Amiri" w:hAnsi="Amiri" w:eastAsia="Amiri" w:cs="Amiri"/>
          <w:color w:val="111111"/>
          <w:sz w:val="28"/>
          <w:sz w:val="28"/>
          <w:szCs w:val="28"/>
          <w:rtl w:val="true"/>
          <w:lang w:bidi="ar-SA"/>
        </w:rPr>
        <w:t>نَعلَمُ بالتواتُرِ كَونَ النبيِّ و كَونَ القُرآنِ و وقوعَ التحَدّي</w:t>
      </w:r>
      <w:r>
        <w:rPr>
          <w:rStyle w:val="FootnoteAnchor"/>
          <w:rtl w:val="true"/>
        </w:rPr>
        <w:footnoteReference w:id="1081"/>
      </w:r>
      <w:r>
        <w:rPr>
          <w:rFonts w:ascii="Amiri" w:hAnsi="Amiri" w:eastAsia="Amiri" w:cs="Amiri"/>
          <w:color w:val="111111"/>
          <w:sz w:val="28"/>
          <w:sz w:val="28"/>
          <w:szCs w:val="28"/>
          <w:rtl w:val="true"/>
          <w:lang w:bidi="ar-SA"/>
        </w:rPr>
        <w:t>، و أنّه</w:t>
      </w:r>
      <w:r>
        <w:rPr>
          <w:rStyle w:val="FootnoteAnchor"/>
          <w:rtl w:val="true"/>
        </w:rPr>
        <w:footnoteReference w:id="1082"/>
      </w:r>
      <w:r>
        <w:rPr>
          <w:rFonts w:ascii="Amiri" w:hAnsi="Amiri" w:eastAsia="Amiri" w:cs="Amiri"/>
          <w:color w:val="111111"/>
          <w:sz w:val="28"/>
          <w:sz w:val="28"/>
          <w:szCs w:val="28"/>
          <w:rtl w:val="true"/>
          <w:lang w:bidi="ar-SA"/>
        </w:rPr>
        <w:t>لَم يقَعْ مِن جهتِهم معارَضةٌ‌، و به نَعلَمُ‌</w:t>
      </w:r>
      <w:r>
        <w:rPr>
          <w:rStyle w:val="FootnoteAnchor"/>
          <w:rtl w:val="true"/>
        </w:rPr>
        <w:footnoteReference w:id="1083"/>
      </w:r>
      <w:r>
        <w:rPr>
          <w:rFonts w:ascii="Amiri" w:hAnsi="Amiri" w:eastAsia="Amiri" w:cs="Amiri"/>
          <w:color w:val="111111"/>
          <w:sz w:val="28"/>
          <w:sz w:val="28"/>
          <w:szCs w:val="28"/>
          <w:rtl w:val="true"/>
          <w:lang w:bidi="ar-SA"/>
        </w:rPr>
        <w:t>ثُبوتَ‌</w:t>
      </w:r>
      <w:r>
        <w:rPr>
          <w:rStyle w:val="FootnoteAnchor"/>
          <w:rtl w:val="true"/>
        </w:rPr>
        <w:footnoteReference w:id="1084"/>
      </w:r>
      <w:r>
        <w:rPr>
          <w:rFonts w:ascii="Amiri" w:hAnsi="Amiri" w:eastAsia="Amiri" w:cs="Amiri"/>
          <w:color w:val="111111"/>
          <w:sz w:val="28"/>
          <w:sz w:val="28"/>
          <w:szCs w:val="28"/>
          <w:rtl w:val="true"/>
          <w:lang w:bidi="ar-SA"/>
        </w:rPr>
        <w:t>الشرائعِ و نَسخَ المنسوخِ مِنها، و به نَعلَمُ‌</w:t>
      </w:r>
      <w:r>
        <w:rPr>
          <w:rStyle w:val="FootnoteAnchor"/>
          <w:rtl w:val="true"/>
        </w:rPr>
        <w:footnoteReference w:id="1085"/>
      </w:r>
      <w:r>
        <w:rPr>
          <w:rFonts w:ascii="Amiri" w:hAnsi="Amiri" w:eastAsia="Amiri" w:cs="Amiri"/>
          <w:color w:val="111111"/>
          <w:sz w:val="28"/>
          <w:sz w:val="28"/>
          <w:szCs w:val="28"/>
          <w:rtl w:val="true"/>
          <w:lang w:bidi="ar-SA"/>
        </w:rPr>
        <w:t xml:space="preserve">أنّه عليهِ السلامُ خاتَمُ النبيّينَ‌، و أنّ شَريعتَه ثابتةٌ‌، و أنّه لا نَبيَّ معه و 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فالطاعِنُ في التواتُرِ يُريدُ التشكيكَ في جميعِ ما قَدَّمناه ممّا بإبطالِه أو</w:t>
      </w:r>
      <w:r>
        <w:rPr>
          <w:rStyle w:val="FootnoteAnchor"/>
          <w:rtl w:val="true"/>
        </w:rPr>
        <w:footnoteReference w:id="1087"/>
      </w:r>
      <w:r>
        <w:rPr>
          <w:rFonts w:ascii="Amiri" w:hAnsi="Amiri" w:eastAsia="Amiri" w:cs="Amiri"/>
          <w:color w:val="111111"/>
          <w:sz w:val="28"/>
          <w:sz w:val="28"/>
          <w:szCs w:val="28"/>
          <w:rtl w:val="true"/>
          <w:lang w:bidi="ar-SA"/>
        </w:rPr>
        <w:t xml:space="preserve">بإبطالِ </w:t>
      </w:r>
      <w:r>
        <w:rPr>
          <w:rStyle w:val="FootnoteAnchor"/>
          <w:rtl w:val="true"/>
        </w:rPr>
        <w:footnoteReference w:id="1088"/>
      </w:r>
      <w:r>
        <w:rPr>
          <w:rFonts w:ascii="Amiri" w:hAnsi="Amiri" w:eastAsia="Amiri" w:cs="Amiri"/>
          <w:color w:val="111111"/>
          <w:sz w:val="28"/>
          <w:sz w:val="28"/>
          <w:szCs w:val="28"/>
          <w:rtl w:val="true"/>
          <w:lang w:bidi="ar-SA"/>
        </w:rPr>
        <w:t xml:space="preserve">بعضِه يَبطُلُ الدِّينُ ، فكيفَ </w:t>
      </w:r>
      <w:r>
        <w:rPr>
          <w:rStyle w:val="FootnoteAnchor"/>
          <w:rtl w:val="true"/>
        </w:rPr>
        <w:footnoteReference w:id="1089"/>
      </w:r>
      <w:r>
        <w:rPr>
          <w:rFonts w:ascii="Amiri" w:hAnsi="Amiri" w:eastAsia="Amiri" w:cs="Amiri"/>
          <w:color w:val="111111"/>
          <w:sz w:val="28"/>
          <w:sz w:val="28"/>
          <w:szCs w:val="28"/>
          <w:rtl w:val="true"/>
          <w:lang w:bidi="ar-SA"/>
        </w:rPr>
        <w:t>يُعلَمُ مع فَسادِ التواتُرِ القُرآنُ و تميُّزُه</w:t>
      </w:r>
      <w:r>
        <w:rPr>
          <w:rStyle w:val="FootnoteAnchor"/>
          <w:rtl w:val="true"/>
        </w:rPr>
        <w:footnoteReference w:id="1090"/>
      </w:r>
      <w:r>
        <w:rPr>
          <w:rFonts w:ascii="Amiri" w:hAnsi="Amiri" w:eastAsia="Amiri" w:cs="Amiri"/>
          <w:color w:val="111111"/>
          <w:sz w:val="28"/>
          <w:sz w:val="28"/>
          <w:szCs w:val="28"/>
          <w:rtl w:val="true"/>
          <w:lang w:bidi="ar-SA"/>
        </w:rPr>
        <w:t>مِن غَيرِه حتّىٰ يَكونَ حُجّةً؟ و هذا القَولُ أدّاهم إلىٰ جوازِ الزيادةِ في القُرآنِ و أنّها قد كُتِمَت</w:t>
      </w:r>
      <w:r>
        <w:rPr>
          <w:rFonts w:eastAsia="Amiri" w:cs="Amiri" w:ascii="Amiri" w:hAnsi="Amiri"/>
          <w:color w:val="111111"/>
          <w:sz w:val="28"/>
          <w:szCs w:val="28"/>
          <w:rtl w:val="true"/>
          <w:lang w:bidi="ar-SA"/>
        </w:rPr>
        <w:t>.</w:t>
      </w:r>
      <w:r>
        <w:rPr>
          <w:rStyle w:val="FootnoteAnchor"/>
          <w:rtl w:val="true"/>
        </w:rPr>
        <w:footnoteReference w:id="10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Style w:val="FootnoteAnchor"/>
          <w:rtl w:val="true"/>
        </w:rPr>
        <w:footnoteReference w:id="109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أنّا</w:t>
      </w:r>
      <w:r>
        <w:rPr>
          <w:rStyle w:val="FootnoteAnchor"/>
          <w:rtl w:val="true"/>
        </w:rPr>
        <w:footnoteReference w:id="1093"/>
      </w:r>
      <w:r>
        <w:rPr>
          <w:rFonts w:ascii="Amiri" w:hAnsi="Amiri" w:eastAsia="Amiri" w:cs="Amiri"/>
          <w:color w:val="111111"/>
          <w:sz w:val="28"/>
          <w:sz w:val="28"/>
          <w:szCs w:val="28"/>
          <w:rtl w:val="true"/>
          <w:lang w:bidi="ar-SA"/>
        </w:rPr>
        <w:t xml:space="preserve">لا نَطعَنُ </w:t>
      </w:r>
      <w:r>
        <w:rPr>
          <w:rStyle w:val="FootnoteAnchor"/>
          <w:rtl w:val="true"/>
        </w:rPr>
        <w:footnoteReference w:id="1094"/>
      </w:r>
      <w:r>
        <w:rPr>
          <w:rFonts w:ascii="Amiri" w:hAnsi="Amiri" w:eastAsia="Amiri" w:cs="Amiri"/>
          <w:color w:val="111111"/>
          <w:sz w:val="28"/>
          <w:sz w:val="28"/>
          <w:szCs w:val="28"/>
          <w:rtl w:val="true"/>
          <w:lang w:bidi="ar-SA"/>
        </w:rPr>
        <w:t>عليه و لا نَقدَحُ فيه</w:t>
      </w:r>
      <w:r>
        <w:rPr>
          <w:rStyle w:val="FootnoteAnchor"/>
          <w:rtl w:val="true"/>
        </w:rPr>
        <w:footnoteReference w:id="1095"/>
      </w:r>
      <w:r>
        <w:rPr>
          <w:rFonts w:ascii="Amiri" w:hAnsi="Amiri" w:eastAsia="Amiri" w:cs="Amiri"/>
          <w:color w:val="111111"/>
          <w:sz w:val="28"/>
          <w:sz w:val="28"/>
          <w:szCs w:val="28"/>
          <w:rtl w:val="true"/>
          <w:lang w:bidi="ar-SA"/>
        </w:rPr>
        <w:t xml:space="preserve">، بَل هو </w:t>
      </w:r>
      <w:bookmarkStart w:id="168" w:name="pg20015_284850"/>
    </w:p>
    <w:p>
      <w:pPr>
        <w:pStyle w:val="BookText"/>
        <w:rPr/>
      </w:pPr>
      <w:bookmarkEnd w:id="168"/>
      <w:r>
        <w:rPr>
          <w:rFonts w:ascii="Amiri" w:hAnsi="Amiri" w:eastAsia="Amiri" w:cs="Amiri"/>
          <w:color w:val="111111"/>
          <w:sz w:val="28"/>
          <w:sz w:val="28"/>
          <w:szCs w:val="28"/>
          <w:rtl w:val="true"/>
          <w:lang w:bidi="ar-SA"/>
        </w:rPr>
        <w:t xml:space="preserve">عندَنا مِن حُجَجِ اللّٰهِ تَعالىٰ علىٰ عِبادِه، و أحَدُ الطرُقِ إلَى العِلمِ ، فمَن ظَنَّ علينا خِلافَ هذا، أو رَمانا بإبطالِه، فهو مُبطِلٌ متَشَوِّقٌ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الذي نَذهَبُ إليه مِن جوازِ الكِتمانِ و العُدولِ عن النقلِ علَى الناقِلينَ لا يَقتَضي إبطالَ التواتُرِ و تَركَ العملِ عليه إذا ورَدَ علىٰ شرائطِه؛ لأنّه إنّما يَكونُ حُجّةً إذا قامَ الرُّواةُ بأدائه و نَقلِه، فأمّا إذا لَم يَفعَلوا ذلكَ فقَد سقَطَت الحُجّةُ به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894841_2320776876"/>
      <w:bookmarkStart w:id="170" w:name="_Toc62"/>
      <w:bookmarkEnd w:id="169"/>
      <w:r>
        <w:rPr>
          <w:rtl w:val="true"/>
        </w:rPr>
        <w:t>في بيان ما يثبت بالتواتر و ما لا يثبت</w:t>
      </w:r>
      <w:bookmarkEnd w:id="170"/>
    </w:p>
    <w:p>
      <w:pPr>
        <w:pStyle w:val="BookText"/>
        <w:rPr/>
      </w:pPr>
      <w:r>
        <w:rPr>
          <w:rFonts w:ascii="Amiri" w:hAnsi="Amiri" w:eastAsia="Amiri" w:cs="Amiri"/>
          <w:color w:val="111111"/>
          <w:sz w:val="28"/>
          <w:sz w:val="28"/>
          <w:szCs w:val="28"/>
          <w:rtl w:val="true"/>
          <w:lang w:bidi="ar-SA"/>
        </w:rPr>
        <w:t xml:space="preserve">و جميعُ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التواتُرَ طريقاً إليه، مِن العِلمِ بكَونِ النبيِّ و القُرآنِ و وُقوعِ التحَدّي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 لَيسَ بحُجّةٍ علينا؛ بل علىٰ مَن طعَنَ علَى التواتُرِ، و ذهَبَ إلىٰ أنّه لَيسَ بطريقٍ إلَى العِلمِ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عدمُ المعارَضةِ‌، و ادّعاؤه أنّ‌</w:t>
      </w:r>
      <w:r>
        <w:rPr>
          <w:rStyle w:val="FootnoteAnchor"/>
          <w:rtl w:val="true"/>
        </w:rPr>
        <w:footnoteReference w:id="1098"/>
      </w:r>
      <w:r>
        <w:rPr>
          <w:rFonts w:ascii="Amiri" w:hAnsi="Amiri" w:eastAsia="Amiri" w:cs="Amiri"/>
          <w:color w:val="111111"/>
          <w:sz w:val="28"/>
          <w:sz w:val="28"/>
          <w:szCs w:val="28"/>
          <w:rtl w:val="true"/>
          <w:lang w:bidi="ar-SA"/>
        </w:rPr>
        <w:t>الطريقَ إلىٰ فَقدِها</w:t>
      </w:r>
      <w:r>
        <w:rPr>
          <w:rStyle w:val="FootnoteAnchor"/>
          <w:rtl w:val="true"/>
        </w:rPr>
        <w:footnoteReference w:id="1099"/>
      </w:r>
      <w:r>
        <w:rPr>
          <w:rFonts w:ascii="Amiri" w:hAnsi="Amiri" w:eastAsia="Amiri" w:cs="Amiri"/>
          <w:color w:val="111111"/>
          <w:sz w:val="28"/>
          <w:sz w:val="28"/>
          <w:szCs w:val="28"/>
          <w:rtl w:val="true"/>
          <w:lang w:bidi="ar-SA"/>
        </w:rPr>
        <w:t>هو التواتُرُ، و إدخالُه ذلكَ في جُملةِ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فطَريفٌ‌؛ لأنّ مِثلَ هذا لا يُعلَمُ بالتواتُرِ، و لا يَصِحُّ النقلُ فيه، و إنّما يُعلَمُ فَقدُ المعارَضةِ مِن حَيثُ عَلِمنا تَوَفُّرَ</w:t>
      </w:r>
      <w:r>
        <w:rPr>
          <w:rStyle w:val="FootnoteAnchor"/>
          <w:rtl w:val="true"/>
        </w:rPr>
        <w:footnoteReference w:id="1100"/>
      </w:r>
      <w:r>
        <w:rPr>
          <w:rFonts w:ascii="Amiri" w:hAnsi="Amiri" w:eastAsia="Amiri" w:cs="Amiri"/>
          <w:color w:val="111111"/>
          <w:sz w:val="28"/>
          <w:sz w:val="28"/>
          <w:szCs w:val="28"/>
          <w:rtl w:val="true"/>
          <w:lang w:bidi="ar-SA"/>
        </w:rPr>
        <w:t xml:space="preserve">دَواعي المُخالِفينَ إلىٰ نَقلِها، و حِرصَهم علىٰ ذِكرِها و الإشادةِ </w:t>
      </w:r>
      <w:r>
        <w:rPr>
          <w:rStyle w:val="FootnoteAnchor"/>
          <w:rtl w:val="true"/>
        </w:rPr>
        <w:footnoteReference w:id="1101"/>
      </w:r>
      <w:r>
        <w:rPr>
          <w:rFonts w:ascii="Amiri" w:hAnsi="Amiri" w:eastAsia="Amiri" w:cs="Amiri"/>
          <w:color w:val="111111"/>
          <w:sz w:val="28"/>
          <w:sz w:val="28"/>
          <w:szCs w:val="28"/>
          <w:rtl w:val="true"/>
          <w:lang w:bidi="ar-SA"/>
        </w:rPr>
        <w:t>بها لَو كانَت موجودةً ، فإذا</w:t>
      </w:r>
      <w:r>
        <w:rPr>
          <w:rStyle w:val="FootnoteAnchor"/>
          <w:rtl w:val="true"/>
        </w:rPr>
        <w:footnoteReference w:id="1102"/>
      </w:r>
      <w:r>
        <w:rPr>
          <w:rFonts w:ascii="Amiri" w:hAnsi="Amiri" w:eastAsia="Amiri" w:cs="Amiri"/>
          <w:color w:val="111111"/>
          <w:sz w:val="28"/>
          <w:sz w:val="28"/>
          <w:szCs w:val="28"/>
          <w:rtl w:val="true"/>
          <w:lang w:bidi="ar-SA"/>
        </w:rPr>
        <w:t xml:space="preserve">فَقَدنا الروايةَ لها مع </w:t>
      </w:r>
    </w:p>
    <w:p>
      <w:pPr>
        <w:pStyle w:val="BookText"/>
        <w:rPr/>
      </w:pPr>
      <w:r>
        <w:rPr>
          <w:rFonts w:ascii="Amiri" w:hAnsi="Amiri" w:eastAsia="Amiri" w:cs="Amiri"/>
          <w:color w:val="111111"/>
          <w:sz w:val="28"/>
          <w:sz w:val="28"/>
          <w:szCs w:val="28"/>
          <w:rtl w:val="true"/>
          <w:lang w:bidi="ar-SA"/>
        </w:rPr>
        <w:t>قُوّةِ الدَّواعي و شِدّةِ البَواعِثِ قَطَعنا علىٰ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103"/>
      </w:r>
      <w:r>
        <w:rPr>
          <w:rFonts w:ascii="Amiri" w:hAnsi="Amiri" w:eastAsia="Amiri" w:cs="Amiri"/>
          <w:color w:val="111111"/>
          <w:sz w:val="28"/>
          <w:sz w:val="28"/>
          <w:szCs w:val="28"/>
          <w:rtl w:val="true"/>
          <w:lang w:bidi="ar-SA"/>
        </w:rPr>
        <w:t>ثُبوتُ الشرائعِ‌، و الناسخِ و المنسوخِ‌، و ما جَرىٰ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w:t>
      </w:r>
      <w:r>
        <w:rPr>
          <w:rStyle w:val="FootnoteAnchor"/>
          <w:rtl w:val="true"/>
        </w:rPr>
        <w:footnoteReference w:id="1104"/>
      </w:r>
      <w:r>
        <w:rPr>
          <w:rFonts w:ascii="Amiri" w:hAnsi="Amiri" w:eastAsia="Amiri" w:cs="Amiri"/>
          <w:color w:val="111111"/>
          <w:sz w:val="28"/>
          <w:sz w:val="28"/>
          <w:szCs w:val="28"/>
          <w:rtl w:val="true"/>
          <w:lang w:bidi="ar-SA"/>
        </w:rPr>
        <w:t>مِن جهةِ التواتُرِ ما ورَدَت به الروايةُ المتَواتِرةُ‌، و نَعلَمُ‌</w:t>
      </w:r>
      <w:r>
        <w:rPr>
          <w:rStyle w:val="FootnoteAnchor"/>
          <w:rtl w:val="true"/>
        </w:rPr>
        <w:footnoteReference w:id="1105"/>
      </w:r>
      <w:r>
        <w:rPr>
          <w:rFonts w:ascii="Amiri" w:hAnsi="Amiri" w:eastAsia="Amiri" w:cs="Amiri"/>
          <w:color w:val="111111"/>
          <w:sz w:val="28"/>
          <w:sz w:val="28"/>
          <w:szCs w:val="28"/>
          <w:rtl w:val="true"/>
          <w:lang w:bidi="ar-SA"/>
        </w:rPr>
        <w:t>أنّ جميعَ الشرعِ واصِلٌ إلينا مِن جهتِه، و أنّه لَم يَنكَتِمْ عنّا مِنه شيءٌ بالطريقِ الذي قَدَّمناه</w:t>
      </w:r>
      <w:r>
        <w:rPr>
          <w:rStyle w:val="FootnoteAnchor"/>
          <w:rtl w:val="true"/>
        </w:rPr>
        <w:footnoteReference w:id="1106"/>
      </w:r>
      <w:r>
        <w:rPr>
          <w:rFonts w:ascii="Amiri" w:hAnsi="Amiri" w:eastAsia="Amiri" w:cs="Amiri"/>
          <w:color w:val="111111"/>
          <w:sz w:val="28"/>
          <w:sz w:val="28"/>
          <w:szCs w:val="28"/>
          <w:rtl w:val="true"/>
          <w:lang w:bidi="ar-SA"/>
        </w:rPr>
        <w:t>، و هو أنّ الإمامَ المعصومَ إذا كانَ موجوداً في كُلِّ زمانٍ و جَرىٰ في الشريعةِ ما قَدَّرناه</w:t>
      </w:r>
      <w:r>
        <w:rPr>
          <w:rStyle w:val="FootnoteAnchor"/>
          <w:rtl w:val="true"/>
        </w:rPr>
        <w:footnoteReference w:id="1107"/>
      </w:r>
      <w:r>
        <w:rPr>
          <w:rFonts w:ascii="Amiri" w:hAnsi="Amiri" w:eastAsia="Amiri" w:cs="Amiri"/>
          <w:color w:val="111111"/>
          <w:sz w:val="28"/>
          <w:sz w:val="28"/>
          <w:szCs w:val="28"/>
          <w:rtl w:val="true"/>
          <w:lang w:bidi="ar-SA"/>
        </w:rPr>
        <w:t>وَجَبَ عليه الظهورُ</w:t>
      </w:r>
    </w:p>
    <w:p>
      <w:pPr>
        <w:pStyle w:val="BookText"/>
        <w:rPr/>
      </w:pPr>
      <w:r>
        <w:rPr>
          <w:rFonts w:ascii="Amiri" w:hAnsi="Amiri" w:eastAsia="Amiri" w:cs="Amiri"/>
          <w:color w:val="111111"/>
          <w:sz w:val="28"/>
          <w:sz w:val="28"/>
          <w:szCs w:val="28"/>
          <w:rtl w:val="true"/>
          <w:lang w:bidi="ar-SA"/>
        </w:rPr>
        <w:t xml:space="preserve">و البيانُ ، و إيصالُ المكلَّفينَ إلَى العِلمِ بما طَواه الناقِلونَ ؛ فنَعلَمُ </w:t>
      </w:r>
      <w:r>
        <w:rPr>
          <w:rStyle w:val="FootnoteAnchor"/>
          <w:rtl w:val="true"/>
        </w:rPr>
        <w:footnoteReference w:id="1108"/>
      </w:r>
      <w:r>
        <w:rPr>
          <w:rFonts w:ascii="Amiri" w:hAnsi="Amiri" w:eastAsia="Amiri" w:cs="Amiri"/>
          <w:color w:val="111111"/>
          <w:sz w:val="28"/>
          <w:sz w:val="28"/>
          <w:szCs w:val="28"/>
          <w:rtl w:val="true"/>
          <w:lang w:bidi="ar-SA"/>
        </w:rPr>
        <w:t xml:space="preserve">بفَقدِ تنبيهِه علَى الخَلَلِ الواقعِ في الشريعةِ عدَمَ ذلكَ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القَولُ‌ بأنّ في القُرآنِ زيادةً كُتِمَت و لَم تُنقَلْ‌</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يَتعَدَّ الذاهِبونَ إليه ما تَناصَرَت به الرواياتُ‌</w:t>
      </w:r>
      <w:r>
        <w:rPr>
          <w:rStyle w:val="FootnoteAnchor"/>
          <w:rtl w:val="true"/>
        </w:rPr>
        <w:footnoteReference w:id="1110"/>
      </w:r>
      <w:r>
        <w:rPr>
          <w:rFonts w:ascii="Amiri" w:hAnsi="Amiri" w:eastAsia="Amiri" w:cs="Amiri"/>
          <w:color w:val="111111"/>
          <w:sz w:val="28"/>
          <w:sz w:val="28"/>
          <w:szCs w:val="28"/>
          <w:rtl w:val="true"/>
          <w:lang w:bidi="ar-SA"/>
        </w:rPr>
        <w:t>و أجمَعَ‌</w:t>
      </w:r>
      <w:r>
        <w:rPr>
          <w:rStyle w:val="FootnoteAnchor"/>
          <w:rtl w:val="true"/>
        </w:rPr>
        <w:footnoteReference w:id="1111"/>
      </w:r>
      <w:r>
        <w:rPr>
          <w:rFonts w:ascii="Amiri" w:hAnsi="Amiri" w:eastAsia="Amiri" w:cs="Amiri"/>
          <w:color w:val="111111"/>
          <w:sz w:val="28"/>
          <w:sz w:val="28"/>
          <w:szCs w:val="28"/>
          <w:rtl w:val="true"/>
          <w:lang w:bidi="ar-SA"/>
        </w:rPr>
        <w:t>عليه الرُّواةُ مِن نَقلِ آيٍ و ألفاظٍ كَثيرةٍ شَهِدَ جَماعةٌ مِن الصَّحابةِ أنّها كانَت تُقرأُ في جُملةِ القُرآنِ و هي غَيرُ موجودةٍ فيما تَضمَّنَه مُصحَفُنا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فيما رُويَ مِن ذلكَ ظاهرةٌ </w:t>
      </w:r>
      <w:r>
        <w:rPr>
          <w:rStyle w:val="FootnoteAnchor"/>
          <w:rtl w:val="true"/>
        </w:rPr>
        <w:footnoteReference w:id="1112"/>
      </w:r>
      <w:r>
        <w:rPr>
          <w:rFonts w:ascii="Amiri" w:hAnsi="Amiri" w:eastAsia="Amiri" w:cs="Amiri"/>
          <w:color w:val="111111"/>
          <w:sz w:val="28"/>
          <w:sz w:val="28"/>
          <w:szCs w:val="28"/>
          <w:rtl w:val="true"/>
          <w:lang w:bidi="ar-SA"/>
        </w:rPr>
        <w:t xml:space="preserve">، و لَيسَ </w:t>
      </w:r>
    </w:p>
    <w:p>
      <w:pPr>
        <w:pStyle w:val="BookText"/>
        <w:rPr/>
      </w:pPr>
      <w:r>
        <w:rPr>
          <w:rFonts w:ascii="Amiri" w:hAnsi="Amiri" w:eastAsia="Amiri" w:cs="Amiri"/>
          <w:color w:val="111111"/>
          <w:sz w:val="28"/>
          <w:sz w:val="28"/>
          <w:szCs w:val="28"/>
          <w:rtl w:val="true"/>
          <w:lang w:bidi="ar-SA"/>
        </w:rPr>
        <w:t>المُعَوَّلُ‌</w:t>
      </w:r>
      <w:r>
        <w:rPr>
          <w:rStyle w:val="FootnoteAnchor"/>
          <w:rtl w:val="true"/>
        </w:rPr>
        <w:footnoteReference w:id="1113"/>
      </w:r>
      <w:r>
        <w:rPr>
          <w:rFonts w:ascii="Amiri" w:hAnsi="Amiri" w:eastAsia="Amiri" w:cs="Amiri"/>
          <w:color w:val="111111"/>
          <w:sz w:val="28"/>
          <w:sz w:val="28"/>
          <w:szCs w:val="28"/>
          <w:rtl w:val="true"/>
          <w:lang w:bidi="ar-SA"/>
        </w:rPr>
        <w:t>فيما جَرىٰ مَجرَى النَّقلِ علىٰ مَن لَيسَ مِن أهلِه ممّن يَدفَعُ باقتِراحٍ‌</w:t>
      </w:r>
      <w:r>
        <w:rPr>
          <w:rStyle w:val="FootnoteAnchor"/>
          <w:rtl w:val="true"/>
        </w:rPr>
        <w:footnoteReference w:id="1114"/>
      </w:r>
      <w:r>
        <w:rPr>
          <w:rFonts w:ascii="Amiri" w:hAnsi="Amiri" w:eastAsia="Amiri" w:cs="Amiri"/>
          <w:color w:val="111111"/>
          <w:sz w:val="28"/>
          <w:sz w:val="28"/>
          <w:szCs w:val="28"/>
          <w:rtl w:val="true"/>
          <w:lang w:bidi="ar-SA"/>
        </w:rPr>
        <w:t>كُلَّ ما ثَلَمَ اعتقاداً له أو خالَفَ مَذهباً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يَلزَمُ لأجلِ هذا التجويزِ ما لا يَزالُ يَقولُه لنا</w:t>
      </w:r>
      <w:r>
        <w:rPr>
          <w:rStyle w:val="FootnoteAnchor"/>
          <w:rtl w:val="true"/>
        </w:rPr>
        <w:footnoteReference w:id="1115"/>
      </w:r>
      <w:r>
        <w:rPr>
          <w:rFonts w:ascii="Amiri" w:hAnsi="Amiri" w:eastAsia="Amiri" w:cs="Amiri"/>
          <w:color w:val="111111"/>
          <w:sz w:val="28"/>
          <w:sz w:val="28"/>
          <w:szCs w:val="28"/>
          <w:rtl w:val="true"/>
          <w:lang w:bidi="ar-SA"/>
        </w:rPr>
        <w:t>مُخالِفونا مِن إلزامِهم التجويزَ</w:t>
      </w:r>
    </w:p>
    <w:p>
      <w:pPr>
        <w:pStyle w:val="BookText"/>
        <w:rPr/>
      </w:pPr>
      <w:r>
        <w:rPr>
          <w:rFonts w:ascii="Amiri" w:hAnsi="Amiri" w:eastAsia="Amiri" w:cs="Amiri"/>
          <w:color w:val="111111"/>
          <w:sz w:val="28"/>
          <w:sz w:val="28"/>
          <w:szCs w:val="28"/>
          <w:rtl w:val="true"/>
          <w:lang w:bidi="ar-SA"/>
        </w:rPr>
        <w:t>لِأنْ يَكونَ في جُملةِ ما لَم يتَّصِلْ بنا مِن القُرآنِ فَرائضُ و سُنَنٌ و أحكامٌ‌؛ لأنّا نأمَنُ ذلكَ بالوجهِ الذي ذَكرناه و عَوَّلنا عليه في الثقةِ‌</w:t>
      </w:r>
      <w:r>
        <w:rPr>
          <w:rStyle w:val="FootnoteAnchor"/>
          <w:rtl w:val="true"/>
        </w:rPr>
        <w:footnoteReference w:id="1116"/>
      </w:r>
      <w:r>
        <w:rPr>
          <w:rFonts w:ascii="Amiri" w:hAnsi="Amiri" w:eastAsia="Amiri" w:cs="Amiri"/>
          <w:color w:val="111111"/>
          <w:sz w:val="28"/>
          <w:sz w:val="28"/>
          <w:szCs w:val="28"/>
          <w:rtl w:val="true"/>
          <w:lang w:bidi="ar-SA"/>
        </w:rPr>
        <w:t>بوُصولِ جميعِ الشرعِ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المُلحِدُ المشَكِّكُ في الدِّينِ هو</w:t>
      </w:r>
      <w:r>
        <w:rPr>
          <w:rStyle w:val="FootnoteAnchor"/>
          <w:rtl w:val="true"/>
        </w:rPr>
        <w:footnoteReference w:id="1117"/>
      </w:r>
      <w:r>
        <w:rPr>
          <w:rFonts w:ascii="Amiri" w:hAnsi="Amiri" w:eastAsia="Amiri" w:cs="Amiri"/>
          <w:color w:val="111111"/>
          <w:sz w:val="28"/>
          <w:sz w:val="28"/>
          <w:szCs w:val="28"/>
          <w:rtl w:val="true"/>
          <w:lang w:bidi="ar-SA"/>
        </w:rPr>
        <w:t>مَن لَم يَجعَلِ الأُمّةَ المختَلِفةَ المتعاديةَ‌</w:t>
      </w:r>
      <w:r>
        <w:rPr>
          <w:rStyle w:val="FootnoteAnchor"/>
          <w:rtl w:val="true"/>
        </w:rPr>
        <w:footnoteReference w:id="11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الرجم قرأناها و وعيناها و عقلناها، فرجم رسول اللّٰه صلّى اللّٰه عليه و سلّم و رجمنا بعده، فأخشىٰ إن طال بنا الزمان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الرجم في كتاب اللّٰه، فيضلّوا بترك فريضة أنزلها اللّٰه، و إنّ الرجم في كتاب اللّٰه حقّ على من زنى إذا أُحصن من الرجال و النساء إذا قامت البيّنة، أو كان الحبل، أو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من باب ما نسخ رسمه و بقي حكمه، أو كما روي عن ابن مسعود أنّه 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 باب التوضيح و تبيين سبب النزول، لا أنّها من نفس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ورد من الروايات سواء كان من طريق أهل السنّة أو الشيعة مرفوضة مردودة على رواتها، لأنّ القرآن كتاب اللّٰه الذي لا يأتيه الباطل من بين يديه و لا من خلفه، و قد تعهّد سبحانه بحفظه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ادّعى غير ذلك فهو مخترق أو مغالط أو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القراءات التي لا تغيّر مباني الكلمات التي أذن اللّٰه بها على لسان نبيّه صلّى اللّٰه عليه و آله، كما هو معروف بين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للمزيد من الاطلاع يراجع البيان للسيّد الخوئيّ ، و عقائد الشيعة الإمامية للمظفّر، و أصل الشيعة و أصولها لكاشف الغطاء، و مراد المصنّف رحمه اللّٰه أنّ ذلك وارد، لا أنّه يعتقد صحّته، و على كلّ حال فإجماع الأُمّة علىٰ أنّ من زعم أنّ شيئاً ممّا بين الدفّتين ليس من القرآن فهو خارج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الإتقان للسيوطيّ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يَجوزُ عليها الخطأُ و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حِفظِ الشرعِ‌، و قصَرَ حِفظَه على معصومٍ كاملٍ لا يَجوزُ عليه شَيءٌ ممّا عدَّدناه، بَل المُلحِدُ المشَكِّكُ في الدِّينِ الناطقُ بلِسانِ أعدائه و خُصومِه هو مَن ذَهَبَ إلىٰ أنّ الشرعَ محفوظٌ بمَن وَصَفنا حالَه؛ لأنّ الناظِرَ المتأمِّلَ إذا فكَّرَ فيمن جعَلَه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هؤلاءِ القَومُ حُجّةً في الشرعِ حافظاً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و رأىٰ ما هُم عليهِ مِن جَوازِ الخطإ، و الإعراضِ عن النقلِ‌، و المَيلِ إلَى الهَوىٰ و أسبابِه، كانَ هذا له طريقاً مَهْيَعاً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الشَّكِّ في الدِّينِ‌، و ارتفاعِ الثقةِ بالشريعةِ‌، إن لَم يُوَفِّقْه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لإصابةِ الحقِّ ، و يُلهِمْه ما ذَهَبنا إليه مِن أنّ الحافِظَ للشرعِ و الحُجّةَ فيه هو المعصومُ الخارجُ عن صِفاتِ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يَثبُتِ التواتُرُ، كيفَ يُعلَمُ‌</w:t>
      </w:r>
      <w:r>
        <w:rPr>
          <w:rStyle w:val="FootnoteAnchor"/>
          <w:rtl w:val="true"/>
        </w:rPr>
        <w:footnoteReference w:id="1119"/>
      </w:r>
      <w:r>
        <w:rPr>
          <w:rFonts w:ascii="Amiri" w:hAnsi="Amiri" w:eastAsia="Amiri" w:cs="Amiri"/>
          <w:color w:val="111111"/>
          <w:sz w:val="28"/>
          <w:sz w:val="28"/>
          <w:szCs w:val="28"/>
          <w:rtl w:val="true"/>
          <w:lang w:bidi="ar-SA"/>
        </w:rPr>
        <w:t>الإمامُ المعصومُ؟ لأنّه لا يُمكِنُ في إثباتِه إلّاأحَدُ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النَّصِّ أو المُعجِزِ، و لا بُدَّ في صِحّتِهما مِن التواتُرِ</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يُمكِنُ إثباتُ النَّصِّ عندَ كُلِّ مكلَّفٍ إلّابهذا الوجهِ ، و كذلكَ القَولُ في المُعجِزِ إذا كانَ به يَتبيَّنُ الإمامُ مِن غَيرِه، و به تُعرَفُ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يُعلَمُ </w:t>
      </w:r>
      <w:r>
        <w:rPr>
          <w:rStyle w:val="FootnoteAnchor"/>
          <w:rtl w:val="true"/>
        </w:rPr>
        <w:footnoteReference w:id="1121"/>
      </w:r>
      <w:r>
        <w:rPr>
          <w:rFonts w:ascii="Amiri" w:hAnsi="Amiri" w:eastAsia="Amiri" w:cs="Amiri"/>
          <w:color w:val="111111"/>
          <w:sz w:val="28"/>
          <w:sz w:val="28"/>
          <w:szCs w:val="28"/>
          <w:rtl w:val="true"/>
          <w:lang w:bidi="ar-SA"/>
        </w:rPr>
        <w:t>مِن جهةِ الإمامِ ما يَتحمَّلُه</w:t>
      </w:r>
      <w:r>
        <w:rPr>
          <w:rStyle w:val="FootnoteAnchor"/>
          <w:rtl w:val="true"/>
        </w:rPr>
        <w:footnoteReference w:id="1122"/>
      </w:r>
      <w:r>
        <w:rPr>
          <w:rFonts w:ascii="Amiri" w:hAnsi="Amiri" w:eastAsia="Amiri" w:cs="Amiri"/>
          <w:color w:val="111111"/>
          <w:sz w:val="28"/>
          <w:sz w:val="28"/>
          <w:szCs w:val="28"/>
          <w:rtl w:val="true"/>
          <w:lang w:bidi="ar-SA"/>
        </w:rPr>
        <w:t xml:space="preserve">مِن الشرعِ و ما يَحفَظُه </w:t>
      </w:r>
      <w:bookmarkStart w:id="171" w:name="pg20015_284854"/>
    </w:p>
    <w:p>
      <w:pPr>
        <w:pStyle w:val="BookText"/>
        <w:rPr/>
      </w:pPr>
      <w:bookmarkEnd w:id="171"/>
      <w:r>
        <w:rPr>
          <w:rFonts w:ascii="Amiri" w:hAnsi="Amiri" w:eastAsia="Amiri" w:cs="Amiri"/>
          <w:color w:val="111111"/>
          <w:sz w:val="28"/>
          <w:sz w:val="28"/>
          <w:szCs w:val="28"/>
          <w:rtl w:val="true"/>
          <w:lang w:bidi="ar-SA"/>
        </w:rPr>
        <w:t>و ما تَزولُ به الشُّبهةُ ، و فَقدُ الجميعِ متعذِّرٌ إن لَم يَصِحَّ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إثباتَ معصومِينَ حتّىٰ يَكونَ كُلُّ مبلِّغٍ عن الإمامِ معصوماً</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 هذا كُلُّه ممّا قد مضَى الكلامُ عليهِ مكرَّراً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894843_2320776876"/>
      <w:bookmarkStart w:id="173" w:name="_Toc63"/>
      <w:bookmarkEnd w:id="172"/>
      <w:r>
        <w:rPr>
          <w:rtl w:val="true"/>
        </w:rPr>
        <w:t>جواز الاعتماد على التواتر من دون معرفة الإمام</w:t>
      </w:r>
      <w:bookmarkEnd w:id="17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يَجري مَجرَى البَهْتِ‌</w:t>
      </w:r>
      <w:r>
        <w:rPr>
          <w:rStyle w:val="FootnoteAnchor"/>
          <w:rtl w:val="true"/>
        </w:rPr>
        <w:footnoteReference w:id="1124"/>
      </w:r>
      <w:r>
        <w:rPr>
          <w:rFonts w:ascii="Amiri" w:hAnsi="Amiri" w:eastAsia="Amiri" w:cs="Amiri"/>
          <w:color w:val="111111"/>
          <w:sz w:val="28"/>
          <w:sz w:val="28"/>
          <w:szCs w:val="28"/>
          <w:rtl w:val="true"/>
          <w:lang w:bidi="ar-SA"/>
        </w:rPr>
        <w:t>لأنّا نَجِدُ مِن أنفُسِنا أنّا نَعرِفُ أركانَ‌</w:t>
      </w:r>
      <w:r>
        <w:rPr>
          <w:rStyle w:val="FootnoteAnchor"/>
          <w:rtl w:val="true"/>
        </w:rPr>
        <w:footnoteReference w:id="1125"/>
      </w:r>
      <w:r>
        <w:rPr>
          <w:rFonts w:ascii="Amiri" w:hAnsi="Amiri" w:eastAsia="Amiri" w:cs="Amiri"/>
          <w:color w:val="111111"/>
          <w:sz w:val="28"/>
          <w:sz w:val="28"/>
          <w:szCs w:val="28"/>
          <w:rtl w:val="true"/>
          <w:lang w:bidi="ar-SA"/>
        </w:rPr>
        <w:t>الشرائعِ‌</w:t>
      </w:r>
      <w:r>
        <w:rPr>
          <w:rStyle w:val="FootnoteAnchor"/>
          <w:rtl w:val="true"/>
        </w:rPr>
        <w:footnoteReference w:id="1126"/>
      </w:r>
      <w:r>
        <w:rPr>
          <w:rFonts w:ascii="Amiri" w:hAnsi="Amiri" w:eastAsia="Amiri" w:cs="Amiri"/>
          <w:color w:val="111111"/>
          <w:sz w:val="28"/>
          <w:sz w:val="28"/>
          <w:szCs w:val="28"/>
          <w:rtl w:val="true"/>
          <w:lang w:bidi="ar-SA"/>
        </w:rPr>
        <w:t>بالتواتُرِ و إن لَم نَعرِفِ‌</w:t>
      </w:r>
      <w:r>
        <w:rPr>
          <w:rStyle w:val="FootnoteAnchor"/>
          <w:rtl w:val="true"/>
        </w:rPr>
        <w:footnoteReference w:id="1127"/>
      </w:r>
      <w:r>
        <w:rPr>
          <w:rFonts w:ascii="Amiri" w:hAnsi="Amiri" w:eastAsia="Amiri" w:cs="Amiri"/>
          <w:color w:val="111111"/>
          <w:sz w:val="28"/>
          <w:sz w:val="28"/>
          <w:szCs w:val="28"/>
          <w:rtl w:val="true"/>
          <w:lang w:bidi="ar-SA"/>
        </w:rPr>
        <w:t xml:space="preserve">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صِحّتَه،</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و لا يُمكِنُهم أن يَدَّعوا علينا هذا الاعتقادَ و نحنُ نَعلَمُ مِن أنفُسِنا خِلافَه، بَل يَعلَمونَ ذلكَ مِن حالِنا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يَلزَمُهم علىٰ هذه الطريقةِ أن لا يَعرِفَ الشريعةَ إلّامَن يَعرِفُ الإمامَ المعصومَ ، و ذلكَ يوجِبُ عليهم في سائرِ الفِرَقِ أن لا يَعرِفوا ذلكَ ، و لَو لَم يَعرِفوه لَما عَرفَه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ذلكَ و القَولُ بإثباتِ إمامٍ معصومٍ لَيسَ بمُتقدِّمٍ ، و إنّما حدَثَ في الأزمانِ المتقارِبةِ ، فيَجِبُ أن لا يُعرَفَ الشرعُ أصلاً؛ لأنّ مَن تَقدَّمَ لَم يَعرِفْه، و إذا لَم يَعرِفِ المتأخِّرُ إلّابنَقلِ المتقدِّمِ الذي لَم </w:t>
      </w:r>
    </w:p>
    <w:p>
      <w:pPr>
        <w:pStyle w:val="BookText"/>
        <w:rPr/>
      </w:pPr>
      <w:r>
        <w:rPr>
          <w:rFonts w:ascii="Amiri" w:hAnsi="Amiri" w:eastAsia="Amiri" w:cs="Amiri"/>
          <w:color w:val="111111"/>
          <w:sz w:val="28"/>
          <w:sz w:val="28"/>
          <w:szCs w:val="28"/>
          <w:rtl w:val="true"/>
          <w:lang w:bidi="ar-SA"/>
        </w:rPr>
        <w:t>يَعرِفْ ، فيَجِبُ أن لا يَعرِفَه أحَدٌ</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إنّما يَلزَمُ مَن يَذهَبُ إلىٰ أنّ التواتُرَ لا يُعرَفُ به صِحّةُ شَيءٍ‌، أو</w:t>
      </w:r>
      <w:r>
        <w:rPr>
          <w:rStyle w:val="FootnoteAnchor"/>
          <w:rtl w:val="true"/>
        </w:rPr>
        <w:footnoteReference w:id="1130"/>
      </w:r>
      <w:r>
        <w:rPr>
          <w:rFonts w:ascii="Amiri" w:hAnsi="Amiri" w:eastAsia="Amiri" w:cs="Amiri"/>
          <w:color w:val="111111"/>
          <w:sz w:val="28"/>
          <w:sz w:val="28"/>
          <w:szCs w:val="28"/>
          <w:rtl w:val="true"/>
          <w:lang w:bidi="ar-SA"/>
        </w:rPr>
        <w:t>إن عُرِفَ‌</w:t>
      </w:r>
      <w:r>
        <w:rPr>
          <w:rStyle w:val="FootnoteAnchor"/>
          <w:rtl w:val="true"/>
        </w:rPr>
        <w:footnoteReference w:id="1131"/>
      </w:r>
      <w:r>
        <w:rPr>
          <w:rFonts w:ascii="Amiri" w:hAnsi="Amiri" w:eastAsia="Amiri" w:cs="Amiri"/>
          <w:color w:val="111111"/>
          <w:sz w:val="28"/>
          <w:sz w:val="28"/>
          <w:szCs w:val="28"/>
          <w:rtl w:val="true"/>
          <w:lang w:bidi="ar-SA"/>
        </w:rPr>
        <w:t>به فلا بُدَّ مِن تَقدُّمِ‌</w:t>
      </w:r>
      <w:r>
        <w:rPr>
          <w:rStyle w:val="FootnoteAnchor"/>
          <w:rtl w:val="true"/>
        </w:rPr>
        <w:footnoteReference w:id="1132"/>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ممّا نَذهَبُ إليه و لا نَراه</w:t>
      </w:r>
      <w:r>
        <w:rPr>
          <w:rStyle w:val="FootnoteAnchor"/>
          <w:rtl w:val="true"/>
        </w:rPr>
        <w:footnoteReference w:id="1133"/>
      </w:r>
      <w:r>
        <w:rPr>
          <w:rFonts w:ascii="Amiri" w:hAnsi="Amiri" w:eastAsia="Amiri" w:cs="Amiri"/>
          <w:color w:val="111111"/>
          <w:sz w:val="28"/>
          <w:sz w:val="28"/>
          <w:szCs w:val="28"/>
          <w:rtl w:val="true"/>
          <w:lang w:bidi="ar-SA"/>
        </w:rPr>
        <w:t>بَل قد يَتمكَّنُ مِن الاستدلالِ بالتواتُرِ مَن يَجهَلُ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نَجِدُ مِن أنفُسِنا معرفةَ أركانِ‌</w:t>
      </w:r>
      <w:r>
        <w:rPr>
          <w:rStyle w:val="FootnoteAnchor"/>
          <w:rtl w:val="true"/>
        </w:rPr>
        <w:footnoteReference w:id="1134"/>
      </w:r>
      <w:r>
        <w:rPr>
          <w:rFonts w:ascii="Amiri" w:hAnsi="Amiri" w:eastAsia="Amiri" w:cs="Amiri"/>
          <w:color w:val="111111"/>
          <w:sz w:val="28"/>
          <w:sz w:val="28"/>
          <w:szCs w:val="28"/>
          <w:rtl w:val="true"/>
          <w:lang w:bidi="ar-SA"/>
        </w:rPr>
        <w:t>الشرائعِ‌</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ممّا قد</w:t>
      </w:r>
      <w:r>
        <w:rPr>
          <w:rStyle w:val="FootnoteAnchor"/>
          <w:rtl w:val="true"/>
        </w:rPr>
        <w:footnoteReference w:id="1136"/>
      </w:r>
      <w:r>
        <w:rPr>
          <w:rFonts w:ascii="Amiri" w:hAnsi="Amiri" w:eastAsia="Amiri" w:cs="Amiri"/>
          <w:color w:val="111111"/>
          <w:sz w:val="28"/>
          <w:sz w:val="28"/>
          <w:szCs w:val="28"/>
          <w:rtl w:val="true"/>
          <w:lang w:bidi="ar-SA"/>
        </w:rPr>
        <w:t>تَواتَرَ الخبرُ به و قامَت حُجّتُه بالنقلِ‌،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مُمتَنِعٍ‌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به</w:t>
      </w:r>
      <w:r>
        <w:rPr>
          <w:rStyle w:val="FootnoteAnchor"/>
          <w:rtl w:val="true"/>
        </w:rPr>
        <w:footnoteReference w:id="1137"/>
      </w:r>
      <w:r>
        <w:rPr>
          <w:rFonts w:ascii="Amiri" w:hAnsi="Amiri" w:eastAsia="Amiri" w:cs="Amiri"/>
          <w:color w:val="111111"/>
          <w:sz w:val="28"/>
          <w:sz w:val="28"/>
          <w:szCs w:val="28"/>
          <w:rtl w:val="true"/>
          <w:lang w:bidi="ar-SA"/>
        </w:rPr>
        <w:t xml:space="preserve">أنّه يَعرِفُ مِن نَفسِه الثقةَ بأنّ شَيئاً مِن الشرعِ لَم يَنطَوِ عنه و لَم يَخفَ عليهِ و إن لَم يَعرِفِ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لِيُبطِلَ بذلكَ ما اعتَمَدناه مِن أنّ هذه الثقةَ لا تَحصُلُ إلّامُستنِدةً إلَى الإمامِ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مسلَّمٍ له ما ادَّعاه مِن المعرفةِ ، و عندَنا أنّه متوَهِّمٌ غَيرُ عارفٍ ، و معتَقِدٌ غَيرُ عالِمٍ </w:t>
      </w:r>
      <w:r>
        <w:rPr>
          <w:rStyle w:val="FootnoteAnchor"/>
          <w:rtl w:val="true"/>
        </w:rPr>
        <w:footnoteReference w:id="1139"/>
      </w:r>
      <w:r>
        <w:rPr>
          <w:rFonts w:ascii="Amiri" w:hAnsi="Amiri" w:eastAsia="Amiri" w:cs="Amiri"/>
          <w:color w:val="111111"/>
          <w:sz w:val="28"/>
          <w:sz w:val="28"/>
          <w:szCs w:val="28"/>
          <w:rtl w:val="true"/>
          <w:lang w:bidi="ar-SA"/>
        </w:rPr>
        <w:t xml:space="preserve">، و كَونُ الإنسانِ عارِفاً في الحَقيقةِ لا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يَعلَمُه</w:t>
      </w:r>
      <w:r>
        <w:rPr>
          <w:rStyle w:val="FootnoteAnchor"/>
          <w:rtl w:val="true"/>
        </w:rPr>
        <w:footnoteReference w:id="1140"/>
      </w:r>
      <w:r>
        <w:rPr>
          <w:rFonts w:ascii="Amiri" w:hAnsi="Amiri" w:eastAsia="Amiri" w:cs="Amiri"/>
          <w:color w:val="111111"/>
          <w:sz w:val="28"/>
          <w:sz w:val="28"/>
          <w:szCs w:val="28"/>
          <w:rtl w:val="true"/>
          <w:lang w:bidi="ar-SA"/>
        </w:rPr>
        <w:t>الواحدُ</w:t>
      </w:r>
      <w:r>
        <w:rPr>
          <w:rStyle w:val="FootnoteAnchor"/>
          <w:rtl w:val="true"/>
        </w:rPr>
        <w:footnoteReference w:id="1141"/>
      </w:r>
      <w:r>
        <w:rPr>
          <w:rFonts w:ascii="Amiri" w:hAnsi="Amiri" w:eastAsia="Amiri" w:cs="Amiri"/>
          <w:color w:val="111111"/>
          <w:sz w:val="28"/>
          <w:sz w:val="28"/>
          <w:szCs w:val="28"/>
          <w:rtl w:val="true"/>
          <w:lang w:bidi="ar-SA"/>
        </w:rPr>
        <w:t xml:space="preserve">مِنّا مِن نَفسِه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هذه الدَّعوىٰ بأكثَرَ مِن دَعوىٰ سائرِ المُبطِلينَ ، مِن المُجْبِرةِ و غَيرِهم</w:t>
      </w:r>
      <w:r>
        <w:rPr>
          <w:rStyle w:val="FootnoteAnchor"/>
          <w:rtl w:val="true"/>
        </w:rPr>
        <w:footnoteReference w:id="1142"/>
      </w:r>
      <w:r>
        <w:rPr>
          <w:rFonts w:ascii="Amiri" w:hAnsi="Amiri" w:eastAsia="Amiri" w:cs="Amiri"/>
          <w:color w:val="111111"/>
          <w:sz w:val="28"/>
          <w:sz w:val="28"/>
          <w:szCs w:val="28"/>
          <w:rtl w:val="true"/>
          <w:lang w:bidi="ar-SA"/>
        </w:rPr>
        <w:t>أنّهم عارِفونَ بصِحّةِ مَذاهبِهم و عالِمونَ بها؛ فكَما أنّ ذلكَ غَيرُ مُلتَفَتٍ إليه مِنهم</w:t>
      </w:r>
      <w:r>
        <w:rPr>
          <w:rStyle w:val="FootnoteAnchor"/>
          <w:rtl w:val="true"/>
        </w:rPr>
        <w:footnoteReference w:id="1143"/>
      </w:r>
      <w:r>
        <w:rPr>
          <w:rFonts w:ascii="Amiri" w:hAnsi="Amiri" w:eastAsia="Amiri" w:cs="Amiri"/>
          <w:color w:val="111111"/>
          <w:sz w:val="28"/>
          <w:sz w:val="28"/>
          <w:szCs w:val="28"/>
          <w:rtl w:val="true"/>
          <w:lang w:bidi="ar-SA"/>
        </w:rPr>
        <w:t>، فكذلكَ ما ادَّعاه</w:t>
      </w:r>
      <w:r>
        <w:rPr>
          <w:rFonts w:eastAsia="Amiri" w:cs="Amiri" w:ascii="Amiri" w:hAnsi="Amiri"/>
          <w:color w:val="111111"/>
          <w:sz w:val="28"/>
          <w:szCs w:val="28"/>
          <w:rtl w:val="true"/>
          <w:lang w:bidi="ar-SA"/>
        </w:rPr>
        <w:t xml:space="preserve">. </w:t>
      </w:r>
      <w:bookmarkStart w:id="174" w:name="pg20015_284857"/>
    </w:p>
    <w:p>
      <w:pPr>
        <w:pStyle w:val="Heading5"/>
        <w:numPr>
          <w:ilvl w:val="4"/>
          <w:numId w:val="1"/>
        </w:numPr>
        <w:rPr/>
      </w:pPr>
      <w:bookmarkStart w:id="175" w:name="__RefHeading___Toc894845_2320776876"/>
      <w:bookmarkStart w:id="176" w:name="_Toc64"/>
      <w:bookmarkEnd w:id="174"/>
      <w:bookmarkEnd w:id="175"/>
      <w:r>
        <w:rPr>
          <w:rtl w:val="true"/>
        </w:rPr>
        <w:t>الدليل العاشر لزوم التسلسل عند نفي عصمة الإمام</w:t>
      </w:r>
      <w:bookmarkEnd w:id="176"/>
    </w:p>
    <w:p>
      <w:pPr>
        <w:pStyle w:val="Heading6"/>
        <w:numPr>
          <w:ilvl w:val="5"/>
          <w:numId w:val="1"/>
        </w:numPr>
        <w:rPr/>
      </w:pPr>
      <w:bookmarkStart w:id="177" w:name="__RefHeading___Toc894847_2320776876"/>
      <w:bookmarkStart w:id="178" w:name="_Toc65"/>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جَوَّزنا علَى الإمامِ أن لا يَكونَ معصوماً يؤمَنُ سَهوُه و غَلَطُه، جَوَّزنا أن يُقدِمَ علىٰ ما يوجِبُ الحَدَّ و سائرَ ما احتيجَ مِن أجلِه إلَى الإمامِ ، و ذلكَ يوجِبُ أنّه مُشارِكٌ </w:t>
      </w:r>
      <w:r>
        <w:rPr>
          <w:rStyle w:val="FootnoteAnchor"/>
          <w:rtl w:val="true"/>
        </w:rPr>
        <w:footnoteReference w:id="1145"/>
      </w:r>
      <w:r>
        <w:rPr>
          <w:rFonts w:ascii="Amiri" w:hAnsi="Amiri" w:eastAsia="Amiri" w:cs="Amiri"/>
          <w:color w:val="111111"/>
          <w:sz w:val="28"/>
          <w:sz w:val="28"/>
          <w:szCs w:val="28"/>
          <w:rtl w:val="true"/>
          <w:lang w:bidi="ar-SA"/>
        </w:rPr>
        <w:t>للرَّعيّةِ فيما له احتاجَت</w:t>
      </w:r>
    </w:p>
    <w:p>
      <w:pPr>
        <w:pStyle w:val="BookText"/>
        <w:rPr/>
      </w:pPr>
      <w:r>
        <w:rPr>
          <w:rFonts w:ascii="Amiri" w:hAnsi="Amiri" w:eastAsia="Amiri" w:cs="Amiri"/>
          <w:color w:val="111111"/>
          <w:sz w:val="28"/>
          <w:sz w:val="28"/>
          <w:szCs w:val="28"/>
          <w:rtl w:val="true"/>
          <w:lang w:bidi="ar-SA"/>
        </w:rPr>
        <w:t>إلَى الإمامِ ، و هذا يوجِبُ حاجتَه إلىٰ إمامٍ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فيه كالقَولِ في هذا الإمام إن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التخلُّصُ مِن ذلكَ إلّابإثباتِ معصومٍ في الزمانِ </w:t>
      </w:r>
      <w:r>
        <w:rPr>
          <w:rStyle w:val="FootnoteAnchor"/>
          <w:rtl w:val="true"/>
        </w:rPr>
        <w:footnoteReference w:id="1146"/>
      </w:r>
      <w:r>
        <w:rPr>
          <w:rFonts w:ascii="Amiri" w:hAnsi="Amiri" w:eastAsia="Amiri" w:cs="Amiri"/>
          <w:color w:val="111111"/>
          <w:sz w:val="28"/>
          <w:sz w:val="28"/>
          <w:szCs w:val="28"/>
          <w:rtl w:val="true"/>
          <w:lang w:bidi="ar-SA"/>
        </w:rPr>
        <w:t>علىٰ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ذلكَ يَنتَقِضُ عليهِم بالأميرِ؛ لأنّهم يجوِّزونَ عليه ما يجوِّزونَ </w:t>
      </w:r>
      <w:r>
        <w:rPr>
          <w:rStyle w:val="FootnoteAnchor"/>
          <w:rtl w:val="true"/>
        </w:rPr>
        <w:footnoteReference w:id="1148"/>
      </w:r>
      <w:bookmarkStart w:id="179" w:name="pg20015_284858"/>
    </w:p>
    <w:p>
      <w:pPr>
        <w:pStyle w:val="BookText"/>
        <w:rPr/>
      </w:pPr>
      <w:bookmarkEnd w:id="179"/>
      <w:r>
        <w:rPr>
          <w:rFonts w:ascii="Amiri" w:hAnsi="Amiri" w:eastAsia="Amiri" w:cs="Amiri"/>
          <w:color w:val="111111"/>
          <w:sz w:val="28"/>
          <w:sz w:val="28"/>
          <w:szCs w:val="28"/>
          <w:rtl w:val="true"/>
          <w:lang w:bidi="ar-SA"/>
        </w:rPr>
        <w:t>علىٰ رَعيّتِه، و لَم يَمنَعْ ذلكَ مِن كَونِه أميراً يُقيمُ عليهِم الحُدودَ، و لا يُقيمونَها</w:t>
      </w:r>
      <w:r>
        <w:rPr>
          <w:rStyle w:val="FootnoteAnchor"/>
          <w:rtl w:val="true"/>
        </w:rPr>
        <w:footnoteReference w:id="114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 في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أقدَمَ علىٰ ما يوجِبُ الحَدَّ فالإمامُ يُقيمُ الحَدَّ عليهِ‌، لَم يَمنَعْ ذلك مِن صِحّةِ التفرقةِ بَينَه و بَينَ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أَرَدنا بالكلامِ‌</w:t>
      </w:r>
      <w:r>
        <w:rPr>
          <w:rStyle w:val="FootnoteAnchor"/>
          <w:rtl w:val="true"/>
        </w:rPr>
        <w:footnoteReference w:id="1150"/>
      </w:r>
      <w:r>
        <w:rPr>
          <w:rFonts w:ascii="Amiri" w:hAnsi="Amiri" w:eastAsia="Amiri" w:cs="Amiri"/>
          <w:color w:val="111111"/>
          <w:sz w:val="28"/>
          <w:sz w:val="28"/>
          <w:szCs w:val="28"/>
          <w:rtl w:val="true"/>
          <w:lang w:bidi="ar-SA"/>
        </w:rPr>
        <w:t>إبطالَ‌</w:t>
      </w:r>
      <w:r>
        <w:rPr>
          <w:rStyle w:val="FootnoteAnchor"/>
          <w:rtl w:val="true"/>
        </w:rPr>
        <w:footnoteReference w:id="1151"/>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غَيرَ معصومٍ يؤَدّي إلىٰ أن لا يَكونَ بَينَه و بَينَ رَعيّتِه فَرقٌ‌؛ لأنّه قد ظهَرَ</w:t>
      </w:r>
      <w:r>
        <w:rPr>
          <w:rStyle w:val="FootnoteAnchor"/>
          <w:rtl w:val="true"/>
        </w:rPr>
        <w:footnoteReference w:id="1152"/>
      </w:r>
      <w:r>
        <w:rPr>
          <w:rFonts w:ascii="Amiri" w:hAnsi="Amiri" w:eastAsia="Amiri" w:cs="Amiri"/>
          <w:color w:val="111111"/>
          <w:sz w:val="28"/>
          <w:sz w:val="28"/>
          <w:szCs w:val="28"/>
          <w:rtl w:val="true"/>
          <w:lang w:bidi="ar-SA"/>
        </w:rPr>
        <w:t>الفَرقُ بما ذَكرناه؛ فكَما يَجوزُ في الأميرِ</w:t>
      </w:r>
      <w:r>
        <w:rPr>
          <w:rStyle w:val="FootnoteAnchor"/>
          <w:rtl w:val="true"/>
        </w:rPr>
        <w:footnoteReference w:id="1153"/>
      </w:r>
      <w:r>
        <w:rPr>
          <w:rFonts w:ascii="Amiri" w:hAnsi="Amiri" w:eastAsia="Amiri" w:cs="Amiri"/>
          <w:color w:val="111111"/>
          <w:sz w:val="28"/>
          <w:sz w:val="28"/>
          <w:szCs w:val="28"/>
          <w:rtl w:val="true"/>
          <w:lang w:bidi="ar-SA"/>
        </w:rPr>
        <w:t>أن يَقومَ بهذه الأُمورِ و يَكونَ له المَزيّةُ عليهِم، فإذا</w:t>
      </w:r>
      <w:r>
        <w:rPr>
          <w:rStyle w:val="FootnoteAnchor"/>
          <w:rtl w:val="true"/>
        </w:rPr>
        <w:footnoteReference w:id="1154"/>
      </w:r>
      <w:r>
        <w:rPr>
          <w:rFonts w:ascii="Amiri" w:hAnsi="Amiri" w:eastAsia="Amiri" w:cs="Amiri"/>
          <w:color w:val="111111"/>
          <w:sz w:val="28"/>
          <w:sz w:val="28"/>
          <w:szCs w:val="28"/>
          <w:rtl w:val="true"/>
          <w:lang w:bidi="ar-SA"/>
        </w:rPr>
        <w:t xml:space="preserve">أَحدَثَ حَدَثاً وَجَبَ عَزلُه، و لَم يَقدَحْ عَزلُه في مَزيّتِه عليهِم مِن قَبلُ ، فكذلكَ القَولُ عندَنا في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يُقالَ في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الحَدَثِ مُستَبدَلٌ به، و بَينَ أن يُقالَ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الحَدَثِ يُقامُ غَيرُه بَدَلاً مِنه؛ لأنَّ طَوائفَ الأُمّةِ متمكِّنةٌ مِن ذلكَ كتمكُّنِ الإمامِ مِن نَصبِ الأُمَراءِ </w:t>
      </w:r>
      <w:r>
        <w:rPr>
          <w:rFonts w:eastAsia="Amiri" w:cs="Amiri" w:ascii="Amiri" w:hAnsi="Amiri"/>
          <w:color w:val="111111"/>
          <w:sz w:val="28"/>
          <w:szCs w:val="28"/>
          <w:rtl w:val="true"/>
          <w:lang w:bidi="ar-SA"/>
        </w:rPr>
        <w:t>].</w:t>
      </w:r>
      <w:r>
        <w:rPr>
          <w:rStyle w:val="FootnoteAnchor"/>
          <w:rtl w:val="true"/>
        </w:rPr>
        <w:footnoteReference w:id="1155"/>
      </w:r>
    </w:p>
    <w:p>
      <w:pPr>
        <w:pStyle w:val="Heading6"/>
        <w:numPr>
          <w:ilvl w:val="5"/>
          <w:numId w:val="1"/>
        </w:numPr>
        <w:rPr/>
      </w:pPr>
      <w:bookmarkStart w:id="180" w:name="__RefHeading___Toc894849_2320776876"/>
      <w:bookmarkStart w:id="181" w:name="_Toc66"/>
      <w:bookmarkEnd w:id="180"/>
      <w:r>
        <w:rPr>
          <w:rtl w:val="true"/>
        </w:rPr>
        <w:t>التقرير الأوّل لدليل عصمة الإمام</w:t>
      </w:r>
      <w:bookmarkEnd w:id="181"/>
    </w:p>
    <w:p>
      <w:pPr>
        <w:pStyle w:val="Heading6"/>
        <w:numPr>
          <w:ilvl w:val="5"/>
          <w:numId w:val="1"/>
        </w:numPr>
        <w:rPr/>
      </w:pPr>
      <w:bookmarkStart w:id="182" w:name="__RefHeading___Toc894851_2320776876"/>
      <w:bookmarkStart w:id="183" w:name="_Toc67"/>
      <w:bookmarkEnd w:id="182"/>
      <w:r>
        <w:rPr>
          <w:rtl w:val="true"/>
        </w:rPr>
        <w:t>اشارة</w:t>
      </w:r>
      <w:bookmarkEnd w:id="1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مِن آكَدِ ما اعتُمِدَ عليه في عصمةِ الإمامِ مِن طريقِ العُقولِ ؛ و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حاجةَ الناسِ إلَى الإمامِ إذا وَجَبَت بالعقلِ ، لَم يَخلُ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w:t>
      </w:r>
    </w:p>
    <w:p>
      <w:pPr>
        <w:pStyle w:val="BookText"/>
        <w:rPr/>
      </w:pPr>
      <w:r>
        <w:rPr>
          <w:rFonts w:ascii="Amiri" w:hAnsi="Amiri" w:eastAsia="Amiri" w:cs="Amiri"/>
          <w:color w:val="111111"/>
          <w:sz w:val="28"/>
          <w:sz w:val="28"/>
          <w:szCs w:val="28"/>
          <w:rtl w:val="true"/>
          <w:lang w:bidi="ar-SA"/>
        </w:rPr>
        <w:t>يَكونَ ثبَتَ وجوبُها لارتفاعِ العصمةِ عنهم و جوازِ فِعلِ القبيحِ مِنهم،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لغَيرِه لَم يمتَنِعْ أن يَثبُتَ‌</w:t>
      </w:r>
      <w:r>
        <w:rPr>
          <w:rStyle w:val="FootnoteAnchor"/>
          <w:rtl w:val="true"/>
        </w:rPr>
        <w:footnoteReference w:id="1157"/>
      </w:r>
      <w:r>
        <w:rPr>
          <w:rFonts w:ascii="Amiri" w:hAnsi="Amiri" w:eastAsia="Amiri" w:cs="Amiri"/>
          <w:color w:val="111111"/>
          <w:sz w:val="28"/>
          <w:sz w:val="28"/>
          <w:szCs w:val="28"/>
          <w:rtl w:val="true"/>
          <w:lang w:bidi="ar-SA"/>
        </w:rPr>
        <w:t>حاجتُهم إلَى الإمامِ مع عصمةِ كُلِّ واحدٍ منهم؛ لأنّ العِلّةَ إذا لَم تَكُن ما ذَكرناه لَم يَكُن لفَقدِها تأثيرٌ، و جازَ أن يَثبُتَ الحاجةُ بثُبوتِ مُقتَضاها؛ ألا تَرىٰ أنّ المتحرِّكَ لَمّا</w:t>
      </w:r>
      <w:r>
        <w:rPr>
          <w:rStyle w:val="FootnoteAnchor"/>
          <w:rtl w:val="true"/>
        </w:rPr>
        <w:footnoteReference w:id="1158"/>
      </w:r>
      <w:r>
        <w:rPr>
          <w:rFonts w:ascii="Amiri" w:hAnsi="Amiri" w:eastAsia="Amiri" w:cs="Amiri"/>
          <w:color w:val="111111"/>
          <w:sz w:val="28"/>
          <w:sz w:val="28"/>
          <w:szCs w:val="28"/>
          <w:rtl w:val="true"/>
          <w:lang w:bidi="ar-SA"/>
        </w:rPr>
        <w:t>لَم تَكُن</w:t>
      </w:r>
      <w:r>
        <w:rPr>
          <w:rStyle w:val="FootnoteAnchor"/>
          <w:rtl w:val="true"/>
        </w:rPr>
        <w:footnoteReference w:id="1159"/>
      </w:r>
      <w:r>
        <w:rPr>
          <w:rFonts w:ascii="Amiri" w:hAnsi="Amiri" w:eastAsia="Amiri" w:cs="Amiri"/>
          <w:color w:val="111111"/>
          <w:sz w:val="28"/>
          <w:sz w:val="28"/>
          <w:szCs w:val="28"/>
          <w:rtl w:val="true"/>
          <w:lang w:bidi="ar-SA"/>
        </w:rPr>
        <w:t>العِلّةُ في كَونِه متحرِّكاً سَوادَه، جازَ أن</w:t>
      </w:r>
    </w:p>
    <w:p>
      <w:pPr>
        <w:pStyle w:val="BookText"/>
        <w:rPr/>
      </w:pPr>
      <w:r>
        <w:rPr>
          <w:rFonts w:ascii="Amiri" w:hAnsi="Amiri" w:eastAsia="Amiri" w:cs="Amiri"/>
          <w:color w:val="111111"/>
          <w:sz w:val="28"/>
          <w:sz w:val="28"/>
          <w:szCs w:val="28"/>
          <w:rtl w:val="true"/>
          <w:lang w:bidi="ar-SA"/>
        </w:rPr>
        <w:t>يَكونَ متحرِّكاً مع عدَمِ السوادِ</w:t>
      </w:r>
      <w:r>
        <w:rPr>
          <w:rStyle w:val="FootnoteAnchor"/>
          <w:rtl w:val="true"/>
        </w:rPr>
        <w:footnoteReference w:id="11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جازَ أن يَحتاجَ المكلَّفونَ إلَى الإمامِ مع عصمتِهم، لَجازَ أن يَحتاجَ الأنبياءُ إلَى الأئمّةِ‌</w:t>
      </w:r>
      <w:r>
        <w:rPr>
          <w:rStyle w:val="FootnoteAnchor"/>
          <w:rtl w:val="true"/>
        </w:rPr>
        <w:footnoteReference w:id="1161"/>
      </w:r>
      <w:r>
        <w:rPr>
          <w:rFonts w:ascii="Amiri" w:hAnsi="Amiri" w:eastAsia="Amiri" w:cs="Amiri"/>
          <w:color w:val="111111"/>
          <w:sz w:val="28"/>
          <w:sz w:val="28"/>
          <w:szCs w:val="28"/>
          <w:rtl w:val="true"/>
          <w:lang w:bidi="ar-SA"/>
        </w:rPr>
        <w:t>و الرُّعاةِ‌، مع ثُبوتِ عصمتِهم و القَطعِ علىٰ أنّهم لا يُقارِفونَ‌</w:t>
      </w:r>
      <w:r>
        <w:rPr>
          <w:rStyle w:val="FootnoteAnchor"/>
          <w:rtl w:val="true"/>
        </w:rPr>
        <w:footnoteReference w:id="1162"/>
      </w:r>
      <w:r>
        <w:rPr>
          <w:rFonts w:ascii="Amiri" w:hAnsi="Amiri" w:eastAsia="Amiri" w:cs="Amiri"/>
          <w:color w:val="111111"/>
          <w:sz w:val="28"/>
          <w:sz w:val="28"/>
          <w:szCs w:val="28"/>
          <w:rtl w:val="true"/>
          <w:lang w:bidi="ar-SA"/>
        </w:rPr>
        <w:t>شَيئاً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فَسادُه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لَو لَم يَكُنِ </w:t>
      </w:r>
      <w:r>
        <w:rPr>
          <w:rStyle w:val="FootnoteAnchor"/>
          <w:rtl w:val="true"/>
        </w:rPr>
        <w:footnoteReference w:id="1164"/>
      </w:r>
      <w:r>
        <w:rPr>
          <w:rFonts w:ascii="Amiri" w:hAnsi="Amiri" w:eastAsia="Amiri" w:cs="Amiri"/>
          <w:color w:val="111111"/>
          <w:sz w:val="28"/>
          <w:sz w:val="28"/>
          <w:szCs w:val="28"/>
          <w:rtl w:val="true"/>
          <w:lang w:bidi="ar-SA"/>
        </w:rPr>
        <w:t>العِلّةُ في حاجتِهم ارتفاعَ العصمةِ لَجازَ أن يَستَغنوا عنه مع كَونِهم غَيرَ معصومينَ ، و لَيسَ يَجوزُ أن يَستَغنوا عن الإمامِ و أحوالُهم هذه؛ لِما دَلَّلنا عليه عندَ الكلامِ في وجوبِ الإمامةِ ، و لا شَيءَ أظهَرُ في إثباتِ العِلّةِ مِن وُجودِ الحُكمِ تابِعاً لوُجودِها</w:t>
      </w:r>
      <w:r>
        <w:rPr>
          <w:rStyle w:val="FootnoteAnchor"/>
          <w:rtl w:val="true"/>
        </w:rPr>
        <w:footnoteReference w:id="1165"/>
      </w:r>
      <w:r>
        <w:rPr>
          <w:rFonts w:ascii="Amiri" w:hAnsi="Amiri" w:eastAsia="Amiri" w:cs="Amiri"/>
          <w:color w:val="111111"/>
          <w:sz w:val="28"/>
          <w:sz w:val="28"/>
          <w:szCs w:val="28"/>
          <w:rtl w:val="true"/>
          <w:lang w:bidi="ar-SA"/>
        </w:rPr>
        <w:t>، و ارتفاعِه بارتفاعِها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الحاجةُ إلَى الإمامِ إنّما وَجَبَت لِارتفاعِ </w:t>
      </w:r>
      <w:r>
        <w:rPr>
          <w:rStyle w:val="FootnoteAnchor"/>
          <w:rtl w:val="true"/>
        </w:rPr>
        <w:footnoteReference w:id="1166"/>
      </w:r>
      <w:r>
        <w:rPr>
          <w:rFonts w:ascii="Amiri" w:hAnsi="Amiri" w:eastAsia="Amiri" w:cs="Amiri"/>
          <w:color w:val="111111"/>
          <w:sz w:val="28"/>
          <w:sz w:val="28"/>
          <w:szCs w:val="28"/>
          <w:rtl w:val="true"/>
          <w:lang w:bidi="ar-SA"/>
        </w:rPr>
        <w:t xml:space="preserve">العصمةِ و جَوازِ الخطإ </w:t>
      </w:r>
      <w:bookmarkStart w:id="184" w:name="pg20015_284860"/>
    </w:p>
    <w:p>
      <w:pPr>
        <w:pStyle w:val="BookText"/>
        <w:rPr/>
      </w:pPr>
      <w:bookmarkEnd w:id="184"/>
      <w:r>
        <w:rPr>
          <w:rFonts w:ascii="Amiri" w:hAnsi="Amiri" w:eastAsia="Amiri" w:cs="Amiri"/>
          <w:color w:val="111111"/>
          <w:sz w:val="28"/>
          <w:sz w:val="28"/>
          <w:szCs w:val="28"/>
          <w:rtl w:val="true"/>
          <w:lang w:bidi="ar-SA"/>
        </w:rPr>
        <w:t>و فِعلِ القَبيحِ‌</w:t>
      </w:r>
      <w:r>
        <w:rPr>
          <w:rStyle w:val="FootnoteAnchor"/>
          <w:rtl w:val="true"/>
        </w:rPr>
        <w:footnoteReference w:id="1167"/>
      </w:r>
      <w:r>
        <w:rPr>
          <w:rFonts w:ascii="Amiri" w:hAnsi="Amiri" w:eastAsia="Amiri" w:cs="Amiri"/>
          <w:color w:val="111111"/>
          <w:sz w:val="28"/>
          <w:sz w:val="28"/>
          <w:szCs w:val="28"/>
          <w:rtl w:val="true"/>
          <w:lang w:bidi="ar-SA"/>
        </w:rPr>
        <w:t>، لَم يَخلُ حالُ الإمامِ نَفسِه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معصوماً مأموناً مِنه</w:t>
      </w:r>
      <w:r>
        <w:rPr>
          <w:rStyle w:val="FootnoteAnchor"/>
          <w:rtl w:val="true"/>
        </w:rPr>
        <w:footnoteReference w:id="1168"/>
      </w:r>
      <w:r>
        <w:rPr>
          <w:rFonts w:ascii="Amiri" w:hAnsi="Amiri" w:eastAsia="Amiri" w:cs="Amiri"/>
          <w:color w:val="111111"/>
          <w:sz w:val="28"/>
          <w:sz w:val="28"/>
          <w:szCs w:val="28"/>
          <w:rtl w:val="true"/>
          <w:lang w:bidi="ar-SA"/>
        </w:rPr>
        <w:t>فِعلُ القَبيحِ‌، أو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معصوماً وَجَبَ حاجتُه إلىٰ إمامٍ‌</w:t>
      </w:r>
      <w:r>
        <w:rPr>
          <w:rStyle w:val="FootnoteAnchor"/>
          <w:rtl w:val="true"/>
        </w:rPr>
        <w:footnoteReference w:id="1169"/>
      </w:r>
      <w:r>
        <w:rPr>
          <w:rFonts w:ascii="Amiri" w:hAnsi="Amiri" w:eastAsia="Amiri" w:cs="Amiri"/>
          <w:color w:val="111111"/>
          <w:sz w:val="28"/>
          <w:sz w:val="28"/>
          <w:szCs w:val="28"/>
          <w:rtl w:val="true"/>
          <w:lang w:bidi="ar-SA"/>
        </w:rPr>
        <w:t>بحُصولِ‌</w:t>
      </w:r>
      <w:r>
        <w:rPr>
          <w:rStyle w:val="FootnoteAnchor"/>
          <w:rtl w:val="true"/>
        </w:rPr>
        <w:footnoteReference w:id="1170"/>
      </w:r>
      <w:r>
        <w:rPr>
          <w:rFonts w:ascii="Amiri" w:hAnsi="Amiri" w:eastAsia="Amiri" w:cs="Amiri"/>
          <w:color w:val="111111"/>
          <w:sz w:val="28"/>
          <w:sz w:val="28"/>
          <w:szCs w:val="28"/>
          <w:rtl w:val="true"/>
          <w:lang w:bidi="ar-SA"/>
        </w:rPr>
        <w:t>علّةِ الحاجةِ فيه، و لَم يَخلُ إمامُه</w:t>
      </w:r>
      <w:r>
        <w:rPr>
          <w:rStyle w:val="FootnoteAnchor"/>
          <w:rtl w:val="true"/>
        </w:rPr>
        <w:footnoteReference w:id="1171"/>
      </w:r>
      <w:r>
        <w:rPr>
          <w:rFonts w:ascii="Amiri" w:hAnsi="Amiri" w:eastAsia="Amiri" w:cs="Amiri"/>
          <w:color w:val="111111"/>
          <w:sz w:val="28"/>
          <w:sz w:val="28"/>
          <w:szCs w:val="28"/>
          <w:rtl w:val="true"/>
          <w:lang w:bidi="ar-SA"/>
        </w:rPr>
        <w:t>أيضاً مِن أن يَكونَ‌</w:t>
      </w:r>
      <w:r>
        <w:rPr>
          <w:rStyle w:val="FootnoteAnchor"/>
          <w:rtl w:val="true"/>
        </w:rPr>
        <w:footnoteReference w:id="1172"/>
      </w:r>
      <w:r>
        <w:rPr>
          <w:rFonts w:ascii="Amiri" w:hAnsi="Amiri" w:eastAsia="Amiri" w:cs="Amiri"/>
          <w:color w:val="111111"/>
          <w:sz w:val="28"/>
          <w:sz w:val="28"/>
          <w:szCs w:val="28"/>
          <w:rtl w:val="true"/>
          <w:lang w:bidi="ar-SA"/>
        </w:rPr>
        <w:t>معصوماً أو غَيرَ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معصوماً احتاجَ إلىٰ إمامٍ ، و اتّصَلَ ذلك بما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إلّاالقَولُ بعصمةِ الإمامِ ، و</w:t>
      </w:r>
      <w:r>
        <w:rPr>
          <w:rStyle w:val="FootnoteAnchor"/>
          <w:rtl w:val="true"/>
        </w:rPr>
        <w:footnoteReference w:id="1173"/>
      </w:r>
      <w:r>
        <w:rPr>
          <w:rFonts w:ascii="Amiri" w:hAnsi="Amiri" w:eastAsia="Amiri" w:cs="Amiri"/>
          <w:color w:val="111111"/>
          <w:sz w:val="28"/>
          <w:sz w:val="28"/>
          <w:szCs w:val="28"/>
          <w:rtl w:val="true"/>
          <w:lang w:bidi="ar-SA"/>
        </w:rPr>
        <w:t xml:space="preserve">انتهاءُ الأمرِ في الرئاسةِ </w:t>
      </w:r>
      <w:r>
        <w:rPr>
          <w:rStyle w:val="FootnoteAnchor"/>
          <w:rtl w:val="true"/>
        </w:rPr>
        <w:footnoteReference w:id="1174"/>
      </w:r>
      <w:r>
        <w:rPr>
          <w:rFonts w:ascii="Amiri" w:hAnsi="Amiri" w:eastAsia="Amiri" w:cs="Amiri"/>
          <w:color w:val="111111"/>
          <w:sz w:val="28"/>
          <w:sz w:val="28"/>
          <w:szCs w:val="28"/>
          <w:rtl w:val="true"/>
          <w:lang w:bidi="ar-SA"/>
        </w:rPr>
        <w:t xml:space="preserve">و الإمامةِ إلىٰ معصومٍ لا يَجوزُ عليهِ فِعلُ القَبيحِ </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894853_2320776876"/>
      <w:bookmarkStart w:id="186" w:name="_Toc68"/>
      <w:bookmarkEnd w:id="185"/>
      <w:r>
        <w:rPr>
          <w:rtl w:val="true"/>
        </w:rPr>
        <w:t>عدم المنافاة بين ثبوت معصومٍ تكون عصمتُه بالإمام، و بين القول بعدم حاجة المعصوم إلىٰ إمام</w:t>
      </w:r>
      <w:bookmarkEnd w:id="1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بَنَيتم كلامَكم علىٰ أنّ المعصومَ لا يَحتاجُ إلىٰ إمامٍ‌</w:t>
      </w:r>
      <w:r>
        <w:rPr>
          <w:rStyle w:val="FootnoteAnchor"/>
          <w:rtl w:val="true"/>
        </w:rPr>
        <w:footnoteReference w:id="1175"/>
      </w:r>
      <w:r>
        <w:rPr>
          <w:rFonts w:ascii="Amiri" w:hAnsi="Amiri" w:eastAsia="Amiri" w:cs="Amiri"/>
          <w:color w:val="111111"/>
          <w:sz w:val="28"/>
          <w:sz w:val="28"/>
          <w:szCs w:val="28"/>
          <w:rtl w:val="true"/>
          <w:lang w:bidi="ar-SA"/>
        </w:rPr>
        <w:t>، و عَوَّلتم في ذلكَ علىٰ أمرِ الأنبياءِ عليهِم السلامُ‌، فلِمَ زَعَمتم أنّ كُلَّ مَن ثَبَتَت</w:t>
      </w:r>
      <w:r>
        <w:rPr>
          <w:rStyle w:val="FootnoteAnchor"/>
          <w:rtl w:val="true"/>
        </w:rPr>
        <w:footnoteReference w:id="1176"/>
      </w:r>
      <w:r>
        <w:rPr>
          <w:rFonts w:ascii="Amiri" w:hAnsi="Amiri" w:eastAsia="Amiri" w:cs="Amiri"/>
          <w:color w:val="111111"/>
          <w:sz w:val="28"/>
          <w:sz w:val="28"/>
          <w:szCs w:val="28"/>
          <w:rtl w:val="true"/>
          <w:lang w:bidi="ar-SA"/>
        </w:rPr>
        <w:t xml:space="preserve">عصمتُه لا يَحتاجُ إلىٰ إمامٍ </w:t>
      </w:r>
      <w:r>
        <w:rPr>
          <w:rStyle w:val="FootnoteAnchor"/>
          <w:rtl w:val="true"/>
        </w:rPr>
        <w:footnoteReference w:id="1177"/>
      </w:r>
      <w:r>
        <w:rPr>
          <w:rFonts w:ascii="Amiri" w:hAnsi="Amiri" w:eastAsia="Amiri" w:cs="Amiri"/>
          <w:color w:val="111111"/>
          <w:sz w:val="28"/>
          <w:sz w:val="28"/>
          <w:szCs w:val="28"/>
          <w:rtl w:val="true"/>
          <w:lang w:bidi="ar-SA"/>
        </w:rPr>
        <w:t xml:space="preserve">؟ و لِمَ </w:t>
      </w:r>
      <w:r>
        <w:rPr>
          <w:rStyle w:val="FootnoteAnchor"/>
          <w:rtl w:val="true"/>
        </w:rPr>
        <w:footnoteReference w:id="1178"/>
      </w:r>
      <w:r>
        <w:rPr>
          <w:rFonts w:ascii="Amiri" w:hAnsi="Amiri" w:eastAsia="Amiri" w:cs="Amiri"/>
          <w:color w:val="111111"/>
          <w:sz w:val="28"/>
          <w:sz w:val="28"/>
          <w:szCs w:val="28"/>
          <w:rtl w:val="true"/>
          <w:lang w:bidi="ar-SA"/>
        </w:rPr>
        <w:t xml:space="preserve">أَنكَرتم أن يَعلَمَ اللّٰهُ تَعالىٰ مِن بعضِ عِبادِه أنّه إذا نصَبَ له إماماً </w:t>
      </w:r>
    </w:p>
    <w:p>
      <w:pPr>
        <w:pStyle w:val="BookText"/>
        <w:rPr/>
      </w:pPr>
      <w:r>
        <w:rPr>
          <w:rFonts w:ascii="Amiri" w:hAnsi="Amiri" w:eastAsia="Amiri" w:cs="Amiri"/>
          <w:color w:val="111111"/>
          <w:sz w:val="28"/>
          <w:sz w:val="28"/>
          <w:szCs w:val="28"/>
          <w:rtl w:val="true"/>
          <w:lang w:bidi="ar-SA"/>
        </w:rPr>
        <w:t xml:space="preserve">اختارَ الامتناعَ مِن كُلِّ القبائحِ و فِعلَ جميعِ الواجباتِ؟ و متىٰ </w:t>
      </w:r>
      <w:r>
        <w:rPr>
          <w:rStyle w:val="FootnoteAnchor"/>
          <w:rtl w:val="true"/>
        </w:rPr>
        <w:footnoteReference w:id="1179"/>
      </w:r>
      <w:r>
        <w:rPr>
          <w:rFonts w:ascii="Amiri" w:hAnsi="Amiri" w:eastAsia="Amiri" w:cs="Amiri"/>
          <w:color w:val="111111"/>
          <w:sz w:val="28"/>
          <w:sz w:val="28"/>
          <w:szCs w:val="28"/>
          <w:rtl w:val="true"/>
          <w:lang w:bidi="ar-SA"/>
        </w:rPr>
        <w:t>لَم يَنصِبْ له إماماً لَم يَختَرْ ذلكَ ، فيَكونُ معصوماً مع أنّ له إماماً؟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 الذي قدَّرتَه لَو وَقَعَ لَم</w:t>
      </w:r>
      <w:r>
        <w:rPr>
          <w:rStyle w:val="FootnoteAnchor"/>
          <w:rtl w:val="true"/>
        </w:rPr>
        <w:footnoteReference w:id="1180"/>
      </w:r>
      <w:r>
        <w:rPr>
          <w:rFonts w:ascii="Amiri" w:hAnsi="Amiri" w:eastAsia="Amiri" w:cs="Amiri"/>
          <w:color w:val="111111"/>
          <w:sz w:val="28"/>
          <w:sz w:val="28"/>
          <w:szCs w:val="28"/>
          <w:rtl w:val="true"/>
          <w:lang w:bidi="ar-SA"/>
        </w:rPr>
        <w:t>يَقدَحْ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لا يَحتاجُ إلىٰ إمامٍ مع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مَن كانَت عصمتُه بالإمامِ لَم يَحتَجْ إلىٰ إمامٍ مع عصمتِه</w:t>
      </w:r>
      <w:r>
        <w:rPr>
          <w:rStyle w:val="FootnoteAnchor"/>
          <w:rtl w:val="true"/>
        </w:rPr>
        <w:footnoteReference w:id="1181"/>
      </w:r>
      <w:r>
        <w:rPr>
          <w:rFonts w:ascii="Amiri" w:hAnsi="Amiri" w:eastAsia="Amiri" w:cs="Amiri"/>
          <w:color w:val="111111"/>
          <w:sz w:val="28"/>
          <w:sz w:val="28"/>
          <w:szCs w:val="28"/>
          <w:rtl w:val="true"/>
          <w:lang w:bidi="ar-SA"/>
        </w:rPr>
        <w:t>، و إنّما احتاجَ‌</w:t>
      </w:r>
      <w:r>
        <w:rPr>
          <w:rStyle w:val="FootnoteAnchor"/>
          <w:rtl w:val="true"/>
        </w:rPr>
        <w:footnoteReference w:id="1182"/>
      </w:r>
      <w:r>
        <w:rPr>
          <w:rFonts w:ascii="Amiri" w:hAnsi="Amiri" w:eastAsia="Amiri" w:cs="Amiri"/>
          <w:color w:val="111111"/>
          <w:sz w:val="28"/>
          <w:sz w:val="28"/>
          <w:szCs w:val="28"/>
          <w:rtl w:val="true"/>
          <w:lang w:bidi="ar-SA"/>
        </w:rPr>
        <w:t>إليه ليَكونَ معصوماً به، فلَم تَستَقِرَّ</w:t>
      </w:r>
      <w:r>
        <w:rPr>
          <w:rStyle w:val="FootnoteAnchor"/>
          <w:rtl w:val="true"/>
        </w:rPr>
        <w:footnoteReference w:id="1183"/>
      </w:r>
      <w:r>
        <w:rPr>
          <w:rFonts w:ascii="Amiri" w:hAnsi="Amiri" w:eastAsia="Amiri" w:cs="Amiri"/>
          <w:color w:val="111111"/>
          <w:sz w:val="28"/>
          <w:sz w:val="28"/>
          <w:szCs w:val="28"/>
          <w:rtl w:val="true"/>
          <w:lang w:bidi="ar-SA"/>
        </w:rPr>
        <w:t>له العصمةُ بغَيرِ الإمامِ مع حاجتِه إلَى الإمامِ‌</w:t>
      </w:r>
      <w:r>
        <w:rPr>
          <w:rStyle w:val="FootnoteAnchor"/>
          <w:rtl w:val="true"/>
        </w:rPr>
        <w:footnoteReference w:id="1184"/>
      </w:r>
      <w:r>
        <w:rPr>
          <w:rFonts w:ascii="Amiri" w:hAnsi="Amiri" w:eastAsia="Amiri" w:cs="Amiri"/>
          <w:color w:val="111111"/>
          <w:sz w:val="28"/>
          <w:sz w:val="28"/>
          <w:szCs w:val="28"/>
          <w:rtl w:val="true"/>
          <w:lang w:bidi="ar-SA"/>
        </w:rPr>
        <w:t>، و إنّما يَكونُ مُفسِداً لِما ذَكرناه</w:t>
      </w:r>
      <w:r>
        <w:rPr>
          <w:rStyle w:val="FootnoteAnchor"/>
          <w:rtl w:val="true"/>
        </w:rPr>
        <w:footnoteReference w:id="1185"/>
      </w:r>
      <w:r>
        <w:rPr>
          <w:rFonts w:ascii="Amiri" w:hAnsi="Amiri" w:eastAsia="Amiri" w:cs="Amiri"/>
          <w:color w:val="111111"/>
          <w:sz w:val="28"/>
          <w:sz w:val="28"/>
          <w:szCs w:val="28"/>
          <w:rtl w:val="true"/>
          <w:lang w:bidi="ar-SA"/>
        </w:rPr>
        <w:t>معارَضَتُكَ‌</w:t>
      </w:r>
      <w:r>
        <w:rPr>
          <w:rStyle w:val="FootnoteAnchor"/>
          <w:rtl w:val="true"/>
        </w:rPr>
        <w:footnoteReference w:id="1186"/>
      </w:r>
      <w:r>
        <w:rPr>
          <w:rFonts w:ascii="Amiri" w:hAnsi="Amiri" w:eastAsia="Amiri" w:cs="Amiri"/>
          <w:color w:val="111111"/>
          <w:sz w:val="28"/>
          <w:sz w:val="28"/>
          <w:szCs w:val="28"/>
          <w:rtl w:val="true"/>
          <w:lang w:bidi="ar-SA"/>
        </w:rPr>
        <w:t>لنا علىٰ معصومٍ لَم تَكُن</w:t>
      </w:r>
      <w:r>
        <w:rPr>
          <w:rStyle w:val="FootnoteAnchor"/>
          <w:rtl w:val="true"/>
        </w:rPr>
        <w:footnoteReference w:id="1187"/>
      </w:r>
      <w:r>
        <w:rPr>
          <w:rFonts w:ascii="Amiri" w:hAnsi="Amiri" w:eastAsia="Amiri" w:cs="Amiri"/>
          <w:color w:val="111111"/>
          <w:sz w:val="28"/>
          <w:sz w:val="28"/>
          <w:szCs w:val="28"/>
          <w:rtl w:val="true"/>
          <w:lang w:bidi="ar-SA"/>
        </w:rPr>
        <w:t>عصمتُه ثابتةً بالإمامِ‌، و هو مع ذلك يَحتاجُ إلىٰ إمامٍ‌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بَنَينا عليه الدليلَ يُسقِطُ هذه المُعارَضةَ‌؛ لأنّا عَلَّلنا وجوبَ‌</w:t>
      </w:r>
      <w:r>
        <w:rPr>
          <w:rStyle w:val="FootnoteAnchor"/>
          <w:rtl w:val="true"/>
        </w:rPr>
        <w:footnoteReference w:id="1189"/>
      </w:r>
      <w:r>
        <w:rPr>
          <w:rFonts w:ascii="Amiri" w:hAnsi="Amiri" w:eastAsia="Amiri" w:cs="Amiri"/>
          <w:color w:val="111111"/>
          <w:sz w:val="28"/>
          <w:sz w:val="28"/>
          <w:szCs w:val="28"/>
          <w:rtl w:val="true"/>
          <w:lang w:bidi="ar-SA"/>
        </w:rPr>
        <w:t>حاجةِ الناسِ إلىٰ ذلكَ‌</w:t>
      </w:r>
      <w:r>
        <w:rPr>
          <w:rStyle w:val="FootnoteAnchor"/>
          <w:rtl w:val="true"/>
        </w:rPr>
        <w:footnoteReference w:id="1190"/>
      </w:r>
      <w:r>
        <w:rPr>
          <w:rFonts w:ascii="Amiri" w:hAnsi="Amiri" w:eastAsia="Amiri" w:cs="Amiri"/>
          <w:color w:val="111111"/>
          <w:sz w:val="28"/>
          <w:sz w:val="28"/>
          <w:szCs w:val="28"/>
          <w:rtl w:val="true"/>
          <w:lang w:bidi="ar-SA"/>
        </w:rPr>
        <w:t xml:space="preserve">المعصومِ ، و قَضَينا بأنّ مَن كانَ معصوماً لا تَجِبُ </w:t>
      </w:r>
      <w:r>
        <w:rPr>
          <w:rStyle w:val="FootnoteAnchor"/>
          <w:rtl w:val="true"/>
        </w:rPr>
        <w:footnoteReference w:id="1191"/>
      </w:r>
      <w:r>
        <w:rPr>
          <w:rFonts w:ascii="Amiri" w:hAnsi="Amiri" w:eastAsia="Amiri" w:cs="Amiri"/>
          <w:color w:val="111111"/>
          <w:sz w:val="28"/>
          <w:sz w:val="28"/>
          <w:szCs w:val="28"/>
          <w:rtl w:val="true"/>
          <w:lang w:bidi="ar-SA"/>
        </w:rPr>
        <w:t xml:space="preserve">حاجتُه إلىٰ </w:t>
      </w:r>
      <w:bookmarkStart w:id="187" w:name="pg20015_284862"/>
    </w:p>
    <w:p>
      <w:pPr>
        <w:pStyle w:val="BookText"/>
        <w:rPr/>
      </w:pPr>
      <w:bookmarkEnd w:id="187"/>
      <w:r>
        <w:rPr>
          <w:rFonts w:ascii="Amiri" w:hAnsi="Amiri" w:eastAsia="Amiri" w:cs="Amiri"/>
          <w:color w:val="111111"/>
          <w:sz w:val="28"/>
          <w:sz w:val="28"/>
          <w:szCs w:val="28"/>
          <w:rtl w:val="true"/>
          <w:lang w:bidi="ar-SA"/>
        </w:rPr>
        <w:t xml:space="preserve">إمامٍ‌، و تقديرُكَ هذا لَيسَ بموجِبٍ حاجةَ </w:t>
      </w:r>
      <w:r>
        <w:rPr>
          <w:rStyle w:val="FootnoteAnchor"/>
          <w:rtl w:val="true"/>
        </w:rPr>
        <w:footnoteReference w:id="1192"/>
      </w:r>
      <w:r>
        <w:rPr>
          <w:rFonts w:ascii="Amiri" w:hAnsi="Amiri" w:eastAsia="Amiri" w:cs="Amiri"/>
          <w:color w:val="111111"/>
          <w:sz w:val="28"/>
          <w:sz w:val="28"/>
          <w:szCs w:val="28"/>
          <w:rtl w:val="true"/>
          <w:lang w:bidi="ar-SA"/>
        </w:rPr>
        <w:t xml:space="preserve">المعصومِ إلىٰ إمامٍ </w:t>
      </w:r>
      <w:r>
        <w:rPr>
          <w:rStyle w:val="FootnoteAnchor"/>
          <w:rtl w:val="true"/>
        </w:rPr>
        <w:footnoteReference w:id="1193"/>
      </w:r>
      <w:r>
        <w:rPr>
          <w:rFonts w:ascii="Amiri" w:hAnsi="Amiri" w:eastAsia="Amiri" w:cs="Amiri"/>
          <w:color w:val="111111"/>
          <w:sz w:val="28"/>
          <w:sz w:val="28"/>
          <w:szCs w:val="28"/>
          <w:rtl w:val="true"/>
          <w:lang w:bidi="ar-SA"/>
        </w:rPr>
        <w:t xml:space="preserve">، و إنّما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ذلك، و التجويزُ لا يَقدَحُ فيما اعتَمَدناه؛ لأنّ الحاجةَ إلَى الإمامِ </w:t>
      </w:r>
      <w:r>
        <w:rPr>
          <w:rStyle w:val="FootnoteAnchor"/>
          <w:rtl w:val="true"/>
        </w:rPr>
        <w:footnoteReference w:id="1194"/>
      </w:r>
      <w:r>
        <w:rPr>
          <w:rFonts w:ascii="Amiri" w:hAnsi="Amiri" w:eastAsia="Amiri" w:cs="Amiri"/>
          <w:color w:val="111111"/>
          <w:sz w:val="28"/>
          <w:sz w:val="28"/>
          <w:szCs w:val="28"/>
          <w:rtl w:val="true"/>
          <w:lang w:bidi="ar-SA"/>
        </w:rPr>
        <w:t xml:space="preserve">لا تَجِبُ للمعصومِ </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94855_2320776876"/>
      <w:bookmarkStart w:id="189" w:name="_Toc69"/>
      <w:bookmarkEnd w:id="188"/>
      <w:r>
        <w:rPr>
          <w:rtl w:val="true"/>
        </w:rPr>
        <w:t>في بيان استغناء المعصوم عن الإمام</w:t>
      </w:r>
      <w:bookmarkEnd w:id="189"/>
    </w:p>
    <w:p>
      <w:pPr>
        <w:pStyle w:val="BookText"/>
        <w:rPr/>
      </w:pPr>
      <w:r>
        <w:rPr>
          <w:rFonts w:ascii="Amiri" w:hAnsi="Amiri" w:eastAsia="Amiri" w:cs="Amiri"/>
          <w:color w:val="111111"/>
          <w:sz w:val="28"/>
          <w:sz w:val="28"/>
          <w:szCs w:val="28"/>
          <w:rtl w:val="true"/>
          <w:lang w:bidi="ar-SA"/>
        </w:rPr>
        <w:t xml:space="preserve">فإن قيلَ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أَنكَرتم أن يَكونَ </w:t>
      </w:r>
      <w:r>
        <w:rPr>
          <w:rStyle w:val="FootnoteAnchor"/>
          <w:rtl w:val="true"/>
        </w:rPr>
        <w:footnoteReference w:id="1196"/>
      </w:r>
      <w:r>
        <w:rPr>
          <w:rFonts w:ascii="Amiri" w:hAnsi="Amiri" w:eastAsia="Amiri" w:cs="Amiri"/>
          <w:color w:val="111111"/>
          <w:sz w:val="28"/>
          <w:sz w:val="28"/>
          <w:szCs w:val="28"/>
          <w:rtl w:val="true"/>
          <w:lang w:bidi="ar-SA"/>
        </w:rPr>
        <w:t xml:space="preserve">يَحتاجُ المعصومُ مع عصمتِه الثابتةِ بغَيرِ إمامٍ </w:t>
      </w:r>
      <w:r>
        <w:rPr>
          <w:rStyle w:val="FootnoteAnchor"/>
          <w:rtl w:val="true"/>
        </w:rPr>
        <w:footnoteReference w:id="1197"/>
      </w:r>
      <w:r>
        <w:rPr>
          <w:rFonts w:ascii="Amiri" w:hAnsi="Amiri" w:eastAsia="Amiri" w:cs="Amiri"/>
          <w:color w:val="111111"/>
          <w:sz w:val="28"/>
          <w:sz w:val="28"/>
          <w:szCs w:val="28"/>
          <w:rtl w:val="true"/>
          <w:lang w:bidi="ar-SA"/>
        </w:rPr>
        <w:t>إلىٰ إمامٍ ؛ ليَكونَ مع وُجودِه أقرَبَ إلىٰ فِعلِ الواجبِ و تَركِ القَبيحِ؟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عندَنا إذا فعَلَ اللّٰهُ تَعالىٰ ما يَعلَمُ أنّ العبدَ يَفعَلُ عندَه الواجبَ و يَترُكُ‌</w:t>
      </w:r>
      <w:r>
        <w:rPr>
          <w:rStyle w:val="FootnoteAnchor"/>
          <w:rtl w:val="true"/>
        </w:rPr>
        <w:footnoteReference w:id="1198"/>
      </w:r>
      <w:r>
        <w:rPr>
          <w:rFonts w:ascii="Amiri" w:hAnsi="Amiri" w:eastAsia="Amiri" w:cs="Amiri"/>
          <w:color w:val="111111"/>
          <w:sz w:val="28"/>
          <w:sz w:val="28"/>
          <w:szCs w:val="28"/>
          <w:rtl w:val="true"/>
          <w:lang w:bidi="ar-SA"/>
        </w:rPr>
        <w:t>القَبيحَ ، أن يَفعَلَ به جميعَ ما يَكونُ معه أقرَبَ إلىٰ فِعلِ الواجبِ و تَركِ القَبيحِ ؛ لأنّ ما فعَلَه ممّا قد عُلِمَ أنّه لا يُخِلُّ معه بالواجبِ يُغني 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ثبَتَت</w:t>
      </w:r>
      <w:r>
        <w:rPr>
          <w:rStyle w:val="FootnoteAnchor"/>
          <w:rtl w:val="true"/>
        </w:rPr>
        <w:footnoteReference w:id="1199"/>
      </w:r>
      <w:r>
        <w:rPr>
          <w:rFonts w:ascii="Amiri" w:hAnsi="Amiri" w:eastAsia="Amiri" w:cs="Amiri"/>
          <w:color w:val="111111"/>
          <w:sz w:val="28"/>
          <w:sz w:val="28"/>
          <w:szCs w:val="28"/>
          <w:rtl w:val="true"/>
          <w:lang w:bidi="ar-SA"/>
        </w:rPr>
        <w:t xml:space="preserve">هذه الجُملةُ بطَلَ ما سَألَ عنه؛ لأنّ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عَلِمَ اللّٰهُ تَعالىٰ أنّه لا يَختارُ شَيئاً مِن القَبائحِ عندَ ما فعَلَه به مِن الألطافِ التي لَيسَ مِن جُملتِها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مُستَغنٍ عن إمامٍ يَكونُ عندَ وُجودِه أقرَبَ إلىٰ ما ذَكرَه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90" w:name="pg20015_284863"/>
    </w:p>
    <w:p>
      <w:pPr>
        <w:pStyle w:val="Heading6"/>
        <w:numPr>
          <w:ilvl w:val="5"/>
          <w:numId w:val="1"/>
        </w:numPr>
        <w:rPr/>
      </w:pPr>
      <w:bookmarkStart w:id="191" w:name="__RefHeading___Toc894857_2320776876"/>
      <w:bookmarkStart w:id="192" w:name="_Toc70"/>
      <w:bookmarkEnd w:id="190"/>
      <w:bookmarkEnd w:id="191"/>
      <w:r>
        <w:rPr>
          <w:rtl w:val="true"/>
        </w:rPr>
        <w:t>شمول التكليف بالمعرفة للمعصومين</w:t>
      </w:r>
      <w:bookmarkEnd w:id="192"/>
    </w:p>
    <w:p>
      <w:pPr>
        <w:pStyle w:val="BookText"/>
        <w:rPr/>
      </w:pPr>
      <w:r>
        <w:rPr>
          <w:rFonts w:ascii="Amiri" w:hAnsi="Amiri" w:eastAsia="Amiri" w:cs="Amiri"/>
          <w:color w:val="111111"/>
          <w:sz w:val="28"/>
          <w:sz w:val="28"/>
          <w:szCs w:val="28"/>
          <w:rtl w:val="true"/>
          <w:lang w:bidi="ar-SA"/>
        </w:rPr>
        <w:t>فإن قيلَ‌</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يؤدّي إلىٰ أن يَكونَ المعصومونَ مُستَغنينَ عن تكليفِ المعرفةِ باللّٰهِ تَعالىٰ‌</w:t>
      </w:r>
      <w:r>
        <w:rPr>
          <w:rStyle w:val="FootnoteAnchor"/>
          <w:rtl w:val="true"/>
        </w:rPr>
        <w:footnoteReference w:id="1202"/>
      </w:r>
      <w:r>
        <w:rPr>
          <w:rFonts w:ascii="Amiri" w:hAnsi="Amiri" w:eastAsia="Amiri" w:cs="Amiri"/>
          <w:color w:val="111111"/>
          <w:sz w:val="28"/>
          <w:sz w:val="28"/>
          <w:szCs w:val="28"/>
          <w:rtl w:val="true"/>
          <w:lang w:bidi="ar-SA"/>
        </w:rPr>
        <w:t>بعصمتِهم</w:t>
      </w:r>
      <w:r>
        <w:rPr>
          <w:rStyle w:val="FootnoteAnchor"/>
          <w:rtl w:val="true"/>
        </w:rPr>
        <w:footnoteReference w:id="1203"/>
      </w:r>
      <w:r>
        <w:rPr>
          <w:rFonts w:ascii="Amiri" w:hAnsi="Amiri" w:eastAsia="Amiri" w:cs="Amiri"/>
          <w:color w:val="111111"/>
          <w:sz w:val="28"/>
          <w:sz w:val="28"/>
          <w:szCs w:val="28"/>
          <w:rtl w:val="true"/>
          <w:lang w:bidi="ar-SA"/>
        </w:rPr>
        <w:t xml:space="preserve">كما استَغنَوا بعصمتِهم عن الإمامِ‌، و إلّافإن وَجَبَ أن يَحتاجوا إلَى المعرفةِ مع عصمتِهم لِيَكونوا عندَها أقرَبَ إلىٰ فِعلِ المُرادِ و تجنُّبِ المكروهِ ، وَجَبَ أن يَحتاجوا إلَى الإمامِ </w:t>
      </w:r>
      <w:r>
        <w:rPr>
          <w:rStyle w:val="FootnoteAnchor"/>
          <w:rtl w:val="true"/>
        </w:rPr>
        <w:footnoteReference w:id="1204"/>
      </w:r>
      <w:r>
        <w:rPr>
          <w:rFonts w:ascii="Amiri" w:hAnsi="Amiri" w:eastAsia="Amiri" w:cs="Amiri"/>
          <w:color w:val="111111"/>
          <w:sz w:val="28"/>
          <w:sz w:val="28"/>
          <w:szCs w:val="28"/>
          <w:rtl w:val="true"/>
          <w:lang w:bidi="ar-SA"/>
        </w:rPr>
        <w:t xml:space="preserve">مع عصمتِهم لمِثلِ </w:t>
      </w:r>
      <w:r>
        <w:rPr>
          <w:rStyle w:val="FootnoteAnchor"/>
          <w:rtl w:val="true"/>
        </w:rPr>
        <w:footnoteReference w:id="1205"/>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يُنكَرُ</w:t>
      </w:r>
      <w:r>
        <w:rPr>
          <w:rStyle w:val="FootnoteAnchor"/>
          <w:rtl w:val="true"/>
        </w:rPr>
        <w:footnoteReference w:id="1207"/>
      </w:r>
      <w:r>
        <w:rPr>
          <w:rFonts w:ascii="Amiri" w:hAnsi="Amiri" w:eastAsia="Amiri" w:cs="Amiri"/>
          <w:color w:val="111111"/>
          <w:sz w:val="28"/>
          <w:sz w:val="28"/>
          <w:szCs w:val="28"/>
          <w:rtl w:val="true"/>
          <w:lang w:bidi="ar-SA"/>
        </w:rPr>
        <w:t>أن يَكونَ المعصومونَ إنّما</w:t>
      </w:r>
      <w:r>
        <w:rPr>
          <w:rStyle w:val="FootnoteAnchor"/>
          <w:rtl w:val="true"/>
        </w:rPr>
        <w:footnoteReference w:id="1208"/>
      </w:r>
      <w:r>
        <w:rPr>
          <w:rFonts w:ascii="Amiri" w:hAnsi="Amiri" w:eastAsia="Amiri" w:cs="Amiri"/>
          <w:color w:val="111111"/>
          <w:sz w:val="28"/>
          <w:sz w:val="28"/>
          <w:szCs w:val="28"/>
          <w:rtl w:val="true"/>
          <w:lang w:bidi="ar-SA"/>
        </w:rPr>
        <w:t>كُلِّفوا المعرفةَ باللّٰهِ تَعالىٰ‌؛ لأنّ بها يَتكامَلُ‌</w:t>
      </w:r>
      <w:r>
        <w:rPr>
          <w:rStyle w:val="FootnoteAnchor"/>
          <w:rtl w:val="true"/>
        </w:rPr>
        <w:footnoteReference w:id="1209"/>
      </w:r>
      <w:r>
        <w:rPr>
          <w:rFonts w:ascii="Amiri" w:hAnsi="Amiri" w:eastAsia="Amiri" w:cs="Amiri"/>
          <w:color w:val="111111"/>
          <w:sz w:val="28"/>
          <w:sz w:val="28"/>
          <w:szCs w:val="28"/>
          <w:rtl w:val="true"/>
          <w:lang w:bidi="ar-SA"/>
        </w:rPr>
        <w:t>عصمتُهم، و مِن أجلِها لَم يَختاروا فِعلَ القَبيحِ‌، و لَو جازَ أن يَتكامَلَ‌</w:t>
      </w:r>
      <w:r>
        <w:rPr>
          <w:rStyle w:val="FootnoteAnchor"/>
          <w:rtl w:val="true"/>
        </w:rPr>
        <w:footnoteReference w:id="1210"/>
      </w:r>
      <w:r>
        <w:rPr>
          <w:rFonts w:ascii="IRNazanin" w:hAnsi="IRNazanin" w:eastAsia="IRNazanin"/>
          <w:color w:val="111111"/>
          <w:sz w:val="28"/>
          <w:sz w:val="28"/>
          <w:szCs w:val="28"/>
          <w:rtl w:val="true"/>
          <w:lang w:bidi="fa-IR"/>
        </w:rPr>
        <w:t>لهم</w:t>
      </w:r>
      <w:r>
        <w:rPr>
          <w:rStyle w:val="FootnoteAnchor"/>
          <w:rtl w:val="true"/>
        </w:rPr>
        <w:footnoteReference w:id="1211"/>
      </w:r>
      <w:r>
        <w:rPr>
          <w:rFonts w:ascii="Amiri" w:hAnsi="Amiri" w:eastAsia="Amiri" w:cs="Amiri"/>
          <w:color w:val="111111"/>
          <w:sz w:val="28"/>
          <w:sz w:val="28"/>
          <w:szCs w:val="28"/>
          <w:rtl w:val="true"/>
          <w:lang w:bidi="ar-SA"/>
        </w:rPr>
        <w:t>العصمةُ مِن دون تكليفِ المعرفةِ لَم يَجِبْ تكليفُهم المعرفةَ‌، كَما لا تَجِبُ‌</w:t>
      </w:r>
      <w:r>
        <w:rPr>
          <w:rStyle w:val="FootnoteAnchor"/>
          <w:rtl w:val="true"/>
        </w:rPr>
        <w:footnoteReference w:id="1212"/>
      </w:r>
      <w:r>
        <w:rPr>
          <w:rFonts w:ascii="Amiri" w:hAnsi="Amiri" w:eastAsia="Amiri" w:cs="Amiri"/>
          <w:color w:val="111111"/>
          <w:sz w:val="28"/>
          <w:sz w:val="28"/>
          <w:szCs w:val="28"/>
          <w:rtl w:val="true"/>
          <w:lang w:bidi="ar-SA"/>
        </w:rPr>
        <w:t>إقامةُ أئمّةٍ لهُم إذا ثَبَتَت</w:t>
      </w:r>
      <w:r>
        <w:rPr>
          <w:rStyle w:val="FootnoteAnchor"/>
          <w:rtl w:val="true"/>
        </w:rPr>
        <w:footnoteReference w:id="1213"/>
      </w:r>
      <w:r>
        <w:rPr>
          <w:rFonts w:ascii="Amiri" w:hAnsi="Amiri" w:eastAsia="Amiri" w:cs="Amiri"/>
          <w:color w:val="111111"/>
          <w:sz w:val="28"/>
          <w:sz w:val="28"/>
          <w:szCs w:val="28"/>
          <w:rtl w:val="true"/>
          <w:lang w:bidi="ar-SA"/>
        </w:rPr>
        <w:t>عصمتُهم مِن دونِ الإمامِ‌، فيَكونُ الدليلُ الدالُّ علىٰ عُمومِ تكليفِ المعرفةِ للخَلقِ‌</w:t>
      </w:r>
      <w:r>
        <w:rPr>
          <w:rStyle w:val="FootnoteAnchor"/>
          <w:rtl w:val="true"/>
        </w:rPr>
        <w:footnoteReference w:id="1214"/>
      </w:r>
      <w:r>
        <w:rPr>
          <w:rFonts w:ascii="Amiri" w:hAnsi="Amiri" w:eastAsia="Amiri" w:cs="Amiri"/>
          <w:color w:val="111111"/>
          <w:sz w:val="28"/>
          <w:sz w:val="28"/>
          <w:szCs w:val="28"/>
          <w:rtl w:val="true"/>
          <w:lang w:bidi="ar-SA"/>
        </w:rPr>
        <w:t xml:space="preserve">كاشِفاً عن وُقوعِ ما قَدَّرناه في المعصومينَ مِنهم، مِن أنّ بالمعرفةِ يَتَكامَلُ </w:t>
      </w:r>
      <w:r>
        <w:rPr>
          <w:rStyle w:val="FootnoteAnchor"/>
          <w:rtl w:val="true"/>
        </w:rPr>
        <w:footnoteReference w:id="1215"/>
      </w:r>
      <w:r>
        <w:rPr>
          <w:rFonts w:ascii="Amiri" w:hAnsi="Amiri" w:eastAsia="Amiri" w:cs="Amiri"/>
          <w:color w:val="111111"/>
          <w:sz w:val="28"/>
          <w:sz w:val="28"/>
          <w:szCs w:val="28"/>
          <w:rtl w:val="true"/>
          <w:lang w:bidi="ar-SA"/>
        </w:rPr>
        <w:t>عصمتُهم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 يُجوِّزُ أن لا يُكلِّفَ اللّٰهُ تَعالىٰ معرفتَه المعصومينَ علىٰ حالٍ مِن الأحوالِ‌، و هي الحالُ </w:t>
      </w:r>
      <w:r>
        <w:rPr>
          <w:rStyle w:val="FootnoteAnchor"/>
          <w:rtl w:val="true"/>
        </w:rPr>
        <w:footnoteReference w:id="1217"/>
      </w:r>
      <w:r>
        <w:rPr>
          <w:rFonts w:ascii="Amiri" w:hAnsi="Amiri" w:eastAsia="Amiri" w:cs="Amiri"/>
          <w:color w:val="111111"/>
          <w:sz w:val="28"/>
          <w:sz w:val="28"/>
          <w:szCs w:val="28"/>
          <w:rtl w:val="true"/>
          <w:lang w:bidi="ar-SA"/>
        </w:rPr>
        <w:t xml:space="preserve">التي يَعلَمُ أنّ عصمتَهم تَحصُلُ مِن دونِ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جازَ ذلكَ عندَكم، فما الدليلُ الموجِبُ لعُمومِ تكليفِ المعرفةِ للمعصومينَ؟ و إذا كُنتُم قد أَفسَدتُم التعلُّقَ بطريقةِ </w:t>
      </w:r>
      <w:r>
        <w:rPr>
          <w:rStyle w:val="FootnoteAnchor"/>
          <w:rtl w:val="true"/>
        </w:rPr>
        <w:footnoteReference w:id="1218"/>
      </w:r>
      <w:r>
        <w:rPr>
          <w:rFonts w:ascii="Amiri" w:hAnsi="Amiri" w:eastAsia="Amiri" w:cs="Amiri"/>
          <w:color w:val="111111"/>
          <w:sz w:val="28"/>
          <w:sz w:val="28"/>
          <w:szCs w:val="28"/>
          <w:rtl w:val="true"/>
          <w:lang w:bidi="ar-SA"/>
        </w:rPr>
        <w:t>الأقرَبِ ، فلَم يَبقَ لكم معتَمَدٌ في عُمومِ تكليفِها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مِن تَعذُّرِ</w:t>
      </w:r>
      <w:r>
        <w:rPr>
          <w:rStyle w:val="FootnoteAnchor"/>
          <w:rtl w:val="true"/>
        </w:rPr>
        <w:footnoteReference w:id="1220"/>
      </w:r>
      <w:r>
        <w:rPr>
          <w:rFonts w:ascii="Amiri" w:hAnsi="Amiri" w:eastAsia="Amiri" w:cs="Amiri"/>
          <w:color w:val="111111"/>
          <w:sz w:val="28"/>
          <w:sz w:val="28"/>
          <w:szCs w:val="28"/>
          <w:rtl w:val="true"/>
          <w:lang w:bidi="ar-SA"/>
        </w:rPr>
        <w:t>الدَّلالةِ علىٰ عُمومِ تكليفِ المعرفةِ علينا إذا لَم نعتَمِدْ</w:t>
      </w:r>
      <w:r>
        <w:rPr>
          <w:rStyle w:val="FootnoteAnchor"/>
          <w:rtl w:val="true"/>
        </w:rPr>
        <w:footnoteReference w:id="1221"/>
      </w:r>
      <w:r>
        <w:rPr>
          <w:rFonts w:ascii="Amiri" w:hAnsi="Amiri" w:eastAsia="Amiri" w:cs="Amiri"/>
          <w:color w:val="111111"/>
          <w:sz w:val="28"/>
          <w:sz w:val="28"/>
          <w:szCs w:val="28"/>
          <w:rtl w:val="true"/>
          <w:lang w:bidi="ar-SA"/>
        </w:rPr>
        <w:t>طريقَتَكَ‌، و عندَنا أنّ طريقةَ السمعِ هي الدالّةُ‌</w:t>
      </w:r>
      <w:r>
        <w:rPr>
          <w:rStyle w:val="FootnoteAnchor"/>
          <w:rtl w:val="true"/>
        </w:rPr>
        <w:footnoteReference w:id="1222"/>
      </w:r>
      <w:r>
        <w:rPr>
          <w:rFonts w:ascii="Amiri" w:hAnsi="Amiri" w:eastAsia="Amiri" w:cs="Amiri"/>
          <w:color w:val="111111"/>
          <w:sz w:val="28"/>
          <w:sz w:val="28"/>
          <w:szCs w:val="28"/>
          <w:rtl w:val="true"/>
          <w:lang w:bidi="ar-SA"/>
        </w:rPr>
        <w:t>علىٰ عُمومِ تكليفِها لسائرِ</w:t>
      </w:r>
      <w:r>
        <w:rPr>
          <w:rStyle w:val="FootnoteAnchor"/>
          <w:rtl w:val="true"/>
        </w:rPr>
        <w:footnoteReference w:id="1223"/>
      </w:r>
      <w:r>
        <w:rPr>
          <w:rFonts w:ascii="Amiri" w:hAnsi="Amiri" w:eastAsia="Amiri" w:cs="Amiri"/>
          <w:color w:val="111111"/>
          <w:sz w:val="28"/>
          <w:sz w:val="28"/>
          <w:szCs w:val="28"/>
          <w:rtl w:val="true"/>
          <w:lang w:bidi="ar-SA"/>
        </w:rPr>
        <w:t>مَن تَكامَلَت شُروطُه، و لا شُبهةَ في دَلالةِ السَّمعِ علىٰ ذلكَ‌؛ لأنّ الأُمّةَ مُجمِعةٌ علىٰ تَساوي أحوالِ العِبادِ في بابِ المعرفةِ‌؛ لأنّ مَن ذَهَبَ إلىٰ أنّها مُستَدَلٌّ‌</w:t>
      </w:r>
      <w:r>
        <w:rPr>
          <w:rStyle w:val="FootnoteAnchor"/>
          <w:rtl w:val="true"/>
        </w:rPr>
        <w:footnoteReference w:id="1224"/>
      </w:r>
      <w:r>
        <w:rPr>
          <w:rFonts w:ascii="Amiri" w:hAnsi="Amiri" w:eastAsia="Amiri" w:cs="Amiri"/>
          <w:color w:val="111111"/>
          <w:sz w:val="28"/>
          <w:sz w:val="28"/>
          <w:szCs w:val="28"/>
          <w:rtl w:val="true"/>
          <w:lang w:bidi="ar-SA"/>
        </w:rPr>
        <w:t>عَلَيها يَذهَبُ إلىٰ عُمومِ الخَلقِ بتكليفِها إذا تَكامَلَت شُروطُ</w:t>
      </w:r>
      <w:r>
        <w:rPr>
          <w:rStyle w:val="FootnoteAnchor"/>
          <w:rtl w:val="true"/>
        </w:rPr>
        <w:footnoteReference w:id="1225"/>
      </w:r>
      <w:r>
        <w:rPr>
          <w:rFonts w:ascii="Amiri" w:hAnsi="Amiri" w:eastAsia="Amiri" w:cs="Amiri"/>
          <w:color w:val="111111"/>
          <w:sz w:val="28"/>
          <w:sz w:val="28"/>
          <w:szCs w:val="28"/>
          <w:rtl w:val="true"/>
          <w:lang w:bidi="ar-SA"/>
        </w:rPr>
        <w:t>تَكليفِهم،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فيها</w:t>
      </w:r>
      <w:r>
        <w:rPr>
          <w:rStyle w:val="FootnoteAnchor"/>
          <w:rtl w:val="true"/>
        </w:rPr>
        <w:footnoteReference w:id="1226"/>
      </w:r>
      <w:r>
        <w:rPr>
          <w:rFonts w:ascii="Amiri" w:hAnsi="Amiri" w:eastAsia="Amiri" w:cs="Amiri"/>
          <w:color w:val="111111"/>
          <w:sz w:val="28"/>
          <w:sz w:val="28"/>
          <w:szCs w:val="28"/>
          <w:rtl w:val="true"/>
          <w:lang w:bidi="ar-SA"/>
        </w:rPr>
        <w:t xml:space="preserve">بالاضطرارِ يَقولُ في عُمومِها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إلّاما يُعلَمُ ضَرورةً مِن دِينِ النبيِّ صَلَّى اللّٰهُ عليه و آلِه</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تكليفَ معرفةِ اللّٰهِ تَعالىٰ </w:t>
      </w:r>
    </w:p>
    <w:p>
      <w:pPr>
        <w:pStyle w:val="BookText"/>
        <w:rPr/>
      </w:pPr>
      <w:r>
        <w:rPr>
          <w:rFonts w:ascii="Amiri" w:hAnsi="Amiri" w:eastAsia="Amiri" w:cs="Amiri"/>
          <w:color w:val="111111"/>
          <w:sz w:val="28"/>
          <w:sz w:val="28"/>
          <w:szCs w:val="28"/>
          <w:rtl w:val="true"/>
          <w:lang w:bidi="ar-SA"/>
        </w:rPr>
        <w:t>و معرفةِ رُسُلِه عليهم السلام عامّةٌ للعقلاءِ ، و أنّه لا تخصيصَ فيها و لا تمييزَ</w:t>
      </w:r>
      <w:r>
        <w:rPr>
          <w:rStyle w:val="FootnoteAnchor"/>
          <w:rtl w:val="true"/>
        </w:rPr>
        <w:footnoteReference w:id="1228"/>
      </w:r>
      <w:r>
        <w:rPr>
          <w:rFonts w:ascii="Amiri" w:hAnsi="Amiri" w:eastAsia="Amiri" w:cs="Amiri"/>
          <w:color w:val="111111"/>
          <w:sz w:val="28"/>
          <w:sz w:val="28"/>
          <w:szCs w:val="28"/>
          <w:rtl w:val="true"/>
          <w:lang w:bidi="ar-SA"/>
        </w:rPr>
        <w:t xml:space="preserve">إلّا لِمَن لَم يَتكامَلْ </w:t>
      </w:r>
      <w:r>
        <w:rPr>
          <w:rStyle w:val="FootnoteAnchor"/>
          <w:rtl w:val="true"/>
        </w:rPr>
        <w:footnoteReference w:id="1229"/>
      </w:r>
      <w:r>
        <w:rPr>
          <w:rFonts w:ascii="Amiri" w:hAnsi="Amiri" w:eastAsia="Amiri" w:cs="Amiri"/>
          <w:color w:val="111111"/>
          <w:sz w:val="28"/>
          <w:sz w:val="28"/>
          <w:szCs w:val="28"/>
          <w:rtl w:val="true"/>
          <w:lang w:bidi="ar-SA"/>
        </w:rPr>
        <w:t>شُروطُه</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عُلِمَ أيضاً مِن دِينِ محمّدٍ</w:t>
      </w:r>
      <w:r>
        <w:rPr>
          <w:rStyle w:val="FootnoteAnchor"/>
          <w:rtl w:val="true"/>
        </w:rPr>
        <w:footnoteReference w:id="1231"/>
      </w:r>
      <w:r>
        <w:rPr>
          <w:rFonts w:ascii="Amiri" w:hAnsi="Amiri" w:eastAsia="Amiri" w:cs="Amiri"/>
          <w:color w:val="111111"/>
          <w:sz w:val="28"/>
          <w:sz w:val="28"/>
          <w:szCs w:val="28"/>
          <w:rtl w:val="true"/>
          <w:lang w:bidi="ar-SA"/>
        </w:rPr>
        <w:t xml:space="preserve">صَلَّى اللّٰهُ عليهِ و آلِه عُمومُ وُجوبِ الصّلَواتِ </w:t>
      </w:r>
      <w:r>
        <w:rPr>
          <w:rStyle w:val="FootnoteAnchor"/>
          <w:rtl w:val="true"/>
        </w:rPr>
        <w:footnoteReference w:id="1232"/>
      </w:r>
      <w:r>
        <w:rPr>
          <w:rFonts w:ascii="Amiri" w:hAnsi="Amiri" w:eastAsia="Amiri" w:cs="Amiri"/>
          <w:color w:val="111111"/>
          <w:sz w:val="28"/>
          <w:sz w:val="28"/>
          <w:szCs w:val="28"/>
          <w:rtl w:val="true"/>
          <w:lang w:bidi="ar-SA"/>
        </w:rPr>
        <w:t>، و ما أشبَهَها مِن العباداتِ الشرعيّةِ ، لكُلِّ مَن تَكامَلَت</w:t>
      </w:r>
      <w:r>
        <w:rPr>
          <w:rStyle w:val="FootnoteAnchor"/>
          <w:rtl w:val="true"/>
        </w:rPr>
        <w:footnoteReference w:id="1233"/>
      </w:r>
      <w:r>
        <w:rPr>
          <w:rFonts w:ascii="Amiri" w:hAnsi="Amiri" w:eastAsia="Amiri" w:cs="Amiri"/>
          <w:color w:val="111111"/>
          <w:sz w:val="28"/>
          <w:sz w:val="28"/>
          <w:szCs w:val="28"/>
          <w:rtl w:val="true"/>
          <w:lang w:bidi="ar-SA"/>
        </w:rPr>
        <w:t>شُروطُه مِن المكلَّفينَ علىٰ وجهٍ لا إشكالَ فيه، و نحنُ نَعلَمُ أنّ هذه العِباداتِ لا يَصِحُّ وقوعُها قُربةً و علَى الوجوهِ التي وَجَبَت عليها ممّن هو جاهِلٌ باللّٰهِ تَعالىٰ و</w:t>
      </w:r>
      <w:r>
        <w:rPr>
          <w:rStyle w:val="FootnoteAnchor"/>
          <w:rtl w:val="true"/>
        </w:rPr>
        <w:footnoteReference w:id="1234"/>
      </w:r>
      <w:r>
        <w:rPr>
          <w:rFonts w:ascii="Amiri" w:hAnsi="Amiri" w:eastAsia="Amiri" w:cs="Amiri"/>
          <w:color w:val="111111"/>
          <w:sz w:val="28"/>
          <w:sz w:val="28"/>
          <w:szCs w:val="28"/>
          <w:rtl w:val="true"/>
          <w:lang w:bidi="ar-SA"/>
        </w:rPr>
        <w:t>غَيرُ عالِمٍ به؛ بل لا بُدَّ مِن تقدُّمِ معرفتِه</w:t>
      </w:r>
      <w:r>
        <w:rPr>
          <w:rStyle w:val="FootnoteAnchor"/>
          <w:rtl w:val="true"/>
        </w:rPr>
        <w:footnoteReference w:id="1235"/>
      </w:r>
      <w:r>
        <w:rPr>
          <w:rFonts w:ascii="Amiri" w:hAnsi="Amiri" w:eastAsia="Amiri" w:cs="Amiri"/>
          <w:color w:val="111111"/>
          <w:sz w:val="28"/>
          <w:sz w:val="28"/>
          <w:szCs w:val="28"/>
          <w:rtl w:val="true"/>
          <w:lang w:bidi="ar-SA"/>
        </w:rPr>
        <w:t>تَعالىٰ بصِفاتِه، و معرفةِ صِدقِ رَسولِه صَلَّى اللّٰهُ عليهِ و آلِه</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أَوضَحُ دَلالةٍ علىٰ وجوبِ المعرفةِ ؛ لأنّ ما لا يَتِمُّ فِعلُ الواجبِ إلّا به لا بُدَّ أن يَكونَ واجباً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w:t>
      </w:r>
      <w:r>
        <w:rPr>
          <w:rStyle w:val="FootnoteAnchor"/>
          <w:rtl w:val="true"/>
        </w:rPr>
        <w:footnoteReference w:id="1237"/>
      </w:r>
      <w:r>
        <w:rPr>
          <w:rFonts w:ascii="Amiri" w:hAnsi="Amiri" w:eastAsia="Amiri" w:cs="Amiri"/>
          <w:color w:val="111111"/>
          <w:sz w:val="28"/>
          <w:sz w:val="28"/>
          <w:szCs w:val="28"/>
          <w:rtl w:val="true"/>
          <w:lang w:bidi="ar-SA"/>
        </w:rPr>
        <w:t>العِباداتُ قد</w:t>
      </w:r>
      <w:r>
        <w:rPr>
          <w:rStyle w:val="FootnoteAnchor"/>
          <w:rtl w:val="true"/>
        </w:rPr>
        <w:footnoteReference w:id="1238"/>
      </w:r>
      <w:r>
        <w:rPr>
          <w:rFonts w:ascii="Amiri" w:hAnsi="Amiri" w:eastAsia="Amiri" w:cs="Amiri"/>
          <w:color w:val="111111"/>
          <w:sz w:val="28"/>
          <w:sz w:val="28"/>
          <w:szCs w:val="28"/>
          <w:rtl w:val="true"/>
          <w:lang w:bidi="ar-SA"/>
        </w:rPr>
        <w:t>تَسقُطُ عن بعضِ العُقَلاءِ لأعذارٍ معلومةٍ ، فيَجِبُ أن تَسقُطَ</w:t>
      </w:r>
      <w:r>
        <w:rPr>
          <w:rStyle w:val="FootnoteAnchor"/>
          <w:rtl w:val="true"/>
        </w:rPr>
        <w:footnoteReference w:id="1239"/>
      </w:r>
      <w:r>
        <w:rPr>
          <w:rFonts w:ascii="Amiri" w:hAnsi="Amiri" w:eastAsia="Amiri" w:cs="Amiri"/>
          <w:color w:val="111111"/>
          <w:sz w:val="28"/>
          <w:sz w:val="28"/>
          <w:szCs w:val="28"/>
          <w:rtl w:val="true"/>
          <w:lang w:bidi="ar-SA"/>
        </w:rPr>
        <w:t xml:space="preserve">المعرفةُ بسُقوطِها، حتّىٰ يُقضىٰ علىٰ كُلِّ مَن لا يَلزَمُه </w:t>
      </w:r>
      <w:bookmarkStart w:id="193" w:name="pg20015_284866"/>
    </w:p>
    <w:p>
      <w:pPr>
        <w:pStyle w:val="BookText"/>
        <w:rPr/>
      </w:pPr>
      <w:bookmarkEnd w:id="193"/>
      <w:r>
        <w:rPr>
          <w:rFonts w:ascii="Amiri" w:hAnsi="Amiri" w:eastAsia="Amiri" w:cs="Amiri"/>
          <w:color w:val="111111"/>
          <w:sz w:val="28"/>
          <w:sz w:val="28"/>
          <w:szCs w:val="28"/>
          <w:rtl w:val="true"/>
          <w:lang w:bidi="ar-SA"/>
        </w:rPr>
        <w:t>فِعلُ شيءٍ مِن هذه</w:t>
      </w:r>
      <w:r>
        <w:rPr>
          <w:rStyle w:val="FootnoteAnchor"/>
          <w:rtl w:val="true"/>
        </w:rPr>
        <w:footnoteReference w:id="1240"/>
      </w:r>
      <w:r>
        <w:rPr>
          <w:rFonts w:ascii="Amiri" w:hAnsi="Amiri" w:eastAsia="Amiri" w:cs="Amiri"/>
          <w:color w:val="111111"/>
          <w:sz w:val="28"/>
          <w:sz w:val="28"/>
          <w:szCs w:val="28"/>
          <w:rtl w:val="true"/>
          <w:lang w:bidi="ar-SA"/>
        </w:rPr>
        <w:t>العِباداتِ بزَوالِ تكليفِ المعرفةِ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غَيرُ مُمتَنِعٍ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ثُبوتِها علىٰ مَن سَقَطَت عنه العِباداتُ الشرعيّةُ لبَعضِ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ضَربٍ آخَرَ مِن الاعتبارِ؛ و هو أنّ الأُمّةَ مُجمِعةٌ علىٰ أنّ سُقوطَ فَرضِ المعرفةِ غَيرُ تابعٍ‌</w:t>
      </w:r>
      <w:r>
        <w:rPr>
          <w:rStyle w:val="FootnoteAnchor"/>
          <w:rtl w:val="true"/>
        </w:rPr>
        <w:footnoteReference w:id="1241"/>
      </w:r>
      <w:r>
        <w:rPr>
          <w:rFonts w:ascii="Amiri" w:hAnsi="Amiri" w:eastAsia="Amiri" w:cs="Amiri"/>
          <w:color w:val="111111"/>
          <w:sz w:val="28"/>
          <w:sz w:val="28"/>
          <w:szCs w:val="28"/>
          <w:rtl w:val="true"/>
          <w:lang w:bidi="ar-SA"/>
        </w:rPr>
        <w:t>لسُقوطِ فَرضِ‌</w:t>
      </w:r>
      <w:r>
        <w:rPr>
          <w:rStyle w:val="FootnoteAnchor"/>
          <w:rtl w:val="true"/>
        </w:rPr>
        <w:footnoteReference w:id="1242"/>
      </w:r>
      <w:r>
        <w:rPr>
          <w:rFonts w:ascii="Amiri" w:hAnsi="Amiri" w:eastAsia="Amiri" w:cs="Amiri"/>
          <w:color w:val="111111"/>
          <w:sz w:val="28"/>
          <w:sz w:val="28"/>
          <w:szCs w:val="28"/>
          <w:rtl w:val="true"/>
          <w:lang w:bidi="ar-SA"/>
        </w:rPr>
        <w:t>هذه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w:t>
      </w:r>
      <w:r>
        <w:rPr>
          <w:rStyle w:val="FootnoteAnchor"/>
          <w:rtl w:val="true"/>
        </w:rPr>
        <w:footnoteReference w:id="1243"/>
      </w:r>
      <w:r>
        <w:rPr>
          <w:rFonts w:ascii="Amiri" w:hAnsi="Amiri" w:eastAsia="Amiri" w:cs="Amiri"/>
          <w:color w:val="111111"/>
          <w:sz w:val="28"/>
          <w:sz w:val="28"/>
          <w:szCs w:val="28"/>
          <w:rtl w:val="true"/>
          <w:lang w:bidi="ar-SA"/>
        </w:rPr>
        <w:t>لا خِلافَ فيه؛ لأنّ مَن ذَهَبَ فيها إلَى الضرورةِ لا يَجعَلُ فَرضَها ثابتاً علَى المكلَّفِ في حالٍ مِن الأحوالِ‌</w:t>
      </w:r>
      <w:r>
        <w:rPr>
          <w:rStyle w:val="FootnoteAnchor"/>
          <w:rtl w:val="true"/>
        </w:rPr>
        <w:footnoteReference w:id="1244"/>
      </w:r>
      <w:r>
        <w:rPr>
          <w:rFonts w:ascii="Amiri" w:hAnsi="Amiri" w:eastAsia="Amiri" w:cs="Amiri"/>
          <w:color w:val="111111"/>
          <w:sz w:val="28"/>
          <w:sz w:val="28"/>
          <w:szCs w:val="28"/>
          <w:rtl w:val="true"/>
          <w:lang w:bidi="ar-SA"/>
        </w:rPr>
        <w:t>، فكيفَ يَجعَلُ سُقوطَها</w:t>
      </w:r>
      <w:r>
        <w:rPr>
          <w:rStyle w:val="FootnoteAnchor"/>
          <w:rtl w:val="true"/>
        </w:rPr>
        <w:footnoteReference w:id="1245"/>
      </w:r>
      <w:r>
        <w:rPr>
          <w:rFonts w:ascii="Amiri" w:hAnsi="Amiri" w:eastAsia="Amiri" w:cs="Amiri"/>
          <w:color w:val="111111"/>
          <w:sz w:val="28"/>
          <w:sz w:val="28"/>
          <w:szCs w:val="28"/>
          <w:rtl w:val="true"/>
          <w:lang w:bidi="ar-SA"/>
        </w:rPr>
        <w:t>تابعاً لسُقوطِ العِباداتِ في بَعضِ الأحوالِ؟ و مَن ذَهَبَ إلىٰ أنّها اكتسابٌ مِن أهلِ الحقِّ ، لا شُبهةَ في قَطعِه علىٰ عُمومِ تكليفِها، و أنّها</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ممّا لا تَتبَعُ في الزوالِ العِباداتِ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الذاهبُ إلىٰ أنّها تَقَعُ بالطبعِ بعدَ النظَرِ لا يُخالِفُ أيضاً في هذه الجُملةِ التي هي أنّ المعرفةَ غَيرُ تابِعةٍ في الزوالِ هذه العِباداتِ </w:t>
      </w:r>
      <w:r>
        <w:rPr>
          <w:rFonts w:eastAsia="Amiri" w:cs="Amiri" w:ascii="Amiri" w:hAnsi="Amiri"/>
          <w:color w:val="111111"/>
          <w:sz w:val="28"/>
          <w:szCs w:val="28"/>
          <w:rtl w:val="true"/>
          <w:lang w:bidi="ar-SA"/>
        </w:rPr>
        <w:t>.</w:t>
      </w:r>
      <w:r>
        <w:rPr>
          <w:rStyle w:val="FootnoteAnchor"/>
          <w:rtl w:val="true"/>
        </w:rPr>
        <w:footnoteReference w:id="1247"/>
      </w:r>
    </w:p>
    <w:p>
      <w:pPr>
        <w:pStyle w:val="Heading6"/>
        <w:numPr>
          <w:ilvl w:val="5"/>
          <w:numId w:val="1"/>
        </w:numPr>
        <w:rPr/>
      </w:pPr>
      <w:bookmarkStart w:id="194" w:name="__RefHeading___Toc894859_2320776876"/>
      <w:bookmarkStart w:id="195" w:name="_Toc71"/>
      <w:bookmarkEnd w:id="194"/>
      <w:r>
        <w:rPr>
          <w:rtl w:val="true"/>
        </w:rPr>
        <w:t>التقرير الثاني لدليل عصمة الإمام</w:t>
      </w:r>
      <w:bookmarkEnd w:id="195"/>
    </w:p>
    <w:p>
      <w:pPr>
        <w:pStyle w:val="Heading6"/>
        <w:numPr>
          <w:ilvl w:val="5"/>
          <w:numId w:val="1"/>
        </w:numPr>
        <w:rPr/>
      </w:pPr>
      <w:bookmarkStart w:id="196" w:name="__RefHeading___Toc894861_2320776876"/>
      <w:bookmarkStart w:id="197" w:name="_Toc72"/>
      <w:bookmarkEnd w:id="196"/>
      <w:r>
        <w:rPr>
          <w:rtl w:val="true"/>
        </w:rPr>
        <w:t>اشارة</w:t>
      </w:r>
      <w:bookmarkEnd w:id="1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أنّا إنّما سَلَكنا في تَرتيبِ الدَّلالةِ الّتي قَدَّمناها علىٰ عصمةِ الإمامِ مَسلَكَ مَن تَقدَّمَ مِن سَلَفِنا رَضيَ اللّٰهُ عنُهم</w:t>
      </w:r>
      <w:r>
        <w:rPr>
          <w:rStyle w:val="FootnoteAnchor"/>
          <w:rtl w:val="true"/>
        </w:rPr>
        <w:footnoteReference w:id="1248"/>
      </w:r>
      <w:r>
        <w:rPr>
          <w:rFonts w:ascii="Amiri" w:hAnsi="Amiri" w:eastAsia="Amiri" w:cs="Amiri"/>
          <w:color w:val="111111"/>
          <w:sz w:val="28"/>
          <w:sz w:val="28"/>
          <w:szCs w:val="28"/>
          <w:rtl w:val="true"/>
          <w:lang w:bidi="ar-SA"/>
        </w:rPr>
        <w:t>، و إن كُنّا قد احتَرَزنا في إثباتِها</w:t>
      </w:r>
      <w:r>
        <w:rPr>
          <w:rStyle w:val="FootnoteAnchor"/>
          <w:rtl w:val="true"/>
        </w:rPr>
        <w:footnoteReference w:id="1249"/>
      </w:r>
      <w:r>
        <w:rPr>
          <w:rFonts w:ascii="Amiri" w:hAnsi="Amiri" w:eastAsia="Amiri" w:cs="Amiri"/>
          <w:color w:val="111111"/>
          <w:sz w:val="28"/>
          <w:sz w:val="28"/>
          <w:szCs w:val="28"/>
          <w:rtl w:val="true"/>
          <w:lang w:bidi="ar-SA"/>
        </w:rPr>
        <w:t xml:space="preserve">بألفاظٍ </w:t>
      </w:r>
    </w:p>
    <w:p>
      <w:pPr>
        <w:pStyle w:val="BookText"/>
        <w:rPr/>
      </w:pPr>
      <w:r>
        <w:rPr>
          <w:rFonts w:ascii="Amiri" w:hAnsi="Amiri" w:eastAsia="Amiri" w:cs="Amiri"/>
          <w:color w:val="111111"/>
          <w:sz w:val="28"/>
          <w:sz w:val="28"/>
          <w:szCs w:val="28"/>
          <w:rtl w:val="true"/>
          <w:lang w:bidi="ar-SA"/>
        </w:rPr>
        <w:t>مُسقِطةٍ لبعضِ شُبَهِ الخُصومِ اللازِمةِ علىٰ مَن</w:t>
      </w:r>
      <w:r>
        <w:rPr>
          <w:rStyle w:val="FootnoteAnchor"/>
          <w:rtl w:val="true"/>
        </w:rPr>
        <w:footnoteReference w:id="1250"/>
      </w:r>
      <w:r>
        <w:rPr>
          <w:rFonts w:ascii="Amiri" w:hAnsi="Amiri" w:eastAsia="Amiri" w:cs="Amiri"/>
          <w:color w:val="111111"/>
          <w:sz w:val="28"/>
          <w:sz w:val="28"/>
          <w:szCs w:val="28"/>
          <w:rtl w:val="true"/>
          <w:lang w:bidi="ar-SA"/>
        </w:rPr>
        <w:t xml:space="preserve">يُخالفُ ترتيبَنا، و استَقصَينا الجوابَ عن قَويِّ ما يُمكِنُ إيرادُه عليها مِن المَطاعِنِ و الاعتراضاتِ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بمعنىٰ هذه الطريقةِ علَى الترتيبِ الذي نُرتِّبُه</w:t>
      </w:r>
      <w:r>
        <w:rPr>
          <w:rStyle w:val="FootnoteAnchor"/>
          <w:rtl w:val="true"/>
        </w:rPr>
        <w:footnoteReference w:id="1251"/>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مِن الوجهِ الذي تَقدَّمَ بَيانُه</w:t>
      </w:r>
      <w:r>
        <w:rPr>
          <w:rStyle w:val="FootnoteAnchor"/>
          <w:rtl w:val="true"/>
        </w:rPr>
        <w:footnoteReference w:id="1253"/>
      </w:r>
      <w:r>
        <w:rPr>
          <w:rFonts w:ascii="Amiri" w:hAnsi="Amiri" w:eastAsia="Amiri" w:cs="Amiri"/>
          <w:color w:val="111111"/>
          <w:sz w:val="28"/>
          <w:sz w:val="28"/>
          <w:szCs w:val="28"/>
          <w:rtl w:val="true"/>
          <w:lang w:bidi="ar-SA"/>
        </w:rPr>
        <w:t>، فالطريقُ الذي به يُعلَمُ‌</w:t>
      </w:r>
      <w:r>
        <w:rPr>
          <w:rStyle w:val="FootnoteAnchor"/>
          <w:rtl w:val="true"/>
        </w:rPr>
        <w:footnoteReference w:id="1254"/>
      </w:r>
      <w:r>
        <w:rPr>
          <w:rFonts w:ascii="Amiri" w:hAnsi="Amiri" w:eastAsia="Amiri" w:cs="Amiri"/>
          <w:color w:val="111111"/>
          <w:sz w:val="28"/>
          <w:sz w:val="28"/>
          <w:szCs w:val="28"/>
          <w:rtl w:val="true"/>
          <w:lang w:bidi="ar-SA"/>
        </w:rPr>
        <w:t>وجوبُها، به يُعلَمُ جهةُ الوجوبِ و</w:t>
      </w:r>
      <w:r>
        <w:rPr>
          <w:rStyle w:val="FootnoteAnchor"/>
          <w:rtl w:val="true"/>
        </w:rPr>
        <w:footnoteReference w:id="1255"/>
      </w:r>
      <w:r>
        <w:rPr>
          <w:rFonts w:ascii="Amiri" w:hAnsi="Amiri" w:eastAsia="Amiri" w:cs="Amiri"/>
          <w:color w:val="111111"/>
          <w:sz w:val="28"/>
          <w:sz w:val="28"/>
          <w:szCs w:val="28"/>
          <w:rtl w:val="true"/>
          <w:lang w:bidi="ar-SA"/>
        </w:rPr>
        <w:t>المُقتَضي له؛ لأنّ الطريقَ إلىٰ وجوبِ الحاجةِ إلَى الإمامِ إذا كانَ هو كَونَه لُطفاً في ارتفاعِ القَبيحِ و فِعلِ الواجبِ‌</w:t>
      </w:r>
      <w:r>
        <w:rPr>
          <w:rStyle w:val="FootnoteAnchor"/>
          <w:rtl w:val="true"/>
        </w:rPr>
        <w:footnoteReference w:id="1256"/>
      </w:r>
      <w:r>
        <w:rPr>
          <w:rFonts w:ascii="IRNazanin" w:hAnsi="IRNazanin" w:eastAsia="IRNazanin"/>
          <w:color w:val="111111"/>
          <w:sz w:val="28"/>
          <w:sz w:val="28"/>
          <w:szCs w:val="28"/>
          <w:rtl w:val="true"/>
          <w:lang w:bidi="fa-IR"/>
        </w:rPr>
        <w:t>، و قد</w:t>
      </w:r>
      <w:r>
        <w:rPr>
          <w:rStyle w:val="FootnoteAnchor"/>
          <w:rtl w:val="true"/>
        </w:rPr>
        <w:footnoteReference w:id="1257"/>
      </w:r>
      <w:r>
        <w:rPr>
          <w:rFonts w:ascii="Amiri" w:hAnsi="Amiri" w:eastAsia="Amiri" w:cs="Amiri"/>
          <w:color w:val="111111"/>
          <w:sz w:val="28"/>
          <w:sz w:val="28"/>
          <w:szCs w:val="28"/>
          <w:rtl w:val="true"/>
          <w:lang w:bidi="ar-SA"/>
        </w:rPr>
        <w:t>ثَبَتَ‌</w:t>
      </w:r>
      <w:r>
        <w:rPr>
          <w:rStyle w:val="FootnoteAnchor"/>
          <w:rtl w:val="true"/>
        </w:rPr>
        <w:footnoteReference w:id="1258"/>
      </w:r>
      <w:r>
        <w:rPr>
          <w:rFonts w:ascii="Amiri" w:hAnsi="Amiri" w:eastAsia="Amiri" w:cs="Amiri"/>
          <w:color w:val="111111"/>
          <w:sz w:val="28"/>
          <w:sz w:val="28"/>
          <w:szCs w:val="28"/>
          <w:rtl w:val="true"/>
          <w:lang w:bidi="ar-SA"/>
        </w:rPr>
        <w:t>أنّ فِعلَ القَبيحِ و الإخلالَ بالواجبِ لا يَكونانِ إلّاممّن لَيسَ بمعصومٍ‌؛ فقَد ثَبَتَ أنّ جهةَ الحاجةِ هي ارتفاعُ العصمةِ و جَوازُ فِعلِ القَبيحِ ، و اقتَرَنَ العِلمُ بالحاجةِ بالعِلمِ بجهتِها، و</w:t>
      </w:r>
      <w:r>
        <w:rPr>
          <w:rStyle w:val="FootnoteAnchor"/>
          <w:rtl w:val="true"/>
        </w:rPr>
        <w:footnoteReference w:id="1259"/>
      </w:r>
      <w:r>
        <w:rPr>
          <w:rFonts w:ascii="Amiri" w:hAnsi="Amiri" w:eastAsia="Amiri" w:cs="Amiri"/>
          <w:color w:val="111111"/>
          <w:sz w:val="28"/>
          <w:sz w:val="28"/>
          <w:szCs w:val="28"/>
          <w:rtl w:val="true"/>
          <w:lang w:bidi="ar-SA"/>
        </w:rPr>
        <w:t>صارَت الحاجةُ إلىٰ وجوبِ الإمامةِ ما ثَبَتَ مِن كَونِها لُطفاً، و جِهةُ الحاجةِ إلىٰ كَونِها لُطفاً ارتفاعُ العصمةِ و جَوازُ فِعلِ القَبيحِ ؛ فالنافي</w:t>
      </w:r>
      <w:r>
        <w:rPr>
          <w:rStyle w:val="FootnoteAnchor"/>
          <w:rtl w:val="true"/>
        </w:rPr>
        <w:footnoteReference w:id="1260"/>
      </w:r>
      <w:r>
        <w:rPr>
          <w:rFonts w:ascii="Amiri" w:hAnsi="Amiri" w:eastAsia="Amiri" w:cs="Amiri"/>
          <w:color w:val="111111"/>
          <w:sz w:val="28"/>
          <w:sz w:val="28"/>
          <w:szCs w:val="28"/>
          <w:rtl w:val="true"/>
          <w:lang w:bidi="ar-SA"/>
        </w:rPr>
        <w:t xml:space="preserve">لجِهةِ </w:t>
      </w:r>
      <w:r>
        <w:rPr>
          <w:rStyle w:val="FootnoteAnchor"/>
          <w:rtl w:val="true"/>
        </w:rPr>
        <w:footnoteReference w:id="1261"/>
      </w:r>
      <w:r>
        <w:rPr>
          <w:rFonts w:ascii="Amiri" w:hAnsi="Amiri" w:eastAsia="Amiri" w:cs="Amiri"/>
          <w:color w:val="111111"/>
          <w:sz w:val="28"/>
          <w:sz w:val="28"/>
          <w:szCs w:val="28"/>
          <w:rtl w:val="true"/>
          <w:lang w:bidi="ar-SA"/>
        </w:rPr>
        <w:t xml:space="preserve">الحاجةِ و مُقتَضيها كالنافي لنَفسِ الحاجةِ </w:t>
      </w:r>
      <w:r>
        <w:rPr>
          <w:rFonts w:eastAsia="Amiri" w:cs="Amiri" w:ascii="Amiri" w:hAnsi="Amiri"/>
          <w:color w:val="111111"/>
          <w:sz w:val="28"/>
          <w:szCs w:val="28"/>
          <w:rtl w:val="true"/>
          <w:lang w:bidi="ar-SA"/>
        </w:rPr>
        <w:t xml:space="preserve">. </w:t>
      </w:r>
      <w:bookmarkStart w:id="198" w:name="pg20015_284868"/>
    </w:p>
    <w:p>
      <w:pPr>
        <w:pStyle w:val="BookText"/>
        <w:rPr/>
      </w:pPr>
      <w:bookmarkEnd w:id="198"/>
      <w:r>
        <w:rPr>
          <w:rFonts w:ascii="Amiri" w:hAnsi="Amiri" w:eastAsia="Amiri" w:cs="Amiri"/>
          <w:color w:val="111111"/>
          <w:sz w:val="28"/>
          <w:sz w:val="28"/>
          <w:szCs w:val="28"/>
          <w:rtl w:val="true"/>
          <w:lang w:bidi="ar-SA"/>
        </w:rPr>
        <w:t>و جَرىٰ هذا في بابِه مَجرىٰ ما نَعتَبِرُه</w:t>
      </w:r>
      <w:r>
        <w:rPr>
          <w:rStyle w:val="FootnoteAnchor"/>
          <w:rtl w:val="true"/>
        </w:rPr>
        <w:footnoteReference w:id="1262"/>
      </w:r>
      <w:r>
        <w:rPr>
          <w:rFonts w:ascii="Amiri" w:hAnsi="Amiri" w:eastAsia="Amiri" w:cs="Amiri"/>
          <w:color w:val="111111"/>
          <w:sz w:val="28"/>
          <w:sz w:val="28"/>
          <w:szCs w:val="28"/>
          <w:rtl w:val="true"/>
          <w:lang w:bidi="ar-SA"/>
        </w:rPr>
        <w:t>في تَعلُّقِ أفعالِنا بنا مِن حَيثُ كانَت مُحدَثةً‌</w:t>
      </w:r>
      <w:r>
        <w:rPr>
          <w:rStyle w:val="FootnoteAnchor"/>
          <w:rtl w:val="true"/>
        </w:rPr>
        <w:footnoteReference w:id="1263"/>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تَعلُّقِها بنا و حاجتِها إلينا هو بعَينِه دالٌّ علىٰ أنّها احتاجَت إلينا مِن حَيثُ كانَت مُحدَثةً‌؛ لأنّا إنّما أثبَتنا التعلُّقَ و الحاجةَ مِن حَيثُ وَجَبَ وقوعُها بحَسَبِ قُصودِنا</w:t>
      </w:r>
      <w:r>
        <w:rPr>
          <w:rStyle w:val="FootnoteAnchor"/>
          <w:rtl w:val="true"/>
        </w:rPr>
        <w:footnoteReference w:id="1264"/>
      </w:r>
      <w:r>
        <w:rPr>
          <w:rFonts w:ascii="Amiri" w:hAnsi="Amiri" w:eastAsia="Amiri" w:cs="Amiri"/>
          <w:color w:val="111111"/>
          <w:sz w:val="28"/>
          <w:sz w:val="28"/>
          <w:szCs w:val="28"/>
          <w:rtl w:val="true"/>
          <w:lang w:bidi="ar-SA"/>
        </w:rPr>
        <w:t>و أحوالِنا</w:t>
      </w:r>
      <w:r>
        <w:rPr>
          <w:rStyle w:val="FootnoteAnchor"/>
          <w:rtl w:val="true"/>
        </w:rPr>
        <w:footnoteReference w:id="1265"/>
      </w:r>
      <w:r>
        <w:rPr>
          <w:rFonts w:ascii="Amiri" w:hAnsi="Amiri" w:eastAsia="Amiri" w:cs="Amiri"/>
          <w:color w:val="111111"/>
          <w:sz w:val="28"/>
          <w:sz w:val="28"/>
          <w:szCs w:val="28"/>
          <w:rtl w:val="true"/>
          <w:lang w:bidi="ar-SA"/>
        </w:rPr>
        <w:t>مع السَّلامةِ‌، و إذا وَجَدنا الصفةَ التي تَحصُلُ عليها</w:t>
      </w:r>
      <w:r>
        <w:rPr>
          <w:rStyle w:val="FootnoteAnchor"/>
          <w:rtl w:val="true"/>
        </w:rPr>
        <w:footnoteReference w:id="1266"/>
      </w:r>
      <w:r>
        <w:rPr>
          <w:rFonts w:ascii="Amiri" w:hAnsi="Amiri" w:eastAsia="Amiri" w:cs="Amiri"/>
          <w:color w:val="111111"/>
          <w:sz w:val="28"/>
          <w:sz w:val="28"/>
          <w:szCs w:val="28"/>
          <w:rtl w:val="true"/>
          <w:lang w:bidi="ar-SA"/>
        </w:rPr>
        <w:t>عندَ قَصدِنا</w:t>
      </w:r>
      <w:r>
        <w:rPr>
          <w:rStyle w:val="FootnoteAnchor"/>
          <w:rtl w:val="true"/>
        </w:rPr>
        <w:footnoteReference w:id="1267"/>
      </w:r>
      <w:r>
        <w:rPr>
          <w:rFonts w:ascii="Amiri" w:hAnsi="Amiri" w:eastAsia="Amiri" w:cs="Amiri"/>
          <w:color w:val="111111"/>
          <w:sz w:val="28"/>
          <w:sz w:val="28"/>
          <w:szCs w:val="28"/>
          <w:rtl w:val="true"/>
          <w:lang w:bidi="ar-SA"/>
        </w:rPr>
        <w:t>هي الحدوثَ‌، قَطَعنا علىٰ حاجتِها إلينا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الاعتبارِ استَعمَلنا في استخراجِ جهةِ الحاجةِ إلَى الإمامِ‌، فلا بُدَّ علىٰ‌</w:t>
      </w:r>
    </w:p>
    <w:p>
      <w:pPr>
        <w:pStyle w:val="BookText"/>
        <w:rPr/>
      </w:pPr>
      <w:r>
        <w:rPr>
          <w:rFonts w:ascii="Amiri" w:hAnsi="Amiri" w:eastAsia="Amiri" w:cs="Amiri"/>
          <w:color w:val="111111"/>
          <w:sz w:val="28"/>
          <w:sz w:val="28"/>
          <w:szCs w:val="28"/>
          <w:rtl w:val="true"/>
          <w:lang w:bidi="ar-SA"/>
        </w:rPr>
        <w:t>هذا مِن أن يَكونَ الإمامُ معصوماً ليَخرُجَ‌</w:t>
      </w:r>
      <w:r>
        <w:rPr>
          <w:rStyle w:val="FootnoteAnchor"/>
          <w:rtl w:val="true"/>
        </w:rPr>
        <w:footnoteReference w:id="1268"/>
      </w:r>
      <w:r>
        <w:rPr>
          <w:rFonts w:ascii="Amiri" w:hAnsi="Amiri" w:eastAsia="Amiri" w:cs="Amiri"/>
          <w:color w:val="111111"/>
          <w:sz w:val="28"/>
          <w:sz w:val="28"/>
          <w:szCs w:val="28"/>
          <w:rtl w:val="true"/>
          <w:lang w:bidi="ar-SA"/>
        </w:rPr>
        <w:t>عن العِلّةِ المُحوِجةِ إلَى الإمامِ ، و إلّاأدّىٰ ذلكَ إلىٰ وُجودِ ما</w:t>
      </w:r>
      <w:r>
        <w:rPr>
          <w:rStyle w:val="FootnoteAnchor"/>
          <w:rtl w:val="true"/>
        </w:rPr>
        <w:footnoteReference w:id="1269"/>
      </w:r>
      <w:r>
        <w:rPr>
          <w:rFonts w:ascii="Amiri" w:hAnsi="Amiri" w:eastAsia="Amiri" w:cs="Amiri"/>
          <w:color w:val="111111"/>
          <w:sz w:val="28"/>
          <w:sz w:val="28"/>
          <w:szCs w:val="28"/>
          <w:rtl w:val="true"/>
          <w:lang w:bidi="ar-SA"/>
        </w:rPr>
        <w:t xml:space="preserve">لا نِهايةَ له 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اعتُمِدَ في عصمةِ الإمامِ </w:t>
      </w:r>
      <w:r>
        <w:rPr>
          <w:rStyle w:val="FootnoteAnchor"/>
          <w:rtl w:val="true"/>
        </w:rPr>
        <w:footnoteReference w:id="1270"/>
      </w:r>
      <w:r>
        <w:rPr>
          <w:rFonts w:ascii="Amiri" w:hAnsi="Amiri" w:eastAsia="Amiri" w:cs="Amiri"/>
          <w:color w:val="111111"/>
          <w:sz w:val="28"/>
          <w:sz w:val="28"/>
          <w:szCs w:val="28"/>
          <w:rtl w:val="true"/>
          <w:lang w:bidi="ar-SA"/>
        </w:rPr>
        <w:t>هذا الترتيبُ الذي اختَرناه، سَقَطَ سائرُ ما يَعتَرِضُ به المُخالِفونَ في استخراجِ عِلّةِ الحاجةِ إلَى الإمامِ ، و خَفَّ بذلكَ شُغُلٌ كَثيرٌ</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894863_2320776876"/>
      <w:bookmarkStart w:id="200" w:name="_Toc73"/>
      <w:bookmarkEnd w:id="199"/>
      <w:r>
        <w:rPr>
          <w:rtl w:val="true"/>
        </w:rPr>
        <w:t>تجويز حاجة المعصوم إلىٰ إمام في غير فعل الطاعات و تجنّب المقبّحات</w:t>
      </w:r>
      <w:bookmarkEnd w:id="2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يَسقُطُ أيضاً ما لا يَزالونَ يَتَعَلَّقونَ به،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1271"/>
      </w:r>
      <w:r>
        <w:rPr>
          <w:rFonts w:ascii="Amiri" w:hAnsi="Amiri" w:eastAsia="Amiri" w:cs="Amiri"/>
          <w:color w:val="111111"/>
          <w:sz w:val="28"/>
          <w:sz w:val="28"/>
          <w:szCs w:val="28"/>
          <w:rtl w:val="true"/>
          <w:lang w:bidi="ar-SA"/>
        </w:rPr>
        <w:t xml:space="preserve">تَحكُمونَ بأنّ </w:t>
      </w:r>
    </w:p>
    <w:p>
      <w:pPr>
        <w:pStyle w:val="BookText"/>
        <w:rPr/>
      </w:pPr>
      <w:r>
        <w:rPr>
          <w:rFonts w:ascii="Amiri" w:hAnsi="Amiri" w:eastAsia="Amiri" w:cs="Amiri"/>
          <w:color w:val="111111"/>
          <w:sz w:val="28"/>
          <w:sz w:val="28"/>
          <w:szCs w:val="28"/>
          <w:rtl w:val="true"/>
          <w:lang w:bidi="ar-SA"/>
        </w:rPr>
        <w:t>المعصومَ لا تَجِبُ‌</w:t>
      </w:r>
      <w:r>
        <w:rPr>
          <w:rStyle w:val="FootnoteAnchor"/>
          <w:rtl w:val="true"/>
        </w:rPr>
        <w:footnoteReference w:id="1272"/>
      </w:r>
      <w:r>
        <w:rPr>
          <w:rFonts w:ascii="Amiri" w:hAnsi="Amiri" w:eastAsia="Amiri" w:cs="Amiri"/>
          <w:color w:val="111111"/>
          <w:sz w:val="28"/>
          <w:sz w:val="28"/>
          <w:szCs w:val="28"/>
          <w:rtl w:val="true"/>
          <w:lang w:bidi="ar-SA"/>
        </w:rPr>
        <w:t>حاجتُه إلَى الإمامِ‌، مع اعتقادِكم كَونَ أميرِ المؤمنينَ عليهِ السلامُ معصوماً في حَياةِ النبيِ صَلَّى اللّٰهُ عليهِ و آلِه و سَلَّمَ‌، و هو مع ذلكَ مُحتاجٌ إليه و مؤتَمٌّ به‌؟ و كذلك القَولُ في الحَسَنِ و الحُسَينِ عَلَيهما السلامُ في حَياةِ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273"/>
      </w:r>
      <w:r>
        <w:rPr>
          <w:rFonts w:ascii="Amiri" w:hAnsi="Amiri" w:eastAsia="Amiri" w:cs="Amiri"/>
          <w:color w:val="111111"/>
          <w:sz w:val="28"/>
          <w:sz w:val="28"/>
          <w:szCs w:val="28"/>
          <w:rtl w:val="true"/>
          <w:lang w:bidi="ar-SA"/>
        </w:rPr>
        <w:t>إلّاأن تَزعُموا أنّ أميرَ المؤمنينَ عليهِ السلامُ لَم يَكُن محتاجاً إلَى النبيِّ صَلَّى اللّٰهُ عليهِ و آلِه و سَلَّمَ فتَخرُجوا عن الدِّينِ‌، أو تَزعُموا أنّه لَم يَكُن معصوماً في تِلكَ الحالِ فتَترُكوا مَذهبَكم</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أنّا إنّما مَنَعنا حاجةَ المعصومِ إلىٰ إمامٍ يَكونُ لُطفاً له في تَجنُّبِ القَبيحِ و فِعلِ الواجبِ‌، و لَم نَمنَعْ‌</w:t>
      </w:r>
      <w:r>
        <w:rPr>
          <w:rStyle w:val="FootnoteAnchor"/>
          <w:rtl w:val="true"/>
        </w:rPr>
        <w:footnoteReference w:id="1275"/>
      </w:r>
      <w:r>
        <w:rPr>
          <w:rFonts w:ascii="Amiri" w:hAnsi="Amiri" w:eastAsia="Amiri" w:cs="Amiri"/>
          <w:color w:val="111111"/>
          <w:sz w:val="28"/>
          <w:sz w:val="28"/>
          <w:szCs w:val="28"/>
          <w:rtl w:val="true"/>
          <w:lang w:bidi="ar-SA"/>
        </w:rPr>
        <w:t>حاجتَه إليه مِن غَيرِ هذا الوجهِ‌</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كلامَنا إنّما كانَ‌</w:t>
      </w:r>
      <w:r>
        <w:rPr>
          <w:rStyle w:val="FootnoteAnchor"/>
          <w:rtl w:val="true"/>
        </w:rPr>
        <w:footnoteReference w:id="1277"/>
      </w:r>
      <w:r>
        <w:rPr>
          <w:rFonts w:ascii="Amiri" w:hAnsi="Amiri" w:eastAsia="Amiri" w:cs="Amiri"/>
          <w:color w:val="111111"/>
          <w:sz w:val="28"/>
          <w:sz w:val="28"/>
          <w:szCs w:val="28"/>
          <w:rtl w:val="true"/>
          <w:lang w:bidi="ar-SA"/>
        </w:rPr>
        <w:t xml:space="preserve">في تعليلِ الحاجةِ إلىٰ إمامٍ يَكونُ لُطفاً في الامتناعِ مِن المقبَّحاتِ ، و لَم يَكُن في تعليلِ غَيرِ هذه الحاجةِ؟ فإذا ثَبَتَت هذه الجُملةُ لَم يَمتَنِعِ </w:t>
      </w:r>
      <w:r>
        <w:rPr>
          <w:rStyle w:val="FootnoteAnchor"/>
          <w:rtl w:val="true"/>
        </w:rPr>
        <w:footnoteReference w:id="1278"/>
      </w:r>
      <w:r>
        <w:rPr>
          <w:rFonts w:ascii="Amiri" w:hAnsi="Amiri" w:eastAsia="Amiri" w:cs="Amiri"/>
          <w:color w:val="111111"/>
          <w:sz w:val="28"/>
          <w:sz w:val="28"/>
          <w:szCs w:val="28"/>
          <w:rtl w:val="true"/>
          <w:lang w:bidi="ar-SA"/>
        </w:rPr>
        <w:t>استغناءُ أميرِ المؤمنينَ عليهِ السلامُ بعصمتِه في حالِ حَياةِ النبيِّ صَلَّى اللّٰهُ عليهِ و آلِه عنه</w:t>
      </w:r>
      <w:r>
        <w:rPr>
          <w:rStyle w:val="FootnoteAnchor"/>
          <w:rtl w:val="true"/>
        </w:rPr>
        <w:footnoteReference w:id="1279"/>
      </w:r>
      <w:r>
        <w:rPr>
          <w:rFonts w:ascii="Amiri" w:hAnsi="Amiri" w:eastAsia="Amiri" w:cs="Amiri"/>
          <w:color w:val="111111"/>
          <w:sz w:val="28"/>
          <w:sz w:val="28"/>
          <w:szCs w:val="28"/>
          <w:rtl w:val="true"/>
          <w:lang w:bidi="ar-SA"/>
        </w:rPr>
        <w:t xml:space="preserve">فيما ذَكرناه، و إن لَم يَكُن مُستَغنياً عنه في غَيرِ ذلكَ مِن تعليمٍ و توقيفٍ </w:t>
      </w:r>
      <w:r>
        <w:rPr>
          <w:rStyle w:val="FootnoteAnchor"/>
          <w:rtl w:val="true"/>
        </w:rPr>
        <w:footnoteReference w:id="1280"/>
      </w:r>
      <w:r>
        <w:rPr>
          <w:rFonts w:ascii="Amiri" w:hAnsi="Amiri" w:eastAsia="Amiri" w:cs="Amiri"/>
          <w:color w:val="111111"/>
          <w:sz w:val="28"/>
          <w:sz w:val="28"/>
          <w:szCs w:val="28"/>
          <w:rtl w:val="true"/>
          <w:lang w:bidi="ar-SA"/>
        </w:rPr>
        <w:t>و ما أشبَهَهما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201" w:name="pg20015_284870"/>
    </w:p>
    <w:p>
      <w:pPr>
        <w:pStyle w:val="BookText"/>
        <w:rPr/>
      </w:pPr>
      <w:bookmarkEnd w:id="201"/>
      <w:r>
        <w:rPr>
          <w:rFonts w:ascii="Amiri" w:hAnsi="Amiri" w:eastAsia="Amiri" w:cs="Amiri"/>
          <w:color w:val="111111"/>
          <w:sz w:val="28"/>
          <w:sz w:val="28"/>
          <w:szCs w:val="28"/>
          <w:rtl w:val="true"/>
          <w:lang w:bidi="ar-SA"/>
        </w:rPr>
        <w:t xml:space="preserve">و كذلك القَولُ في الحَسَنِ و الحُسَينِ عَلَيهما السلامُ أنّهما يَستَغنيانِ </w:t>
      </w:r>
      <w:r>
        <w:rPr>
          <w:rStyle w:val="FootnoteAnchor"/>
          <w:rtl w:val="true"/>
        </w:rPr>
        <w:footnoteReference w:id="1282"/>
      </w:r>
      <w:r>
        <w:rPr>
          <w:rFonts w:ascii="Amiri" w:hAnsi="Amiri" w:eastAsia="Amiri" w:cs="Amiri"/>
          <w:color w:val="111111"/>
          <w:sz w:val="28"/>
          <w:sz w:val="28"/>
          <w:szCs w:val="28"/>
          <w:rtl w:val="true"/>
          <w:lang w:bidi="ar-SA"/>
        </w:rPr>
        <w:t>بعصمتِهما عن إمامٍ يَكونُ لُطفاً لهما في الامتناعِ عن القَبيحِ ، و إن جازَت حاجتُهما إلَى الإمامِ لِلوجهِ الذي ذَكرناه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894865_2320776876"/>
      <w:bookmarkStart w:id="203" w:name="_Toc74"/>
      <w:bookmarkEnd w:id="202"/>
      <w:r>
        <w:rPr>
          <w:rtl w:val="true"/>
        </w:rPr>
        <w:t>نفي انحصار الحاجة إلى الإمام في أمور أُخرىٰ غير كونه لطفاً في فعل الطاعات و تجنّب المقبَّحات</w:t>
      </w:r>
      <w:bookmarkEnd w:id="203"/>
    </w:p>
    <w:p>
      <w:pPr>
        <w:pStyle w:val="BookText"/>
        <w:rPr/>
      </w:pPr>
      <w:r>
        <w:rPr>
          <w:rFonts w:ascii="Amiri" w:hAnsi="Amiri" w:eastAsia="Amiri" w:cs="Amiri"/>
          <w:color w:val="111111"/>
          <w:sz w:val="28"/>
          <w:sz w:val="28"/>
          <w:szCs w:val="28"/>
          <w:rtl w:val="true"/>
          <w:lang w:bidi="ar-SA"/>
        </w:rPr>
        <w:t>فأمّا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إنّما احتيجَ إليه لإقامتِه الحُدودَ، و صَلاةَ الجُمُعةِ ، و الغَزوِ بالمُسلِمينَ ، و قِسمةِ الفَيءِ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فيَبطُلُ‌ بما بيّنّاه</w:t>
      </w:r>
      <w:r>
        <w:rPr>
          <w:rStyle w:val="FootnoteAnchor"/>
          <w:rtl w:val="true"/>
        </w:rPr>
        <w:footnoteReference w:id="1283"/>
      </w:r>
      <w:r>
        <w:rPr>
          <w:rFonts w:ascii="Amiri" w:hAnsi="Amiri" w:eastAsia="Amiri" w:cs="Amiri"/>
          <w:color w:val="111111"/>
          <w:sz w:val="28"/>
          <w:sz w:val="28"/>
          <w:szCs w:val="28"/>
          <w:rtl w:val="true"/>
          <w:lang w:bidi="ar-SA"/>
        </w:rPr>
        <w:t>مِن ثُبوتِ الحاجةِ إليه مِن الوجهِ الذي ذَكرناه، و بأنّ الحاجةَ إليه عقليّةٌ و سائرَ ما ذُكِرَ</w:t>
      </w:r>
      <w:r>
        <w:rPr>
          <w:rStyle w:val="FootnoteAnchor"/>
          <w:rtl w:val="true"/>
        </w:rPr>
        <w:footnoteReference w:id="1284"/>
      </w:r>
      <w:r>
        <w:rPr>
          <w:rFonts w:ascii="Amiri" w:hAnsi="Amiri" w:eastAsia="Amiri" w:cs="Amiri"/>
          <w:color w:val="111111"/>
          <w:sz w:val="28"/>
          <w:sz w:val="28"/>
          <w:szCs w:val="28"/>
          <w:rtl w:val="true"/>
          <w:lang w:bidi="ar-SA"/>
        </w:rPr>
        <w:t xml:space="preserve">سَمعيٌّ‌، و بأنّ سائرَ ما ذُكِرَ قد يَسقُطُ عن بعضِ الأُمّةِ لأعذارٍ مع ثُبوتِ الحاجةِ إلَى الإمامِ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Style w:val="FootnoteAnchor"/>
          <w:rtl w:val="true"/>
        </w:rPr>
        <w:footnoteReference w:id="1286"/>
      </w:r>
      <w:r>
        <w:rPr>
          <w:rFonts w:ascii="Amiri" w:hAnsi="Amiri" w:eastAsia="Amiri" w:cs="Amiri"/>
          <w:color w:val="111111"/>
          <w:sz w:val="28"/>
          <w:sz w:val="28"/>
          <w:szCs w:val="28"/>
          <w:rtl w:val="true"/>
          <w:lang w:bidi="ar-SA"/>
        </w:rPr>
        <w:t>أنّه لَيسَ يَخلو ما ذَكَروه مِن إقامةِ الحُدودِ أن يُريدوا به إقامتَها علىٰ مُستَحِقّيها، أو يُريدوا أنّ الإمامَ يُحتاجُ إليه قَبلَ استحقاقِها؛ ليَتوَلّىٰ إقامتَها عندَ استحقاقِ الجُناةِ لها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الوجهَ الثانيَ ، فإنّا لا نُضايِقُ فيه؛ لأنّ المعنىٰ يَرجِعُ إلىٰ ما أَرَدناه؛ لأنّ مَن لَم يُقارِفْ </w:t>
      </w:r>
      <w:r>
        <w:rPr>
          <w:rStyle w:val="FootnoteAnchor"/>
          <w:rtl w:val="true"/>
        </w:rPr>
        <w:footnoteReference w:id="1287"/>
      </w:r>
      <w:r>
        <w:rPr>
          <w:rFonts w:ascii="Amiri" w:hAnsi="Amiri" w:eastAsia="Amiri" w:cs="Amiri"/>
          <w:color w:val="111111"/>
          <w:sz w:val="28"/>
          <w:sz w:val="28"/>
          <w:szCs w:val="28"/>
          <w:rtl w:val="true"/>
          <w:lang w:bidi="ar-SA"/>
        </w:rPr>
        <w:t>ما يوجِبُ الحَدَّ إذا احتاجَ إلىٰ إمامٍ قَبلَ مُقارَفَتِه</w:t>
      </w:r>
      <w:r>
        <w:rPr>
          <w:rStyle w:val="FootnoteAnchor"/>
          <w:rtl w:val="true"/>
        </w:rPr>
        <w:footnoteReference w:id="1288"/>
      </w:r>
      <w:r>
        <w:rPr>
          <w:rFonts w:ascii="Amiri" w:hAnsi="Amiri" w:eastAsia="Amiri" w:cs="Amiri"/>
          <w:color w:val="111111"/>
          <w:sz w:val="28"/>
          <w:sz w:val="28"/>
          <w:szCs w:val="28"/>
          <w:rtl w:val="true"/>
          <w:lang w:bidi="ar-SA"/>
        </w:rPr>
        <w:t xml:space="preserve">فلَم يَحتَجْ إليه إلّالِلوجهِ </w:t>
      </w:r>
      <w:bookmarkStart w:id="204" w:name="pg20015_284871"/>
    </w:p>
    <w:p>
      <w:pPr>
        <w:pStyle w:val="BookText"/>
        <w:rPr/>
      </w:pPr>
      <w:bookmarkEnd w:id="204"/>
      <w:r>
        <w:rPr>
          <w:rFonts w:ascii="Amiri" w:hAnsi="Amiri" w:eastAsia="Amiri" w:cs="Amiri"/>
          <w:color w:val="111111"/>
          <w:sz w:val="28"/>
          <w:sz w:val="28"/>
          <w:szCs w:val="28"/>
          <w:rtl w:val="true"/>
          <w:lang w:bidi="ar-SA"/>
        </w:rPr>
        <w:t xml:space="preserve">الذي نَعتَبِرُه، و هو كَونُه ممّن يَجوزُ أن يَفعَلَ القَبيحَ و يُقارِفَ </w:t>
      </w:r>
      <w:r>
        <w:rPr>
          <w:rStyle w:val="FootnoteAnchor"/>
          <w:rtl w:val="true"/>
        </w:rPr>
        <w:footnoteReference w:id="1289"/>
      </w:r>
      <w:r>
        <w:rPr>
          <w:rFonts w:ascii="Amiri" w:hAnsi="Amiri" w:eastAsia="Amiri" w:cs="Amiri"/>
          <w:color w:val="111111"/>
          <w:sz w:val="28"/>
          <w:sz w:val="28"/>
          <w:szCs w:val="28"/>
          <w:rtl w:val="true"/>
          <w:lang w:bidi="ar-SA"/>
        </w:rPr>
        <w:t xml:space="preserve">ما يَستَحِقُّ به التأديبَ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أرادوا الوجهَ الأوّلَ بَطَلَ بأنّه مؤدٍّ إلىٰ أن يَكونَ أبرارُ الأُمّةِ و مَن كانَ مِنهم علىٰ حالِ السلامةِ غَيرَ مُحتاجينَ إلىٰ إمامٍ </w:t>
      </w:r>
      <w:r>
        <w:rPr>
          <w:rStyle w:val="FootnoteAnchor"/>
          <w:rtl w:val="true"/>
        </w:rPr>
        <w:footnoteReference w:id="1290"/>
      </w:r>
      <w:r>
        <w:rPr>
          <w:rFonts w:ascii="Amiri" w:hAnsi="Amiri" w:eastAsia="Amiri" w:cs="Amiri"/>
          <w:color w:val="111111"/>
          <w:sz w:val="28"/>
          <w:sz w:val="28"/>
          <w:szCs w:val="28"/>
          <w:rtl w:val="true"/>
          <w:lang w:bidi="ar-SA"/>
        </w:rPr>
        <w:t>، و أن تَكونَ الحاجةُ إليه مُختصّةً بالفُسّاقِ و مُستَحِقّي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فاسدٌ بالعقلِ و السَّمعِ مَعاً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894867_2320776876"/>
      <w:bookmarkStart w:id="206" w:name="_Toc75"/>
      <w:bookmarkEnd w:id="205"/>
      <w:r>
        <w:rPr>
          <w:rtl w:val="true"/>
        </w:rPr>
        <w:t>بيان الفرق بين الإمام و الأمير في الحاجة إلىٰ إمامٍ و عدمها</w:t>
      </w:r>
      <w:bookmarkEnd w:id="206"/>
    </w:p>
    <w:p>
      <w:pPr>
        <w:pStyle w:val="BookText"/>
        <w:rPr/>
      </w:pPr>
      <w:r>
        <w:rPr>
          <w:rFonts w:ascii="Amiri" w:hAnsi="Amiri" w:eastAsia="Amiri" w:cs="Amiri"/>
          <w:color w:val="111111"/>
          <w:sz w:val="28"/>
          <w:sz w:val="28"/>
          <w:szCs w:val="28"/>
          <w:rtl w:val="true"/>
          <w:lang w:bidi="ar-SA"/>
        </w:rPr>
        <w:t>و أمّا معارَضةُ صاحبِ الكتابِ لنا بالأميرِ</w:t>
      </w:r>
      <w:r>
        <w:rPr>
          <w:rStyle w:val="FootnoteAnchor"/>
          <w:rtl w:val="true"/>
        </w:rPr>
        <w:footnoteReference w:id="12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جَوَّزتُم عليهِ ما تجوِّزونَه علىٰ رَعيّتِه و لَم يَمنَعْ ذلكَ مِن إثباتِ فَرقٍ مّا بَينَه و بَينَ رَعيّتِه، فقولوا في الإمامِ مِثلَه</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فظاهرةُ‌</w:t>
      </w:r>
      <w:r>
        <w:rPr>
          <w:rStyle w:val="FootnoteAnchor"/>
          <w:rtl w:val="true"/>
        </w:rPr>
        <w:footnoteReference w:id="1293"/>
      </w:r>
      <w:r>
        <w:rPr>
          <w:rFonts w:ascii="Amiri" w:hAnsi="Amiri" w:eastAsia="Amiri" w:cs="Amiri"/>
          <w:color w:val="111111"/>
          <w:sz w:val="28"/>
          <w:sz w:val="28"/>
          <w:szCs w:val="28"/>
          <w:rtl w:val="true"/>
          <w:lang w:bidi="ar-SA"/>
        </w:rPr>
        <w:t>البُطلانِ‌؛ لأنّا أوّلاً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لَو لَم يَكُن معصوماً لَوَجَبَ أن لا يَكونَ بَينَه و بَينَ رَعيّتِه فَرقٌ‌، مِن غَيرِ تقييدٍ؛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لا يَكونَ فَرقٌ فيما احتاجوا مِن أجلِه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حَكاه</w:t>
      </w:r>
      <w:r>
        <w:rPr>
          <w:rStyle w:val="FootnoteAnchor"/>
          <w:rtl w:val="true"/>
        </w:rPr>
        <w:footnoteReference w:id="1294"/>
      </w:r>
      <w:r>
        <w:rPr>
          <w:rFonts w:ascii="Amiri" w:hAnsi="Amiri" w:eastAsia="Amiri" w:cs="Amiri"/>
          <w:color w:val="111111"/>
          <w:sz w:val="28"/>
          <w:sz w:val="28"/>
          <w:szCs w:val="28"/>
          <w:rtl w:val="true"/>
          <w:lang w:bidi="ar-SA"/>
        </w:rPr>
        <w:t>عنّا في الكلامِ الذي تَعاطَى اعتراضَه،</w:t>
      </w:r>
    </w:p>
    <w:p>
      <w:pPr>
        <w:pStyle w:val="BookText"/>
        <w:rPr/>
      </w:pPr>
      <w:r>
        <w:rPr>
          <w:rFonts w:ascii="Amiri" w:hAnsi="Amiri" w:eastAsia="Amiri" w:cs="Amiri"/>
          <w:color w:val="111111"/>
          <w:sz w:val="28"/>
          <w:sz w:val="28"/>
          <w:szCs w:val="28"/>
          <w:rtl w:val="true"/>
          <w:lang w:bidi="ar-SA"/>
        </w:rPr>
        <w:t>و لا نَدري كيفَ استَحسَنَ حكايةَ شيءٍ مِن الكلامِ و إنّما الكلامُ علىٰ غَيرِه</w:t>
      </w:r>
      <w:r>
        <w:rPr>
          <w:rStyle w:val="FootnoteAnchor"/>
          <w:rtl w:val="true"/>
        </w:rPr>
        <w:footnoteReference w:id="12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يُقيمَ الحَدَّ مَن يُمكِنُ أن يَستَحِقَّ إقامتَه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قُلناه غَيرُ هذا، و قد بيّنّاه، و هو مفهومٌ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لَم يَكُن معصوماً، و شارَكَ رَعيّتَه في عِلّةِ الحاجةِ إلَى الإمامةِ </w:t>
      </w:r>
    </w:p>
    <w:p>
      <w:pPr>
        <w:pStyle w:val="BookText"/>
        <w:rPr/>
      </w:pPr>
      <w:r>
        <w:rPr>
          <w:rFonts w:ascii="Amiri" w:hAnsi="Amiri" w:eastAsia="Amiri" w:cs="Amiri"/>
          <w:color w:val="111111"/>
          <w:sz w:val="28"/>
          <w:sz w:val="28"/>
          <w:szCs w:val="28"/>
          <w:rtl w:val="true"/>
          <w:lang w:bidi="ar-SA"/>
        </w:rPr>
        <w:t>و السياسةِ‌، قَضَينا بحاجتِه إلىٰ إمامٍ كَما قَضَينا بحاجتِهم؛ فإمامُه</w:t>
      </w:r>
      <w:r>
        <w:rPr>
          <w:rStyle w:val="FootnoteAnchor"/>
          <w:rtl w:val="true"/>
        </w:rPr>
        <w:footnoteReference w:id="1296"/>
      </w:r>
      <w:r>
        <w:rPr>
          <w:rFonts w:ascii="Amiri" w:hAnsi="Amiri" w:eastAsia="Amiri" w:cs="Amiri"/>
          <w:color w:val="111111"/>
          <w:sz w:val="28"/>
          <w:sz w:val="28"/>
          <w:szCs w:val="28"/>
          <w:rtl w:val="true"/>
          <w:lang w:bidi="ar-SA"/>
        </w:rPr>
        <w:t>هو إمامُ الكُلِّ و رَئيسُ الجَميعِ‌</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صاحبِ الكتابِ إذا أَلزَمَنا حَملَ حالِ الإمامِ علىٰ حالِ الأميرِ</w:t>
      </w:r>
      <w:r>
        <w:rPr>
          <w:rStyle w:val="FootnoteAnchor"/>
          <w:rtl w:val="true"/>
        </w:rPr>
        <w:footnoteReference w:id="1298"/>
      </w:r>
      <w:r>
        <w:rPr>
          <w:rFonts w:ascii="Amiri" w:hAnsi="Amiri" w:eastAsia="Amiri" w:cs="Amiri"/>
          <w:color w:val="111111"/>
          <w:sz w:val="28"/>
          <w:sz w:val="28"/>
          <w:szCs w:val="28"/>
          <w:rtl w:val="true"/>
          <w:lang w:bidi="ar-SA"/>
        </w:rPr>
        <w:t>أن يَلتَزِمَ‌</w:t>
      </w:r>
      <w:r>
        <w:rPr>
          <w:rStyle w:val="FootnoteAnchor"/>
          <w:rtl w:val="true"/>
        </w:rPr>
        <w:footnoteReference w:id="1299"/>
      </w:r>
      <w:r>
        <w:rPr>
          <w:rFonts w:ascii="Amiri" w:hAnsi="Amiri" w:eastAsia="Amiri" w:cs="Amiri"/>
          <w:color w:val="111111"/>
          <w:sz w:val="28"/>
          <w:sz w:val="28"/>
          <w:szCs w:val="28"/>
          <w:rtl w:val="true"/>
          <w:lang w:bidi="ar-SA"/>
        </w:rPr>
        <w:t xml:space="preserve">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مأموماً بغَيرِه قَبلَ أن يُحدِثَ ، كما كانَ الأميرُ كذلكَ قَبلَ أن يُحدِثَ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أن يَستَغنيَ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مُشارِكاً لرَعيّتِه و الأُمراءِ مِن قِبَلِه في كَونِهم غَيرَ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إلىٰ أن يُحدِثَ ، لَجازَ أن يَستَغنيَ الأميرُ و أبرارُ الأُمّةِ عن الإمامِ إلىٰ أن يُحدِثوا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استغناءُ هؤلاءِ عنه مُحالاً وَجَبَ ما ذَكرناه فيه مِن لُزومِ الحاجةِ إلىٰ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قالوا بأنّ ذلكَ </w:t>
      </w:r>
      <w:r>
        <w:rPr>
          <w:rStyle w:val="FootnoteAnchor"/>
          <w:rtl w:val="true"/>
        </w:rPr>
        <w:footnoteReference w:id="1301"/>
      </w:r>
      <w:r>
        <w:rPr>
          <w:rFonts w:ascii="Amiri" w:hAnsi="Amiri" w:eastAsia="Amiri" w:cs="Amiri"/>
          <w:color w:val="111111"/>
          <w:sz w:val="28"/>
          <w:sz w:val="28"/>
          <w:szCs w:val="28"/>
          <w:rtl w:val="true"/>
          <w:lang w:bidi="ar-SA"/>
        </w:rPr>
        <w:t xml:space="preserve">لا يَصِحُّ لأمرٍ يَرجِعُ إلىٰ أنّ الإمامَ لا يَكونُ </w:t>
      </w:r>
      <w:r>
        <w:rPr>
          <w:rStyle w:val="FootnoteAnchor"/>
          <w:rtl w:val="true"/>
        </w:rPr>
        <w:footnoteReference w:id="1302"/>
      </w:r>
      <w:r>
        <w:rPr>
          <w:rFonts w:ascii="Amiri" w:hAnsi="Amiri" w:eastAsia="Amiri" w:cs="Amiri"/>
          <w:color w:val="111111"/>
          <w:sz w:val="28"/>
          <w:sz w:val="28"/>
          <w:szCs w:val="28"/>
          <w:rtl w:val="true"/>
          <w:lang w:bidi="ar-SA"/>
        </w:rPr>
        <w:t>بالاختيارِ، بيّنّا فَسادَ قَولِهم بما نَذكُرُه</w:t>
      </w:r>
      <w:r>
        <w:rPr>
          <w:rStyle w:val="FootnoteAnchor"/>
          <w:rtl w:val="true"/>
        </w:rPr>
        <w:footnoteReference w:id="1303"/>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w:t>
      </w:r>
      <w:r>
        <w:rPr>
          <w:rStyle w:val="FootnoteAnchor"/>
          <w:rtl w:val="true"/>
        </w:rPr>
        <w:footnoteReference w:id="13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و إن كانَ عندَنا فاسداً بما سُنبيِّنُه بمَشيئةِ اللّٰهِ تَعالىٰ عندَ بُلوغِنا </w:t>
      </w:r>
      <w:bookmarkStart w:id="207" w:name="pg20015_284873"/>
    </w:p>
    <w:p>
      <w:pPr>
        <w:pStyle w:val="BookText"/>
        <w:rPr/>
      </w:pPr>
      <w:bookmarkEnd w:id="207"/>
      <w:r>
        <w:rPr>
          <w:rFonts w:ascii="Amiri" w:hAnsi="Amiri" w:eastAsia="Amiri" w:cs="Amiri"/>
          <w:color w:val="111111"/>
          <w:sz w:val="28"/>
          <w:sz w:val="28"/>
          <w:szCs w:val="28"/>
          <w:rtl w:val="true"/>
          <w:lang w:bidi="ar-SA"/>
        </w:rPr>
        <w:t>إلىٰ كلامِكَ فيه</w:t>
      </w:r>
      <w:r>
        <w:rPr>
          <w:rStyle w:val="FootnoteAnchor"/>
          <w:rtl w:val="true"/>
        </w:rPr>
        <w:footnoteReference w:id="1305"/>
      </w:r>
      <w:r>
        <w:rPr>
          <w:rFonts w:ascii="Amiri" w:hAnsi="Amiri" w:eastAsia="Amiri" w:cs="Amiri"/>
          <w:color w:val="111111"/>
          <w:sz w:val="28"/>
          <w:sz w:val="28"/>
          <w:szCs w:val="28"/>
          <w:rtl w:val="true"/>
          <w:lang w:bidi="ar-SA"/>
        </w:rPr>
        <w:t>، فإنّا غَيرُ مُحتاجينَ في كَسرِ اعتراضِكَ علىٰ دليلِنا في العصمةِ إلىٰ ذِكرِه، و في بعضِ ما أَورَدناه كِفايةٌ في إبطالِه</w:t>
      </w:r>
      <w:r>
        <w:rPr>
          <w:rFonts w:eastAsia="Amiri" w:cs="Amiri" w:ascii="Amiri" w:hAnsi="Amiri"/>
          <w:color w:val="111111"/>
          <w:sz w:val="28"/>
          <w:szCs w:val="28"/>
          <w:rtl w:val="true"/>
          <w:lang w:bidi="ar-SA"/>
        </w:rPr>
        <w:t>.</w:t>
      </w:r>
      <w:r>
        <w:rPr>
          <w:rStyle w:val="FootnoteAnchor"/>
          <w:rtl w:val="true"/>
        </w:rPr>
        <w:footnoteReference w:id="1306"/>
      </w:r>
    </w:p>
    <w:p>
      <w:pPr>
        <w:pStyle w:val="Heading6"/>
        <w:numPr>
          <w:ilvl w:val="5"/>
          <w:numId w:val="1"/>
        </w:numPr>
        <w:rPr/>
      </w:pPr>
      <w:bookmarkStart w:id="208" w:name="__RefHeading___Toc894869_2320776876"/>
      <w:bookmarkStart w:id="209" w:name="_Toc76"/>
      <w:bookmarkEnd w:id="208"/>
      <w:r>
        <w:rPr>
          <w:rtl w:val="true"/>
        </w:rPr>
        <w:t>إعادة مختصرة لدليل عصمة الإمام، و بيان أنّ الإمام لم يُصبح إماماً لأجل عصمته</w:t>
      </w:r>
      <w:bookmarkEnd w:id="20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في الحُدودِ ذَكرَه</w:t>
      </w:r>
      <w:r>
        <w:rPr>
          <w:rStyle w:val="FootnoteAnchor"/>
          <w:rtl w:val="true"/>
        </w:rPr>
        <w:footnoteReference w:id="1307"/>
      </w:r>
      <w:r>
        <w:rPr>
          <w:rFonts w:ascii="Amiri" w:hAnsi="Amiri" w:eastAsia="Amiri" w:cs="Amiri"/>
          <w:color w:val="111111"/>
          <w:sz w:val="28"/>
          <w:sz w:val="28"/>
          <w:szCs w:val="28"/>
          <w:rtl w:val="true"/>
          <w:lang w:bidi="ar-SA"/>
        </w:rPr>
        <w:t xml:space="preserve">لا نَرتَضيهِ و لا نَتعلَّقُ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 ذَكروه</w:t>
      </w:r>
      <w:r>
        <w:rPr>
          <w:rStyle w:val="FootnoteAnchor"/>
          <w:rtl w:val="true"/>
        </w:rPr>
        <w:footnoteReference w:id="1308"/>
      </w:r>
      <w:r>
        <w:rPr>
          <w:rFonts w:ascii="Amiri" w:hAnsi="Amiri" w:eastAsia="Amiri" w:cs="Amiri"/>
          <w:color w:val="111111"/>
          <w:sz w:val="28"/>
          <w:sz w:val="28"/>
          <w:szCs w:val="28"/>
          <w:rtl w:val="true"/>
          <w:lang w:bidi="ar-SA"/>
        </w:rPr>
        <w:t>دَعوىً‌</w:t>
      </w:r>
      <w:r>
        <w:rPr>
          <w:rStyle w:val="FootnoteAnchor"/>
          <w:rtl w:val="true"/>
        </w:rPr>
        <w:footnoteReference w:id="1309"/>
      </w:r>
      <w:r>
        <w:rPr>
          <w:rFonts w:ascii="Amiri" w:hAnsi="Amiri" w:eastAsia="Amiri" w:cs="Amiri"/>
          <w:color w:val="111111"/>
          <w:sz w:val="28"/>
          <w:sz w:val="28"/>
          <w:szCs w:val="28"/>
          <w:rtl w:val="true"/>
          <w:lang w:bidi="ar-SA"/>
        </w:rPr>
        <w:t>لا دَلالةَ عليها</w:t>
      </w:r>
      <w:r>
        <w:rPr>
          <w:rStyle w:val="FootnoteAnchor"/>
          <w:rtl w:val="true"/>
        </w:rPr>
        <w:footnoteReference w:id="1310"/>
      </w:r>
      <w:r>
        <w:rPr>
          <w:rFonts w:ascii="Amiri" w:hAnsi="Amiri" w:eastAsia="Amiri" w:cs="Amiri"/>
          <w:color w:val="111111"/>
          <w:sz w:val="28"/>
          <w:sz w:val="28"/>
          <w:szCs w:val="28"/>
          <w:rtl w:val="true"/>
          <w:lang w:bidi="ar-SA"/>
        </w:rPr>
        <w:t>،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1311"/>
      </w:r>
      <w:r>
        <w:rPr>
          <w:rFonts w:ascii="Amiri" w:hAnsi="Amiri" w:eastAsia="Amiri" w:cs="Amiri"/>
          <w:color w:val="111111"/>
          <w:sz w:val="28"/>
          <w:sz w:val="28"/>
          <w:szCs w:val="28"/>
          <w:rtl w:val="true"/>
          <w:lang w:bidi="ar-SA"/>
        </w:rPr>
        <w:t>الذي يَمنَعُ مِن أن يَجوزَ علَى الإمامِ الحَدَثُ‌، و مع ذلكَ يُفارِقُ‌</w:t>
      </w:r>
      <w:r>
        <w:rPr>
          <w:rStyle w:val="FootnoteAnchor"/>
          <w:rtl w:val="true"/>
        </w:rPr>
        <w:footnoteReference w:id="1312"/>
      </w:r>
      <w:r>
        <w:rPr>
          <w:rFonts w:ascii="Amiri" w:hAnsi="Amiri" w:eastAsia="Amiri" w:cs="Amiri"/>
          <w:color w:val="111111"/>
          <w:sz w:val="28"/>
          <w:sz w:val="28"/>
          <w:szCs w:val="28"/>
          <w:rtl w:val="true"/>
          <w:lang w:bidi="ar-SA"/>
        </w:rPr>
        <w:t>حالُه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الرعيّةِ؟ لأنّه إنّما صارَ إماماً لا مِن حَيثُ لا يَجوزُ عليهِ الحَدَثُ‌، لكِنْ لطَريقٍ </w:t>
      </w:r>
      <w:r>
        <w:rPr>
          <w:rStyle w:val="FootnoteAnchor"/>
          <w:rtl w:val="true"/>
        </w:rPr>
        <w:footnoteReference w:id="1313"/>
      </w:r>
      <w:r>
        <w:rPr>
          <w:rFonts w:ascii="Amiri" w:hAnsi="Amiri" w:eastAsia="Amiri" w:cs="Amiri"/>
          <w:color w:val="111111"/>
          <w:sz w:val="28"/>
          <w:sz w:val="28"/>
          <w:szCs w:val="28"/>
          <w:rtl w:val="true"/>
          <w:lang w:bidi="ar-SA"/>
        </w:rPr>
        <w:t>مخصوصٍ حَصَلَ فيه و لَم يحصُلْ في أحَدٍ</w:t>
      </w:r>
      <w:r>
        <w:rPr>
          <w:rStyle w:val="FootnoteAnchor"/>
          <w:rtl w:val="true"/>
        </w:rPr>
        <w:footnoteReference w:id="1314"/>
      </w:r>
      <w:r>
        <w:rPr>
          <w:rFonts w:ascii="Amiri" w:hAnsi="Amiri" w:eastAsia="Amiri" w:cs="Amiri"/>
          <w:color w:val="111111"/>
          <w:sz w:val="28"/>
          <w:sz w:val="28"/>
          <w:szCs w:val="28"/>
          <w:rtl w:val="true"/>
          <w:lang w:bidi="ar-SA"/>
        </w:rPr>
        <w:t xml:space="preserve">مِن رَعيّتِه، </w:t>
      </w:r>
      <w:bookmarkStart w:id="210" w:name="pg20015_284874"/>
    </w:p>
    <w:p>
      <w:pPr>
        <w:pStyle w:val="BookText"/>
        <w:rPr/>
      </w:pPr>
      <w:bookmarkEnd w:id="210"/>
      <w:r>
        <w:rPr>
          <w:rFonts w:ascii="Amiri" w:hAnsi="Amiri" w:eastAsia="Amiri" w:cs="Amiri"/>
          <w:color w:val="111111"/>
          <w:sz w:val="28"/>
          <w:sz w:val="28"/>
          <w:szCs w:val="28"/>
          <w:rtl w:val="true"/>
          <w:lang w:bidi="ar-SA"/>
        </w:rPr>
        <w:t xml:space="preserve">فكانَ </w:t>
      </w:r>
      <w:r>
        <w:rPr>
          <w:rStyle w:val="FootnoteAnchor"/>
          <w:rtl w:val="true"/>
        </w:rPr>
        <w:footnoteReference w:id="1315"/>
      </w:r>
      <w:r>
        <w:rPr>
          <w:rFonts w:ascii="Amiri" w:hAnsi="Amiri" w:eastAsia="Amiri" w:cs="Amiri"/>
          <w:color w:val="111111"/>
          <w:sz w:val="28"/>
          <w:sz w:val="28"/>
          <w:szCs w:val="28"/>
          <w:rtl w:val="true"/>
          <w:lang w:bidi="ar-SA"/>
        </w:rPr>
        <w:t>له أن يَقومَ بالحُدودِ و الأحكامِ دونَهم؛ فإن</w:t>
      </w:r>
      <w:r>
        <w:rPr>
          <w:rStyle w:val="FootnoteAnchor"/>
          <w:rtl w:val="true"/>
        </w:rPr>
        <w:footnoteReference w:id="1316"/>
      </w:r>
      <w:r>
        <w:rPr>
          <w:rFonts w:ascii="Amiri" w:hAnsi="Amiri" w:eastAsia="Amiri" w:cs="Amiri"/>
          <w:color w:val="111111"/>
          <w:sz w:val="28"/>
          <w:sz w:val="28"/>
          <w:szCs w:val="28"/>
          <w:rtl w:val="true"/>
          <w:lang w:bidi="ar-SA"/>
        </w:rPr>
        <w:t>جازَ عليهِ في المُستَقبَلِ ظُهورُ الحَدَثِ ، فما الذي يَمنَعُ مِن ذلك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عليهِ الحَدَثُ فقَد شارَكَ الرعيّةَ فيما مِن أجلِه احتاجَت إليه، و وَجَبَت حاجتُه إلىٰ إمامٍ كما وَجَبَت حاجتُهم إليه، و مُفارَقَتُه للرعيّةِ في غَيرِ ذلكَ مع مُشارَكتِه لهُم في عِلّةِ الحاجةِ لا يَمنَعُ‌</w:t>
      </w:r>
      <w:r>
        <w:rPr>
          <w:rStyle w:val="FootnoteAnchor"/>
          <w:rtl w:val="true"/>
        </w:rPr>
        <w:footnoteReference w:id="1318"/>
      </w:r>
      <w:r>
        <w:rPr>
          <w:rFonts w:ascii="Amiri" w:hAnsi="Amiri" w:eastAsia="Amiri" w:cs="Amiri"/>
          <w:color w:val="111111"/>
          <w:sz w:val="28"/>
          <w:sz w:val="28"/>
          <w:szCs w:val="28"/>
          <w:rtl w:val="true"/>
          <w:lang w:bidi="ar-SA"/>
        </w:rPr>
        <w:t>مِن حاجتِه إلىٰ إمامٍ كَحاجَتِهم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319"/>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صارَ إماماً لا مِن حَيثُ لا يَجوزُ عليهِ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 إلّا أنّه رَدٌّ علىٰ غَيرِنا؛ لأنّا لَم نَقُلْ ذلكَ و لَم نَعتَمِده</w:t>
      </w:r>
      <w:r>
        <w:rPr>
          <w:rStyle w:val="FootnoteAnchor"/>
          <w:rtl w:val="true"/>
        </w:rPr>
        <w:footnoteReference w:id="1320"/>
      </w:r>
      <w:r>
        <w:rPr>
          <w:rFonts w:ascii="Amiri" w:hAnsi="Amiri" w:eastAsia="Amiri" w:cs="Amiri"/>
          <w:color w:val="111111"/>
          <w:sz w:val="28"/>
          <w:sz w:val="28"/>
          <w:szCs w:val="28"/>
          <w:rtl w:val="true"/>
          <w:lang w:bidi="ar-SA"/>
        </w:rPr>
        <w:t>، و إن كانَ الإمامُ عندَنا لا بُدَّ أن يَكونَ ممّن لا يَجوزُ عليهِ الحَدَثُ ؛ للوجهِ الذي ذَكرناه، لا لأنّه إنّما صارَ إماماً لأنّ الحَدَثَ لا يَجوزُ عليه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894871_2320776876"/>
      <w:bookmarkStart w:id="212" w:name="_Toc77"/>
      <w:bookmarkEnd w:id="211"/>
      <w:r>
        <w:rPr>
          <w:rtl w:val="true"/>
        </w:rPr>
        <w:t>إثبات عصمة الإمام حتّىٰ مع فرض عدم كونه حجّةً فيما يؤدّيه</w:t>
      </w:r>
      <w:bookmarkEnd w:id="21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ذلكَ فيه لَجازَ في الرسولِ عليهِ السلامُ حتّىٰ لا يَبِينَ </w:t>
      </w:r>
      <w:r>
        <w:rPr>
          <w:rStyle w:val="FootnoteAnchor"/>
          <w:rtl w:val="true"/>
        </w:rPr>
        <w:footnoteReference w:id="1321"/>
      </w:r>
      <w:r>
        <w:rPr>
          <w:rFonts w:ascii="Amiri" w:hAnsi="Amiri" w:eastAsia="Amiri" w:cs="Amiri"/>
          <w:color w:val="111111"/>
          <w:sz w:val="28"/>
          <w:sz w:val="28"/>
          <w:szCs w:val="28"/>
          <w:rtl w:val="true"/>
          <w:lang w:bidi="ar-SA"/>
        </w:rPr>
        <w:t xml:space="preserve">مِن أُمّتِه و لا تَجِبَ </w:t>
      </w:r>
      <w:r>
        <w:rPr>
          <w:rStyle w:val="FootnoteAnchor"/>
          <w:rtl w:val="true"/>
        </w:rPr>
        <w:footnoteReference w:id="1322"/>
      </w:r>
      <w:r>
        <w:rPr>
          <w:rFonts w:ascii="Amiri" w:hAnsi="Amiri" w:eastAsia="Amiri" w:cs="Amiri"/>
          <w:color w:val="111111"/>
          <w:sz w:val="28"/>
          <w:sz w:val="28"/>
          <w:szCs w:val="28"/>
          <w:rtl w:val="true"/>
          <w:lang w:bidi="ar-SA"/>
        </w:rPr>
        <w:t>عصمتُه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ذلكَ في الرسولِ لأنّه حُجّةٌ فيما يؤدّيهِ ، لا لِلوَجهِ الذي ذَكرتُم؛ فما الذي</w:t>
      </w:r>
      <w:r>
        <w:rPr>
          <w:rStyle w:val="FootnoteAnchor"/>
          <w:rtl w:val="true"/>
        </w:rPr>
        <w:footnoteReference w:id="1323"/>
      </w:r>
      <w:r>
        <w:rPr>
          <w:rFonts w:ascii="Amiri" w:hAnsi="Amiri" w:eastAsia="Amiri" w:cs="Amiri"/>
          <w:color w:val="111111"/>
          <w:sz w:val="28"/>
          <w:sz w:val="28"/>
          <w:szCs w:val="28"/>
          <w:rtl w:val="true"/>
          <w:lang w:bidi="ar-SA"/>
        </w:rPr>
        <w:t xml:space="preserve">يَمنَعُ إذا لَم يَكُن هذه حالةَ </w:t>
      </w:r>
      <w:r>
        <w:rPr>
          <w:rStyle w:val="FootnoteAnchor"/>
          <w:rtl w:val="true"/>
        </w:rPr>
        <w:footnoteReference w:id="1324"/>
      </w:r>
      <w:r>
        <w:rPr>
          <w:rFonts w:ascii="Amiri" w:hAnsi="Amiri" w:eastAsia="Amiri" w:cs="Amiri"/>
          <w:color w:val="111111"/>
          <w:sz w:val="28"/>
          <w:sz w:val="28"/>
          <w:szCs w:val="28"/>
          <w:rtl w:val="true"/>
          <w:lang w:bidi="ar-SA"/>
        </w:rPr>
        <w:t xml:space="preserve">الإمامِ </w:t>
      </w:r>
      <w:r>
        <w:rPr>
          <w:rStyle w:val="FootnoteAnchor"/>
          <w:rtl w:val="true"/>
        </w:rPr>
        <w:footnoteReference w:id="1325"/>
      </w:r>
      <w:r>
        <w:rPr>
          <w:rFonts w:ascii="Amiri" w:hAnsi="Amiri" w:eastAsia="Amiri" w:cs="Amiri"/>
          <w:color w:val="111111"/>
          <w:sz w:val="28"/>
          <w:sz w:val="28"/>
          <w:szCs w:val="28"/>
          <w:rtl w:val="true"/>
          <w:lang w:bidi="ar-SA"/>
        </w:rPr>
        <w:t>أن يَكونَ بمَنزِلتِهم في جَوازِ ذلكَ عليهِ؟ و إن كانَ قد بانَ مِنهم بأن حَصَلَ معه الطريقُ الذي له كانَ إماماً</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تَقدَّمَ أنّ الإمامَ حُجّةٌ فيما يؤدّيهِ مِن الشرعِ‌، و أنّه يَجِبُ أن يَكونَ معصوماً؛ لِنَأمَنَ مِن</w:t>
      </w:r>
      <w:r>
        <w:rPr>
          <w:rStyle w:val="FootnoteAnchor"/>
          <w:rtl w:val="true"/>
        </w:rPr>
        <w:footnoteReference w:id="1327"/>
      </w:r>
      <w:r>
        <w:rPr>
          <w:rFonts w:ascii="Amiri" w:hAnsi="Amiri" w:eastAsia="Amiri" w:cs="Amiri"/>
          <w:color w:val="111111"/>
          <w:sz w:val="28"/>
          <w:sz w:val="28"/>
          <w:szCs w:val="28"/>
          <w:rtl w:val="true"/>
          <w:lang w:bidi="ar-SA"/>
        </w:rPr>
        <w:t>خَطَئِه فيما يؤَدّيهِ كالرَّسولِ صَلَّى اللّٰهُ عليهِ و آلِه و سَلَّمَ‌، و أَبطَلنا أن يَكونَ الشرعُ محفوظاً مؤدًّى</w:t>
      </w:r>
      <w:r>
        <w:rPr>
          <w:rStyle w:val="FootnoteAnchor"/>
          <w:rtl w:val="true"/>
        </w:rPr>
        <w:footnoteReference w:id="1328"/>
      </w:r>
      <w:r>
        <w:rPr>
          <w:rFonts w:ascii="Amiri" w:hAnsi="Amiri" w:eastAsia="Amiri" w:cs="Amiri"/>
          <w:color w:val="111111"/>
          <w:sz w:val="28"/>
          <w:sz w:val="28"/>
          <w:szCs w:val="28"/>
          <w:rtl w:val="true"/>
          <w:lang w:bidi="ar-SA"/>
        </w:rPr>
        <w:t>بالأُمّةِ بما نَستَغني</w:t>
      </w:r>
      <w:r>
        <w:rPr>
          <w:rStyle w:val="FootnoteAnchor"/>
          <w:rtl w:val="true"/>
        </w:rPr>
        <w:footnoteReference w:id="1329"/>
      </w:r>
      <w:r>
        <w:rPr>
          <w:rFonts w:ascii="Amiri" w:hAnsi="Amiri" w:eastAsia="Amiri" w:cs="Amiri"/>
          <w:color w:val="111111"/>
          <w:sz w:val="28"/>
          <w:sz w:val="28"/>
          <w:szCs w:val="28"/>
          <w:rtl w:val="true"/>
          <w:lang w:bidi="ar-SA"/>
        </w:rPr>
        <w:t>عن إعادتِه</w:t>
      </w:r>
      <w:r>
        <w:rPr>
          <w:rStyle w:val="FootnoteAnchor"/>
          <w:rtl w:val="true"/>
        </w:rPr>
        <w:footnoteReference w:id="1330"/>
      </w:r>
      <w:r>
        <w:rPr>
          <w:rFonts w:ascii="Amiri" w:hAnsi="Amiri" w:eastAsia="Amiri" w:cs="Amiri"/>
          <w:color w:val="111111"/>
          <w:sz w:val="28"/>
          <w:sz w:val="28"/>
          <w:szCs w:val="28"/>
          <w:rtl w:val="true"/>
          <w:lang w:bidi="ar-SA"/>
        </w:rPr>
        <w:t xml:space="preserve">، و هو موجِبٌ لحُصولِ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ارتَضاها القَومُ في عصمةِ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 غَيرَ أنّ كلامَنا في هذا المَوضعِ هو</w:t>
      </w:r>
      <w:r>
        <w:rPr>
          <w:rStyle w:val="FootnoteAnchor"/>
          <w:rtl w:val="true"/>
        </w:rPr>
        <w:footnoteReference w:id="1331"/>
      </w:r>
      <w:r>
        <w:rPr>
          <w:rFonts w:ascii="Amiri" w:hAnsi="Amiri" w:eastAsia="Amiri" w:cs="Amiri"/>
          <w:color w:val="111111"/>
          <w:sz w:val="28"/>
          <w:sz w:val="28"/>
          <w:szCs w:val="28"/>
          <w:rtl w:val="true"/>
          <w:lang w:bidi="ar-SA"/>
        </w:rPr>
        <w:t xml:space="preserve">في نُصرةِ الدليلِ الذي حَكاه عنّا، و رَتَّبناه علَى الوجهِ الذي يَصِحُّ معه دَلالتُه علَى العصمةِ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الإمامَ لَيسَ بحُجّةٍ فيما يؤَدّيهِ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و لئلّا نَخرُجَ </w:t>
      </w:r>
      <w:r>
        <w:rPr>
          <w:rStyle w:val="FootnoteAnchor"/>
          <w:rtl w:val="true"/>
        </w:rPr>
        <w:footnoteReference w:id="1332"/>
      </w:r>
      <w:r>
        <w:rPr>
          <w:rFonts w:ascii="Amiri" w:hAnsi="Amiri" w:eastAsia="Amiri" w:cs="Amiri"/>
          <w:color w:val="111111"/>
          <w:sz w:val="28"/>
          <w:sz w:val="28"/>
          <w:szCs w:val="28"/>
          <w:rtl w:val="true"/>
          <w:lang w:bidi="ar-SA"/>
        </w:rPr>
        <w:t xml:space="preserve">مِن دليلٍ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لَوَجَبَت عصمتُه</w:t>
      </w:r>
      <w:r>
        <w:rPr>
          <w:rStyle w:val="FootnoteAnchor"/>
          <w:rtl w:val="true"/>
        </w:rPr>
        <w:footnoteReference w:id="1333"/>
      </w:r>
      <w:r>
        <w:rPr>
          <w:rFonts w:ascii="IRNazanin" w:hAnsi="IRNazanin" w:eastAsia="IRNazanin"/>
          <w:color w:val="111111"/>
          <w:sz w:val="28"/>
          <w:sz w:val="28"/>
          <w:szCs w:val="28"/>
          <w:rtl w:val="true"/>
          <w:lang w:bidi="fa-IR"/>
        </w:rPr>
        <w:t>بما</w:t>
      </w:r>
      <w:r>
        <w:rPr>
          <w:rStyle w:val="FootnoteAnchor"/>
          <w:rtl w:val="true"/>
        </w:rPr>
        <w:footnoteReference w:id="1334"/>
      </w:r>
      <w:r>
        <w:rPr>
          <w:rFonts w:ascii="Amiri" w:hAnsi="Amiri" w:eastAsia="Amiri" w:cs="Amiri"/>
          <w:color w:val="111111"/>
          <w:sz w:val="28"/>
          <w:sz w:val="28"/>
          <w:szCs w:val="28"/>
          <w:rtl w:val="true"/>
          <w:lang w:bidi="ar-SA"/>
        </w:rPr>
        <w:t xml:space="preserve">قَدَّمنا ذِكرَه؛ لأنّ عِلّةَ الحاجةِ </w:t>
      </w:r>
      <w:bookmarkStart w:id="213" w:name="pg20015_284876"/>
    </w:p>
    <w:p>
      <w:pPr>
        <w:pStyle w:val="BookText"/>
        <w:rPr/>
      </w:pPr>
      <w:bookmarkEnd w:id="213"/>
      <w:r>
        <w:rPr>
          <w:rFonts w:ascii="Amiri" w:hAnsi="Amiri" w:eastAsia="Amiri" w:cs="Amiri"/>
          <w:color w:val="111111"/>
          <w:sz w:val="28"/>
          <w:sz w:val="28"/>
          <w:szCs w:val="28"/>
          <w:rtl w:val="true"/>
          <w:lang w:bidi="ar-SA"/>
        </w:rPr>
        <w:t>إليه إذاكانَت هي</w:t>
      </w:r>
      <w:r>
        <w:rPr>
          <w:rStyle w:val="FootnoteAnchor"/>
          <w:rtl w:val="true"/>
        </w:rPr>
        <w:footnoteReference w:id="1335"/>
      </w:r>
      <w:r>
        <w:rPr>
          <w:rFonts w:ascii="Amiri" w:hAnsi="Amiri" w:eastAsia="Amiri" w:cs="Amiri"/>
          <w:color w:val="111111"/>
          <w:sz w:val="28"/>
          <w:sz w:val="28"/>
          <w:szCs w:val="28"/>
          <w:rtl w:val="true"/>
          <w:lang w:bidi="ar-SA"/>
        </w:rPr>
        <w:t>جَوازَ فِعلِ القَبيحِ‌، فلَو لَم يَكُن هو</w:t>
      </w:r>
      <w:r>
        <w:rPr>
          <w:rStyle w:val="FootnoteAnchor"/>
          <w:rtl w:val="true"/>
        </w:rPr>
        <w:footnoteReference w:id="1336"/>
      </w:r>
      <w:r>
        <w:rPr>
          <w:rFonts w:ascii="Amiri" w:hAnsi="Amiri" w:eastAsia="Amiri" w:cs="Amiri"/>
          <w:color w:val="111111"/>
          <w:sz w:val="28"/>
          <w:sz w:val="28"/>
          <w:szCs w:val="28"/>
          <w:rtl w:val="true"/>
          <w:lang w:bidi="ar-SA"/>
        </w:rPr>
        <w:t xml:space="preserve">معصوماً لَجازَ عليهِ فِعلُ القَبيحِ و لَاحتاجَ إلىٰ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عِلّةِ الحاجةِ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لَاتَّصَلَ‌</w:t>
      </w:r>
      <w:r>
        <w:rPr>
          <w:rStyle w:val="FootnoteAnchor"/>
          <w:rtl w:val="true"/>
        </w:rPr>
        <w:footnoteReference w:id="1337"/>
      </w:r>
      <w:r>
        <w:rPr>
          <w:rFonts w:ascii="Amiri" w:hAnsi="Amiri" w:eastAsia="Amiri" w:cs="Amiri"/>
          <w:color w:val="111111"/>
          <w:sz w:val="28"/>
          <w:sz w:val="28"/>
          <w:szCs w:val="28"/>
          <w:rtl w:val="true"/>
          <w:lang w:bidi="ar-SA"/>
        </w:rPr>
        <w:t>ذلكَ بما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لَم يَكُنِ‌</w:t>
      </w:r>
      <w:r>
        <w:rPr>
          <w:rStyle w:val="FootnoteAnchor"/>
          <w:rtl w:val="true"/>
        </w:rPr>
        <w:footnoteReference w:id="1338"/>
      </w:r>
      <w:r>
        <w:rPr>
          <w:rFonts w:ascii="Amiri" w:hAnsi="Amiri" w:eastAsia="Amiri" w:cs="Amiri"/>
          <w:color w:val="111111"/>
          <w:sz w:val="28"/>
          <w:sz w:val="28"/>
          <w:szCs w:val="28"/>
          <w:rtl w:val="true"/>
          <w:lang w:bidi="ar-SA"/>
        </w:rPr>
        <w:t xml:space="preserve">العِلّةُ في عصمةِ الرسولِ بعَينِها حاصلةً في الإمامِ ، يَجِبُ </w:t>
      </w:r>
      <w:r>
        <w:rPr>
          <w:rStyle w:val="FootnoteAnchor"/>
          <w:rtl w:val="true"/>
        </w:rPr>
        <w:footnoteReference w:id="1339"/>
      </w:r>
      <w:r>
        <w:rPr>
          <w:rFonts w:ascii="Amiri" w:hAnsi="Amiri" w:eastAsia="Amiri" w:cs="Amiri"/>
          <w:color w:val="111111"/>
          <w:sz w:val="28"/>
          <w:sz w:val="28"/>
          <w:szCs w:val="28"/>
          <w:rtl w:val="true"/>
          <w:lang w:bidi="ar-SA"/>
        </w:rPr>
        <w:t xml:space="preserve">أن تُنفىٰ </w:t>
      </w:r>
      <w:r>
        <w:rPr>
          <w:rStyle w:val="FootnoteAnchor"/>
          <w:rtl w:val="true"/>
        </w:rPr>
        <w:footnoteReference w:id="1340"/>
      </w:r>
      <w:r>
        <w:rPr>
          <w:rFonts w:ascii="Amiri" w:hAnsi="Amiri" w:eastAsia="Amiri" w:cs="Amiri"/>
          <w:color w:val="111111"/>
          <w:sz w:val="28"/>
          <w:sz w:val="28"/>
          <w:szCs w:val="28"/>
          <w:rtl w:val="true"/>
          <w:lang w:bidi="ar-SA"/>
        </w:rPr>
        <w:t xml:space="preserve">عِصمتُه، بَل غَيرُ مُنكَرٍ أن تَثبُتَ </w:t>
      </w:r>
      <w:r>
        <w:rPr>
          <w:rStyle w:val="FootnoteAnchor"/>
          <w:rtl w:val="true"/>
        </w:rPr>
        <w:footnoteReference w:id="1341"/>
      </w:r>
      <w:r>
        <w:rPr>
          <w:rFonts w:ascii="Amiri" w:hAnsi="Amiri" w:eastAsia="Amiri" w:cs="Amiri"/>
          <w:color w:val="111111"/>
          <w:sz w:val="28"/>
          <w:sz w:val="28"/>
          <w:szCs w:val="28"/>
          <w:rtl w:val="true"/>
          <w:lang w:bidi="ar-SA"/>
        </w:rPr>
        <w:t>عصمتُهما جميعاً بطريقَين مختَلِفَين</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94873_2320776876"/>
      <w:bookmarkStart w:id="215" w:name="_Toc78"/>
      <w:bookmarkEnd w:id="214"/>
      <w:r>
        <w:rPr>
          <w:rtl w:val="true"/>
        </w:rPr>
        <w:t>جواز مشاركة الإمام لرعيّته في بعض الصفات، دون ما احتاجوا من أجله إليه</w:t>
      </w:r>
      <w:bookmarkEnd w:id="21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يُقالُ لهُم علىٰ عِلّتِهم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يَكونَ في رَعيّةِ الإمامِ عندَكم مَن يُشارِكُه في العصمةِ ليَكونَ بائناً مِنهم، و إلّافإن جازَ أن يَكونَ فيهِم</w:t>
      </w:r>
      <w:r>
        <w:rPr>
          <w:rStyle w:val="FootnoteAnchor"/>
          <w:rtl w:val="true"/>
        </w:rPr>
        <w:footnoteReference w:id="1342"/>
      </w:r>
      <w:r>
        <w:rPr>
          <w:rFonts w:ascii="Amiri" w:hAnsi="Amiri" w:eastAsia="Amiri" w:cs="Amiri"/>
          <w:color w:val="111111"/>
          <w:sz w:val="28"/>
          <w:sz w:val="28"/>
          <w:szCs w:val="28"/>
          <w:rtl w:val="true"/>
          <w:lang w:bidi="ar-SA"/>
        </w:rPr>
        <w:t>مَن يَكونُ حالُه كحالِهم</w:t>
      </w:r>
      <w:r>
        <w:rPr>
          <w:rStyle w:val="FootnoteAnchor"/>
          <w:rtl w:val="true"/>
        </w:rPr>
        <w:footnoteReference w:id="1343"/>
      </w:r>
      <w:r>
        <w:rPr>
          <w:rFonts w:ascii="Amiri" w:hAnsi="Amiri" w:eastAsia="Amiri" w:cs="Amiri"/>
          <w:color w:val="111111"/>
          <w:sz w:val="28"/>
          <w:sz w:val="28"/>
          <w:szCs w:val="28"/>
          <w:rtl w:val="true"/>
          <w:lang w:bidi="ar-SA"/>
        </w:rPr>
        <w:t>، و لَم يَمنَعْ ذلكَ مِن</w:t>
      </w:r>
      <w:r>
        <w:rPr>
          <w:rStyle w:val="FootnoteAnchor"/>
          <w:rtl w:val="true"/>
        </w:rPr>
        <w:footnoteReference w:id="1344"/>
      </w:r>
      <w:r>
        <w:rPr>
          <w:rFonts w:ascii="Amiri" w:hAnsi="Amiri" w:eastAsia="Amiri" w:cs="Amiri"/>
          <w:color w:val="111111"/>
          <w:sz w:val="28"/>
          <w:sz w:val="28"/>
          <w:szCs w:val="28"/>
          <w:rtl w:val="true"/>
          <w:lang w:bidi="ar-SA"/>
        </w:rPr>
        <w:t xml:space="preserve">كَونِه إماماً دونَهم لِمَزيّةٍ </w:t>
      </w:r>
      <w:r>
        <w:rPr>
          <w:rStyle w:val="FootnoteAnchor"/>
          <w:rtl w:val="true"/>
        </w:rPr>
        <w:footnoteReference w:id="1345"/>
      </w:r>
      <w:r>
        <w:rPr>
          <w:rFonts w:ascii="Amiri" w:hAnsi="Amiri" w:eastAsia="Amiri" w:cs="Amiri"/>
          <w:color w:val="111111"/>
          <w:sz w:val="28"/>
          <w:sz w:val="28"/>
          <w:szCs w:val="28"/>
          <w:rtl w:val="true"/>
          <w:lang w:bidi="ar-SA"/>
        </w:rPr>
        <w:t>في طريقة</w:t>
      </w:r>
      <w:r>
        <w:rPr>
          <w:rStyle w:val="FootnoteAnchor"/>
          <w:rtl w:val="true"/>
        </w:rPr>
        <w:footnoteReference w:id="1346"/>
      </w:r>
      <w:r>
        <w:rPr>
          <w:rFonts w:ascii="Amiri" w:hAnsi="Amiri" w:eastAsia="Amiri" w:cs="Amiri"/>
          <w:color w:val="111111"/>
          <w:sz w:val="28"/>
          <w:sz w:val="28"/>
          <w:szCs w:val="28"/>
          <w:rtl w:val="true"/>
          <w:lang w:bidi="ar-SA"/>
        </w:rPr>
        <w:t xml:space="preserve">إثبات الإمامة، فما الّذي يَمنَعُ مِن مِثلِه فيما </w:t>
      </w:r>
    </w:p>
    <w:p>
      <w:pPr>
        <w:pStyle w:val="BookText"/>
        <w:rPr/>
      </w:pPr>
      <w:r>
        <w:rPr>
          <w:rFonts w:ascii="Amiri" w:hAnsi="Amiri" w:eastAsia="Amiri" w:cs="Amiri"/>
          <w:color w:val="111111"/>
          <w:sz w:val="28"/>
          <w:sz w:val="28"/>
          <w:szCs w:val="28"/>
          <w:rtl w:val="true"/>
          <w:lang w:bidi="ar-SA"/>
        </w:rPr>
        <w:t xml:space="preserve">نَذهَبُ </w:t>
      </w:r>
      <w:r>
        <w:rPr>
          <w:rStyle w:val="FootnoteAnchor"/>
          <w:rtl w:val="true"/>
        </w:rPr>
        <w:footnoteReference w:id="1347"/>
      </w:r>
      <w:r>
        <w:rPr>
          <w:rFonts w:ascii="Amiri" w:hAnsi="Amiri" w:eastAsia="Amiri" w:cs="Amiri"/>
          <w:color w:val="111111"/>
          <w:sz w:val="28"/>
          <w:sz w:val="28"/>
          <w:szCs w:val="28"/>
          <w:rtl w:val="true"/>
          <w:lang w:bidi="ar-SA"/>
        </w:rPr>
        <w:t>إليه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إنّما يَلزَمُ علَى العِلّةِ التي تَظُنُّها، لا علَى العِلّةِ‌</w:t>
      </w:r>
      <w:r>
        <w:rPr>
          <w:rStyle w:val="FootnoteAnchor"/>
          <w:rtl w:val="true"/>
        </w:rPr>
        <w:footnoteReference w:id="1350"/>
      </w:r>
      <w:r>
        <w:rPr>
          <w:rFonts w:ascii="Amiri" w:hAnsi="Amiri" w:eastAsia="Amiri" w:cs="Amiri"/>
          <w:color w:val="111111"/>
          <w:sz w:val="28"/>
          <w:sz w:val="28"/>
          <w:szCs w:val="28"/>
          <w:rtl w:val="true"/>
          <w:lang w:bidi="ar-SA"/>
        </w:rPr>
        <w:t>التي حَكَيتَها</w:t>
      </w:r>
    </w:p>
    <w:p>
      <w:pPr>
        <w:pStyle w:val="BookText"/>
        <w:rPr/>
      </w:pPr>
      <w:r>
        <w:rPr>
          <w:rFonts w:ascii="Amiri" w:hAnsi="Amiri" w:eastAsia="Amiri" w:cs="Amiri"/>
          <w:color w:val="111111"/>
          <w:sz w:val="28"/>
          <w:sz w:val="28"/>
          <w:szCs w:val="28"/>
          <w:rtl w:val="true"/>
          <w:lang w:bidi="ar-SA"/>
        </w:rPr>
        <w:t>عنّا، و لا علىٰ ما رَتَّبناه؛ لأنّا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يَجوزُ</w:t>
      </w:r>
      <w:r>
        <w:rPr>
          <w:rStyle w:val="FootnoteAnchor"/>
          <w:rtl w:val="true"/>
        </w:rPr>
        <w:footnoteReference w:id="1351"/>
      </w:r>
      <w:r>
        <w:rPr>
          <w:rFonts w:ascii="Amiri" w:hAnsi="Amiri" w:eastAsia="Amiri" w:cs="Amiri"/>
          <w:color w:val="111111"/>
          <w:sz w:val="28"/>
          <w:sz w:val="28"/>
          <w:szCs w:val="28"/>
          <w:rtl w:val="true"/>
          <w:lang w:bidi="ar-SA"/>
        </w:rPr>
        <w:t>أن يُشارِكَ الرعيّةَ‌</w:t>
      </w:r>
      <w:r>
        <w:rPr>
          <w:rStyle w:val="FootnoteAnchor"/>
          <w:rtl w:val="true"/>
        </w:rPr>
        <w:footnoteReference w:id="1352"/>
      </w:r>
      <w:r>
        <w:rPr>
          <w:rFonts w:ascii="Amiri" w:hAnsi="Amiri" w:eastAsia="Amiri" w:cs="Amiri"/>
          <w:color w:val="111111"/>
          <w:sz w:val="28"/>
          <w:sz w:val="28"/>
          <w:szCs w:val="28"/>
          <w:rtl w:val="true"/>
          <w:lang w:bidi="ar-SA"/>
        </w:rPr>
        <w:t>في شَيءٍ مِن الصفاتِ‌، فيَلزَمَنا أن لا نُجوِّزَ</w:t>
      </w:r>
      <w:r>
        <w:rPr>
          <w:rStyle w:val="FootnoteAnchor"/>
          <w:rtl w:val="true"/>
        </w:rPr>
        <w:footnoteReference w:id="1353"/>
      </w:r>
      <w:r>
        <w:rPr>
          <w:rFonts w:ascii="Amiri" w:hAnsi="Amiri" w:eastAsia="Amiri" w:cs="Amiri"/>
          <w:color w:val="111111"/>
          <w:sz w:val="28"/>
          <w:sz w:val="28"/>
          <w:szCs w:val="28"/>
          <w:rtl w:val="true"/>
          <w:lang w:bidi="ar-SA"/>
        </w:rPr>
        <w:t>أن يَكونَ في رَعيّتِه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قُلناه و حَكَيتَ عنّا معناه هو أنّ الإمامَ لا يَجوزُ أن يُشارِكَ رَعيّتَه فيما احتاجوا مِن أجلِه إليه</w:t>
      </w:r>
      <w:r>
        <w:rPr>
          <w:rStyle w:val="FootnoteAnchor"/>
          <w:rtl w:val="true"/>
        </w:rPr>
        <w:footnoteReference w:id="1354"/>
      </w:r>
      <w:r>
        <w:rPr>
          <w:rFonts w:ascii="Amiri" w:hAnsi="Amiri" w:eastAsia="Amiri" w:cs="Amiri"/>
          <w:color w:val="111111"/>
          <w:sz w:val="28"/>
          <w:sz w:val="28"/>
          <w:szCs w:val="28"/>
          <w:rtl w:val="true"/>
          <w:lang w:bidi="ar-SA"/>
        </w:rPr>
        <w:t>لأنّه يؤَدّي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يَمنَعُ مِن مِثلِه فيما نَذهَبُ‌</w:t>
      </w:r>
      <w:r>
        <w:rPr>
          <w:rStyle w:val="FootnoteAnchor"/>
          <w:rtl w:val="true"/>
        </w:rPr>
        <w:footnoteReference w:id="135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أَثبَتنا في الرَّعيّةِ معصوماً مُشارِكاً للإمامِ في العصمةِ‌، لَم نَقضِ‌</w:t>
      </w:r>
      <w:r>
        <w:rPr>
          <w:rStyle w:val="FootnoteAnchor"/>
          <w:rtl w:val="true"/>
        </w:rPr>
        <w:footnoteReference w:id="1356"/>
      </w:r>
      <w:r>
        <w:rPr>
          <w:rFonts w:ascii="Amiri" w:hAnsi="Amiri" w:eastAsia="Amiri" w:cs="Amiri"/>
          <w:color w:val="111111"/>
          <w:sz w:val="28"/>
          <w:sz w:val="28"/>
          <w:szCs w:val="28"/>
          <w:rtl w:val="true"/>
          <w:lang w:bidi="ar-SA"/>
        </w:rPr>
        <w:t>بحاجتِه إلَى الإمامِ في الوجهِ الذي يَكونُ الإمامُ عليهِ لُطفاً في ارتفاعِ القَبيحِ‌؛ لحُصولِ عِلّةِ الغِنىٰ‌، و لَم نُناقِضْ‌</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أثبَتَّ الإمامَ غَيرَ معصومٍ و جَوَّزتَ عليه القَبيحَ ، لَزِمَكَ أن يَكونَ له إمامٌ ؛ لحُصولِ عِلّةِ الحاجةِ ، فمتىٰ أثبَتَّ ذلكَ ناقَضتَ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معنَى العصمةِ و حَدِّها لا حاجةَ بِنا إلىٰ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نَمنَعُ مِن مُشارَكةِ الإمامِ رَعيّتَه فيما له وَقَعَت الحاجةُ إلَى الإمامِ ، و هو جَوازُ الحَدَثِ ؛ فأمّا أن يُشارِكَهم في العصمةِ فممّا لا نُنكِرُه؛ لأنّ ذلكَ بأن يَكونَ مُغنياً عن الإمامِ أَولىٰ مِن أن يَكونَ سبباً للحاجةِ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يَلزَمُنا ما ذَكَرتُموه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لازِمٌ‌</w:t>
      </w:r>
      <w:r>
        <w:rPr>
          <w:rStyle w:val="FootnoteAnchor"/>
          <w:rtl w:val="true"/>
        </w:rPr>
        <w:footnoteReference w:id="1359"/>
      </w:r>
      <w:r>
        <w:rPr>
          <w:rFonts w:ascii="Amiri" w:hAnsi="Amiri" w:eastAsia="Amiri" w:cs="Amiri"/>
          <w:color w:val="111111"/>
          <w:sz w:val="28"/>
          <w:sz w:val="28"/>
          <w:szCs w:val="28"/>
          <w:rtl w:val="true"/>
          <w:lang w:bidi="ar-SA"/>
        </w:rPr>
        <w:t>لا مِن الوجهِ الذي ظَنَنتم</w:t>
      </w:r>
      <w:r>
        <w:rPr>
          <w:rStyle w:val="FootnoteAnchor"/>
          <w:rtl w:val="true"/>
        </w:rPr>
        <w:footnoteReference w:id="1360"/>
      </w:r>
      <w:r>
        <w:rPr>
          <w:rFonts w:ascii="Amiri" w:hAnsi="Amiri" w:eastAsia="Amiri" w:cs="Amiri"/>
          <w:color w:val="111111"/>
          <w:sz w:val="28"/>
          <w:sz w:val="28"/>
          <w:szCs w:val="28"/>
          <w:rtl w:val="true"/>
          <w:lang w:bidi="ar-SA"/>
        </w:rPr>
        <w:t>، لكِنْ بأن نَقولَ‌</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رَعيّتِه مَن يَستَغني عنه فيما ذَكرتم و لَم يَمنَعْ ذلكَ مِن كَونِه بائِناً مِنه بطَريقِ الإمامةِ‌، فما الذي يَمنَعُ مِن مِثلِه فيما نَذهَبُ إليه ؟ و لا يَجِبُ أن لا يَلزَمَ </w:t>
      </w:r>
      <w:r>
        <w:rPr>
          <w:rStyle w:val="FootnoteAnchor"/>
          <w:rtl w:val="true"/>
        </w:rPr>
        <w:footnoteReference w:id="1362"/>
      </w:r>
      <w:r>
        <w:rPr>
          <w:rFonts w:ascii="Amiri" w:hAnsi="Amiri" w:eastAsia="Amiri" w:cs="Amiri"/>
          <w:color w:val="111111"/>
          <w:sz w:val="28"/>
          <w:sz w:val="28"/>
          <w:szCs w:val="28"/>
          <w:rtl w:val="true"/>
          <w:lang w:bidi="ar-SA"/>
        </w:rPr>
        <w:t xml:space="preserve">الكلامُ إلّاعلىٰ طريقِ المُناقَضةِ ؛ بل قد يَلزَمُ علىٰ هذا الوجهِ الذي ذَكرناه، و يَقَعُ به التنبيهُ </w:t>
      </w:r>
      <w:r>
        <w:rPr>
          <w:rStyle w:val="FootnoteAnchor"/>
          <w:rtl w:val="true"/>
        </w:rPr>
        <w:footnoteReference w:id="1363"/>
      </w:r>
      <w:r>
        <w:rPr>
          <w:rFonts w:ascii="Amiri" w:hAnsi="Amiri" w:eastAsia="Amiri" w:cs="Amiri"/>
          <w:color w:val="111111"/>
          <w:sz w:val="28"/>
          <w:sz w:val="28"/>
          <w:szCs w:val="28"/>
          <w:rtl w:val="true"/>
          <w:lang w:bidi="ar-SA"/>
        </w:rPr>
        <w:t>علىٰ أنّ الذي أَورَدتموه دَعوىً لا دَلالةَ عليها</w:t>
      </w:r>
      <w:r>
        <w:rPr>
          <w:rFonts w:eastAsia="Amiri" w:cs="Amiri" w:ascii="Amiri" w:hAnsi="Amiri"/>
          <w:color w:val="111111"/>
          <w:sz w:val="28"/>
          <w:szCs w:val="28"/>
          <w:rtl w:val="true"/>
          <w:lang w:bidi="ar-SA"/>
        </w:rPr>
        <w:t>.</w:t>
      </w:r>
      <w:r>
        <w:rPr>
          <w:rStyle w:val="FootnoteAnchor"/>
          <w:rtl w:val="true"/>
        </w:rPr>
        <w:footnoteReference w:id="13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كالأوّلِ في أنّه كلامٌ علىٰ غَيرِ ما اعتَمَدناه، و اعتراضٌ علىٰ غَيرِ اعتلالِنا، و قد بيّنّا عِلّتَنا و طريقَ تَوجُّهِها، و أنّا لَم نُحِلْ </w:t>
      </w:r>
      <w:r>
        <w:rPr>
          <w:rStyle w:val="FootnoteAnchor"/>
          <w:rtl w:val="true"/>
        </w:rPr>
        <w:footnoteReference w:id="1365"/>
      </w:r>
      <w:r>
        <w:rPr>
          <w:rFonts w:ascii="Amiri" w:hAnsi="Amiri" w:eastAsia="Amiri" w:cs="Amiri"/>
          <w:color w:val="111111"/>
          <w:sz w:val="28"/>
          <w:sz w:val="28"/>
          <w:szCs w:val="28"/>
          <w:rtl w:val="true"/>
          <w:lang w:bidi="ar-SA"/>
        </w:rPr>
        <w:t xml:space="preserve">مُشارَكةَ الإمامِ للرعيّةِ في </w:t>
      </w:r>
    </w:p>
    <w:p>
      <w:pPr>
        <w:pStyle w:val="BookText"/>
        <w:rPr/>
      </w:pPr>
      <w:r>
        <w:rPr>
          <w:rFonts w:ascii="Amiri" w:hAnsi="Amiri" w:eastAsia="Amiri" w:cs="Amiri"/>
          <w:color w:val="111111"/>
          <w:sz w:val="28"/>
          <w:sz w:val="28"/>
          <w:szCs w:val="28"/>
          <w:rtl w:val="true"/>
          <w:lang w:bidi="ar-SA"/>
        </w:rPr>
        <w:t>بعضِ الصِّفاتِ‌، و الذي أَحَلناه و أَبطَلناه قد أَفصَحنا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w:t>
      </w:r>
      <w:r>
        <w:rPr>
          <w:rStyle w:val="FootnoteAnchor"/>
          <w:rtl w:val="true"/>
        </w:rPr>
        <w:footnoteReference w:id="1366"/>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يَمنَعُ مِن مِثلِه فيما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1367"/>
      </w:r>
      <w:r>
        <w:rPr>
          <w:rFonts w:ascii="Amiri" w:hAnsi="Amiri" w:eastAsia="Amiri" w:cs="Amiri"/>
          <w:color w:val="111111"/>
          <w:sz w:val="28"/>
          <w:sz w:val="28"/>
          <w:szCs w:val="28"/>
          <w:rtl w:val="true"/>
          <w:lang w:bidi="ar-SA"/>
        </w:rPr>
        <w:t>تَقدَّمَ‌، و جُملتُه أنّكَ تُثبِتُ للإمامِ الصِّفةَ الموجِبةَ للحاجةِ و تَمنَعُ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أثبَتنا الصِّفَةَ‌</w:t>
      </w:r>
      <w:r>
        <w:rPr>
          <w:rStyle w:val="FootnoteAnchor"/>
          <w:rtl w:val="true"/>
        </w:rPr>
        <w:footnoteReference w:id="1368"/>
      </w:r>
      <w:r>
        <w:rPr>
          <w:rFonts w:ascii="Amiri" w:hAnsi="Amiri" w:eastAsia="Amiri" w:cs="Amiri"/>
          <w:color w:val="111111"/>
          <w:sz w:val="28"/>
          <w:sz w:val="28"/>
          <w:szCs w:val="28"/>
          <w:rtl w:val="true"/>
          <w:lang w:bidi="ar-SA"/>
        </w:rPr>
        <w:t>المُغنيةَ‌</w:t>
      </w:r>
      <w:r>
        <w:rPr>
          <w:rStyle w:val="FootnoteAnchor"/>
          <w:rtl w:val="true"/>
        </w:rPr>
        <w:footnoteReference w:id="1369"/>
      </w:r>
      <w:r>
        <w:rPr>
          <w:rFonts w:ascii="Amiri" w:hAnsi="Amiri" w:eastAsia="Amiri" w:cs="Amiri"/>
          <w:color w:val="111111"/>
          <w:sz w:val="28"/>
          <w:sz w:val="28"/>
          <w:szCs w:val="28"/>
          <w:rtl w:val="true"/>
          <w:lang w:bidi="ar-SA"/>
        </w:rPr>
        <w:t>لبعضِ الرعيّةِ لَم نَدفَعِ‌</w:t>
      </w:r>
      <w:r>
        <w:rPr>
          <w:rStyle w:val="FootnoteAnchor"/>
          <w:rtl w:val="true"/>
        </w:rPr>
        <w:footnoteReference w:id="1370"/>
      </w:r>
      <w:r>
        <w:rPr>
          <w:rFonts w:ascii="Amiri" w:hAnsi="Amiri" w:eastAsia="Amiri" w:cs="Amiri"/>
          <w:color w:val="111111"/>
          <w:sz w:val="28"/>
          <w:sz w:val="28"/>
          <w:szCs w:val="28"/>
          <w:rtl w:val="true"/>
          <w:lang w:bidi="ar-SA"/>
        </w:rPr>
        <w:t>القَطعَ علَى استغنائِه، بل قَضَينا بذلكَ علَى الوجهِ الذي تَقدَّمَ بَيانُه</w:t>
      </w:r>
      <w:r>
        <w:rPr>
          <w:rStyle w:val="FootnoteAnchor"/>
          <w:rtl w:val="true"/>
        </w:rPr>
        <w:footnoteReference w:id="1371"/>
      </w:r>
      <w:r>
        <w:rPr>
          <w:rFonts w:ascii="Amiri" w:hAnsi="Amiri" w:eastAsia="Amiri" w:cs="Amiri"/>
          <w:color w:val="111111"/>
          <w:sz w:val="28"/>
          <w:sz w:val="28"/>
          <w:szCs w:val="28"/>
          <w:rtl w:val="true"/>
          <w:lang w:bidi="ar-SA"/>
        </w:rPr>
        <w:t>اللّهُمّ إلّاأن تَلزَمَ‌</w:t>
      </w:r>
      <w:r>
        <w:rPr>
          <w:rStyle w:val="FootnoteAnchor"/>
          <w:rtl w:val="true"/>
        </w:rPr>
        <w:footnoteReference w:id="1372"/>
      </w:r>
      <w:r>
        <w:rPr>
          <w:rFonts w:ascii="Amiri" w:hAnsi="Amiri" w:eastAsia="Amiri" w:cs="Amiri"/>
          <w:color w:val="111111"/>
          <w:sz w:val="28"/>
          <w:sz w:val="28"/>
          <w:szCs w:val="28"/>
          <w:rtl w:val="true"/>
          <w:lang w:bidi="ar-SA"/>
        </w:rPr>
        <w:t>حاجةُ الإمامِ إلىٰ إمامٍ‌</w:t>
      </w:r>
      <w:r>
        <w:rPr>
          <w:rStyle w:val="FootnoteAnchor"/>
          <w:rtl w:val="true"/>
        </w:rPr>
        <w:footnoteReference w:id="1373"/>
      </w:r>
      <w:r>
        <w:rPr>
          <w:rFonts w:ascii="Amiri" w:hAnsi="Amiri" w:eastAsia="Amiri" w:cs="Amiri"/>
          <w:color w:val="111111"/>
          <w:sz w:val="28"/>
          <w:sz w:val="28"/>
          <w:szCs w:val="28"/>
          <w:rtl w:val="true"/>
          <w:lang w:bidi="ar-SA"/>
        </w:rPr>
        <w:t xml:space="preserve">لحُصولِ </w:t>
      </w:r>
      <w:r>
        <w:rPr>
          <w:rStyle w:val="FootnoteAnchor"/>
          <w:rtl w:val="true"/>
        </w:rPr>
        <w:footnoteReference w:id="1374"/>
      </w:r>
      <w:r>
        <w:rPr>
          <w:rFonts w:ascii="Amiri" w:hAnsi="Amiri" w:eastAsia="Amiri" w:cs="Amiri"/>
          <w:color w:val="111111"/>
          <w:sz w:val="28"/>
          <w:sz w:val="28"/>
          <w:szCs w:val="28"/>
          <w:rtl w:val="true"/>
          <w:lang w:bidi="ar-SA"/>
        </w:rPr>
        <w:t xml:space="preserve">عِلّةِ الحاجةِ ، كَما فَعَلنا نحنُ عَكسَ ذلكَ عندَ حُصولِ علّةِ الاستغناءِ ، و هذا إذا صِرتَ إليه أُبطِلَ بما ذَكرناه مِن أنّه يؤَدّي إلىٰ ما لا نِهايةَ له مِن الأئمّةِ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القَومَ إذا اعْتَلّوا بهذه العِلّةِ عقلاً فهي غَيرُ مُسَلَّمةٍ ؛ لأنّا نُجوِّزُ في العقلِ ورودَ الشرعِ بأن يُجعَلَ </w:t>
      </w:r>
      <w:r>
        <w:rPr>
          <w:rStyle w:val="FootnoteAnchor"/>
          <w:rtl w:val="true"/>
        </w:rPr>
        <w:footnoteReference w:id="1376"/>
      </w:r>
      <w:r>
        <w:rPr>
          <w:rFonts w:ascii="Amiri" w:hAnsi="Amiri" w:eastAsia="Amiri" w:cs="Amiri"/>
          <w:color w:val="111111"/>
          <w:sz w:val="28"/>
          <w:sz w:val="28"/>
          <w:szCs w:val="28"/>
          <w:rtl w:val="true"/>
          <w:lang w:bidi="ar-SA"/>
        </w:rPr>
        <w:t>إقامةُ الحَدِّ إلىٰ مَن يَلزَمُه</w:t>
      </w:r>
      <w:r>
        <w:rPr>
          <w:rStyle w:val="FootnoteAnchor"/>
          <w:rtl w:val="true"/>
        </w:rPr>
        <w:footnoteReference w:id="1377"/>
      </w:r>
      <w:r>
        <w:rPr>
          <w:rFonts w:ascii="Amiri" w:hAnsi="Amiri" w:eastAsia="Amiri" w:cs="Amiri"/>
          <w:color w:val="111111"/>
          <w:sz w:val="28"/>
          <w:sz w:val="28"/>
          <w:szCs w:val="28"/>
          <w:rtl w:val="true"/>
          <w:lang w:bidi="ar-SA"/>
        </w:rPr>
        <w:t>الحَدُّ، كَما لا يَمتَنِعُ ورودُ الشرعِ بأن يَكونَ علَى المُقدِمِ علَى المُنكَرِ إنكارُ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كانوا يُعوِّلونَ في ذلكَ علَى السمعِ ، فيَجِبُ أن يُبيِّنوا طَريقَه</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يَعتَمِدوا علىٰ ما أَورَدوه ممّا فيه مِن المُنازَعةِ ما ذَكرناه</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اعتَلَلنا بما ذَكرناه إلّاعقلاً، مِن غَيرِ رجوعٍ إلَى السّمعِ‌، أو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يُجعَلَ </w:t>
      </w:r>
      <w:r>
        <w:rPr>
          <w:rStyle w:val="FootnoteAnchor"/>
          <w:rtl w:val="true"/>
        </w:rPr>
        <w:footnoteReference w:id="1380"/>
      </w:r>
      <w:r>
        <w:rPr>
          <w:rFonts w:ascii="Amiri" w:hAnsi="Amiri" w:eastAsia="Amiri" w:cs="Amiri"/>
          <w:color w:val="111111"/>
          <w:sz w:val="28"/>
          <w:sz w:val="28"/>
          <w:szCs w:val="28"/>
          <w:rtl w:val="true"/>
          <w:lang w:bidi="ar-SA"/>
        </w:rPr>
        <w:t>إقامةُ الحَدِّ إلىٰ مَن يَلزَمُه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أرَدتَ أنّه يُجعَلُ</w:t>
      </w:r>
    </w:p>
    <w:p>
      <w:pPr>
        <w:pStyle w:val="BookText"/>
        <w:rPr/>
      </w:pPr>
      <w:r>
        <w:rPr>
          <w:rFonts w:ascii="Amiri" w:hAnsi="Amiri" w:eastAsia="Amiri" w:cs="Amiri"/>
          <w:color w:val="111111"/>
          <w:sz w:val="28"/>
          <w:sz w:val="28"/>
          <w:szCs w:val="28"/>
          <w:rtl w:val="true"/>
          <w:lang w:bidi="ar-SA"/>
        </w:rPr>
        <w:t>إلىٰ مَن هذه حالُه مِن غَير أن يَكونَ وَراءَه راعٍ أو إمامٌ ، فهذا لا يَجوزُ؛ لأنّ مَن جُعِلَ إليه أن يُقيمَ الحَدَّ عليه، إنّما احتاجَ إلىٰ كَونِه مِن وَرائه؛ لجَوازِ وقوعِ ما يوجِبُ الحَدَّ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1381"/>
      </w:r>
      <w:r>
        <w:rPr>
          <w:rFonts w:ascii="Amiri" w:hAnsi="Amiri" w:eastAsia="Amiri" w:cs="Amiri"/>
          <w:color w:val="111111"/>
          <w:sz w:val="28"/>
          <w:sz w:val="28"/>
          <w:szCs w:val="28"/>
          <w:rtl w:val="true"/>
          <w:lang w:bidi="ar-SA"/>
        </w:rPr>
        <w:t>كانَت هذه العِلّةُ قائمةً في المُقيمِ للحَدِّ</w:t>
      </w:r>
      <w:r>
        <w:rPr>
          <w:rStyle w:val="FootnoteAnchor"/>
          <w:rtl w:val="true"/>
        </w:rPr>
        <w:footnoteReference w:id="1382"/>
      </w:r>
      <w:r>
        <w:rPr>
          <w:rFonts w:ascii="Amiri" w:hAnsi="Amiri" w:eastAsia="Amiri" w:cs="Amiri"/>
          <w:color w:val="111111"/>
          <w:sz w:val="28"/>
          <w:sz w:val="28"/>
          <w:szCs w:val="28"/>
          <w:rtl w:val="true"/>
          <w:lang w:bidi="ar-SA"/>
        </w:rPr>
        <w:t>، احتاجَ إلىٰ مِثلِ نَفسِه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جَوازَ إقامةِ الحَدِّ ممّن يَجوزُ أن يَستَحِقَّ الحَدَّ مع أنّ له إماماً مِن وَرائِه يُقيمُ عليه الحَدَّ</w:t>
      </w:r>
      <w:r>
        <w:rPr>
          <w:rStyle w:val="FootnoteAnchor"/>
          <w:rtl w:val="true"/>
        </w:rPr>
        <w:footnoteReference w:id="1383"/>
      </w:r>
      <w:r>
        <w:rPr>
          <w:rFonts w:ascii="IRNazanin" w:hAnsi="IRNazanin" w:eastAsia="IRNazanin"/>
          <w:color w:val="111111"/>
          <w:sz w:val="28"/>
          <w:sz w:val="28"/>
          <w:szCs w:val="28"/>
          <w:rtl w:val="true"/>
          <w:lang w:bidi="fa-IR"/>
        </w:rPr>
        <w:t>عندَ استحقاقِه، فهذا ممّا لا نأباه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Style w:val="FootnoteAnchor"/>
          <w:rtl w:val="true"/>
        </w:rPr>
        <w:footnoteReference w:id="1384"/>
      </w:r>
      <w:r>
        <w:rPr>
          <w:rFonts w:ascii="Amiri" w:hAnsi="Amiri" w:eastAsia="Amiri" w:cs="Amiri"/>
          <w:color w:val="111111"/>
          <w:sz w:val="28"/>
          <w:sz w:val="28"/>
          <w:szCs w:val="28"/>
          <w:rtl w:val="true"/>
          <w:lang w:bidi="ar-SA"/>
        </w:rPr>
        <w:t>حالُ الأُمَراءِ و جميعِ خُلَفاءِ الإمامِ عندَنا</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216" w:name="pg20015_284881"/>
    </w:p>
    <w:p>
      <w:pPr>
        <w:pStyle w:val="Heading5"/>
        <w:numPr>
          <w:ilvl w:val="4"/>
          <w:numId w:val="1"/>
        </w:numPr>
        <w:rPr/>
      </w:pPr>
      <w:bookmarkStart w:id="217" w:name="__RefHeading___Toc894875_2320776876"/>
      <w:bookmarkStart w:id="218" w:name="_Toc79"/>
      <w:bookmarkEnd w:id="216"/>
      <w:bookmarkEnd w:id="217"/>
      <w:r>
        <w:rPr>
          <w:rtl w:val="true"/>
        </w:rPr>
        <w:t>الدليل الحادي عشر الحاجةُ إلَى الإمامِ لبَيانِ دَلالةِ الكتابِ و السُّنّةِ</w:t>
      </w:r>
      <w:bookmarkEnd w:id="218"/>
    </w:p>
    <w:p>
      <w:pPr>
        <w:pStyle w:val="Heading6"/>
        <w:numPr>
          <w:ilvl w:val="5"/>
          <w:numId w:val="1"/>
        </w:numPr>
        <w:rPr/>
      </w:pPr>
      <w:bookmarkStart w:id="219" w:name="__RefHeading___Toc894877_2320776876"/>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إمامٍ معصومٍ في كُلِّ زَمانٍ‌؛ لأنّ أدلّةَ الشرعِ مِن كتابٍ و سُنّةٍ لا تَدُلُّ بنفسِها؛ لِاحتمالِها</w:t>
      </w:r>
      <w:r>
        <w:rPr>
          <w:rStyle w:val="FootnoteAnchor"/>
          <w:rtl w:val="true"/>
        </w:rPr>
        <w:footnoteReference w:id="1387"/>
      </w:r>
      <w:r>
        <w:rPr>
          <w:rFonts w:ascii="Amiri" w:hAnsi="Amiri" w:eastAsia="Amiri" w:cs="Amiri"/>
          <w:color w:val="111111"/>
          <w:sz w:val="28"/>
          <w:sz w:val="28"/>
          <w:szCs w:val="28"/>
          <w:rtl w:val="true"/>
          <w:lang w:bidi="ar-SA"/>
        </w:rPr>
        <w:t>، و لذلكَ اختَلَفوا</w:t>
      </w:r>
      <w:r>
        <w:rPr>
          <w:rStyle w:val="FootnoteAnchor"/>
          <w:rtl w:val="true"/>
        </w:rPr>
        <w:footnoteReference w:id="1388"/>
      </w:r>
      <w:r>
        <w:rPr>
          <w:rFonts w:ascii="Amiri" w:hAnsi="Amiri" w:eastAsia="Amiri" w:cs="Amiri"/>
          <w:color w:val="111111"/>
          <w:sz w:val="28"/>
          <w:sz w:val="28"/>
          <w:szCs w:val="28"/>
          <w:rtl w:val="true"/>
          <w:lang w:bidi="ar-SA"/>
        </w:rPr>
        <w:t>في معناها مع اتّفاقِهم في كَونِها دَلالةً‌؛ فلا بُدَّ مِن مُبيِّنٍ عَرَفَ معناها اضطراراً مِن الرسولِ أو مِن إمامٍ سِواه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خِلافُه كانَ لا يَمتَنِعُ أن يُنزِلَ‌</w:t>
      </w:r>
      <w:r>
        <w:rPr>
          <w:rStyle w:val="FootnoteAnchor"/>
          <w:rtl w:val="true"/>
        </w:rPr>
        <w:footnoteReference w:id="1390"/>
      </w:r>
      <w:r>
        <w:rPr>
          <w:rFonts w:ascii="Amiri" w:hAnsi="Amiri" w:eastAsia="Amiri" w:cs="Amiri"/>
          <w:color w:val="111111"/>
          <w:sz w:val="28"/>
          <w:sz w:val="28"/>
          <w:szCs w:val="28"/>
          <w:rtl w:val="true"/>
          <w:lang w:bidi="ar-SA"/>
        </w:rPr>
        <w:t xml:space="preserve">تَعالىٰ كتاباً و لا نَبيَّ في الزمانِ‌، فلَمّا بَطَلَ ذلكَ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بُدَّ مِن مبيِّنٍ للمُرادِ بالكتابِ ؛ للاحتمالِ الحاصلِ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القَولُ في الإمامِ </w:t>
      </w:r>
      <w:r>
        <w:rPr>
          <w:rFonts w:eastAsia="Amiri" w:cs="Amiri" w:ascii="Amiri" w:hAnsi="Amiri"/>
          <w:color w:val="111111"/>
          <w:sz w:val="28"/>
          <w:szCs w:val="28"/>
          <w:rtl w:val="true"/>
          <w:lang w:bidi="ar-SA"/>
        </w:rPr>
        <w:t xml:space="preserve">. </w:t>
      </w:r>
      <w:bookmarkStart w:id="221" w:name="pg20015_284882"/>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مَبنيٌّ علىٰ أنّ الكلامَ لا يَدُلُّ بظاهرِه، و قد بيّنّا فيما تَقدَّمَ أنّه يَدُلُّ ، و أبطَلنا الأقاويلَ المُخالِفةَ </w:t>
      </w:r>
      <w:r>
        <w:rPr>
          <w:rStyle w:val="FootnoteAnchor"/>
          <w:rtl w:val="true"/>
        </w:rPr>
        <w:footnoteReference w:id="1392"/>
      </w:r>
      <w:r>
        <w:rPr>
          <w:rFonts w:ascii="Amiri" w:hAnsi="Amiri" w:eastAsia="Amiri" w:cs="Amiri"/>
          <w:color w:val="111111"/>
          <w:sz w:val="28"/>
          <w:sz w:val="28"/>
          <w:szCs w:val="28"/>
          <w:rtl w:val="true"/>
          <w:lang w:bidi="ar-SA"/>
        </w:rPr>
        <w:t xml:space="preserve">لذلكَ ، و بيّنّا ما يَلزَمُ عليها 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يُبطِلُ هذه الشُّبهةَ </w:t>
      </w:r>
      <w:r>
        <w:rPr>
          <w:rFonts w:eastAsia="Amiri" w:cs="Amiri" w:ascii="Amiri" w:hAnsi="Amiri"/>
          <w:color w:val="111111"/>
          <w:sz w:val="28"/>
          <w:szCs w:val="28"/>
          <w:rtl w:val="true"/>
          <w:lang w:bidi="ar-SA"/>
        </w:rPr>
        <w:t>].</w:t>
      </w:r>
      <w:r>
        <w:rPr>
          <w:rStyle w:val="FootnoteAnchor"/>
          <w:rtl w:val="true"/>
        </w:rPr>
        <w:footnoteReference w:id="1393"/>
      </w:r>
    </w:p>
    <w:p>
      <w:pPr>
        <w:pStyle w:val="Heading6"/>
        <w:numPr>
          <w:ilvl w:val="5"/>
          <w:numId w:val="1"/>
        </w:numPr>
        <w:rPr/>
      </w:pPr>
      <w:bookmarkStart w:id="222" w:name="__RefHeading___Toc894879_2320776876"/>
      <w:bookmarkStart w:id="223" w:name="_Toc81"/>
      <w:bookmarkEnd w:id="222"/>
      <w:r>
        <w:rPr>
          <w:rtl w:val="true"/>
        </w:rPr>
        <w:t>اختلاف أدلّة الشرع من حيث الدلالة، و بيان الحاجة إلى الإمام</w:t>
      </w:r>
      <w:bookmarkEnd w:id="223"/>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أدلّةِ الشرعِ مُحتَمِلةٌ غَيرُ دالّةٍ بنَفسِها، بَل فيها ما يَدُلُّ إذا كانَ ظاهرُه مُطابِقاً لحَقائقِ اللُّغةِ‌، و تَقدَّمَ العِلمُ للمُستَدِلِّ بأنّ المخاطِبَ به حَكيمٌ‌، و أنّه لا يَجوزُ أن يُريدَ خِلافَ الحقيقةِ مِن غَيرِ أن يَدُلَّ‌</w:t>
      </w:r>
      <w:r>
        <w:rPr>
          <w:rStyle w:val="FootnoteAnchor"/>
          <w:rtl w:val="true"/>
        </w:rPr>
        <w:footnoteReference w:id="139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في أنّ جميعَ أدلّةِ الشَّرعِ لَيسَت بهذه الصفةِ‌؛ لأنّا نَعلَمُ أنّ في القُرآنِ مُتَشابِهاً</w:t>
      </w:r>
      <w:r>
        <w:rPr>
          <w:rStyle w:val="FootnoteAnchor"/>
          <w:rtl w:val="true"/>
        </w:rPr>
        <w:footnoteReference w:id="1395"/>
      </w:r>
      <w:r>
        <w:rPr>
          <w:rFonts w:ascii="Amiri" w:hAnsi="Amiri" w:eastAsia="Amiri" w:cs="Amiri"/>
          <w:color w:val="111111"/>
          <w:sz w:val="28"/>
          <w:sz w:val="28"/>
          <w:szCs w:val="28"/>
          <w:rtl w:val="true"/>
          <w:lang w:bidi="ar-SA"/>
        </w:rPr>
        <w:t>، و في السُّنّةِ مُحتَمِلاً</w:t>
      </w:r>
      <w:r>
        <w:rPr>
          <w:rStyle w:val="FootnoteAnchor"/>
          <w:rtl w:val="true"/>
        </w:rPr>
        <w:footnoteReference w:id="1396"/>
      </w:r>
      <w:r>
        <w:rPr>
          <w:rFonts w:ascii="Amiri" w:hAnsi="Amiri" w:eastAsia="Amiri" w:cs="Amiri"/>
          <w:color w:val="111111"/>
          <w:sz w:val="28"/>
          <w:sz w:val="28"/>
          <w:szCs w:val="28"/>
          <w:rtl w:val="true"/>
          <w:lang w:bidi="ar-SA"/>
        </w:rPr>
        <w:t xml:space="preserve">، و أنّ العُلَماءَ مِن أهلِ اللُّغةِ قد اختَلَفوا في المُرادِ </w:t>
      </w:r>
    </w:p>
    <w:p>
      <w:pPr>
        <w:pStyle w:val="BookText"/>
        <w:rPr/>
      </w:pPr>
      <w:r>
        <w:rPr>
          <w:rFonts w:ascii="Amiri" w:hAnsi="Amiri" w:eastAsia="Amiri" w:cs="Amiri"/>
          <w:color w:val="111111"/>
          <w:sz w:val="28"/>
          <w:sz w:val="28"/>
          <w:szCs w:val="28"/>
          <w:rtl w:val="true"/>
          <w:lang w:bidi="ar-SA"/>
        </w:rPr>
        <w:t>بهِما، و تَوقَّفوا في الكَثيرِ ممّا لَم يَصِحَّ لهُم طريقُه، و مالوا</w:t>
      </w:r>
      <w:r>
        <w:rPr>
          <w:rStyle w:val="FootnoteAnchor"/>
          <w:rtl w:val="true"/>
        </w:rPr>
        <w:footnoteReference w:id="1397"/>
      </w:r>
      <w:r>
        <w:rPr>
          <w:rFonts w:ascii="Amiri" w:hAnsi="Amiri" w:eastAsia="Amiri" w:cs="Amiri"/>
          <w:color w:val="111111"/>
          <w:sz w:val="28"/>
          <w:sz w:val="28"/>
          <w:szCs w:val="28"/>
          <w:rtl w:val="true"/>
          <w:lang w:bidi="ar-SA"/>
        </w:rPr>
        <w:t>في مَواضِعَ إلىٰ طريقةِ الظَّنِّ و الأَولىٰ‌؛ فلا بُدَّ و الحالُ هذه مِن مُبيِّنٍ للمُشكِلِ و مُتَرجِمٍ للغامِضِ‌، يَكونُ قَولُه حُجّةً كقَولِ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يَبقىٰ بَعدَ هذا</w:t>
      </w:r>
      <w:r>
        <w:rPr>
          <w:rStyle w:val="FootnoteAnchor"/>
          <w:rtl w:val="true"/>
        </w:rPr>
        <w:footnoteReference w:id="1398"/>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في القُرآنِ إمّا معلومٌ بظاهرِ اللُّغةِ‌، أو</w:t>
      </w:r>
      <w:r>
        <w:rPr>
          <w:rStyle w:val="FootnoteAnchor"/>
          <w:rtl w:val="true"/>
        </w:rPr>
        <w:footnoteReference w:id="1399"/>
      </w:r>
      <w:r>
        <w:rPr>
          <w:rFonts w:ascii="Amiri" w:hAnsi="Amiri" w:eastAsia="Amiri" w:cs="Amiri"/>
          <w:color w:val="111111"/>
          <w:sz w:val="28"/>
          <w:sz w:val="28"/>
          <w:szCs w:val="28"/>
          <w:rtl w:val="true"/>
          <w:lang w:bidi="ar-SA"/>
        </w:rPr>
        <w:t>فيه بيانٌ مِن الرسولِ عليه السلامُ‌</w:t>
      </w:r>
      <w:r>
        <w:rPr>
          <w:rStyle w:val="FootnoteAnchor"/>
          <w:rtl w:val="true"/>
        </w:rPr>
        <w:footnoteReference w:id="1400"/>
      </w:r>
      <w:r>
        <w:rPr>
          <w:rFonts w:ascii="Amiri" w:hAnsi="Amiri" w:eastAsia="Amiri" w:cs="Amiri"/>
          <w:color w:val="111111"/>
          <w:sz w:val="28"/>
          <w:sz w:val="28"/>
          <w:szCs w:val="28"/>
          <w:rtl w:val="true"/>
          <w:lang w:bidi="ar-SA"/>
        </w:rPr>
        <w:t>يُفصِحُ عن المُرادِ به</w:t>
      </w:r>
      <w:r>
        <w:rPr>
          <w:rStyle w:val="FootnoteAnchor"/>
          <w:rtl w:val="true"/>
        </w:rPr>
        <w:footnoteReference w:id="1401"/>
      </w:r>
      <w:r>
        <w:rPr>
          <w:rFonts w:ascii="Amiri" w:hAnsi="Amiri" w:eastAsia="Amiri" w:cs="Amiri"/>
          <w:color w:val="111111"/>
          <w:sz w:val="28"/>
          <w:sz w:val="28"/>
          <w:szCs w:val="28"/>
          <w:rtl w:val="true"/>
          <w:lang w:bidi="ar-SA"/>
        </w:rPr>
        <w:t>، و إنّ السُّنّةَ جاريةٌ هذا المَجرىٰ‌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قَولٌ نَعلَمُ‌</w:t>
      </w:r>
      <w:r>
        <w:rPr>
          <w:rStyle w:val="FootnoteAnchor"/>
          <w:rtl w:val="true"/>
        </w:rPr>
        <w:footnoteReference w:id="1402"/>
      </w:r>
      <w:r>
        <w:rPr>
          <w:rFonts w:ascii="Amiri" w:hAnsi="Amiri" w:eastAsia="Amiri" w:cs="Amiri"/>
          <w:color w:val="111111"/>
          <w:sz w:val="28"/>
          <w:sz w:val="28"/>
          <w:szCs w:val="28"/>
          <w:rtl w:val="true"/>
          <w:lang w:bidi="ar-SA"/>
        </w:rPr>
        <w:t>بُطلانَه ضَرورةً‌؛ لوُجودِنا مَواضِعَ كَثيرةً مِن الكتابِ و السُّنّةِ قد أَشكَلَت علىٰ كَثيرٍ مِن العُلَماءِ‌، و أعياهُم القَطعُ فيها علىٰ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القُرآنِ إلّاما لا خِلافَ في وُجودِه</w:t>
      </w:r>
      <w:r>
        <w:rPr>
          <w:rStyle w:val="FootnoteAnchor"/>
          <w:rtl w:val="true"/>
        </w:rPr>
        <w:footnoteReference w:id="1403"/>
      </w:r>
      <w:r>
        <w:rPr>
          <w:rFonts w:ascii="Amiri" w:hAnsi="Amiri" w:eastAsia="Amiri" w:cs="Amiri"/>
          <w:color w:val="111111"/>
          <w:sz w:val="28"/>
          <w:sz w:val="28"/>
          <w:szCs w:val="28"/>
          <w:rtl w:val="true"/>
          <w:lang w:bidi="ar-SA"/>
        </w:rPr>
        <w:t>و لا يُتَمَكَّنُ مِن دَفعِه؛ و هو المُجمَلُ الذي لا شَكَّ‌</w:t>
      </w:r>
      <w:r>
        <w:rPr>
          <w:rStyle w:val="FootnoteAnchor"/>
          <w:rtl w:val="true"/>
        </w:rPr>
        <w:footnoteReference w:id="1404"/>
      </w:r>
      <w:r>
        <w:rPr>
          <w:rFonts w:ascii="Amiri" w:hAnsi="Amiri" w:eastAsia="Amiri" w:cs="Amiri"/>
          <w:color w:val="111111"/>
          <w:sz w:val="28"/>
          <w:sz w:val="28"/>
          <w:szCs w:val="28"/>
          <w:rtl w:val="true"/>
          <w:lang w:bidi="ar-SA"/>
        </w:rPr>
        <w:t xml:space="preserve">في حاجتِه إلَى البيانِ و الإيضاحِ‌،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إلىٰ غَيرِ ما ذَكرناه، و هو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هذا ممّا لا بُدَّ مِن تَرجَمتِه و البيانِ عن</w:t>
      </w:r>
      <w:r>
        <w:rPr>
          <w:rStyle w:val="FootnoteAnchor"/>
          <w:rtl w:val="true"/>
        </w:rPr>
        <w:footnoteReference w:id="1407"/>
      </w:r>
      <w:r>
        <w:rPr>
          <w:rFonts w:ascii="Amiri" w:hAnsi="Amiri" w:eastAsia="Amiri" w:cs="Amiri"/>
          <w:color w:val="111111"/>
          <w:sz w:val="28"/>
          <w:sz w:val="28"/>
          <w:szCs w:val="28"/>
          <w:rtl w:val="true"/>
          <w:lang w:bidi="ar-SA"/>
        </w:rPr>
        <w:t>المُرادِ به، فلَو سَلَّمنا أنّ الرسولَ عليه السلامُ‌</w:t>
      </w:r>
      <w:r>
        <w:rPr>
          <w:rStyle w:val="FootnoteAnchor"/>
          <w:rtl w:val="true"/>
        </w:rPr>
        <w:footnoteReference w:id="1408"/>
      </w:r>
      <w:r>
        <w:rPr>
          <w:rFonts w:ascii="Amiri" w:hAnsi="Amiri" w:eastAsia="Amiri" w:cs="Amiri"/>
          <w:color w:val="111111"/>
          <w:sz w:val="28"/>
          <w:sz w:val="28"/>
          <w:szCs w:val="28"/>
          <w:rtl w:val="true"/>
          <w:lang w:bidi="ar-SA"/>
        </w:rPr>
        <w:t>قد تَوَلّىٰ بيانَ‌</w:t>
      </w:r>
      <w:r>
        <w:rPr>
          <w:rStyle w:val="FootnoteAnchor"/>
          <w:rtl w:val="true"/>
        </w:rPr>
        <w:footnoteReference w:id="1409"/>
      </w:r>
      <w:r>
        <w:rPr>
          <w:rFonts w:ascii="Amiri" w:hAnsi="Amiri" w:eastAsia="Amiri" w:cs="Amiri"/>
          <w:color w:val="111111"/>
          <w:sz w:val="28"/>
          <w:sz w:val="28"/>
          <w:szCs w:val="28"/>
          <w:rtl w:val="true"/>
          <w:lang w:bidi="ar-SA"/>
        </w:rPr>
        <w:t>جميعِ ما يَحتاجُ إلَى البيانِ مِنه، و لَم يُخَلِّفْ‌</w:t>
      </w:r>
      <w:r>
        <w:rPr>
          <w:rStyle w:val="FootnoteAnchor"/>
          <w:rtl w:val="true"/>
        </w:rPr>
        <w:footnoteReference w:id="1410"/>
      </w:r>
      <w:r>
        <w:rPr>
          <w:rFonts w:ascii="Amiri" w:hAnsi="Amiri" w:eastAsia="Amiri" w:cs="Amiri"/>
          <w:color w:val="111111"/>
          <w:sz w:val="28"/>
          <w:sz w:val="28"/>
          <w:szCs w:val="28"/>
          <w:rtl w:val="true"/>
          <w:lang w:bidi="ar-SA"/>
        </w:rPr>
        <w:t>مِنه شَيئاً علىٰ بيانِ خَليفتِه و القائمِ بالأمرِ بَعدَه، علىٰ نِهايةِ ما يَقتَرِحُه</w:t>
      </w:r>
      <w:r>
        <w:rPr>
          <w:rStyle w:val="FootnoteAnchor"/>
          <w:rtl w:val="true"/>
        </w:rPr>
        <w:footnoteReference w:id="1411"/>
      </w:r>
      <w:r>
        <w:rPr>
          <w:rFonts w:ascii="Amiri" w:hAnsi="Amiri" w:eastAsia="Amiri" w:cs="Amiri"/>
          <w:color w:val="111111"/>
          <w:sz w:val="28"/>
          <w:sz w:val="28"/>
          <w:szCs w:val="28"/>
          <w:rtl w:val="true"/>
          <w:lang w:bidi="ar-SA"/>
        </w:rPr>
        <w:t>الخُصومُ في هذا المَوضِعِ‌، لَكانَت الحاجةُ مِن بَعدِه</w:t>
      </w:r>
      <w:r>
        <w:rPr>
          <w:rStyle w:val="FootnoteAnchor"/>
          <w:rtl w:val="true"/>
        </w:rPr>
        <w:footnoteReference w:id="1412"/>
      </w:r>
      <w:r>
        <w:rPr>
          <w:rFonts w:ascii="Amiri" w:hAnsi="Amiri" w:eastAsia="Amiri" w:cs="Amiri"/>
          <w:color w:val="111111"/>
          <w:sz w:val="28"/>
          <w:sz w:val="28"/>
          <w:szCs w:val="28"/>
          <w:rtl w:val="true"/>
          <w:lang w:bidi="ar-SA"/>
        </w:rPr>
        <w:t>إلَى الإمامِ في هذا الوجهِ ثابتةً‌؛ لأنّا نَعلَمُ أنّ بيانَه عليه السلامُ و إن كانَ حُجّةً علىٰ مَن شافَهَه به و سَمِعَه مِن لفظِه، فهو حُجّةٌ أيضاً علىٰ مَن يأتي بَعدَه ممّن</w:t>
      </w:r>
      <w:r>
        <w:rPr>
          <w:rStyle w:val="FootnoteAnchor"/>
          <w:rtl w:val="true"/>
        </w:rPr>
        <w:footnoteReference w:id="1413"/>
      </w:r>
      <w:r>
        <w:rPr>
          <w:rFonts w:ascii="Amiri" w:hAnsi="Amiri" w:eastAsia="Amiri" w:cs="Amiri"/>
          <w:color w:val="111111"/>
          <w:sz w:val="28"/>
          <w:sz w:val="28"/>
          <w:szCs w:val="28"/>
          <w:rtl w:val="true"/>
          <w:lang w:bidi="ar-SA"/>
        </w:rPr>
        <w:t>لَم يُعاصِرْه و يَلحَقْ زمانَه</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الأُمّةِ لذلكَ البيانِ قد بيّنّا أنّه لَيسَ بضَروريٍّ‌، و أنّه غَيرُ مأمونٍ مِنهم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استقصاءُ هذا المَوضِعِ و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مع ما ذَكرناه مِن إمامٍ مؤَدٍّ لتَرجَمةِ‌</w:t>
      </w:r>
      <w:r>
        <w:rPr>
          <w:rStyle w:val="FootnoteAnchor"/>
          <w:rtl w:val="true"/>
        </w:rPr>
        <w:footnoteReference w:id="1415"/>
      </w:r>
      <w:r>
        <w:rPr>
          <w:rFonts w:ascii="Amiri" w:hAnsi="Amiri" w:eastAsia="Amiri" w:cs="Amiri"/>
          <w:color w:val="111111"/>
          <w:sz w:val="28"/>
          <w:sz w:val="28"/>
          <w:szCs w:val="28"/>
          <w:rtl w:val="true"/>
          <w:lang w:bidi="ar-SA"/>
        </w:rPr>
        <w:t xml:space="preserve">النبيِّ صَلَّى اللّٰهُ عليهِ و آلِه مُشكِلَ القُرآنِ ، و مُوضِحٍ عمّا غَمَضَ عنّا مِن ذلكَ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ثَبَتَت</w:t>
      </w:r>
      <w:r>
        <w:rPr>
          <w:rStyle w:val="FootnoteAnchor"/>
          <w:rtl w:val="true"/>
        </w:rPr>
        <w:footnoteReference w:id="1416"/>
      </w:r>
      <w:r>
        <w:rPr>
          <w:rFonts w:ascii="Amiri" w:hAnsi="Amiri" w:eastAsia="Amiri" w:cs="Amiri"/>
          <w:color w:val="111111"/>
          <w:sz w:val="28"/>
          <w:sz w:val="28"/>
          <w:szCs w:val="28"/>
          <w:rtl w:val="true"/>
          <w:lang w:bidi="ar-SA"/>
        </w:rPr>
        <w:t>الحاجةُ إلَى الإمامِ مع التسليمِ لكَثيرٍ ممّا</w:t>
      </w:r>
      <w:r>
        <w:rPr>
          <w:rStyle w:val="FootnoteAnchor"/>
          <w:rtl w:val="true"/>
        </w:rPr>
        <w:footnoteReference w:id="1417"/>
      </w:r>
      <w:r>
        <w:rPr>
          <w:rFonts w:ascii="Amiri" w:hAnsi="Amiri" w:eastAsia="Amiri" w:cs="Amiri"/>
          <w:color w:val="111111"/>
          <w:sz w:val="28"/>
          <w:sz w:val="28"/>
          <w:szCs w:val="28"/>
          <w:rtl w:val="true"/>
          <w:lang w:bidi="ar-SA"/>
        </w:rPr>
        <w:t xml:space="preserve">يُنازِعُ فيه المُخالِفُ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يُعرَفُ به المُرادُ، و إذا</w:t>
      </w:r>
      <w:r>
        <w:rPr>
          <w:rStyle w:val="FootnoteAnchor"/>
          <w:rtl w:val="true"/>
        </w:rPr>
        <w:footnoteReference w:id="1418"/>
      </w:r>
      <w:r>
        <w:rPr>
          <w:rFonts w:ascii="Amiri" w:hAnsi="Amiri" w:eastAsia="Amiri" w:cs="Amiri"/>
          <w:color w:val="111111"/>
          <w:sz w:val="28"/>
          <w:sz w:val="28"/>
          <w:szCs w:val="28"/>
          <w:rtl w:val="true"/>
          <w:lang w:bidi="ar-SA"/>
        </w:rPr>
        <w:t>لَم يُعرَفْ ببعضِه، قارَنَه ما يُعرَفُ به المُرادُ مِن سُنّةٍ و غَيرِها؛ فَلِماذا يَجِبُ أن</w:t>
      </w:r>
      <w:r>
        <w:rPr>
          <w:rStyle w:val="FootnoteAnchor"/>
          <w:rtl w:val="true"/>
        </w:rPr>
        <w:footnoteReference w:id="1419"/>
      </w:r>
      <w:r>
        <w:rPr>
          <w:rFonts w:ascii="Amiri" w:hAnsi="Amiri" w:eastAsia="Amiri" w:cs="Amiri"/>
          <w:color w:val="111111"/>
          <w:sz w:val="28"/>
          <w:sz w:val="28"/>
          <w:szCs w:val="28"/>
          <w:rtl w:val="true"/>
          <w:lang w:bidi="ar-SA"/>
        </w:rPr>
        <w:t>يَحتاجَ إلىٰ مُبيِّنٍ؟ و إن كانَ ذلكَ واجباً فواجبٌ في نفسِ‌</w:t>
      </w:r>
      <w:r>
        <w:rPr>
          <w:rStyle w:val="FootnoteAnchor"/>
          <w:rtl w:val="true"/>
        </w:rPr>
        <w:footnoteReference w:id="1420"/>
      </w:r>
      <w:r>
        <w:rPr>
          <w:rFonts w:ascii="Amiri" w:hAnsi="Amiri" w:eastAsia="Amiri" w:cs="Amiri"/>
          <w:color w:val="111111"/>
          <w:sz w:val="28"/>
          <w:sz w:val="28"/>
          <w:szCs w:val="28"/>
          <w:rtl w:val="true"/>
          <w:lang w:bidi="ar-SA"/>
        </w:rPr>
        <w:t>الإمامِ أن يَعرِفَ‌</w:t>
      </w:r>
      <w:r>
        <w:rPr>
          <w:rStyle w:val="FootnoteAnchor"/>
          <w:rtl w:val="true"/>
        </w:rPr>
        <w:footnoteReference w:id="1421"/>
      </w:r>
      <w:r>
        <w:rPr>
          <w:rFonts w:ascii="Amiri" w:hAnsi="Amiri" w:eastAsia="Amiri" w:cs="Amiri"/>
          <w:color w:val="111111"/>
          <w:sz w:val="28"/>
          <w:sz w:val="28"/>
          <w:szCs w:val="28"/>
          <w:rtl w:val="true"/>
          <w:lang w:bidi="ar-SA"/>
        </w:rPr>
        <w:t>مَن غابَ عنه بكلامِه المُرادَ؛ فإذا</w:t>
      </w:r>
      <w:r>
        <w:rPr>
          <w:rStyle w:val="FootnoteAnchor"/>
          <w:rtl w:val="true"/>
        </w:rPr>
        <w:footnoteReference w:id="1422"/>
      </w:r>
      <w:r>
        <w:rPr>
          <w:rFonts w:ascii="Amiri" w:hAnsi="Amiri" w:eastAsia="Amiri" w:cs="Amiri"/>
          <w:color w:val="111111"/>
          <w:sz w:val="28"/>
          <w:sz w:val="28"/>
          <w:szCs w:val="28"/>
          <w:rtl w:val="true"/>
          <w:lang w:bidi="ar-SA"/>
        </w:rPr>
        <w:t>بَيَّنَ تأويلَ الآيةِ و صَحَّ أن يَعرِفَه</w:t>
      </w:r>
      <w:r>
        <w:rPr>
          <w:rStyle w:val="FootnoteAnchor"/>
          <w:rtl w:val="true"/>
        </w:rPr>
        <w:footnoteReference w:id="1423"/>
      </w:r>
      <w:r>
        <w:rPr>
          <w:rFonts w:ascii="Amiri" w:hAnsi="Amiri" w:eastAsia="Amiri" w:cs="Amiri"/>
          <w:color w:val="111111"/>
          <w:sz w:val="28"/>
          <w:sz w:val="28"/>
          <w:szCs w:val="28"/>
          <w:rtl w:val="true"/>
          <w:lang w:bidi="ar-SA"/>
        </w:rPr>
        <w:t xml:space="preserve">الغائبُ عنه بكلامِه، فكذلكَ </w:t>
      </w:r>
      <w:r>
        <w:rPr>
          <w:rStyle w:val="FootnoteAnchor"/>
          <w:rtl w:val="true"/>
        </w:rPr>
        <w:footnoteReference w:id="1424"/>
      </w:r>
      <w:r>
        <w:rPr>
          <w:rFonts w:ascii="Amiri" w:hAnsi="Amiri" w:eastAsia="Amiri" w:cs="Amiri"/>
          <w:color w:val="111111"/>
          <w:sz w:val="28"/>
          <w:sz w:val="28"/>
          <w:szCs w:val="28"/>
          <w:rtl w:val="true"/>
          <w:lang w:bidi="ar-SA"/>
        </w:rPr>
        <w:t xml:space="preserve">القَولُ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صَحَّ ما قالَه</w:t>
      </w:r>
      <w:r>
        <w:rPr>
          <w:rStyle w:val="FootnoteAnchor"/>
          <w:rtl w:val="true"/>
        </w:rPr>
        <w:footnoteReference w:id="1425"/>
      </w:r>
      <w:r>
        <w:rPr>
          <w:rFonts w:ascii="Amiri" w:hAnsi="Amiri" w:eastAsia="Amiri" w:cs="Amiri"/>
          <w:color w:val="111111"/>
          <w:sz w:val="28"/>
          <w:sz w:val="28"/>
          <w:szCs w:val="28"/>
          <w:rtl w:val="true"/>
          <w:lang w:bidi="ar-SA"/>
        </w:rPr>
        <w:t xml:space="preserve">لَكانَ </w:t>
      </w:r>
      <w:r>
        <w:rPr>
          <w:rStyle w:val="FootnoteAnchor"/>
          <w:rtl w:val="true"/>
        </w:rPr>
        <w:footnoteReference w:id="1426"/>
      </w:r>
      <w:r>
        <w:rPr>
          <w:rFonts w:ascii="Amiri" w:hAnsi="Amiri" w:eastAsia="Amiri" w:cs="Amiri"/>
          <w:color w:val="111111"/>
          <w:sz w:val="28"/>
          <w:sz w:val="28"/>
          <w:szCs w:val="28"/>
          <w:rtl w:val="true"/>
          <w:lang w:bidi="ar-SA"/>
        </w:rPr>
        <w:t>لا يَمتَنِعُ أن يَكونَ بيانُ الرسولِ يُنقَلُ بالتواتُرِ فيُغني عن الإمامِ ، كما أنّ بيانَ الإمامِ يُنقَلُ إلَى الغائبِ عنه بالتواتُرِ و يُغني عن إمامٍ سِواه</w:t>
      </w:r>
      <w:r>
        <w:rPr>
          <w:rFonts w:eastAsia="Amiri" w:cs="Amiri" w:ascii="Amiri" w:hAnsi="Amiri"/>
          <w:color w:val="111111"/>
          <w:sz w:val="28"/>
          <w:szCs w:val="28"/>
          <w:rtl w:val="true"/>
          <w:lang w:bidi="ar-SA"/>
        </w:rPr>
        <w:t>.</w:t>
      </w:r>
      <w:r>
        <w:rPr>
          <w:rStyle w:val="FootnoteAnchor"/>
          <w:rtl w:val="true"/>
        </w:rPr>
        <w:footnoteReference w:id="14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في الكتابِ متشابِهاً لا يُقطَعُ علَى المُرادِ به، و أنّه لَم يَثبُتْ مِن السُّنّةِ ما يَكونُ مبيِّناً لذلكَ و</w:t>
      </w:r>
      <w:r>
        <w:rPr>
          <w:rStyle w:val="FootnoteAnchor"/>
          <w:rtl w:val="true"/>
        </w:rPr>
        <w:footnoteReference w:id="1428"/>
      </w:r>
      <w:r>
        <w:rPr>
          <w:rFonts w:ascii="Amiri" w:hAnsi="Amiri" w:eastAsia="Amiri" w:cs="Amiri"/>
          <w:color w:val="111111"/>
          <w:sz w:val="28"/>
          <w:sz w:val="28"/>
          <w:szCs w:val="28"/>
          <w:rtl w:val="true"/>
          <w:lang w:bidi="ar-SA"/>
        </w:rPr>
        <w:t>مُوضِحاً عنه</w:t>
      </w:r>
      <w:r>
        <w:rPr>
          <w:rStyle w:val="FootnoteAnchor"/>
          <w:rtl w:val="true"/>
        </w:rPr>
        <w:footnoteReference w:id="1429"/>
      </w:r>
      <w:r>
        <w:rPr>
          <w:rFonts w:ascii="Amiri" w:hAnsi="Amiri" w:eastAsia="Amiri" w:cs="Amiri"/>
          <w:color w:val="111111"/>
          <w:sz w:val="28"/>
          <w:sz w:val="28"/>
          <w:szCs w:val="28"/>
          <w:rtl w:val="true"/>
          <w:lang w:bidi="ar-SA"/>
        </w:rPr>
        <w:t xml:space="preserve">، و كلامُكَ في هذا الفصلِ كلامُ مَن </w:t>
      </w:r>
      <w:bookmarkStart w:id="224" w:name="pg20015_284886"/>
    </w:p>
    <w:p>
      <w:pPr>
        <w:pStyle w:val="BookText"/>
        <w:rPr/>
      </w:pPr>
      <w:bookmarkEnd w:id="224"/>
      <w:r>
        <w:rPr>
          <w:rFonts w:ascii="Amiri" w:hAnsi="Amiri" w:eastAsia="Amiri" w:cs="Amiri"/>
          <w:color w:val="111111"/>
          <w:sz w:val="28"/>
          <w:sz w:val="28"/>
          <w:szCs w:val="28"/>
          <w:rtl w:val="true"/>
          <w:lang w:bidi="ar-SA"/>
        </w:rPr>
        <w:t xml:space="preserve">يُنازِعُ فيما ذَكرناه؛ فقَد تَقدَّمَ أنّ الدفعَ له مُكابَرةٌ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المِحنةُ بَينَنا و بَينَكَ إذا أنكَرتَ أن يَكونَ في القُرآنِ مِن المتشابِهِ ما هو بالمنزلةِ التي ذَكرناها؛ فإنّها تَكشِفُ </w:t>
      </w:r>
      <w:r>
        <w:rPr>
          <w:rStyle w:val="FootnoteAnchor"/>
          <w:rtl w:val="true"/>
        </w:rPr>
        <w:footnoteReference w:id="1430"/>
      </w:r>
      <w:r>
        <w:rPr>
          <w:rFonts w:ascii="Amiri" w:hAnsi="Amiri" w:eastAsia="Amiri" w:cs="Amiri"/>
          <w:color w:val="111111"/>
          <w:sz w:val="28"/>
          <w:sz w:val="28"/>
          <w:szCs w:val="28"/>
          <w:rtl w:val="true"/>
          <w:lang w:bidi="ar-SA"/>
        </w:rPr>
        <w:t>عن الحقيقةِ فيما اختَلَفنا فيه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894881_2320776876"/>
      <w:bookmarkStart w:id="226" w:name="_Toc82"/>
      <w:bookmarkEnd w:id="225"/>
      <w:r>
        <w:rPr>
          <w:rtl w:val="true"/>
        </w:rPr>
        <w:t>بيان الفرق بين بيان الرسول المتواتر و بيان الإمام لمن غاب عنه</w:t>
      </w:r>
      <w:bookmarkEnd w:id="2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كلامُ الإمامِ الذي عارَضتَ به و معرفةُ مَن غابَ عنه مُرادَه به، فغَيرُ مُشبِهٍ لِما نحنُ فيه؛ لأنّ الإمامَ يُمكِنُ أن يَتَكلَّمَ بكلامٍ غَيرِ مُحتَمِلٍ‌، فلا يَشتَبِهَ علَى السامِعِ و لا علَى المنقولِ إليه ذلكَ الكلامُ مُرادُه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إذا كانَ كلامُه مُحتَمِلاً أن يَضطَرَّ السامعَ إلىٰ مُرادِه بمَخارِجِه</w:t>
      </w:r>
      <w:r>
        <w:rPr>
          <w:rStyle w:val="FootnoteAnchor"/>
          <w:rtl w:val="true"/>
        </w:rPr>
        <w:footnoteReference w:id="1431"/>
      </w:r>
      <w:r>
        <w:rPr>
          <w:rFonts w:ascii="Amiri" w:hAnsi="Amiri" w:eastAsia="Amiri" w:cs="Amiri"/>
          <w:color w:val="111111"/>
          <w:sz w:val="28"/>
          <w:sz w:val="28"/>
          <w:szCs w:val="28"/>
          <w:rtl w:val="true"/>
          <w:lang w:bidi="ar-SA"/>
        </w:rPr>
        <w:t>و قَرائنِه، و مَن غابَ عنه و إن لَم يَكُن مُضطَرّاً فإنّه يَعرِفُ المُرادَ بنَقلِ مَن سَمِعَه مِن</w:t>
      </w:r>
      <w:r>
        <w:rPr>
          <w:rStyle w:val="FootnoteAnchor"/>
          <w:rtl w:val="true"/>
        </w:rPr>
        <w:footnoteReference w:id="1432"/>
      </w:r>
      <w:r>
        <w:rPr>
          <w:rFonts w:ascii="Amiri" w:hAnsi="Amiri" w:eastAsia="Amiri" w:cs="Amiri"/>
          <w:color w:val="111111"/>
          <w:sz w:val="28"/>
          <w:sz w:val="28"/>
          <w:szCs w:val="28"/>
          <w:rtl w:val="true"/>
          <w:lang w:bidi="ar-SA"/>
        </w:rPr>
        <w:t>الإمامِ ممّن الإمامُ‌</w:t>
      </w:r>
      <w:r>
        <w:rPr>
          <w:rStyle w:val="FootnoteAnchor"/>
          <w:rtl w:val="true"/>
        </w:rPr>
        <w:footnoteReference w:id="1433"/>
      </w:r>
      <w:r>
        <w:rPr>
          <w:rFonts w:ascii="Amiri" w:hAnsi="Amiri" w:eastAsia="Amiri" w:cs="Amiri"/>
          <w:color w:val="111111"/>
          <w:sz w:val="28"/>
          <w:sz w:val="28"/>
          <w:szCs w:val="28"/>
          <w:rtl w:val="true"/>
          <w:lang w:bidi="ar-SA"/>
        </w:rPr>
        <w:t>مُراعٍ لنَقلِهم و حافِظٌ لأمرِهم؛ فمَتىٰ عَلِمَ‌</w:t>
      </w:r>
      <w:r>
        <w:rPr>
          <w:rStyle w:val="FootnoteAnchor"/>
          <w:rtl w:val="true"/>
        </w:rPr>
        <w:footnoteReference w:id="1434"/>
      </w:r>
      <w:r>
        <w:rPr>
          <w:rFonts w:ascii="Amiri" w:hAnsi="Amiri" w:eastAsia="Amiri" w:cs="Amiri"/>
          <w:color w:val="111111"/>
          <w:sz w:val="28"/>
          <w:sz w:val="28"/>
          <w:szCs w:val="28"/>
          <w:rtl w:val="true"/>
          <w:lang w:bidi="ar-SA"/>
        </w:rPr>
        <w:t>أنّهم قد أخبَروا عنه علىٰ وجهٍ لا حُجّةَ فيه أو</w:t>
      </w:r>
      <w:r>
        <w:rPr>
          <w:rStyle w:val="FootnoteAnchor"/>
          <w:rtl w:val="true"/>
        </w:rPr>
        <w:footnoteReference w:id="1435"/>
      </w:r>
      <w:r>
        <w:rPr>
          <w:rFonts w:ascii="Amiri" w:hAnsi="Amiri" w:eastAsia="Amiri" w:cs="Amiri"/>
          <w:color w:val="111111"/>
          <w:sz w:val="28"/>
          <w:sz w:val="28"/>
          <w:szCs w:val="28"/>
          <w:rtl w:val="true"/>
          <w:lang w:bidi="ar-SA"/>
        </w:rPr>
        <w:t>لا يُنبئُ عن مُرادِه، أردَفَهم</w:t>
      </w:r>
      <w:r>
        <w:rPr>
          <w:rStyle w:val="FootnoteAnchor"/>
          <w:rtl w:val="true"/>
        </w:rPr>
        <w:footnoteReference w:id="1436"/>
      </w:r>
      <w:r>
        <w:rPr>
          <w:rFonts w:ascii="Amiri" w:hAnsi="Amiri" w:eastAsia="Amiri" w:cs="Amiri"/>
          <w:color w:val="111111"/>
          <w:sz w:val="28"/>
          <w:sz w:val="28"/>
          <w:szCs w:val="28"/>
          <w:rtl w:val="true"/>
          <w:lang w:bidi="ar-SA"/>
        </w:rPr>
        <w:t>بغَيرِهم مِن النقَلةِ‌، أو يَتولَّى</w:t>
      </w:r>
      <w:r>
        <w:rPr>
          <w:rStyle w:val="FootnoteAnchor"/>
          <w:rtl w:val="true"/>
        </w:rPr>
        <w:footnoteReference w:id="1437"/>
      </w:r>
      <w:r>
        <w:rPr>
          <w:rFonts w:ascii="Amiri" w:hAnsi="Amiri" w:eastAsia="Amiri" w:cs="Amiri"/>
          <w:color w:val="111111"/>
          <w:sz w:val="28"/>
          <w:sz w:val="28"/>
          <w:szCs w:val="28"/>
          <w:rtl w:val="true"/>
          <w:lang w:bidi="ar-SA"/>
        </w:rPr>
        <w:t>الإفهامَ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مفقودٌ في القُرآنِ ؛ لِاحتمالِ </w:t>
      </w:r>
      <w:r>
        <w:rPr>
          <w:rStyle w:val="FootnoteAnchor"/>
          <w:rtl w:val="true"/>
        </w:rPr>
        <w:footnoteReference w:id="1438"/>
      </w:r>
      <w:r>
        <w:rPr>
          <w:rFonts w:ascii="Amiri" w:hAnsi="Amiri" w:eastAsia="Amiri" w:cs="Amiri"/>
          <w:color w:val="111111"/>
          <w:sz w:val="28"/>
          <w:sz w:val="28"/>
          <w:szCs w:val="28"/>
          <w:rtl w:val="true"/>
          <w:lang w:bidi="ar-SA"/>
        </w:rPr>
        <w:t>مَواضِعَ مِنه</w:t>
      </w:r>
      <w:r>
        <w:rPr>
          <w:rStyle w:val="FootnoteAnchor"/>
          <w:rtl w:val="true"/>
        </w:rPr>
        <w:footnoteReference w:id="1439"/>
      </w:r>
      <w:r>
        <w:rPr>
          <w:rFonts w:ascii="Amiri" w:hAnsi="Amiri" w:eastAsia="Amiri" w:cs="Amiri"/>
          <w:color w:val="111111"/>
          <w:sz w:val="28"/>
          <w:sz w:val="28"/>
          <w:szCs w:val="28"/>
          <w:rtl w:val="true"/>
          <w:lang w:bidi="ar-SA"/>
        </w:rPr>
        <w:t>و اشتباهِها، و لأنّ ما يَثبُتُ بالسُّنّةِ في بيانِ تلكَ المَواضِعِ لَو كانَ ثابتاً</w:t>
      </w:r>
      <w:r>
        <w:rPr>
          <w:rStyle w:val="FootnoteAnchor"/>
          <w:rtl w:val="true"/>
        </w:rPr>
        <w:footnoteReference w:id="1440"/>
      </w:r>
      <w:bookmarkStart w:id="227" w:name="pg20015_284887"/>
    </w:p>
    <w:p>
      <w:pPr>
        <w:pStyle w:val="BookText"/>
        <w:rPr/>
      </w:pPr>
      <w:bookmarkEnd w:id="227"/>
      <w:r>
        <w:rPr>
          <w:rFonts w:ascii="Amiri" w:hAnsi="Amiri" w:eastAsia="Amiri" w:cs="Amiri"/>
          <w:color w:val="111111"/>
          <w:sz w:val="28"/>
          <w:sz w:val="28"/>
          <w:szCs w:val="28"/>
          <w:rtl w:val="true"/>
          <w:lang w:bidi="ar-SA"/>
        </w:rPr>
        <w:t xml:space="preserve">إذا لَم يَكُن وَراءَ الناقِلينَ لها مَن يَرعاهُم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 ورَاءَ النقَلةِ‌</w:t>
      </w:r>
      <w:r>
        <w:rPr>
          <w:rStyle w:val="FootnoteAnchor"/>
          <w:rtl w:val="true"/>
        </w:rPr>
        <w:footnoteReference w:id="1441"/>
      </w:r>
      <w:r>
        <w:rPr>
          <w:rFonts w:ascii="Amiri" w:hAnsi="Amiri" w:eastAsia="Amiri" w:cs="Amiri"/>
          <w:color w:val="111111"/>
          <w:sz w:val="28"/>
          <w:sz w:val="28"/>
          <w:szCs w:val="28"/>
          <w:rtl w:val="true"/>
          <w:lang w:bidi="ar-SA"/>
        </w:rPr>
        <w:t>عن الإمامِ مَن يَرعاهُم</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يَتَلافىٰ ما يَعرِضُ فيه، لَم يؤمَنْ‌</w:t>
      </w:r>
      <w:r>
        <w:rPr>
          <w:rStyle w:val="FootnoteAnchor"/>
          <w:rtl w:val="true"/>
        </w:rPr>
        <w:footnoteReference w:id="1443"/>
      </w:r>
      <w:r>
        <w:rPr>
          <w:rFonts w:ascii="Amiri" w:hAnsi="Amiri" w:eastAsia="Amiri" w:cs="Amiri"/>
          <w:color w:val="111111"/>
          <w:sz w:val="28"/>
          <w:sz w:val="28"/>
          <w:szCs w:val="28"/>
          <w:rtl w:val="true"/>
          <w:lang w:bidi="ar-SA"/>
        </w:rPr>
        <w:t xml:space="preserve">فيه الإخلالُ و العُدولُ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Style w:val="FootnoteAnchor"/>
          <w:rtl w:val="true"/>
        </w:rPr>
        <w:footnoteReference w:id="1444"/>
      </w:r>
      <w:r>
        <w:rPr>
          <w:rFonts w:ascii="Amiri" w:hAnsi="Amiri" w:eastAsia="Amiri" w:cs="Amiri"/>
          <w:color w:val="111111"/>
          <w:sz w:val="28"/>
          <w:sz w:val="28"/>
          <w:szCs w:val="28"/>
          <w:rtl w:val="true"/>
          <w:lang w:bidi="ar-SA"/>
        </w:rPr>
        <w:t xml:space="preserve">هو الفَرقُ بَينَ بيانِ الرسولِ عليه السلامُ </w:t>
      </w:r>
      <w:r>
        <w:rPr>
          <w:rStyle w:val="FootnoteAnchor"/>
          <w:rtl w:val="true"/>
        </w:rPr>
        <w:footnoteReference w:id="1445"/>
      </w:r>
      <w:r>
        <w:rPr>
          <w:rFonts w:ascii="Amiri" w:hAnsi="Amiri" w:eastAsia="Amiri" w:cs="Amiri"/>
          <w:color w:val="111111"/>
          <w:sz w:val="28"/>
          <w:sz w:val="28"/>
          <w:szCs w:val="28"/>
          <w:rtl w:val="true"/>
          <w:lang w:bidi="ar-SA"/>
        </w:rPr>
        <w:t>المنقولِ بالتواتُرِ، و بَينَ بيانِ الإمامِ المنقولِ إلَى</w:t>
      </w:r>
      <w:r>
        <w:rPr>
          <w:rStyle w:val="FootnoteAnchor"/>
          <w:rtl w:val="true"/>
        </w:rPr>
        <w:footnoteReference w:id="1446"/>
      </w:r>
      <w:r>
        <w:rPr>
          <w:rFonts w:ascii="Amiri" w:hAnsi="Amiri" w:eastAsia="Amiri" w:cs="Amiri"/>
          <w:color w:val="111111"/>
          <w:sz w:val="28"/>
          <w:sz w:val="28"/>
          <w:szCs w:val="28"/>
          <w:rtl w:val="true"/>
          <w:lang w:bidi="ar-SA"/>
        </w:rPr>
        <w:t>الغائبِ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هذا الكلامِ كُلِّه قد تَقدَّمَ ؛ حيثُ دَلَّلنا علىٰ أنّ حِفظَ الشريعةِ لا يَجوزُ أن يَكونَ بالتواتُرِ من غَيرِ إمامٍ في الزمانِ </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894883_2320776876"/>
      <w:bookmarkStart w:id="229" w:name="_Toc83"/>
      <w:bookmarkEnd w:id="228"/>
      <w:r>
        <w:rPr>
          <w:rtl w:val="true"/>
        </w:rPr>
        <w:t>بيان كيفيّة المعرفة بمراده تعالىٰ في الكتاب</w:t>
      </w:r>
      <w:bookmarkEnd w:id="22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 عَرَفَ‌</w:t>
      </w:r>
      <w:r>
        <w:rPr>
          <w:rStyle w:val="FootnoteAnchor"/>
          <w:rtl w:val="true"/>
        </w:rPr>
        <w:footnoteReference w:id="1447"/>
      </w:r>
      <w:r>
        <w:rPr>
          <w:rFonts w:ascii="Amiri" w:hAnsi="Amiri" w:eastAsia="Amiri" w:cs="Amiri"/>
          <w:color w:val="111111"/>
          <w:sz w:val="28"/>
          <w:sz w:val="28"/>
          <w:szCs w:val="28"/>
          <w:rtl w:val="true"/>
          <w:lang w:bidi="ar-SA"/>
        </w:rPr>
        <w:t>مِن قِبَلِ الرَّسولِ‌</w:t>
      </w:r>
      <w:r>
        <w:rPr>
          <w:rStyle w:val="FootnoteAnchor"/>
          <w:rtl w:val="true"/>
        </w:rPr>
        <w:footnoteReference w:id="1448"/>
      </w:r>
      <w:r>
        <w:rPr>
          <w:rFonts w:ascii="Amiri" w:hAnsi="Amiri" w:eastAsia="Amiri" w:cs="Amiri"/>
          <w:color w:val="111111"/>
          <w:sz w:val="28"/>
          <w:sz w:val="28"/>
          <w:szCs w:val="28"/>
          <w:rtl w:val="true"/>
          <w:lang w:bidi="ar-SA"/>
        </w:rPr>
        <w:t>، و لا بُدَّ</w:t>
      </w:r>
      <w:r>
        <w:rPr>
          <w:rStyle w:val="FootnoteAnchor"/>
          <w:rtl w:val="true"/>
        </w:rPr>
        <w:footnoteReference w:id="1449"/>
      </w:r>
      <w:r>
        <w:rPr>
          <w:rFonts w:ascii="Amiri" w:hAnsi="Amiri" w:eastAsia="Amiri" w:cs="Amiri"/>
          <w:color w:val="111111"/>
          <w:sz w:val="28"/>
          <w:sz w:val="28"/>
          <w:szCs w:val="28"/>
          <w:rtl w:val="true"/>
          <w:lang w:bidi="ar-SA"/>
        </w:rPr>
        <w:t xml:space="preserve">مِن أوّلٍ عَرَفَه مِن قِبَلِ اللّٰهِ تَعالىٰ ، و لا يَعلَمُ </w:t>
      </w:r>
      <w:r>
        <w:rPr>
          <w:rStyle w:val="FootnoteAnchor"/>
          <w:rtl w:val="true"/>
        </w:rPr>
        <w:footnoteReference w:id="1450"/>
      </w:r>
      <w:r>
        <w:rPr>
          <w:rFonts w:ascii="Amiri" w:hAnsi="Amiri" w:eastAsia="Amiri" w:cs="Amiri"/>
          <w:color w:val="111111"/>
          <w:sz w:val="28"/>
          <w:sz w:val="28"/>
          <w:szCs w:val="28"/>
          <w:rtl w:val="true"/>
          <w:lang w:bidi="ar-SA"/>
        </w:rPr>
        <w:t>مُرادَه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أن يُعرَفَ </w:t>
      </w:r>
      <w:r>
        <w:rPr>
          <w:rStyle w:val="FootnoteAnchor"/>
          <w:rtl w:val="true"/>
        </w:rPr>
        <w:footnoteReference w:id="1451"/>
      </w:r>
      <w:r>
        <w:rPr>
          <w:rFonts w:ascii="Amiri" w:hAnsi="Amiri" w:eastAsia="Amiri" w:cs="Amiri"/>
          <w:color w:val="111111"/>
          <w:sz w:val="28"/>
          <w:sz w:val="28"/>
          <w:szCs w:val="28"/>
          <w:rtl w:val="true"/>
          <w:lang w:bidi="ar-SA"/>
        </w:rPr>
        <w:t>مُرادُه بكلامِه و لا ضَرورةَ ، فما</w:t>
      </w:r>
      <w:r>
        <w:rPr>
          <w:rStyle w:val="FootnoteAnchor"/>
          <w:rtl w:val="true"/>
        </w:rPr>
        <w:footnoteReference w:id="1452"/>
      </w:r>
      <w:r>
        <w:rPr>
          <w:rFonts w:ascii="Amiri" w:hAnsi="Amiri" w:eastAsia="Amiri" w:cs="Amiri"/>
          <w:color w:val="111111"/>
          <w:sz w:val="28"/>
          <w:sz w:val="28"/>
          <w:szCs w:val="28"/>
          <w:rtl w:val="true"/>
          <w:lang w:bidi="ar-SA"/>
        </w:rPr>
        <w:t xml:space="preserve">الّذي يَمنَعُ مِن مِثلِه في كُلِّ زمانٍ؟ و لا </w:t>
      </w:r>
    </w:p>
    <w:p>
      <w:pPr>
        <w:pStyle w:val="BookText"/>
        <w:rPr/>
      </w:pPr>
      <w:r>
        <w:rPr>
          <w:rFonts w:ascii="Amiri" w:hAnsi="Amiri" w:eastAsia="Amiri" w:cs="Amiri"/>
          <w:color w:val="111111"/>
          <w:sz w:val="28"/>
          <w:sz w:val="28"/>
          <w:szCs w:val="28"/>
          <w:rtl w:val="true"/>
          <w:lang w:bidi="ar-SA"/>
        </w:rPr>
        <w:t>يُمكِنُه</w:t>
      </w:r>
      <w:r>
        <w:rPr>
          <w:rStyle w:val="FootnoteAnchor"/>
          <w:rtl w:val="true"/>
        </w:rPr>
        <w:footnoteReference w:id="1453"/>
      </w:r>
      <w:r>
        <w:rPr>
          <w:rFonts w:ascii="Amiri" w:hAnsi="Amiri" w:eastAsia="Amiri" w:cs="Amiri"/>
          <w:color w:val="111111"/>
          <w:sz w:val="28"/>
          <w:sz w:val="28"/>
          <w:szCs w:val="28"/>
          <w:rtl w:val="true"/>
          <w:lang w:bidi="ar-SA"/>
        </w:rPr>
        <w:t>التخلُّصُ مِن ذلكَ إلّابأن يوجِبَ أنّ كُلَّ أحَدٍ جاهلٌ بمُرادِ</w:t>
      </w:r>
      <w:r>
        <w:rPr>
          <w:rStyle w:val="FootnoteAnchor"/>
          <w:rtl w:val="true"/>
        </w:rPr>
        <w:footnoteReference w:id="1454"/>
      </w:r>
      <w:r>
        <w:rPr>
          <w:rFonts w:ascii="Amiri" w:hAnsi="Amiri" w:eastAsia="Amiri" w:cs="Amiri"/>
          <w:color w:val="111111"/>
          <w:sz w:val="28"/>
          <w:sz w:val="28"/>
          <w:szCs w:val="28"/>
          <w:rtl w:val="true"/>
          <w:lang w:bidi="ar-SA"/>
        </w:rPr>
        <w:t xml:space="preserve">اللّٰهِ تَعالىٰ ذاهبٌ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 ، و في كُلِّ زمانٍ كانَ الإمامُ مغلوباً عليه فيه</w:t>
      </w:r>
      <w:r>
        <w:rPr>
          <w:rStyle w:val="FootnoteAnchor"/>
          <w:rtl w:val="true"/>
        </w:rPr>
        <w:footnoteReference w:id="1455"/>
      </w:r>
      <w:r>
        <w:rPr>
          <w:rFonts w:ascii="Amiri" w:hAnsi="Amiri" w:eastAsia="Amiri" w:cs="Amiri"/>
          <w:color w:val="111111"/>
          <w:sz w:val="28"/>
          <w:sz w:val="28"/>
          <w:szCs w:val="28"/>
          <w:rtl w:val="true"/>
          <w:lang w:bidi="ar-SA"/>
        </w:rPr>
        <w:t>فيَجِبُ مِن ذلكَ الشهادةُ علَى الكُلِّ بالجَهلِ و الكُفرِ، و أن يَلزَمَه أن لا يَكونَ هو مُحِقّاً</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قدَّمتَه في هذا الفصلِ يدُلُّ علىٰ أنّكَ ظَنَنتَ عَلَينا أنّ المُرادَ بالكلامِ إذا لَم يُعلَمْ‌</w:t>
      </w:r>
      <w:r>
        <w:rPr>
          <w:rStyle w:val="FootnoteAnchor"/>
          <w:rtl w:val="true"/>
        </w:rPr>
        <w:footnoteReference w:id="1457"/>
      </w:r>
      <w:r>
        <w:rPr>
          <w:rFonts w:ascii="Amiri" w:hAnsi="Amiri" w:eastAsia="Amiri" w:cs="Amiri"/>
          <w:color w:val="111111"/>
          <w:sz w:val="28"/>
          <w:sz w:val="28"/>
          <w:szCs w:val="28"/>
          <w:rtl w:val="true"/>
          <w:lang w:bidi="ar-SA"/>
        </w:rPr>
        <w:t>ضَرورةً لَم يَصِحَّ أن يُعلَمَ‌، و أنّا نَفصِلُ بَينَ القُرآنِ في العِلمِ بالمُرادِ مِنه و بَينَ كلامِ الإمامِ‌، بأنّ‌</w:t>
      </w:r>
      <w:r>
        <w:rPr>
          <w:rStyle w:val="FootnoteAnchor"/>
          <w:rtl w:val="true"/>
        </w:rPr>
        <w:footnoteReference w:id="1458"/>
      </w:r>
      <w:r>
        <w:rPr>
          <w:rFonts w:ascii="Amiri" w:hAnsi="Amiri" w:eastAsia="Amiri" w:cs="Amiri"/>
          <w:color w:val="111111"/>
          <w:sz w:val="28"/>
          <w:sz w:val="28"/>
          <w:szCs w:val="28"/>
          <w:rtl w:val="true"/>
          <w:lang w:bidi="ar-SA"/>
        </w:rPr>
        <w:t>كلامَ الإمامِ يُعلَمُ‌</w:t>
      </w:r>
      <w:r>
        <w:rPr>
          <w:rStyle w:val="FootnoteAnchor"/>
          <w:rtl w:val="true"/>
        </w:rPr>
        <w:footnoteReference w:id="1459"/>
      </w:r>
      <w:r>
        <w:rPr>
          <w:rFonts w:ascii="Amiri" w:hAnsi="Amiri" w:eastAsia="Amiri" w:cs="Amiri"/>
          <w:color w:val="111111"/>
          <w:sz w:val="28"/>
          <w:sz w:val="28"/>
          <w:szCs w:val="28"/>
          <w:rtl w:val="true"/>
          <w:lang w:bidi="ar-SA"/>
        </w:rPr>
        <w:t>مُرادُه باضطرارٍ</w:t>
      </w:r>
      <w:r>
        <w:rPr>
          <w:rStyle w:val="FootnoteAnchor"/>
          <w:rtl w:val="true"/>
        </w:rPr>
        <w:footnoteReference w:id="1460"/>
      </w:r>
      <w:r>
        <w:rPr>
          <w:rFonts w:ascii="Amiri" w:hAnsi="Amiri" w:eastAsia="Amiri" w:cs="Amiri"/>
          <w:color w:val="111111"/>
          <w:sz w:val="28"/>
          <w:sz w:val="28"/>
          <w:szCs w:val="28"/>
          <w:rtl w:val="true"/>
          <w:lang w:bidi="ar-SA"/>
        </w:rPr>
        <w:t>، و لَيسَ كذلكَ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ظَنٌّ بعيدٌ و غلطٌ شديدٌ؛ لأنّ الذي قُلناه و ذَهَبنا إليه هو غَيرُ ما ظَنَنتَه، و إنّما أَوجَبنا في كَثيرٍ مِن القُرآنِ و السُّنّةِ الحاجةَ إلىٰ مُتَرجِمٍ للاحتمالِ و الاشتباهِ و فَقدِ الدليلِ المقطوعِ به علَى المُرادِ، لا لفَقدِ العِلمِ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جميعُ القُرآنِ و السُّنّةِ مُحكَماً غَيرَ متشابِهٍ‌، و مفصَّلاً غَيرَ مُجمَلٍ‌، لَصَحَّ‌</w:t>
      </w:r>
      <w:r>
        <w:rPr>
          <w:rStyle w:val="FootnoteAnchor"/>
          <w:rtl w:val="true"/>
        </w:rPr>
        <w:footnoteReference w:id="1461"/>
      </w:r>
      <w:r>
        <w:rPr>
          <w:rFonts w:ascii="Amiri" w:hAnsi="Amiri" w:eastAsia="Amiri" w:cs="Amiri"/>
          <w:color w:val="111111"/>
          <w:sz w:val="28"/>
          <w:sz w:val="28"/>
          <w:szCs w:val="28"/>
          <w:rtl w:val="true"/>
          <w:lang w:bidi="ar-SA"/>
        </w:rPr>
        <w:t>أن يُعلَمَ المُرادُ بهِما</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الأوّلُ الذي عَرَفَ </w:t>
      </w:r>
      <w:r>
        <w:rPr>
          <w:rStyle w:val="FootnoteAnchor"/>
          <w:rtl w:val="true"/>
        </w:rPr>
        <w:footnoteReference w:id="1463"/>
      </w:r>
      <w:r>
        <w:rPr>
          <w:rFonts w:ascii="Amiri" w:hAnsi="Amiri" w:eastAsia="Amiri" w:cs="Amiri"/>
          <w:color w:val="111111"/>
          <w:sz w:val="28"/>
          <w:sz w:val="28"/>
          <w:szCs w:val="28"/>
          <w:rtl w:val="true"/>
          <w:lang w:bidi="ar-SA"/>
        </w:rPr>
        <w:t xml:space="preserve">مِن جهةِ الإمامِ أو الرسولِ و كيفيةُ عِلمِه بمُرادِ اللّٰهِ </w:t>
      </w:r>
      <w:bookmarkStart w:id="230" w:name="pg20015_284889"/>
    </w:p>
    <w:p>
      <w:pPr>
        <w:pStyle w:val="BookText"/>
        <w:rPr/>
      </w:pPr>
      <w:bookmarkEnd w:id="23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يَعلَمَ‌</w:t>
      </w:r>
      <w:r>
        <w:rPr>
          <w:rStyle w:val="FootnoteAnchor"/>
          <w:rtl w:val="true"/>
        </w:rPr>
        <w:footnoteReference w:id="1464"/>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يُخاطبَه بلُغةٍ لا مَجازَ فيها و لا احتمالَ‌، أو يُخاطِبَه بما ظاهرُه مُطابِقٌ‌</w:t>
      </w:r>
      <w:r>
        <w:rPr>
          <w:rStyle w:val="FootnoteAnchor"/>
          <w:rtl w:val="true"/>
        </w:rPr>
        <w:footnoteReference w:id="1465"/>
      </w:r>
      <w:r>
        <w:rPr>
          <w:rFonts w:ascii="Amiri" w:hAnsi="Amiri" w:eastAsia="Amiri" w:cs="Amiri"/>
          <w:color w:val="111111"/>
          <w:sz w:val="28"/>
          <w:sz w:val="28"/>
          <w:szCs w:val="28"/>
          <w:rtl w:val="true"/>
          <w:lang w:bidi="ar-SA"/>
        </w:rPr>
        <w:t>لحقائقِ اللغةِ و يُعلِمَه أنّه لَم يُرِدْ إلّاالظاهرَ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يُدَّعىٰ في جميعِ الكتابِ و السُّنّةِ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زمانُ‌</w:t>
      </w:r>
      <w:r>
        <w:rPr>
          <w:rStyle w:val="FootnoteAnchor"/>
          <w:rtl w:val="true"/>
        </w:rPr>
        <w:footnoteReference w:id="1466"/>
      </w:r>
      <w:r>
        <w:rPr>
          <w:rFonts w:ascii="Amiri" w:hAnsi="Amiri" w:eastAsia="Amiri" w:cs="Amiri"/>
          <w:color w:val="111111"/>
          <w:sz w:val="28"/>
          <w:sz w:val="28"/>
          <w:szCs w:val="28"/>
          <w:rtl w:val="true"/>
          <w:lang w:bidi="ar-SA"/>
        </w:rPr>
        <w:t xml:space="preserve">الغَيبةِ فلَيسَ يَجِبُ الجَهلُ بمُرادِ اللّٰهِ تَعالىٰ كما أَلزَمتَ‌؛ لأنّا قد عَلِمنا تأويلَ مُشكِلِ القُرآنِ و الدِّينِ </w:t>
      </w:r>
      <w:r>
        <w:rPr>
          <w:rStyle w:val="FootnoteAnchor"/>
          <w:rtl w:val="true"/>
        </w:rPr>
        <w:footnoteReference w:id="1467"/>
      </w:r>
      <w:r>
        <w:rPr>
          <w:rFonts w:ascii="Amiri" w:hAnsi="Amiri" w:eastAsia="Amiri" w:cs="Amiri"/>
          <w:color w:val="111111"/>
          <w:sz w:val="28"/>
          <w:sz w:val="28"/>
          <w:szCs w:val="28"/>
          <w:rtl w:val="true"/>
          <w:lang w:bidi="ar-SA"/>
        </w:rPr>
        <w:t>ببيانِ مَن تَقدَّمَ مِن الأئمّةِ صلَواتُ اللّٰهِ عَلَيهم، الذينَ لَقِيَتهم الشيعةُ و أخَذَت عنهم الشريعةَ ، فقَد بَثّوا</w:t>
      </w:r>
      <w:r>
        <w:rPr>
          <w:rStyle w:val="FootnoteAnchor"/>
          <w:rtl w:val="true"/>
        </w:rPr>
        <w:footnoteReference w:id="1468"/>
      </w:r>
      <w:r>
        <w:rPr>
          <w:rFonts w:ascii="Amiri" w:hAnsi="Amiri" w:eastAsia="Amiri" w:cs="Amiri"/>
          <w:color w:val="111111"/>
          <w:sz w:val="28"/>
          <w:sz w:val="28"/>
          <w:szCs w:val="28"/>
          <w:rtl w:val="true"/>
          <w:lang w:bidi="ar-SA"/>
        </w:rPr>
        <w:t xml:space="preserve">مِن ذلكَ و نَشَروا ما دَعَت الحاجةُ إليه، و نحنُ آمِنونَ مِن أن يَكونَ مِن ذلكَ شيءٌ لَم يتَّصِلْ </w:t>
      </w:r>
      <w:r>
        <w:rPr>
          <w:rStyle w:val="FootnoteAnchor"/>
          <w:rtl w:val="true"/>
        </w:rPr>
        <w:footnoteReference w:id="1469"/>
      </w:r>
      <w:r>
        <w:rPr>
          <w:rFonts w:ascii="Amiri" w:hAnsi="Amiri" w:eastAsia="Amiri" w:cs="Amiri"/>
          <w:color w:val="111111"/>
          <w:sz w:val="28"/>
          <w:sz w:val="28"/>
          <w:szCs w:val="28"/>
          <w:rtl w:val="true"/>
          <w:lang w:bidi="ar-SA"/>
        </w:rPr>
        <w:t>بنا؛ لكَونِ إمامِ الزمانِ مِن وَراءِ الناقِلينَ ، علىٰ ما بيّنّاه و فَصَّلناه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894885_2320776876"/>
      <w:bookmarkStart w:id="232" w:name="_Toc84"/>
      <w:bookmarkEnd w:id="231"/>
      <w:r>
        <w:rPr>
          <w:rtl w:val="true"/>
        </w:rPr>
        <w:t>بيان أنّ الحاجة إلى الإمام ناشئة من وجود الاحتمال في الشرعيّات لا من وجود الاختلاف فيها</w:t>
      </w:r>
      <w:bookmarkEnd w:id="23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جازَ أن يَقَعَ الاختلافُ في العقليّاتِ ، و المُحِقُّ يَرجِعُ إلَى الدليلِ القائمِ ، فما الذي يَمنَعُ مِن مِثلِه في الشرعيّاتِ؟ و إذا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الذي هو أعظَمُ الأئمّةِ حاضرٌ</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الاختلافُ الشديدُ كما وقَعَ في </w:t>
      </w:r>
    </w:p>
    <w:p>
      <w:pPr>
        <w:pStyle w:val="BookText"/>
        <w:rPr/>
      </w:pPr>
      <w:r>
        <w:rPr>
          <w:rFonts w:ascii="Amiri" w:hAnsi="Amiri" w:eastAsia="Amiri" w:cs="Amiri"/>
          <w:color w:val="111111"/>
          <w:sz w:val="28"/>
          <w:sz w:val="28"/>
          <w:szCs w:val="28"/>
          <w:rtl w:val="true"/>
          <w:lang w:bidi="ar-SA"/>
        </w:rPr>
        <w:t>أيّامِ‌</w:t>
      </w:r>
      <w:r>
        <w:rPr>
          <w:rStyle w:val="FootnoteAnchor"/>
          <w:rtl w:val="true"/>
        </w:rPr>
        <w:footnoteReference w:id="1471"/>
      </w: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1472"/>
      </w:r>
      <w:r>
        <w:rPr>
          <w:rFonts w:ascii="Amiri" w:hAnsi="Amiri" w:eastAsia="Amiri" w:cs="Amiri"/>
          <w:color w:val="111111"/>
          <w:sz w:val="28"/>
          <w:sz w:val="28"/>
          <w:szCs w:val="28"/>
          <w:rtl w:val="true"/>
          <w:lang w:bidi="ar-SA"/>
        </w:rPr>
        <w:t xml:space="preserve">و لَم يَمنَعْ ذلكَ مِن ثُبوتِ الدليلِ ، فما الذي يَمنَعُ مع الاختلافِ الشديدِ مِن أن يَدُلَّ القُرآنُ و السُّنّةُ علَى الحقِّ ، و إن ذَهَبَ بعضُهم عنه ؟ و إذا جازَ عندَهم في دليلِ الإمامةِ أن يَذهَبَ بعضُهم عنه و لا يُخرِجَه مِن أن يَكونَ دالاًّ و إن لَم يَحصُلْ فيه الاضطرارُ، فما الذي يَمنَعُ مِن مِثلِه في سائرِ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مَن يَعتَمِدُ عليه في نُصرةِ مَذاهبِهم لِمثلِ ذلكَ لَما استَحقَّ التشاغُلَ به</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474"/>
      </w:r>
      <w:r>
        <w:rPr>
          <w:rFonts w:ascii="Amiri" w:hAnsi="Amiri" w:eastAsia="Amiri" w:cs="Amiri"/>
          <w:color w:val="111111"/>
          <w:sz w:val="28"/>
          <w:sz w:val="28"/>
          <w:szCs w:val="28"/>
          <w:rtl w:val="true"/>
          <w:lang w:bidi="ar-SA"/>
        </w:rPr>
        <w:t>كلامُ مَن لَم يُنعِمِ النظَرَ في الاستدلالِ الذي حَكاه عنّا و حقيقةِ مُرادِنا به؛ لأنّا لَم نوجِبِ الإمامةَ لأجلِ الاختلافِ الحاصلِ في الشرعيّاتِ‌، و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ذَهَبنا</w:t>
      </w:r>
      <w:r>
        <w:rPr>
          <w:rStyle w:val="FootnoteAnchor"/>
          <w:rtl w:val="true"/>
        </w:rPr>
        <w:footnoteReference w:id="1475"/>
      </w:r>
      <w:r>
        <w:rPr>
          <w:rFonts w:ascii="Amiri" w:hAnsi="Amiri" w:eastAsia="Amiri" w:cs="Amiri"/>
          <w:color w:val="111111"/>
          <w:sz w:val="28"/>
          <w:sz w:val="28"/>
          <w:szCs w:val="28"/>
          <w:rtl w:val="true"/>
          <w:lang w:bidi="ar-SA"/>
        </w:rPr>
        <w:t xml:space="preserve">إلىٰ أنّ الاختلافَ في الشيءِ مُزيلٌ لقيامِ الحُجّةِ به إذا كانَت الأدلّةُ عليه منصوبةً‌، و الطُّرُقُ إليه واضحةً مسلوكةً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1476"/>
      </w:r>
      <w:r>
        <w:rPr>
          <w:rFonts w:ascii="Amiri" w:hAnsi="Amiri" w:eastAsia="Amiri" w:cs="Amiri"/>
          <w:color w:val="111111"/>
          <w:sz w:val="28"/>
          <w:sz w:val="28"/>
          <w:szCs w:val="28"/>
          <w:rtl w:val="true"/>
          <w:lang w:bidi="ar-SA"/>
        </w:rPr>
        <w:t>أَوجَبنا الحاجةَ إلَى الإمامِ في الشرعيّاتِ لِاشتباهِ كَثيرٍ مِنها و احتمالِه و وُرودِه مُجمَلاً غَيرَ مفصَّلٍ ، و لفَقدِنا في كَثيرٍ مِنها الأدلّةَ القاطعةَ علَى المُرادِ بعَينِه، حتّى أَوجَبَ ذلكَ وُقوفَ بعضِنا في المُرادِ، و مَيلَ بعضٍ آخَرَ إلىٰ طريقةِ الظَّنِّ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جميعُ الشرعِ </w:t>
      </w:r>
    </w:p>
    <w:p>
      <w:pPr>
        <w:pStyle w:val="BookText"/>
        <w:rPr/>
      </w:pPr>
      <w:r>
        <w:rPr>
          <w:rFonts w:ascii="Amiri" w:hAnsi="Amiri" w:eastAsia="Amiri" w:cs="Amiri"/>
          <w:color w:val="111111"/>
          <w:sz w:val="28"/>
          <w:sz w:val="28"/>
          <w:szCs w:val="28"/>
          <w:rtl w:val="true"/>
          <w:lang w:bidi="ar-SA"/>
        </w:rPr>
        <w:t>نَصِلُ‌</w:t>
      </w:r>
      <w:r>
        <w:rPr>
          <w:rStyle w:val="FootnoteAnchor"/>
          <w:rtl w:val="true"/>
        </w:rPr>
        <w:footnoteReference w:id="1477"/>
      </w:r>
      <w:r>
        <w:rPr>
          <w:rFonts w:ascii="Amiri" w:hAnsi="Amiri" w:eastAsia="Amiri" w:cs="Amiri"/>
          <w:color w:val="111111"/>
          <w:sz w:val="28"/>
          <w:sz w:val="28"/>
          <w:szCs w:val="28"/>
          <w:rtl w:val="true"/>
          <w:lang w:bidi="ar-SA"/>
        </w:rPr>
        <w:t>إليه</w:t>
      </w:r>
      <w:r>
        <w:rPr>
          <w:rStyle w:val="FootnoteAnchor"/>
          <w:rtl w:val="true"/>
        </w:rPr>
        <w:footnoteReference w:id="1478"/>
      </w:r>
      <w:r>
        <w:rPr>
          <w:rFonts w:ascii="Amiri" w:hAnsi="Amiri" w:eastAsia="Amiri" w:cs="Amiri"/>
          <w:color w:val="111111"/>
          <w:sz w:val="28"/>
          <w:sz w:val="28"/>
          <w:szCs w:val="28"/>
          <w:rtl w:val="true"/>
          <w:lang w:bidi="ar-SA"/>
        </w:rPr>
        <w:t>بالأدلّةِ القاطعةِ كَما نَصِلُ‌</w:t>
      </w:r>
      <w:r>
        <w:rPr>
          <w:rStyle w:val="FootnoteAnchor"/>
          <w:rtl w:val="true"/>
        </w:rPr>
        <w:footnoteReference w:id="1479"/>
      </w:r>
      <w:r>
        <w:rPr>
          <w:rFonts w:ascii="Amiri" w:hAnsi="Amiri" w:eastAsia="Amiri" w:cs="Amiri"/>
          <w:color w:val="111111"/>
          <w:sz w:val="28"/>
          <w:sz w:val="28"/>
          <w:szCs w:val="28"/>
          <w:rtl w:val="true"/>
          <w:lang w:bidi="ar-SA"/>
        </w:rPr>
        <w:t>إلَى الحقِّ في العقليّاتِ بمِثلِ ذلكَ‌، لَما وَجَبَت الحاجةُ إلَى الإمامِ مِن هذا الوجهِ كما لَم تَجِبِ‌</w:t>
      </w:r>
      <w:r>
        <w:rPr>
          <w:rStyle w:val="FootnoteAnchor"/>
          <w:rtl w:val="true"/>
        </w:rPr>
        <w:footnoteReference w:id="1480"/>
      </w:r>
      <w:r>
        <w:rPr>
          <w:rFonts w:ascii="Amiri" w:hAnsi="Amiri" w:eastAsia="Amiri" w:cs="Amiri"/>
          <w:color w:val="111111"/>
          <w:sz w:val="28"/>
          <w:sz w:val="28"/>
          <w:szCs w:val="28"/>
          <w:rtl w:val="true"/>
          <w:lang w:bidi="ar-SA"/>
        </w:rPr>
        <w:t>الحاجةُ‌</w:t>
      </w:r>
      <w:r>
        <w:rPr>
          <w:rStyle w:val="FootnoteAnchor"/>
          <w:rtl w:val="true"/>
        </w:rPr>
        <w:footnoteReference w:id="1481"/>
      </w:r>
      <w:r>
        <w:rPr>
          <w:rFonts w:ascii="Amiri" w:hAnsi="Amiri" w:eastAsia="Amiri" w:cs="Amiri"/>
          <w:color w:val="111111"/>
          <w:sz w:val="28"/>
          <w:sz w:val="28"/>
          <w:szCs w:val="28"/>
          <w:rtl w:val="true"/>
          <w:lang w:bidi="ar-SA"/>
        </w:rPr>
        <w:t xml:space="preserve">إليه في العقليّاتِ مِن هذا الوجهِ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تُسقِطُ جميعَ كلامِه في هذا الفصلِ ، و مُعارَضتَه بالاختلافِ الواقعِ في أيّامِ أميرِ المؤمنينَ عليه السلامُ ، و في الإمامةِ نفسِها؛ لأنّه مَبنيٌّ علَى التوهُّمِ علينا إيجابَ الإمامةِ مِن حَيثُ الاختلافِ ، و الذي قَصَدناه قد أَوضَحنا</w:t>
      </w:r>
      <w:r>
        <w:rPr>
          <w:rStyle w:val="FootnoteAnchor"/>
          <w:rtl w:val="true"/>
        </w:rPr>
        <w:footnoteReference w:id="148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233" w:name="pg20015_284892"/>
    </w:p>
    <w:p>
      <w:pPr>
        <w:pStyle w:val="Heading5"/>
        <w:numPr>
          <w:ilvl w:val="4"/>
          <w:numId w:val="1"/>
        </w:numPr>
        <w:rPr/>
      </w:pPr>
      <w:bookmarkStart w:id="234" w:name="__RefHeading___Toc894887_2320776876"/>
      <w:bookmarkStart w:id="235" w:name="_Toc85"/>
      <w:bookmarkEnd w:id="233"/>
      <w:bookmarkEnd w:id="234"/>
      <w:r>
        <w:rPr>
          <w:rtl w:val="true"/>
        </w:rPr>
        <w:t>الدليل الثاني عشر لزوم عصمة الإمام للزوم الاقتداء به</w:t>
      </w:r>
      <w:bookmarkEnd w:id="235"/>
    </w:p>
    <w:p>
      <w:pPr>
        <w:pStyle w:val="Heading6"/>
        <w:numPr>
          <w:ilvl w:val="5"/>
          <w:numId w:val="1"/>
        </w:numPr>
        <w:rPr/>
      </w:pPr>
      <w:bookmarkStart w:id="236" w:name="__RefHeading___Toc894889_2320776876"/>
      <w:bookmarkStart w:id="237" w:name="_Toc86"/>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تَعلَّقوا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معصومٍ بأنّه يَجِبُ الائتمامُ به و القَبولُ مِنه</w:t>
      </w:r>
      <w:r>
        <w:rPr>
          <w:rStyle w:val="FootnoteAnchor"/>
          <w:rtl w:val="true"/>
        </w:rPr>
        <w:footnoteReference w:id="1484"/>
      </w:r>
      <w:r>
        <w:rPr>
          <w:rFonts w:ascii="Amiri" w:hAnsi="Amiri" w:eastAsia="Amiri" w:cs="Amiri"/>
          <w:color w:val="111111"/>
          <w:sz w:val="28"/>
          <w:sz w:val="28"/>
          <w:szCs w:val="28"/>
          <w:rtl w:val="true"/>
          <w:lang w:bidi="ar-SA"/>
        </w:rPr>
        <w:t>و الانقيادُ له، فلَو لَم يَكُن معصوماً لَم يؤمَنْ فيما يأتيهِ و يأمُرُ به أن يَكونَ قَبيحاً، و لا يَجوزُ أن يُكلَّفَ‌</w:t>
      </w:r>
      <w:r>
        <w:rPr>
          <w:rStyle w:val="FootnoteAnchor"/>
          <w:rtl w:val="true"/>
        </w:rPr>
        <w:footnoteReference w:id="1485"/>
      </w:r>
      <w:r>
        <w:rPr>
          <w:rFonts w:ascii="Amiri" w:hAnsi="Amiri" w:eastAsia="Amiri" w:cs="Amiri"/>
          <w:color w:val="111111"/>
          <w:sz w:val="28"/>
          <w:sz w:val="28"/>
          <w:szCs w:val="28"/>
          <w:rtl w:val="true"/>
          <w:lang w:bidi="ar-SA"/>
        </w:rPr>
        <w:t>الرَّعيّةُ الاقتداءَ بمَن هذه</w:t>
      </w:r>
      <w:r>
        <w:rPr>
          <w:rStyle w:val="FootnoteAnchor"/>
          <w:rtl w:val="true"/>
        </w:rPr>
        <w:footnoteReference w:id="1486"/>
      </w:r>
      <w:r>
        <w:rPr>
          <w:rFonts w:ascii="Amiri" w:hAnsi="Amiri" w:eastAsia="Amiri" w:cs="Amiri"/>
          <w:color w:val="111111"/>
          <w:sz w:val="28"/>
          <w:sz w:val="28"/>
          <w:szCs w:val="28"/>
          <w:rtl w:val="true"/>
          <w:lang w:bidi="ar-SA"/>
        </w:rPr>
        <w:t>حالُه، و التزامَ‌</w:t>
      </w:r>
      <w:r>
        <w:rPr>
          <w:rStyle w:val="FootnoteAnchor"/>
          <w:rtl w:val="true"/>
        </w:rPr>
        <w:footnoteReference w:id="1487"/>
      </w:r>
      <w:r>
        <w:rPr>
          <w:rFonts w:ascii="Amiri" w:hAnsi="Amiri" w:eastAsia="Amiri" w:cs="Amiri"/>
          <w:color w:val="111111"/>
          <w:sz w:val="28"/>
          <w:sz w:val="28"/>
          <w:szCs w:val="28"/>
          <w:rtl w:val="true"/>
          <w:lang w:bidi="ar-SA"/>
        </w:rPr>
        <w:t>طاعتِه، بَل كانَ لا يَمتَنِعُ إن لَم يَكُن معصوماً أن يَرتَدَّ و يَدعُوَ إلَى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ذلكَ يوجِبُ كَونَه معصوماً، و لَيسَ بَعدَ ثُبوتِ العصمةِ إلّاالقَولُ بأنّه لا بُدَّ مِن إمامٍ منصوصٍ عليه في كُلِّ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بَعيدٌ؛ لأنّه لا خِلافَ فيما إلَى الإمامِ ، و عندَنا أنّ الذي إليه القيامُ </w:t>
      </w:r>
      <w:bookmarkStart w:id="238" w:name="pg20015_284893"/>
    </w:p>
    <w:p>
      <w:pPr>
        <w:pStyle w:val="BookText"/>
        <w:rPr/>
      </w:pPr>
      <w:bookmarkEnd w:id="238"/>
      <w:r>
        <w:rPr>
          <w:rFonts w:ascii="Amiri" w:hAnsi="Amiri" w:eastAsia="Amiri" w:cs="Amiri"/>
          <w:color w:val="111111"/>
          <w:sz w:val="28"/>
          <w:sz w:val="28"/>
          <w:szCs w:val="28"/>
          <w:rtl w:val="true"/>
          <w:lang w:bidi="ar-SA"/>
        </w:rPr>
        <w:t>بأُمورٍ مُبيَّنةٍ في الشرعِ‌، و</w:t>
      </w:r>
      <w:r>
        <w:rPr>
          <w:rStyle w:val="FootnoteAnchor"/>
          <w:rtl w:val="true"/>
        </w:rPr>
        <w:footnoteReference w:id="1488"/>
      </w:r>
      <w:r>
        <w:rPr>
          <w:rFonts w:ascii="Amiri" w:hAnsi="Amiri" w:eastAsia="Amiri" w:cs="Amiri"/>
          <w:color w:val="111111"/>
          <w:sz w:val="28"/>
          <w:sz w:val="28"/>
          <w:szCs w:val="28"/>
          <w:rtl w:val="true"/>
          <w:lang w:bidi="ar-SA"/>
        </w:rPr>
        <w:t>الذي يَلزَمُ مِن</w:t>
      </w:r>
      <w:r>
        <w:rPr>
          <w:rStyle w:val="FootnoteAnchor"/>
          <w:rtl w:val="true"/>
        </w:rPr>
        <w:footnoteReference w:id="1489"/>
      </w:r>
      <w:r>
        <w:rPr>
          <w:rFonts w:ascii="Amiri" w:hAnsi="Amiri" w:eastAsia="Amiri" w:cs="Amiri"/>
          <w:color w:val="111111"/>
          <w:sz w:val="28"/>
          <w:sz w:val="28"/>
          <w:szCs w:val="28"/>
          <w:rtl w:val="true"/>
          <w:lang w:bidi="ar-SA"/>
        </w:rPr>
        <w:t>طاعتِه فيه</w:t>
      </w:r>
      <w:r>
        <w:rPr>
          <w:rStyle w:val="FootnoteAnchor"/>
          <w:rtl w:val="true"/>
        </w:rPr>
        <w:footnoteReference w:id="1490"/>
      </w:r>
      <w:r>
        <w:rPr>
          <w:rFonts w:ascii="Amiri" w:hAnsi="Amiri" w:eastAsia="Amiri" w:cs="Amiri"/>
          <w:color w:val="111111"/>
          <w:sz w:val="28"/>
          <w:sz w:val="28"/>
          <w:szCs w:val="28"/>
          <w:rtl w:val="true"/>
          <w:lang w:bidi="ar-SA"/>
        </w:rPr>
        <w:t>ما بيَّنَ الشرعُ أنّ ذلكَ يَحسُنُ‌، و لَسنا نَجعَلُه إماماً مِن حَيثُ يُتَّبَعُ في كُلِّ شَيءٍ ، بَل نَقولُ</w:t>
      </w:r>
    </w:p>
    <w:p>
      <w:pPr>
        <w:pStyle w:val="BookText"/>
        <w:rPr/>
      </w:pPr>
      <w:r>
        <w:rPr>
          <w:rFonts w:ascii="Amiri" w:hAnsi="Amiri" w:eastAsia="Amiri" w:cs="Amiri"/>
          <w:color w:val="111111"/>
          <w:sz w:val="28"/>
          <w:sz w:val="28"/>
          <w:szCs w:val="28"/>
          <w:rtl w:val="true"/>
          <w:lang w:bidi="ar-SA"/>
        </w:rPr>
        <w:t xml:space="preserve">فيه مِثلَ الذي رُويَ عن أبي بَكرٍ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أطيعوني ما أطَعتُ اللّٰهَ ، فإذا عَصَيتُ اللّٰهَ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أميرِ المؤمنينَ عليه السلامُ فيما كانَ يأمُرُ به</w:t>
      </w:r>
      <w:r>
        <w:rPr>
          <w:rFonts w:eastAsia="Amiri" w:cs="Amiri" w:ascii="Amiri" w:hAnsi="Amiri"/>
          <w:color w:val="111111"/>
          <w:sz w:val="28"/>
          <w:szCs w:val="28"/>
          <w:rtl w:val="true"/>
          <w:lang w:bidi="ar-SA"/>
        </w:rPr>
        <w:t>.</w:t>
      </w:r>
      <w:r>
        <w:rPr>
          <w:rStyle w:val="FootnoteAnchor"/>
          <w:rtl w:val="true"/>
        </w:rPr>
        <w:footnoteReference w:id="1491"/>
      </w:r>
    </w:p>
    <w:p>
      <w:pPr>
        <w:pStyle w:val="Heading6"/>
        <w:numPr>
          <w:ilvl w:val="5"/>
          <w:numId w:val="1"/>
        </w:numPr>
        <w:rPr/>
      </w:pPr>
      <w:bookmarkStart w:id="239" w:name="__RefHeading___Toc894891_2320776876"/>
      <w:bookmarkStart w:id="240" w:name="_Toc87"/>
      <w:bookmarkEnd w:id="239"/>
      <w:r>
        <w:rPr>
          <w:rtl w:val="true"/>
        </w:rPr>
        <w:t>تقرير المصنّف لدليل عصمة الإمام</w:t>
      </w:r>
      <w:bookmarkEnd w:id="240"/>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بهذا الوجهِ كَثيرٌ مِن أصحابِنا علىٰ عصمةِ الإمامِ‌، و أقوىٰ ما يُنصَرُ به أنّ الإمامَ لا بُدَّ أن يَكونَ مُقتَدىً به؛ لأنّ لَفظَ الإمامةِ مُشتَقٌّ مِن معنَى الاقتداءِ و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أيضاً حاصلٌ علىٰ هذه الجُملةِ ؛ يَعني</w:t>
      </w:r>
      <w:r>
        <w:rPr>
          <w:rStyle w:val="FootnoteAnchor"/>
          <w:rtl w:val="true"/>
        </w:rPr>
        <w:footnoteReference w:id="1492"/>
      </w:r>
      <w:r>
        <w:rPr>
          <w:rFonts w:ascii="Amiri" w:hAnsi="Amiri" w:eastAsia="Amiri" w:cs="Amiri"/>
          <w:color w:val="111111"/>
          <w:sz w:val="28"/>
          <w:sz w:val="28"/>
          <w:szCs w:val="28"/>
          <w:rtl w:val="true"/>
          <w:lang w:bidi="ar-SA"/>
        </w:rPr>
        <w:t xml:space="preserve">أنّ الإمامَ مُقتَدىً به، و إن كانَ الخِلافُ واقعاً في كيفيّةِ الاقتداءِ </w:t>
      </w:r>
      <w:r>
        <w:rPr>
          <w:rStyle w:val="FootnoteAnchor"/>
          <w:rtl w:val="true"/>
        </w:rPr>
        <w:footnoteReference w:id="1493"/>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وجوبُ الاقتداءِ به</w:t>
      </w:r>
      <w:r>
        <w:rPr>
          <w:rStyle w:val="FootnoteAnchor"/>
          <w:rtl w:val="true"/>
        </w:rPr>
        <w:footnoteReference w:id="1494"/>
      </w:r>
      <w:r>
        <w:rPr>
          <w:rFonts w:ascii="Amiri" w:hAnsi="Amiri" w:eastAsia="Amiri" w:cs="Amiri"/>
          <w:color w:val="111111"/>
          <w:sz w:val="28"/>
          <w:sz w:val="28"/>
          <w:szCs w:val="28"/>
          <w:rtl w:val="true"/>
          <w:lang w:bidi="ar-SA"/>
        </w:rPr>
        <w:t>وَجَبَ أن يَكونَ معصوماً؛ لأنّه إذا</w:t>
      </w:r>
      <w:r>
        <w:rPr>
          <w:rStyle w:val="FootnoteAnchor"/>
          <w:rtl w:val="true"/>
        </w:rPr>
        <w:footnoteReference w:id="1495"/>
      </w:r>
      <w:r>
        <w:rPr>
          <w:rFonts w:ascii="Amiri" w:hAnsi="Amiri" w:eastAsia="Amiri" w:cs="Amiri"/>
          <w:color w:val="111111"/>
          <w:sz w:val="28"/>
          <w:sz w:val="28"/>
          <w:szCs w:val="28"/>
          <w:rtl w:val="true"/>
          <w:lang w:bidi="ar-SA"/>
        </w:rPr>
        <w:t xml:space="preserve">كانَ غَيرَ معصومٍ لَم نأمَنْ </w:t>
      </w:r>
      <w:r>
        <w:rPr>
          <w:rStyle w:val="FootnoteAnchor"/>
          <w:rtl w:val="true"/>
        </w:rPr>
        <w:footnoteReference w:id="1496"/>
      </w:r>
      <w:r>
        <w:rPr>
          <w:rFonts w:ascii="Amiri" w:hAnsi="Amiri" w:eastAsia="Amiri" w:cs="Amiri"/>
          <w:color w:val="111111"/>
          <w:sz w:val="28"/>
          <w:sz w:val="28"/>
          <w:szCs w:val="28"/>
          <w:rtl w:val="true"/>
          <w:lang w:bidi="ar-SA"/>
        </w:rPr>
        <w:t>في بعضِ أفعالِه أن يَكونَ قَبيحاً، و يَجِبُ عَلَينا موافَقتُه فيه مِن حَيثُ وَجَبَ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استحالةِ تَعبُّدِنا بالأفعالِ القَبيحةِ دليلٌ علىٰ </w:t>
      </w:r>
      <w:bookmarkStart w:id="241" w:name="pg20015_284894"/>
    </w:p>
    <w:p>
      <w:pPr>
        <w:pStyle w:val="BookText"/>
        <w:rPr/>
      </w:pPr>
      <w:bookmarkEnd w:id="241"/>
      <w:r>
        <w:rPr>
          <w:rFonts w:ascii="Amiri" w:hAnsi="Amiri" w:eastAsia="Amiri" w:cs="Amiri"/>
          <w:color w:val="111111"/>
          <w:sz w:val="28"/>
          <w:sz w:val="28"/>
          <w:szCs w:val="28"/>
          <w:rtl w:val="true"/>
          <w:lang w:bidi="ar-SA"/>
        </w:rPr>
        <w:t>أنّ مَن أُوجِبَ عَلَينا الاقتداءُ به لا بُدَّ</w:t>
      </w:r>
      <w:r>
        <w:rPr>
          <w:rStyle w:val="FootnoteAnchor"/>
          <w:rtl w:val="true"/>
        </w:rPr>
        <w:footnoteReference w:id="1497"/>
      </w:r>
      <w:r>
        <w:rPr>
          <w:rFonts w:ascii="Amiri" w:hAnsi="Amiri" w:eastAsia="Amiri" w:cs="Amiri"/>
          <w:color w:val="111111"/>
          <w:sz w:val="28"/>
          <w:sz w:val="28"/>
          <w:szCs w:val="28"/>
          <w:rtl w:val="true"/>
          <w:lang w:bidi="ar-SA"/>
        </w:rPr>
        <w:t xml:space="preserve">أن يَكونَ ذلكَ مِنه مأموناً، و لا يَكونُ كذلكَ إلّا و هو معصومٌ </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894893_2320776876"/>
      <w:bookmarkStart w:id="243" w:name="_Toc88"/>
      <w:bookmarkEnd w:id="242"/>
      <w:r>
        <w:rPr>
          <w:rtl w:val="true"/>
        </w:rPr>
        <w:t>بيان معنى الاقتداء</w:t>
      </w:r>
      <w:bookmarkEnd w:id="243"/>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Style w:val="FootnoteAnchor"/>
          <w:rtl w:val="true"/>
        </w:rPr>
        <w:footnoteReference w:id="1498"/>
      </w:r>
      <w:r>
        <w:rPr>
          <w:rFonts w:ascii="Amiri" w:hAnsi="Amiri" w:eastAsia="Amiri" w:cs="Amiri"/>
          <w:color w:val="111111"/>
          <w:sz w:val="28"/>
          <w:sz w:val="28"/>
          <w:szCs w:val="28"/>
          <w:rtl w:val="true"/>
          <w:lang w:bidi="ar-SA"/>
        </w:rPr>
        <w:t>أنكرتم أن يَكونَ الاقتداءُ بالإمامِ إنّما يَجِبُ فيما نَعلَمُه حَسَناً، فأمّا ما نَعلَمُه قَبيحاً، أو نَشُكُّ في حالِه، فلا يَجِبُ الاقتداءُ به فيه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499"/>
      </w:r>
      <w:r>
        <w:rPr>
          <w:rFonts w:ascii="Amiri" w:hAnsi="Amiri" w:eastAsia="Amiri" w:cs="Amiri"/>
          <w:color w:val="111111"/>
          <w:sz w:val="28"/>
          <w:sz w:val="28"/>
          <w:szCs w:val="28"/>
          <w:rtl w:val="true"/>
          <w:lang w:bidi="ar-SA"/>
        </w:rPr>
        <w:t>إسقاطٌ لمعنَى الاقتداءِ جُملةً‌، و إزالةٌ له</w:t>
      </w:r>
      <w:r>
        <w:rPr>
          <w:rStyle w:val="FootnoteAnchor"/>
          <w:rtl w:val="true"/>
        </w:rPr>
        <w:footnoteReference w:id="1500"/>
      </w:r>
      <w:r>
        <w:rPr>
          <w:rFonts w:ascii="Amiri" w:hAnsi="Amiri" w:eastAsia="Amiri" w:cs="Amiri"/>
          <w:color w:val="111111"/>
          <w:sz w:val="28"/>
          <w:sz w:val="28"/>
          <w:szCs w:val="28"/>
          <w:rtl w:val="true"/>
          <w:lang w:bidi="ar-SA"/>
        </w:rPr>
        <w:t>عن وَجهِه؛ لأنّه لَو كانَ مَن يُعمَلُ بالشيءِ لا مِن أجلِ عملِه</w:t>
      </w:r>
      <w:r>
        <w:rPr>
          <w:rStyle w:val="FootnoteAnchor"/>
          <w:rtl w:val="true"/>
        </w:rPr>
        <w:footnoteReference w:id="1501"/>
      </w:r>
      <w:r>
        <w:rPr>
          <w:rFonts w:ascii="IRNazanin" w:hAnsi="IRNazanin" w:eastAsia="IRNazanin"/>
          <w:color w:val="111111"/>
          <w:sz w:val="28"/>
          <w:sz w:val="28"/>
          <w:szCs w:val="28"/>
          <w:rtl w:val="true"/>
          <w:lang w:bidi="fa-IR"/>
        </w:rPr>
        <w:t>به</w:t>
      </w:r>
      <w:r>
        <w:rPr>
          <w:rStyle w:val="FootnoteAnchor"/>
          <w:rtl w:val="true"/>
        </w:rPr>
        <w:footnoteReference w:id="1502"/>
      </w:r>
      <w:r>
        <w:rPr>
          <w:rFonts w:ascii="Amiri" w:hAnsi="Amiri" w:eastAsia="Amiri" w:cs="Amiri"/>
          <w:color w:val="111111"/>
          <w:sz w:val="28"/>
          <w:sz w:val="28"/>
          <w:szCs w:val="28"/>
          <w:rtl w:val="true"/>
          <w:lang w:bidi="ar-SA"/>
        </w:rPr>
        <w:t>، و لا مِن حَيثُ كانَ حُجّةً فيه، مُقتَدىً به في ذلكَ الفِعلِ ، لَوَجَبَ أن يَكونَ بعضُنا مُقتَدياً ببعضٍ في جميعِ أفعالِه التي اتَّفَقنا عَلَيها</w:t>
      </w:r>
      <w:r>
        <w:rPr>
          <w:rStyle w:val="FootnoteAnchor"/>
          <w:rtl w:val="true"/>
        </w:rPr>
        <w:footnoteReference w:id="1503"/>
      </w:r>
      <w:r>
        <w:rPr>
          <w:rFonts w:ascii="Amiri" w:hAnsi="Amiri" w:eastAsia="Amiri" w:cs="Amiri"/>
          <w:color w:val="111111"/>
          <w:sz w:val="28"/>
          <w:sz w:val="28"/>
          <w:szCs w:val="28"/>
          <w:rtl w:val="true"/>
          <w:lang w:bidi="ar-SA"/>
        </w:rPr>
        <w:t>، و إن كُنّا لَم نَقُلْ بذلكَ القَولِ أو نَفعَلْ ذلكَ الفِعلِ مِن أجلِ قَولِ بعضِنا به أو فِعلِه 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لَوَجَبَ </w:t>
      </w:r>
      <w:r>
        <w:rPr>
          <w:rStyle w:val="FootnoteAnchor"/>
          <w:rtl w:val="true"/>
        </w:rPr>
        <w:footnoteReference w:id="1505"/>
      </w:r>
      <w:r>
        <w:rPr>
          <w:rFonts w:ascii="Amiri" w:hAnsi="Amiri" w:eastAsia="Amiri" w:cs="Amiri"/>
          <w:color w:val="111111"/>
          <w:sz w:val="28"/>
          <w:sz w:val="28"/>
          <w:szCs w:val="28"/>
          <w:rtl w:val="true"/>
          <w:lang w:bidi="ar-SA"/>
        </w:rPr>
        <w:t>أيضاً أن نَكونَ مُقتَدينَ باليَهودِ و النَّصارىٰ ؛ لِموافَقتِنا لهُم في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الإقرارِ</w:t>
      </w:r>
      <w:r>
        <w:rPr>
          <w:rStyle w:val="FootnoteAnchor"/>
          <w:rtl w:val="true"/>
        </w:rPr>
        <w:footnoteReference w:id="1506"/>
      </w:r>
      <w:r>
        <w:rPr>
          <w:rFonts w:ascii="Amiri" w:hAnsi="Amiri" w:eastAsia="Amiri" w:cs="Amiri"/>
          <w:color w:val="111111"/>
          <w:sz w:val="28"/>
          <w:sz w:val="28"/>
          <w:szCs w:val="28"/>
          <w:rtl w:val="true"/>
          <w:lang w:bidi="ar-SA"/>
        </w:rPr>
        <w:t>بنُبوّةِ موسىٰ و عيسىٰ عليهِما السلامُ ، و إن كُنّا لَم نَعتَرِفْ بنُبوّتِهما مِن أجلِ إقرارِ اليَهودِ و النَّصارىٰ بهِما</w:t>
      </w:r>
      <w:r>
        <w:rPr>
          <w:rFonts w:eastAsia="Amiri" w:cs="Amiri" w:ascii="Amiri" w:hAnsi="Amiri"/>
          <w:color w:val="111111"/>
          <w:sz w:val="28"/>
          <w:szCs w:val="28"/>
          <w:rtl w:val="true"/>
          <w:lang w:bidi="ar-SA"/>
        </w:rPr>
        <w:t xml:space="preserve">. </w:t>
      </w:r>
      <w:bookmarkStart w:id="244" w:name="pg20015_284895"/>
    </w:p>
    <w:p>
      <w:pPr>
        <w:pStyle w:val="BookText"/>
        <w:rPr/>
      </w:pPr>
      <w:bookmarkEnd w:id="244"/>
      <w:r>
        <w:rPr>
          <w:rFonts w:ascii="Amiri" w:hAnsi="Amiri" w:eastAsia="Amiri" w:cs="Amiri"/>
          <w:color w:val="111111"/>
          <w:sz w:val="28"/>
          <w:sz w:val="28"/>
          <w:szCs w:val="28"/>
          <w:rtl w:val="true"/>
          <w:lang w:bidi="ar-SA"/>
        </w:rPr>
        <w:t xml:space="preserve">و لَلَزِمَ أيضاً أن يَكونَ الإمامُ نفسُه مُقتَدياً برَعيّتِه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ما أدّىٰ إلىٰ ما ذَكرناه</w:t>
      </w:r>
      <w:r>
        <w:rPr>
          <w:rStyle w:val="FootnoteAnchor"/>
          <w:rtl w:val="true"/>
        </w:rPr>
        <w:footnoteReference w:id="1507"/>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894895_2320776876"/>
      <w:bookmarkStart w:id="246" w:name="_Toc89"/>
      <w:bookmarkEnd w:id="245"/>
      <w:r>
        <w:rPr>
          <w:rtl w:val="true"/>
        </w:rPr>
        <w:t>بيان أنّ الإمام حجّة في جميع الشرعيّات و العقليّات</w:t>
      </w:r>
      <w:bookmarkEnd w:id="246"/>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إنّما</w:t>
      </w:r>
      <w:r>
        <w:rPr>
          <w:rStyle w:val="FootnoteAnchor"/>
          <w:rtl w:val="true"/>
        </w:rPr>
        <w:footnoteReference w:id="1508"/>
      </w:r>
      <w:r>
        <w:rPr>
          <w:rFonts w:ascii="Amiri" w:hAnsi="Amiri" w:eastAsia="Amiri" w:cs="Amiri"/>
          <w:color w:val="111111"/>
          <w:sz w:val="28"/>
          <w:sz w:val="28"/>
          <w:szCs w:val="28"/>
          <w:rtl w:val="true"/>
          <w:lang w:bidi="ar-SA"/>
        </w:rPr>
        <w:t>يُقتَدىٰ به فيما يُعلَمُ صَوابُه به</w:t>
      </w:r>
      <w:r>
        <w:rPr>
          <w:rStyle w:val="FootnoteAnchor"/>
          <w:rtl w:val="true"/>
        </w:rPr>
        <w:footnoteReference w:id="1509"/>
      </w:r>
      <w:r>
        <w:rPr>
          <w:rFonts w:ascii="Amiri" w:hAnsi="Amiri" w:eastAsia="Amiri" w:cs="Amiri"/>
          <w:color w:val="111111"/>
          <w:sz w:val="28"/>
          <w:sz w:val="28"/>
          <w:szCs w:val="28"/>
          <w:rtl w:val="true"/>
          <w:lang w:bidi="ar-SA"/>
        </w:rPr>
        <w:t>، و لا يَكونُ إماماً و مُقتَدىً به فيما عُرِفَ صَوابُه بغَيرِه</w:t>
      </w:r>
      <w:r>
        <w:rPr>
          <w:rStyle w:val="FootnoteAnchor"/>
          <w:rtl w:val="true"/>
        </w:rPr>
        <w:footnoteReference w:id="1510"/>
      </w:r>
      <w:r>
        <w:rPr>
          <w:rFonts w:ascii="Amiri" w:hAnsi="Amiri" w:eastAsia="Amiri" w:cs="Amiri"/>
          <w:color w:val="111111"/>
          <w:sz w:val="28"/>
          <w:sz w:val="28"/>
          <w:szCs w:val="28"/>
          <w:rtl w:val="true"/>
          <w:lang w:bidi="ar-SA"/>
        </w:rPr>
        <w:t xml:space="preserve">، لَلَزِمَ مِن هذا أن لا يَكونَ الإمامُ إماماً لنا في أكثَرِ الدِّينِ ؛ لأنّ أكثَرَه معلومٌ بالأدلّةِ التي لَيسَ مِن جُملتِها قَولُ الإمامِ ، و لَلَزِمَ أيضاً أن لا يَكونَ النبيُّ صَلَّى اللّٰهُ عليه و آلِه إماماً لنا فيما أكَّدَه مِن العقليّاتِ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تَوهَّمتَ ؛ لأنّ الذي أَفسَدناه هو</w:t>
      </w:r>
      <w:r>
        <w:rPr>
          <w:rStyle w:val="FootnoteAnchor"/>
          <w:rtl w:val="true"/>
        </w:rPr>
        <w:footnoteReference w:id="1511"/>
      </w:r>
      <w:r>
        <w:rPr>
          <w:rFonts w:ascii="Amiri" w:hAnsi="Amiri" w:eastAsia="Amiri" w:cs="Amiri"/>
          <w:color w:val="111111"/>
          <w:sz w:val="28"/>
          <w:sz w:val="28"/>
          <w:szCs w:val="28"/>
          <w:rtl w:val="true"/>
          <w:lang w:bidi="ar-SA"/>
        </w:rPr>
        <w:t xml:space="preserve">أن يَكونَ الإمامُ </w:t>
      </w:r>
      <w:r>
        <w:rPr>
          <w:rStyle w:val="FootnoteAnchor"/>
          <w:rtl w:val="true"/>
        </w:rPr>
        <w:footnoteReference w:id="1512"/>
      </w:r>
      <w:r>
        <w:rPr>
          <w:rFonts w:ascii="Amiri" w:hAnsi="Amiri" w:eastAsia="Amiri" w:cs="Amiri"/>
          <w:color w:val="111111"/>
          <w:sz w:val="28"/>
          <w:sz w:val="28"/>
          <w:szCs w:val="28"/>
          <w:rtl w:val="true"/>
          <w:lang w:bidi="ar-SA"/>
        </w:rPr>
        <w:t>مُقتَدىً به فيما لا يَكونُ قَولُه أو</w:t>
      </w:r>
      <w:r>
        <w:rPr>
          <w:rStyle w:val="FootnoteAnchor"/>
          <w:rtl w:val="true"/>
        </w:rPr>
        <w:footnoteReference w:id="1513"/>
      </w:r>
      <w:r>
        <w:rPr>
          <w:rFonts w:ascii="Amiri" w:hAnsi="Amiri" w:eastAsia="Amiri" w:cs="Amiri"/>
          <w:color w:val="111111"/>
          <w:sz w:val="28"/>
          <w:sz w:val="28"/>
          <w:szCs w:val="28"/>
          <w:rtl w:val="true"/>
          <w:lang w:bidi="ar-SA"/>
        </w:rPr>
        <w:t>فِعلُه حُجّةً فيه و طَريقاً إلَى العِلمِ بصَوابِه، و لَم نُفسِدْ</w:t>
      </w:r>
      <w:r>
        <w:rPr>
          <w:rStyle w:val="FootnoteAnchor"/>
          <w:rtl w:val="true"/>
        </w:rPr>
        <w:footnoteReference w:id="1514"/>
      </w:r>
      <w:r>
        <w:rPr>
          <w:rFonts w:ascii="Amiri" w:hAnsi="Amiri" w:eastAsia="Amiri" w:cs="Amiri"/>
          <w:color w:val="111111"/>
          <w:sz w:val="28"/>
          <w:sz w:val="28"/>
          <w:szCs w:val="28"/>
          <w:rtl w:val="true"/>
          <w:lang w:bidi="ar-SA"/>
        </w:rPr>
        <w:t>أن يَكونَ إماماً فيما عَرَفنا صَوابَه بغَيرِه إذا كُنّا نَعرفُ به أيضاً صَوابَه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علىٰ هذا التقديرِ</w:t>
      </w:r>
      <w:r>
        <w:rPr>
          <w:rStyle w:val="FootnoteAnchor"/>
          <w:rtl w:val="true"/>
        </w:rPr>
        <w:footnoteReference w:id="1516"/>
      </w:r>
      <w:r>
        <w:rPr>
          <w:rFonts w:ascii="Amiri" w:hAnsi="Amiri" w:eastAsia="Amiri" w:cs="Amiri"/>
          <w:color w:val="111111"/>
          <w:sz w:val="28"/>
          <w:sz w:val="28"/>
          <w:szCs w:val="28"/>
          <w:rtl w:val="true"/>
          <w:lang w:bidi="ar-SA"/>
        </w:rPr>
        <w:t>حُجّةٌ في جميعِ الشرعيّاتِ و العقليّاتِ ؛ لأنّ ما عُلِمَ مِن جُملتِها</w:t>
      </w:r>
      <w:r>
        <w:rPr>
          <w:rStyle w:val="FootnoteAnchor"/>
          <w:rtl w:val="true"/>
        </w:rPr>
        <w:footnoteReference w:id="1517"/>
      </w:r>
      <w:r>
        <w:rPr>
          <w:rFonts w:ascii="Amiri" w:hAnsi="Amiri" w:eastAsia="Amiri" w:cs="Amiri"/>
          <w:color w:val="111111"/>
          <w:sz w:val="28"/>
          <w:sz w:val="28"/>
          <w:szCs w:val="28"/>
          <w:rtl w:val="true"/>
          <w:lang w:bidi="ar-SA"/>
        </w:rPr>
        <w:t xml:space="preserve">بأدلّتِه فقَولُ الإمامِ أيضاً حُجّةٌ فيه و طَريقٌ إلَى العِلمِ بصَوابِه، و ما كانَ </w:t>
      </w:r>
      <w:bookmarkStart w:id="247" w:name="pg20015_284896"/>
    </w:p>
    <w:p>
      <w:pPr>
        <w:pStyle w:val="BookText"/>
        <w:rPr/>
      </w:pPr>
      <w:bookmarkEnd w:id="247"/>
      <w:r>
        <w:rPr>
          <w:rFonts w:ascii="Amiri" w:hAnsi="Amiri" w:eastAsia="Amiri" w:cs="Amiri"/>
          <w:color w:val="111111"/>
          <w:sz w:val="28"/>
          <w:sz w:val="28"/>
          <w:szCs w:val="28"/>
          <w:rtl w:val="true"/>
          <w:lang w:bidi="ar-SA"/>
        </w:rPr>
        <w:t>هو الطريقَ إليه دونَ غَيرِه فكَونُه حُجّةً فيه ظاهرٌ</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894897_2320776876"/>
      <w:bookmarkStart w:id="249" w:name="_Toc90"/>
      <w:bookmarkEnd w:id="248"/>
      <w:r>
        <w:rPr>
          <w:rtl w:val="true"/>
        </w:rPr>
        <w:t>نقد كلام ابن الراوندي</w:t>
      </w:r>
      <w:bookmarkEnd w:id="249"/>
    </w:p>
    <w:p>
      <w:pPr>
        <w:pStyle w:val="BookText"/>
        <w:rPr/>
      </w:pPr>
      <w:r>
        <w:rPr>
          <w:rFonts w:ascii="Amiri" w:hAnsi="Amiri" w:eastAsia="Amiri" w:cs="Amiri"/>
          <w:color w:val="111111"/>
          <w:sz w:val="28"/>
          <w:sz w:val="28"/>
          <w:szCs w:val="28"/>
          <w:rtl w:val="true"/>
          <w:lang w:bidi="ar-SA"/>
        </w:rPr>
        <w:t>و قد ذَكرَ ابنُ الراوَنديِّ في كتابِه في الإمامةِ في نُصرةِ هذا الدليلِ شَيئاً لَيسَ بمَرضِيٍّ و لا مُستَمِرٍّ؛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جازَ أن يَكونَ مَن يُعمَلُ بالشيءِ لا مِن أجلِ عملِه به و فِعلِه له إماماً فيه و قُدوةً‌، لَجازَ أن يَكونَ مَن يُعمَلُ بالشيءِ‌</w:t>
      </w:r>
      <w:r>
        <w:rPr>
          <w:rStyle w:val="FootnoteAnchor"/>
          <w:rtl w:val="true"/>
        </w:rPr>
        <w:footnoteReference w:id="1518"/>
      </w:r>
      <w:r>
        <w:rPr>
          <w:rFonts w:ascii="Amiri" w:hAnsi="Amiri" w:eastAsia="Amiri" w:cs="Amiri"/>
          <w:color w:val="111111"/>
          <w:sz w:val="28"/>
          <w:sz w:val="28"/>
          <w:szCs w:val="28"/>
          <w:rtl w:val="true"/>
          <w:lang w:bidi="ar-SA"/>
        </w:rPr>
        <w:t>مِن أجلِ عملِه به و يُعرَفُ صَوابُه بفِعلِه له لا يَكونُ إماماً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بصَحيحٍ‌؛ لأنّ الذي قَدَّرَه إنّما يَسوغُ لَو كانَ كُلُّ واحدٍ مِن الأمرَينِ مُنفَصِلاً مِن الآخَرِ و غَيرَ مُنطَوٍ عليه، فأمّا إذا لَم يَكُن هذه حالَه لَم يَستَقِمْ ما ذَكرَه؛ لأنّ مَن عُمِلَ بالشيءِ مِن أجلِ عملِه به، أو عُرِفَ‌</w:t>
      </w:r>
      <w:r>
        <w:rPr>
          <w:rStyle w:val="FootnoteAnchor"/>
          <w:rtl w:val="true"/>
        </w:rPr>
        <w:footnoteReference w:id="1519"/>
      </w:r>
      <w:r>
        <w:rPr>
          <w:rFonts w:ascii="Amiri" w:hAnsi="Amiri" w:eastAsia="Amiri" w:cs="Amiri"/>
          <w:color w:val="111111"/>
          <w:sz w:val="28"/>
          <w:sz w:val="28"/>
          <w:szCs w:val="28"/>
          <w:rtl w:val="true"/>
          <w:lang w:bidi="ar-SA"/>
        </w:rPr>
        <w:t xml:space="preserve">صَوابُه بفِعلِه له، لا بُدَّ أن يَكونَ إماماً فيه؛ مِن حَيثُ كانَ معنَى الإمامةِ و الأمرُ الذي مِن أجلِه كانَ الإمامُ إماماً حاصِلَين فيه؛ لأنّ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ممّن يُعمَلُ بالشيءِ مِن أجلِ عملِه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w:t>
      </w:r>
      <w:r>
        <w:rPr>
          <w:rStyle w:val="FootnoteAnchor"/>
          <w:rtl w:val="true"/>
        </w:rPr>
        <w:footnoteReference w:id="1520"/>
      </w:r>
      <w:r>
        <w:rPr>
          <w:rFonts w:ascii="Amiri" w:hAnsi="Amiri" w:eastAsia="Amiri" w:cs="Amiri"/>
          <w:color w:val="111111"/>
          <w:sz w:val="28"/>
          <w:sz w:val="28"/>
          <w:szCs w:val="28"/>
          <w:rtl w:val="true"/>
          <w:lang w:bidi="ar-SA"/>
        </w:rPr>
        <w:t>علَى الأُولىٰ و</w:t>
      </w:r>
      <w:r>
        <w:rPr>
          <w:rStyle w:val="FootnoteAnchor"/>
          <w:rtl w:val="true"/>
        </w:rPr>
        <w:footnoteReference w:id="1521"/>
      </w:r>
      <w:r>
        <w:rPr>
          <w:rFonts w:ascii="Amiri" w:hAnsi="Amiri" w:eastAsia="Amiri" w:cs="Amiri"/>
          <w:color w:val="111111"/>
          <w:sz w:val="28"/>
          <w:sz w:val="28"/>
          <w:szCs w:val="28"/>
          <w:rtl w:val="true"/>
          <w:lang w:bidi="ar-SA"/>
        </w:rPr>
        <w:t>تَزيدُ</w:t>
      </w:r>
      <w:r>
        <w:rPr>
          <w:rStyle w:val="FootnoteAnchor"/>
          <w:rtl w:val="true"/>
        </w:rPr>
        <w:footnoteReference w:id="1522"/>
      </w:r>
      <w:r>
        <w:rPr>
          <w:rFonts w:ascii="Amiri" w:hAnsi="Amiri" w:eastAsia="Amiri" w:cs="Amiri"/>
          <w:color w:val="111111"/>
          <w:sz w:val="28"/>
          <w:sz w:val="28"/>
          <w:szCs w:val="28"/>
          <w:rtl w:val="true"/>
          <w:lang w:bidi="ar-SA"/>
        </w:rPr>
        <w:t xml:space="preserve">عَلَيها، فكيفَ يَجوزُ أن يَكونَ </w:t>
      </w:r>
      <w:r>
        <w:rPr>
          <w:rStyle w:val="FootnoteAnchor"/>
          <w:rtl w:val="true"/>
        </w:rPr>
        <w:footnoteReference w:id="1523"/>
      </w:r>
      <w:r>
        <w:rPr>
          <w:rFonts w:ascii="Amiri" w:hAnsi="Amiri" w:eastAsia="Amiri" w:cs="Amiri"/>
          <w:color w:val="111111"/>
          <w:sz w:val="28"/>
          <w:sz w:val="28"/>
          <w:szCs w:val="28"/>
          <w:rtl w:val="true"/>
          <w:lang w:bidi="ar-SA"/>
        </w:rPr>
        <w:t>مع اشتمالِها علىٰ ما له كانَ الإمامُ إماماً و زيادتِها عليه تَحصُلُ لِمَن لَيسَ بإمامٍ؟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ما ذَكرَه ابنُ الراوَنديِّ و بَينَ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يَكونَ </w:t>
      </w:r>
    </w:p>
    <w:p>
      <w:pPr>
        <w:pStyle w:val="BookText"/>
        <w:rPr/>
      </w:pPr>
      <w:r>
        <w:rPr>
          <w:rFonts w:ascii="Amiri" w:hAnsi="Amiri" w:eastAsia="Amiri" w:cs="Amiri"/>
          <w:color w:val="111111"/>
          <w:sz w:val="28"/>
          <w:sz w:val="28"/>
          <w:szCs w:val="28"/>
          <w:rtl w:val="true"/>
          <w:lang w:bidi="ar-SA"/>
        </w:rPr>
        <w:t xml:space="preserve">الإمامُ غَيرَ نَبيٍّ لَجازَ أن يَكونَ النبيُّ غَيرَ إمامٍ‌، و لَو جازَ أن يَكونَ الأميرُ غَيرَ إمامٍ لَجازَ أن يَكونَ الإمامُ لا يَتَصرَّفُ </w:t>
      </w:r>
      <w:r>
        <w:rPr>
          <w:rStyle w:val="FootnoteAnchor"/>
          <w:rtl w:val="true"/>
        </w:rPr>
        <w:footnoteReference w:id="1524"/>
      </w:r>
      <w:r>
        <w:rPr>
          <w:rFonts w:ascii="Amiri" w:hAnsi="Amiri" w:eastAsia="Amiri" w:cs="Amiri"/>
          <w:color w:val="111111"/>
          <w:sz w:val="28"/>
          <w:sz w:val="28"/>
          <w:szCs w:val="28"/>
          <w:rtl w:val="true"/>
          <w:lang w:bidi="ar-SA"/>
        </w:rPr>
        <w:t xml:space="preserve">فيما يَليهِ الأُمَراءُ ، و لا يَشتَمِلُ وِلايَتُه علىٰ ما يَتَوَلّاهُ الأُمَراءُ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هذا يَفسُدُ مِن</w:t>
      </w:r>
      <w:r>
        <w:rPr>
          <w:rStyle w:val="FootnoteAnchor"/>
          <w:rtl w:val="true"/>
        </w:rPr>
        <w:footnoteReference w:id="1525"/>
      </w:r>
      <w:r>
        <w:rPr>
          <w:rFonts w:ascii="Amiri" w:hAnsi="Amiri" w:eastAsia="Amiri" w:cs="Amiri"/>
          <w:color w:val="111111"/>
          <w:sz w:val="28"/>
          <w:sz w:val="28"/>
          <w:szCs w:val="28"/>
          <w:rtl w:val="true"/>
          <w:lang w:bidi="ar-SA"/>
        </w:rPr>
        <w:t xml:space="preserve">الوجهِ الذي ذَكرناه، لَحِقَ به في الفَسادِ ما اعتَبَرَه ابنُ الراوَنديِّ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يُطاعُ فيما بَيَّنَ الشرعُ أنّه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فساقِطٌ بما</w:t>
      </w:r>
      <w:r>
        <w:rPr>
          <w:rStyle w:val="FootnoteAnchor"/>
          <w:rtl w:val="true"/>
        </w:rPr>
        <w:footnoteReference w:id="1526"/>
      </w:r>
      <w:r>
        <w:rPr>
          <w:rFonts w:ascii="Amiri" w:hAnsi="Amiri" w:eastAsia="Amiri" w:cs="Amiri"/>
          <w:color w:val="111111"/>
          <w:sz w:val="28"/>
          <w:sz w:val="28"/>
          <w:szCs w:val="28"/>
          <w:rtl w:val="true"/>
          <w:lang w:bidi="ar-SA"/>
        </w:rPr>
        <w:t>بيّنّاه في معنَى الاقتداءِ بالإمامِ ،</w:t>
      </w:r>
      <w:r>
        <w:rPr>
          <w:rStyle w:val="FootnoteAnchor"/>
          <w:rtl w:val="true"/>
        </w:rPr>
        <w:footnoteReference w:id="1527"/>
      </w:r>
      <w:r>
        <w:rPr>
          <w:rFonts w:ascii="Amiri" w:hAnsi="Amiri" w:eastAsia="Amiri" w:cs="Amiri"/>
          <w:color w:val="111111"/>
          <w:sz w:val="28"/>
          <w:sz w:val="28"/>
          <w:szCs w:val="28"/>
          <w:rtl w:val="true"/>
          <w:lang w:bidi="ar-SA"/>
        </w:rPr>
        <w:t>و أنّه لا بُدَّ مِن</w:t>
      </w:r>
      <w:r>
        <w:rPr>
          <w:rStyle w:val="FootnoteAnchor"/>
          <w:rtl w:val="true"/>
        </w:rPr>
        <w:footnoteReference w:id="1528"/>
      </w:r>
      <w:r>
        <w:rPr>
          <w:rFonts w:ascii="Amiri" w:hAnsi="Amiri" w:eastAsia="Amiri" w:cs="Amiri"/>
          <w:color w:val="111111"/>
          <w:sz w:val="28"/>
          <w:sz w:val="28"/>
          <w:szCs w:val="28"/>
          <w:rtl w:val="true"/>
          <w:lang w:bidi="ar-SA"/>
        </w:rPr>
        <w:t>أن يَكونَ مُقتَدىً به مِن حَيثُ قالَ و فَعَلَ ، و فيما يَكونُ قَولُه و فِعلُه حُجّةً فيه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لَسنا نَجعَلُه إماماً مِن حَيثُ يُتَّبَعُ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بأنّ الإمامَ لا بُدَّ أن يَكونَ إماماً في سائرِ الدِّينِ ، فما خَرَجَ مِن أن يَكونَ مُتَّبَعاً فيه مِن الدِّينِ يَخرُجُ مِن أن يَكونَ إماماً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لا خِلافَ فيها؛ يَعني أنّ الإمامَ إمامٌ في جميعِ الدِّينِ ، و إنّما الخِلافُ في كيفيّةِ الائتمامِ به و الاتّباعِ له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أن يُنازِعَ فيها؛ لأنّ المُنازَعةَ في هذا</w:t>
      </w:r>
      <w:r>
        <w:rPr>
          <w:rStyle w:val="FootnoteAnchor"/>
          <w:rtl w:val="true"/>
        </w:rPr>
        <w:footnoteReference w:id="1530"/>
      </w:r>
      <w:r>
        <w:rPr>
          <w:rFonts w:ascii="Amiri" w:hAnsi="Amiri" w:eastAsia="Amiri" w:cs="Amiri"/>
          <w:color w:val="111111"/>
          <w:sz w:val="28"/>
          <w:sz w:val="28"/>
          <w:szCs w:val="28"/>
          <w:rtl w:val="true"/>
          <w:lang w:bidi="ar-SA"/>
        </w:rPr>
        <w:t xml:space="preserve">الإطلاقِ خَرقٌ للإجماعِ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كُنّا قد بيّنّا معنَى الاقتداءِ به، و دَلَّلنا علىٰ أنّه لا بُدَّ أن يَكونَ علَى الوجهِ الذي </w:t>
      </w:r>
    </w:p>
    <w:p>
      <w:pPr>
        <w:pStyle w:val="BookText"/>
        <w:rPr/>
      </w:pPr>
      <w:r>
        <w:rPr>
          <w:rFonts w:ascii="Amiri" w:hAnsi="Amiri" w:eastAsia="Amiri" w:cs="Amiri"/>
          <w:color w:val="111111"/>
          <w:sz w:val="28"/>
          <w:sz w:val="28"/>
          <w:szCs w:val="28"/>
          <w:rtl w:val="true"/>
          <w:lang w:bidi="ar-SA"/>
        </w:rPr>
        <w:t>قَدَّرناه، ثَبَتَ أنّ الإمامَ لا بُدَّ أن يَكونَ مُتَّبَعاً و مُقتَدىً به</w:t>
      </w:r>
      <w:r>
        <w:rPr>
          <w:rStyle w:val="FootnoteAnchor"/>
          <w:rtl w:val="true"/>
        </w:rPr>
        <w:footnoteReference w:id="1531"/>
      </w:r>
      <w:r>
        <w:rPr>
          <w:rFonts w:ascii="Amiri" w:hAnsi="Amiri" w:eastAsia="Amiri" w:cs="Amiri"/>
          <w:color w:val="111111"/>
          <w:sz w:val="28"/>
          <w:sz w:val="28"/>
          <w:szCs w:val="28"/>
          <w:rtl w:val="true"/>
          <w:lang w:bidi="ar-SA"/>
        </w:rPr>
        <w:t>في جميعِ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تُخُطِّيَ‌</w:t>
      </w:r>
      <w:r>
        <w:rPr>
          <w:rStyle w:val="FootnoteAnchor"/>
          <w:rtl w:val="true"/>
        </w:rPr>
        <w:footnoteReference w:id="1532"/>
      </w:r>
      <w:r>
        <w:rPr>
          <w:rFonts w:ascii="Amiri" w:hAnsi="Amiri" w:eastAsia="Amiri" w:cs="Amiri"/>
          <w:color w:val="111111"/>
          <w:sz w:val="28"/>
          <w:sz w:val="28"/>
          <w:szCs w:val="28"/>
          <w:rtl w:val="true"/>
          <w:lang w:bidi="ar-SA"/>
        </w:rPr>
        <w:t xml:space="preserve">معه هذا المَوضِعُ‌، و سُلِّمَ </w:t>
      </w:r>
      <w:r>
        <w:rPr>
          <w:rStyle w:val="FootnoteAnchor"/>
          <w:rtl w:val="true"/>
        </w:rPr>
        <w:footnoteReference w:id="1533"/>
      </w:r>
      <w:r>
        <w:rPr>
          <w:rFonts w:ascii="Amiri" w:hAnsi="Amiri" w:eastAsia="Amiri" w:cs="Amiri"/>
          <w:color w:val="111111"/>
          <w:sz w:val="28"/>
          <w:sz w:val="28"/>
          <w:szCs w:val="28"/>
          <w:rtl w:val="true"/>
          <w:lang w:bidi="ar-SA"/>
        </w:rPr>
        <w:t xml:space="preserve">أنّ الإمامَ يَكونُ إماماً في بعضِ الدِّينِ ، لَم يُخِلَّ ذلكَ بما قَصَدناه مِن دليلِ العصمةِ ؛ لأنّه إذا كانَ مُتَّبَعاً في بعضِ الدِّينِ و مُقتَدىً به، و كانَ الاقتداءُ به لا بُدَّ أن يَكونَ علَى الوجهِ الذي ذَكرناه و أَفسَدنا ما عَداه، وجَبَت عصمتُه، و إلّاأدّىٰ ذلكَ إلىٰ أنّ اللّٰهَ تَعالىٰ يَجوزُ أن يَتعبَّدَنا بفِعلِ القَبيحِ علىٰ 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عن أبي بَكرٍ مِن الخبرِ الذي استَدَلَّ به علىٰ أنّه لَيسَ بمعصومٍ ، و أنّ طاعتَه تَجِبُ ما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يَلزَمُ مَن</w:t>
      </w:r>
      <w:r>
        <w:rPr>
          <w:rStyle w:val="FootnoteAnchor"/>
          <w:rtl w:val="true"/>
        </w:rPr>
        <w:footnoteReference w:id="1534"/>
      </w:r>
      <w:r>
        <w:rPr>
          <w:rFonts w:ascii="Amiri" w:hAnsi="Amiri" w:eastAsia="Amiri" w:cs="Amiri"/>
          <w:color w:val="111111"/>
          <w:sz w:val="28"/>
          <w:sz w:val="28"/>
          <w:szCs w:val="28"/>
          <w:rtl w:val="true"/>
          <w:lang w:bidi="ar-SA"/>
        </w:rPr>
        <w:t xml:space="preserve">جَمَعَ </w:t>
      </w:r>
      <w:r>
        <w:rPr>
          <w:rStyle w:val="FootnoteAnchor"/>
          <w:rtl w:val="true"/>
        </w:rPr>
        <w:footnoteReference w:id="1535"/>
      </w:r>
      <w:r>
        <w:rPr>
          <w:rFonts w:ascii="Amiri" w:hAnsi="Amiri" w:eastAsia="Amiri" w:cs="Amiri"/>
          <w:color w:val="111111"/>
          <w:sz w:val="28"/>
          <w:sz w:val="28"/>
          <w:szCs w:val="28"/>
          <w:rtl w:val="true"/>
          <w:lang w:bidi="ar-SA"/>
        </w:rPr>
        <w:t xml:space="preserve">بَينَ القَولِ بإمامةِ أبي بَكرٍ و الاستدلالِ بالطريقةِ التي ذَكرناها، و معلومٌ أنّا لا نَجمَعُ بَينَ الأمرَينِ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طريقةُ أميرِ المؤمنينَ عليه السلامُ فيما كانَ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علَى الدَّعوىٰ‌، و لَم يَذكُرْ روايةً عنه عليه السلامُ تَقتَضي</w:t>
      </w:r>
      <w:r>
        <w:rPr>
          <w:rStyle w:val="FootnoteAnchor"/>
          <w:rtl w:val="true"/>
        </w:rPr>
        <w:footnoteReference w:id="1536"/>
      </w:r>
      <w:r>
        <w:rPr>
          <w:rFonts w:ascii="Amiri" w:hAnsi="Amiri" w:eastAsia="Amiri" w:cs="Amiri"/>
          <w:color w:val="111111"/>
          <w:sz w:val="28"/>
          <w:sz w:val="28"/>
          <w:szCs w:val="28"/>
          <w:rtl w:val="true"/>
          <w:lang w:bidi="ar-SA"/>
        </w:rPr>
        <w:t>ذلكَ ، و لا دَلالةً فنَتكلَّمَ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يؤمِنُنا ممّا ظَنَّه قيامُ الدَّلالةِ علىٰ إمامتِه عليه السلامُ </w:t>
      </w:r>
      <w:r>
        <w:rPr>
          <w:rStyle w:val="FootnoteAnchor"/>
          <w:rtl w:val="true"/>
        </w:rPr>
        <w:footnoteReference w:id="1537"/>
      </w:r>
      <w:r>
        <w:rPr>
          <w:rFonts w:ascii="Amiri" w:hAnsi="Amiri" w:eastAsia="Amiri" w:cs="Amiri"/>
          <w:color w:val="111111"/>
          <w:sz w:val="28"/>
          <w:sz w:val="28"/>
          <w:szCs w:val="28"/>
          <w:rtl w:val="true"/>
          <w:lang w:bidi="ar-SA"/>
        </w:rPr>
        <w:t>، و قيامُها علىٰ أنّ الإمامَ لا بُدَّ أن يَكونَ معصوماً</w:t>
      </w:r>
      <w:r>
        <w:rPr>
          <w:rStyle w:val="FootnoteAnchor"/>
          <w:rtl w:val="true"/>
        </w:rPr>
        <w:footnoteReference w:id="1538"/>
      </w:r>
      <w:r>
        <w:rPr>
          <w:rFonts w:ascii="Amiri" w:hAnsi="Amiri" w:eastAsia="Amiri" w:cs="Amiri"/>
          <w:color w:val="111111"/>
          <w:sz w:val="28"/>
          <w:sz w:val="28"/>
          <w:szCs w:val="28"/>
          <w:rtl w:val="true"/>
          <w:lang w:bidi="ar-SA"/>
        </w:rPr>
        <w:t>مُقتَدىً به</w:t>
      </w:r>
      <w:r>
        <w:rPr>
          <w:rStyle w:val="FootnoteAnchor"/>
          <w:rtl w:val="true"/>
        </w:rPr>
        <w:footnoteReference w:id="1539"/>
      </w:r>
      <w:r>
        <w:rPr>
          <w:rFonts w:ascii="Amiri" w:hAnsi="Amiri" w:eastAsia="Amiri" w:cs="Amiri"/>
          <w:color w:val="111111"/>
          <w:sz w:val="28"/>
          <w:sz w:val="28"/>
          <w:szCs w:val="28"/>
          <w:rtl w:val="true"/>
          <w:lang w:bidi="ar-SA"/>
        </w:rPr>
        <w:t xml:space="preserve">في جميعِ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إذا دَعا قَوماً إلىٰ مُحارَبةٍ أو غيرِها</w:t>
      </w:r>
      <w:r>
        <w:rPr>
          <w:rStyle w:val="FootnoteAnchor"/>
          <w:rtl w:val="true"/>
        </w:rPr>
        <w:footnoteReference w:id="1540"/>
      </w:r>
      <w:r>
        <w:rPr>
          <w:rFonts w:ascii="Amiri" w:hAnsi="Amiri" w:eastAsia="Amiri" w:cs="Amiri"/>
          <w:color w:val="111111"/>
          <w:sz w:val="28"/>
          <w:sz w:val="28"/>
          <w:szCs w:val="28"/>
          <w:rtl w:val="true"/>
          <w:lang w:bidi="ar-SA"/>
        </w:rPr>
        <w:t>و هُم لا يَعلَمونَ‌</w:t>
      </w:r>
      <w:r>
        <w:rPr>
          <w:rStyle w:val="FootnoteAnchor"/>
          <w:rtl w:val="true"/>
        </w:rPr>
        <w:footnoteReference w:id="1541"/>
      </w:r>
      <w:r>
        <w:rPr>
          <w:rFonts w:ascii="Amiri" w:hAnsi="Amiri" w:eastAsia="Amiri" w:cs="Amiri"/>
          <w:color w:val="111111"/>
          <w:sz w:val="28"/>
          <w:sz w:val="28"/>
          <w:szCs w:val="28"/>
          <w:rtl w:val="true"/>
          <w:lang w:bidi="ar-SA"/>
        </w:rPr>
        <w:t>وجهَها؛ أيَلزَمُ‌</w:t>
      </w:r>
      <w:r>
        <w:rPr>
          <w:rStyle w:val="FootnoteAnchor"/>
          <w:rtl w:val="true"/>
        </w:rPr>
        <w:footnoteReference w:id="1542"/>
      </w:r>
      <w:r>
        <w:rPr>
          <w:rFonts w:ascii="Amiri" w:hAnsi="Amiri" w:eastAsia="Amiri" w:cs="Amiri"/>
          <w:color w:val="111111"/>
          <w:sz w:val="28"/>
          <w:sz w:val="28"/>
          <w:szCs w:val="28"/>
          <w:rtl w:val="true"/>
          <w:lang w:bidi="ar-SA"/>
        </w:rPr>
        <w:t>طاعتُه‌؟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معصوماً؛ لأنّه إن لَم يَكُن كذلكَ جازَ فيما يأمُرُ به أن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قَبيحاً فالقائلُ بقَولِه و المُطيعُ له فاعلٌ للحَسَنِ‌؛ لأنّه لا يَمتَنِعُ فيما حَلَّ هذا المَحَلَّ أن يَكونَ حَسَناً، و أن لا</w:t>
      </w:r>
    </w:p>
    <w:p>
      <w:pPr>
        <w:pStyle w:val="BookText"/>
        <w:rPr/>
      </w:pPr>
      <w:r>
        <w:rPr>
          <w:rFonts w:ascii="Amiri" w:hAnsi="Amiri" w:eastAsia="Amiri" w:cs="Amiri"/>
          <w:color w:val="111111"/>
          <w:sz w:val="28"/>
          <w:sz w:val="28"/>
          <w:szCs w:val="28"/>
          <w:rtl w:val="true"/>
          <w:lang w:bidi="ar-SA"/>
        </w:rPr>
        <w:t>يَتبَعَ في القَبيحِ حالُ الآمِرِ و المُتَّبَعِ‌</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كُلِّفَ العَبدُ أن يُطيعَ مَولاه فيما لا يَعلَمُه قَبيحاً و إن كانَ لا يَمتَنِعُ أن يأمُرَه بالقَبيحِ ، لكِنّه بما يَفعَلُه</w:t>
      </w:r>
      <w:r>
        <w:rPr>
          <w:rStyle w:val="FootnoteAnchor"/>
          <w:rtl w:val="true"/>
        </w:rPr>
        <w:footnoteReference w:id="1544"/>
      </w:r>
      <w:r>
        <w:rPr>
          <w:rFonts w:ascii="Amiri" w:hAnsi="Amiri" w:eastAsia="Amiri" w:cs="Amiri"/>
          <w:color w:val="111111"/>
          <w:sz w:val="28"/>
          <w:sz w:val="28"/>
          <w:szCs w:val="28"/>
          <w:rtl w:val="true"/>
          <w:lang w:bidi="ar-SA"/>
        </w:rPr>
        <w:t xml:space="preserve">مُقدِمٌ </w:t>
      </w:r>
      <w:r>
        <w:rPr>
          <w:rStyle w:val="FootnoteAnchor"/>
          <w:rtl w:val="true"/>
        </w:rPr>
        <w:footnoteReference w:id="1545"/>
      </w:r>
      <w:r>
        <w:rPr>
          <w:rFonts w:ascii="Amiri" w:hAnsi="Amiri" w:eastAsia="Amiri" w:cs="Amiri"/>
          <w:color w:val="111111"/>
          <w:sz w:val="28"/>
          <w:sz w:val="28"/>
          <w:szCs w:val="28"/>
          <w:rtl w:val="true"/>
          <w:lang w:bidi="ar-SA"/>
        </w:rPr>
        <w:t xml:space="preserve">علىٰ حَسَنٍ مِن حَيثُ يَفعَلُه، لا علَى الوجهِ الذي يَقبُحُ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القَولُ في رَعيّةِ الإمامِ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يَقَعَ الفِعلُ قَبيحاً علىٰ وَجهٍ مِن بعضِ الفاعِلينَ ، و يَقَعَ علىٰ ذلكَ الوجهِ مِن فاعلٍ آخَرَ فلا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فالمُحارَبةُ إذا دَعا الإمامُ إليها و فَعَلَها </w:t>
      </w:r>
    </w:p>
    <w:p>
      <w:pPr>
        <w:pStyle w:val="BookText"/>
        <w:rPr/>
      </w:pPr>
      <w:r>
        <w:rPr>
          <w:rFonts w:ascii="Amiri" w:hAnsi="Amiri" w:eastAsia="Amiri" w:cs="Amiri"/>
          <w:color w:val="111111"/>
          <w:sz w:val="28"/>
          <w:sz w:val="28"/>
          <w:szCs w:val="28"/>
          <w:rtl w:val="true"/>
          <w:lang w:bidi="ar-SA"/>
        </w:rPr>
        <w:t>و كانَت قَبيحةً مِنه، فلَم تَقبُحْ مِنه لأنّه عالِمٌ بقُبحِها، بَل لأنّه متمكِّنٌ مِن العِلمِ بذلكَ‌؛ لأنّ التمكُّنَ في هذا البابِ يَقومُ مَقامَ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رَعيّةُ الإمامِ إذا كانوا متمكِّنينَ مِن العِلمِ بقُبحِ المُحارَبةِ و ما يَعودُ بها</w:t>
      </w:r>
      <w:r>
        <w:rPr>
          <w:rStyle w:val="FootnoteAnchor"/>
          <w:rtl w:val="true"/>
        </w:rPr>
        <w:footnoteReference w:id="1547"/>
      </w:r>
      <w:r>
        <w:rPr>
          <w:rFonts w:ascii="Amiri" w:hAnsi="Amiri" w:eastAsia="Amiri" w:cs="Amiri"/>
          <w:color w:val="111111"/>
          <w:sz w:val="28"/>
          <w:sz w:val="28"/>
          <w:szCs w:val="28"/>
          <w:rtl w:val="true"/>
          <w:lang w:bidi="ar-SA"/>
        </w:rPr>
        <w:t>مِن الفَسادِ في الدِّينِ قَبُحَت</w:t>
      </w:r>
      <w:r>
        <w:rPr>
          <w:rStyle w:val="FootnoteAnchor"/>
          <w:rtl w:val="true"/>
        </w:rPr>
        <w:footnoteReference w:id="1548"/>
      </w:r>
      <w:r>
        <w:rPr>
          <w:rFonts w:ascii="Amiri" w:hAnsi="Amiri" w:eastAsia="Amiri" w:cs="Amiri"/>
          <w:color w:val="111111"/>
          <w:sz w:val="28"/>
          <w:sz w:val="28"/>
          <w:szCs w:val="28"/>
          <w:rtl w:val="true"/>
          <w:lang w:bidi="ar-SA"/>
        </w:rPr>
        <w:t>مِنهم و إن لَم يَعلَموا وَجهَها في الحالِ‌؛ لأنّ تَمكُّنَهم مِن العِلمِ بقُبحِها يَجري مَجرىٰ عِلمِهم بذلكَ‌، وَ لا بُدَّ</w:t>
      </w:r>
      <w:r>
        <w:rPr>
          <w:rStyle w:val="FootnoteAnchor"/>
          <w:rtl w:val="true"/>
        </w:rPr>
        <w:footnoteReference w:id="1549"/>
      </w:r>
      <w:r>
        <w:rPr>
          <w:rFonts w:ascii="Amiri" w:hAnsi="Amiri" w:eastAsia="Amiri" w:cs="Amiri"/>
          <w:color w:val="111111"/>
          <w:sz w:val="28"/>
          <w:sz w:val="28"/>
          <w:szCs w:val="28"/>
          <w:rtl w:val="true"/>
          <w:lang w:bidi="ar-SA"/>
        </w:rPr>
        <w:t>أن يَكونوا متمكِّنينَ‌؛ فكيفَ تَكونُ‌</w:t>
      </w:r>
      <w:r>
        <w:rPr>
          <w:rStyle w:val="FootnoteAnchor"/>
          <w:rtl w:val="true"/>
        </w:rPr>
        <w:footnoteReference w:id="1550"/>
      </w:r>
      <w:r>
        <w:rPr>
          <w:rFonts w:ascii="Amiri" w:hAnsi="Amiri" w:eastAsia="Amiri" w:cs="Amiri"/>
          <w:color w:val="111111"/>
          <w:sz w:val="28"/>
          <w:sz w:val="28"/>
          <w:szCs w:val="28"/>
          <w:rtl w:val="true"/>
          <w:lang w:bidi="ar-SA"/>
        </w:rPr>
        <w:t>المُحارَبةُ قَبيحةً مِنه غَيرَ</w:t>
      </w:r>
      <w:r>
        <w:rPr>
          <w:rStyle w:val="FootnoteAnchor"/>
          <w:rtl w:val="true"/>
        </w:rPr>
        <w:footnoteReference w:id="1551"/>
      </w:r>
      <w:r>
        <w:rPr>
          <w:rFonts w:ascii="Amiri" w:hAnsi="Amiri" w:eastAsia="Amiri" w:cs="Amiri"/>
          <w:color w:val="111111"/>
          <w:sz w:val="28"/>
          <w:sz w:val="28"/>
          <w:szCs w:val="28"/>
          <w:rtl w:val="true"/>
          <w:lang w:bidi="ar-SA"/>
        </w:rPr>
        <w:t>قَبيحةٍ مِنهم علىٰ هذا؟</w:t>
      </w:r>
    </w:p>
    <w:p>
      <w:pPr>
        <w:pStyle w:val="BookText"/>
        <w:rPr/>
      </w:pPr>
      <w:r>
        <w:rPr>
          <w:rFonts w:ascii="Amiri" w:hAnsi="Amiri" w:eastAsia="Amiri" w:cs="Amiri"/>
          <w:color w:val="111111"/>
          <w:sz w:val="28"/>
          <w:sz w:val="28"/>
          <w:szCs w:val="28"/>
          <w:rtl w:val="true"/>
          <w:lang w:bidi="ar-SA"/>
        </w:rPr>
        <w:t>و لَو سَلَّمنا جَوازَ كَونِهم غَيرَ متمكِّنينَ مِن العِلمِ بحالِ المحارَبةِ في القُبحِ‌</w:t>
      </w:r>
      <w:r>
        <w:rPr>
          <w:rStyle w:val="FootnoteAnchor"/>
          <w:rtl w:val="true"/>
        </w:rPr>
        <w:footnoteReference w:id="1552"/>
      </w:r>
      <w:r>
        <w:rPr>
          <w:rFonts w:ascii="Amiri" w:hAnsi="Amiri" w:eastAsia="Amiri" w:cs="Amiri"/>
          <w:color w:val="111111"/>
          <w:sz w:val="28"/>
          <w:sz w:val="28"/>
          <w:szCs w:val="28"/>
          <w:rtl w:val="true"/>
          <w:lang w:bidi="ar-SA"/>
        </w:rPr>
        <w:t>و الحُسنِ‌</w:t>
      </w:r>
      <w:r>
        <w:rPr>
          <w:rStyle w:val="FootnoteAnchor"/>
          <w:rtl w:val="true"/>
        </w:rPr>
        <w:footnoteReference w:id="1553"/>
      </w:r>
      <w:r>
        <w:rPr>
          <w:rFonts w:ascii="Amiri" w:hAnsi="Amiri" w:eastAsia="Amiri" w:cs="Amiri"/>
          <w:color w:val="111111"/>
          <w:sz w:val="28"/>
          <w:sz w:val="28"/>
          <w:szCs w:val="28"/>
          <w:rtl w:val="true"/>
          <w:lang w:bidi="ar-SA"/>
        </w:rPr>
        <w:t>، لَم يَكُن ذلكَ مُخِلاًّ بما قَصَدناه؛ لأنّ كلامَنا فيما تَمكَّنوا مِن العِلمِ بحالِه مِن جُملةِ ما دَعاهُم الإمامُ إلىٰ فِعلِه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استَقامَ له أيضاً ما أرادَه في المُحارَبةِ ، لَم يَستَقِمْ له مِثلُه في غَيرِها مِن أُمورِ الدِّينِ ؛ لأنّ الإمامَ لا بُدَّ أن يَكونَ إماماً في سائرِ الدِّينِ ، و مُقتَدىً به في جميعِه</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معلوماً للرَّعيّةِ وَجهُه، و ما لَم يَكُن معلوماً لهُم؛ علىٰ ما دَلَّلنا عليه مِن قَبلُ </w:t>
      </w:r>
      <w:r>
        <w:rPr>
          <w:rStyle w:val="FootnoteAnchor"/>
          <w:rtl w:val="true"/>
        </w:rPr>
        <w:footnoteReference w:id="1555"/>
      </w:r>
      <w:r>
        <w:rPr>
          <w:rFonts w:ascii="Amiri" w:hAnsi="Amiri" w:eastAsia="Amiri" w:cs="Amiri"/>
          <w:color w:val="111111"/>
          <w:sz w:val="28"/>
          <w:sz w:val="28"/>
          <w:szCs w:val="28"/>
          <w:rtl w:val="true"/>
          <w:lang w:bidi="ar-SA"/>
        </w:rPr>
        <w:t>فيَلزَمُ علىٰ هذا</w:t>
      </w:r>
      <w:r>
        <w:rPr>
          <w:rStyle w:val="FootnoteAnchor"/>
          <w:rtl w:val="true"/>
        </w:rPr>
        <w:footnoteReference w:id="1556"/>
      </w:r>
      <w:r>
        <w:rPr>
          <w:rFonts w:ascii="Amiri" w:hAnsi="Amiri" w:eastAsia="Amiri" w:cs="Amiri"/>
          <w:color w:val="111111"/>
          <w:sz w:val="28"/>
          <w:sz w:val="28"/>
          <w:szCs w:val="28"/>
          <w:rtl w:val="true"/>
          <w:lang w:bidi="ar-SA"/>
        </w:rPr>
        <w:t xml:space="preserve">أنْ لَو دَعاهُم إلىٰ غَيرِ المُحارَبةِ ممّا </w:t>
      </w:r>
      <w:bookmarkStart w:id="250" w:name="pg20015_284901"/>
    </w:p>
    <w:p>
      <w:pPr>
        <w:pStyle w:val="BookText"/>
        <w:rPr/>
      </w:pPr>
      <w:bookmarkEnd w:id="250"/>
      <w:r>
        <w:rPr>
          <w:rFonts w:ascii="Amiri" w:hAnsi="Amiri" w:eastAsia="Amiri" w:cs="Amiri"/>
          <w:color w:val="111111"/>
          <w:sz w:val="28"/>
          <w:sz w:val="28"/>
          <w:szCs w:val="28"/>
          <w:rtl w:val="true"/>
          <w:lang w:bidi="ar-SA"/>
        </w:rPr>
        <w:t>لا يُمكِنُ‌</w:t>
      </w:r>
      <w:r>
        <w:rPr>
          <w:rStyle w:val="FootnoteAnchor"/>
          <w:rtl w:val="true"/>
        </w:rPr>
        <w:footnoteReference w:id="1557"/>
      </w:r>
      <w:r>
        <w:rPr>
          <w:rFonts w:ascii="Amiri" w:hAnsi="Amiri" w:eastAsia="Amiri" w:cs="Amiri"/>
          <w:color w:val="111111"/>
          <w:sz w:val="28"/>
          <w:sz w:val="28"/>
          <w:szCs w:val="28"/>
          <w:rtl w:val="true"/>
          <w:lang w:bidi="ar-SA"/>
        </w:rPr>
        <w:t>صاحبَ الكتابِ أن يَدَّعيَ كَونَه حَسَناً مِنهم، أن يَلزَمَ‌</w:t>
      </w:r>
      <w:r>
        <w:rPr>
          <w:rStyle w:val="FootnoteAnchor"/>
          <w:rtl w:val="true"/>
        </w:rPr>
        <w:footnoteReference w:id="1558"/>
      </w:r>
      <w:r>
        <w:rPr>
          <w:rFonts w:ascii="Amiri" w:hAnsi="Amiri" w:eastAsia="Amiri" w:cs="Amiri"/>
          <w:color w:val="111111"/>
          <w:sz w:val="28"/>
          <w:sz w:val="28"/>
          <w:szCs w:val="28"/>
          <w:rtl w:val="true"/>
          <w:lang w:bidi="ar-SA"/>
        </w:rPr>
        <w:t>طاعتُه و الانقيادُ لأمرِه</w:t>
      </w:r>
      <w:r>
        <w:rPr>
          <w:rStyle w:val="FootnoteAnchor"/>
          <w:rtl w:val="true"/>
        </w:rPr>
        <w:footnoteReference w:id="1559"/>
      </w:r>
      <w:r>
        <w:rPr>
          <w:rFonts w:ascii="Amiri" w:hAnsi="Amiri" w:eastAsia="Amiri" w:cs="Amiri"/>
          <w:color w:val="111111"/>
          <w:sz w:val="28"/>
          <w:sz w:val="28"/>
          <w:szCs w:val="28"/>
          <w:rtl w:val="true"/>
          <w:lang w:bidi="ar-SA"/>
        </w:rPr>
        <w:t>مِن حَيثُ وَجَبَ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العبدُ فلَم يُكلَّفْ طاعةَ مَولاه</w:t>
      </w:r>
      <w:r>
        <w:rPr>
          <w:rStyle w:val="FootnoteAnchor"/>
          <w:rtl w:val="true"/>
        </w:rPr>
        <w:footnoteReference w:id="1560"/>
      </w:r>
      <w:r>
        <w:rPr>
          <w:rFonts w:ascii="Amiri" w:hAnsi="Amiri" w:eastAsia="Amiri" w:cs="Amiri"/>
          <w:color w:val="111111"/>
          <w:sz w:val="28"/>
          <w:sz w:val="28"/>
          <w:szCs w:val="28"/>
          <w:rtl w:val="true"/>
          <w:lang w:bidi="ar-SA"/>
        </w:rPr>
        <w:t>فيما لا يَعلَمُه قَبيحاً ممّا يَتَمَكَّنُ‌</w:t>
      </w:r>
      <w:r>
        <w:rPr>
          <w:rStyle w:val="FootnoteAnchor"/>
          <w:rtl w:val="true"/>
        </w:rPr>
        <w:footnoteReference w:id="1561"/>
      </w:r>
      <w:r>
        <w:rPr>
          <w:rFonts w:ascii="Amiri" w:hAnsi="Amiri" w:eastAsia="Amiri" w:cs="Amiri"/>
          <w:color w:val="111111"/>
          <w:sz w:val="28"/>
          <w:sz w:val="28"/>
          <w:szCs w:val="28"/>
          <w:rtl w:val="true"/>
          <w:lang w:bidi="ar-SA"/>
        </w:rPr>
        <w:t>مِن العِلمِ بقُبحِه، و حُكمُ ما يَتمكَّنُ مِن العِلمِ بقُبحِه حُكمُ ما يَعلَمُه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سَبيلَ له</w:t>
      </w:r>
      <w:r>
        <w:rPr>
          <w:rStyle w:val="FootnoteAnchor"/>
          <w:rtl w:val="true"/>
        </w:rPr>
        <w:footnoteReference w:id="1562"/>
      </w:r>
      <w:r>
        <w:rPr>
          <w:rFonts w:ascii="Amiri" w:hAnsi="Amiri" w:eastAsia="Amiri" w:cs="Amiri"/>
          <w:color w:val="111111"/>
          <w:sz w:val="28"/>
          <w:sz w:val="28"/>
          <w:szCs w:val="28"/>
          <w:rtl w:val="true"/>
          <w:lang w:bidi="ar-SA"/>
        </w:rPr>
        <w:t xml:space="preserve">إلَى العِلمِ </w:t>
      </w:r>
      <w:r>
        <w:rPr>
          <w:rStyle w:val="FootnoteAnchor"/>
          <w:rtl w:val="true"/>
        </w:rPr>
        <w:footnoteReference w:id="1563"/>
      </w:r>
      <w:r>
        <w:rPr>
          <w:rFonts w:ascii="Amiri" w:hAnsi="Amiri" w:eastAsia="Amiri" w:cs="Amiri"/>
          <w:color w:val="111111"/>
          <w:sz w:val="28"/>
          <w:sz w:val="28"/>
          <w:szCs w:val="28"/>
          <w:rtl w:val="true"/>
          <w:lang w:bidi="ar-SA"/>
        </w:rPr>
        <w:t xml:space="preserve">بحالِه، فيَجوزُ أن لا يَقْبُحَ مِنه و إن قَبُحَ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هذه حالَ الإمامِ ؛ لأنّ كلامَنا علىٰ ما أُمِرنا باتّباعِه فيه ممّا نَتمكَّنُ </w:t>
      </w:r>
      <w:r>
        <w:rPr>
          <w:rStyle w:val="FootnoteAnchor"/>
          <w:rtl w:val="true"/>
        </w:rPr>
        <w:footnoteReference w:id="1564"/>
      </w:r>
      <w:r>
        <w:rPr>
          <w:rFonts w:ascii="Amiri" w:hAnsi="Amiri" w:eastAsia="Amiri" w:cs="Amiri"/>
          <w:color w:val="111111"/>
          <w:sz w:val="28"/>
          <w:sz w:val="28"/>
          <w:szCs w:val="28"/>
          <w:rtl w:val="true"/>
          <w:lang w:bidi="ar-SA"/>
        </w:rPr>
        <w:t>مِن العِلمِ بحالِه، فلا بُدَّ أن يَكونَ القَبيحُ مِنه قَبيحاً مِنّا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894899_2320776876"/>
      <w:bookmarkStart w:id="252" w:name="_Toc91"/>
      <w:bookmarkEnd w:id="251"/>
      <w:r>
        <w:rPr>
          <w:rtl w:val="true"/>
        </w:rPr>
        <w:t>بيان الفرق بين الإمامة و إمامة الصلاة</w:t>
      </w:r>
      <w:bookmarkEnd w:id="25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w:t>
      </w:r>
      <w:r>
        <w:rPr>
          <w:rStyle w:val="FootnoteAnchor"/>
          <w:rtl w:val="true"/>
        </w:rPr>
        <w:footnoteReference w:id="1565"/>
      </w:r>
      <w:r>
        <w:rPr>
          <w:rFonts w:ascii="Amiri" w:hAnsi="Amiri" w:eastAsia="Amiri" w:cs="Amiri"/>
          <w:color w:val="111111"/>
          <w:sz w:val="28"/>
          <w:sz w:val="28"/>
          <w:szCs w:val="28"/>
          <w:rtl w:val="true"/>
          <w:lang w:bidi="ar-SA"/>
        </w:rPr>
        <w:t xml:space="preserve">أيضاً أنّه يَلزَمُ المأمومَ في الصلاةِ أن يَتَّبِعَ الإمامَ إذا لَم يَعلَمْ صَلاتَه فاسدةً </w:t>
      </w:r>
      <w:r>
        <w:rPr>
          <w:rStyle w:val="FootnoteAnchor"/>
          <w:rtl w:val="true"/>
        </w:rPr>
        <w:footnoteReference w:id="1566"/>
      </w:r>
      <w:r>
        <w:rPr>
          <w:rFonts w:ascii="Amiri" w:hAnsi="Amiri" w:eastAsia="Amiri" w:cs="Amiri"/>
          <w:color w:val="111111"/>
          <w:sz w:val="28"/>
          <w:sz w:val="28"/>
          <w:szCs w:val="28"/>
          <w:rtl w:val="true"/>
          <w:lang w:bidi="ar-SA"/>
        </w:rPr>
        <w:t xml:space="preserve">، و لا يَخرُجُ مِن أن يَكونَ مُطيعاً و إن جوَّزَ في صَلاةِ الإمامِ أن تَكونَ قَبيحةً ؛ لأنّه إنّما كُلِّفَ أن يَلزَمَ اتّباعَه في أركانِ الصلاةِ ، </w:t>
      </w:r>
    </w:p>
    <w:p>
      <w:pPr>
        <w:pStyle w:val="BookText"/>
        <w:rPr/>
      </w:pPr>
      <w:r>
        <w:rPr>
          <w:rFonts w:ascii="Amiri" w:hAnsi="Amiri" w:eastAsia="Amiri" w:cs="Amiri"/>
          <w:color w:val="111111"/>
          <w:sz w:val="28"/>
          <w:sz w:val="28"/>
          <w:szCs w:val="28"/>
          <w:rtl w:val="true"/>
          <w:lang w:bidi="ar-SA"/>
        </w:rPr>
        <w:t>و لَم يُكلَّفْ أن يَعلَمَ باطنَ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Style w:val="FootnoteAnchor"/>
          <w:rtl w:val="true"/>
        </w:rPr>
        <w:footnoteReference w:id="1567"/>
      </w:r>
      <w:r>
        <w:rPr>
          <w:rFonts w:ascii="Amiri" w:hAnsi="Amiri" w:eastAsia="Amiri" w:cs="Amiri"/>
          <w:color w:val="111111"/>
          <w:sz w:val="28"/>
          <w:sz w:val="28"/>
          <w:szCs w:val="28"/>
          <w:rtl w:val="true"/>
          <w:lang w:bidi="ar-SA"/>
        </w:rPr>
        <w:t xml:space="preserve">القَولُ في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الطريقةِ يَجري الكلامُ في الفَتاوىٰ </w:t>
      </w:r>
      <w:r>
        <w:rPr>
          <w:rStyle w:val="FootnoteAnchor"/>
          <w:rtl w:val="true"/>
        </w:rPr>
        <w:footnoteReference w:id="1568"/>
      </w:r>
      <w:r>
        <w:rPr>
          <w:rFonts w:ascii="Amiri" w:hAnsi="Amiri" w:eastAsia="Amiri" w:cs="Amiri"/>
          <w:color w:val="111111"/>
          <w:sz w:val="28"/>
          <w:sz w:val="28"/>
          <w:szCs w:val="28"/>
          <w:rtl w:val="true"/>
          <w:lang w:bidi="ar-SA"/>
        </w:rPr>
        <w:t>و الأحكامِ و غَيرِها</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إمامةُ الصلاةِ فلَيسَت بإمامةٍ حقيقةً‌</w:t>
      </w:r>
      <w:r>
        <w:rPr>
          <w:rStyle w:val="FootnoteAnchor"/>
          <w:rtl w:val="true"/>
        </w:rPr>
        <w:footnoteReference w:id="1570"/>
      </w:r>
      <w:r>
        <w:rPr>
          <w:rFonts w:ascii="Amiri" w:hAnsi="Amiri" w:eastAsia="Amiri" w:cs="Amiri"/>
          <w:color w:val="111111"/>
          <w:sz w:val="28"/>
          <w:sz w:val="28"/>
          <w:szCs w:val="28"/>
          <w:rtl w:val="true"/>
          <w:lang w:bidi="ar-SA"/>
        </w:rPr>
        <w:t>لأنّه لَم يَثبُتْ فيها معنَى الاقتداءِ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تَبرَّعنا بتسليمِ كَونِها إمامةً علَى</w:t>
      </w:r>
      <w:r>
        <w:rPr>
          <w:rStyle w:val="FootnoteAnchor"/>
          <w:rtl w:val="true"/>
        </w:rPr>
        <w:footnoteReference w:id="1571"/>
      </w:r>
      <w:r>
        <w:rPr>
          <w:rFonts w:ascii="Amiri" w:hAnsi="Amiri" w:eastAsia="Amiri" w:cs="Amiri"/>
          <w:color w:val="111111"/>
          <w:sz w:val="28"/>
          <w:sz w:val="28"/>
          <w:szCs w:val="28"/>
          <w:rtl w:val="true"/>
          <w:lang w:bidi="ar-SA"/>
        </w:rPr>
        <w:t>الحقيقةِ‌، لَم تَخلُ‌</w:t>
      </w:r>
      <w:r>
        <w:rPr>
          <w:rStyle w:val="FootnoteAnchor"/>
          <w:rtl w:val="true"/>
        </w:rPr>
        <w:footnoteReference w:id="1572"/>
      </w:r>
      <w:r>
        <w:rPr>
          <w:rFonts w:ascii="Amiri" w:hAnsi="Amiri" w:eastAsia="Amiri" w:cs="Amiri"/>
          <w:color w:val="111111"/>
          <w:sz w:val="28"/>
          <w:sz w:val="28"/>
          <w:szCs w:val="28"/>
          <w:rtl w:val="true"/>
          <w:lang w:bidi="ar-SA"/>
        </w:rPr>
        <w:t>المعارَضةُ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Style w:val="FootnoteAnchor"/>
          <w:rtl w:val="true"/>
        </w:rPr>
        <w:footnoteReference w:id="1573"/>
      </w:r>
      <w:r>
        <w:rPr>
          <w:rFonts w:ascii="Amiri" w:hAnsi="Amiri" w:eastAsia="Amiri" w:cs="Amiri"/>
          <w:color w:val="111111"/>
          <w:sz w:val="28"/>
          <w:sz w:val="28"/>
          <w:szCs w:val="28"/>
          <w:rtl w:val="true"/>
          <w:lang w:bidi="ar-SA"/>
        </w:rPr>
        <w:t>أن تَكونَ مِن حَيثُ جازَ أن يَكونَ القَبيحُ مِن الإمامِ غَيرَ قَبيحٍ مِن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إنّما جازَ فيما لا يَعلَمُه المأمومُ قَبيحاً و لا سَبيلَ له إلَى العِلمِ به، كقُصودِ إمامِ الصلاةِ و عُزومِه، و ما يَجري مَجراهُما مِن باطنِ أمرِه، و كلامُنا في الإمامِ علَى الاقتداءِ به فيما يُمكِنُ أن يُعلَمَ كَونُه حَسَناً أو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w:t>
      </w:r>
      <w:r>
        <w:rPr>
          <w:rStyle w:val="FootnoteAnchor"/>
          <w:rtl w:val="true"/>
        </w:rPr>
        <w:footnoteReference w:id="1574"/>
      </w:r>
      <w:r>
        <w:rPr>
          <w:rFonts w:ascii="Amiri" w:hAnsi="Amiri" w:eastAsia="Amiri" w:cs="Amiri"/>
          <w:color w:val="111111"/>
          <w:sz w:val="28"/>
          <w:sz w:val="28"/>
          <w:szCs w:val="28"/>
          <w:rtl w:val="true"/>
          <w:lang w:bidi="ar-SA"/>
        </w:rPr>
        <w:t>المعارَضةُ مِن حَيثُ اقتَدَينا بمَن هو غَيرُ معصومٍ‌، فهذا الضربُ مِن الاقتداءِ لَيسَ هو الذي أَحَلنا أن يَثبُتَ إلّا للمعصومِ‌</w:t>
      </w:r>
      <w:r>
        <w:rPr>
          <w:rStyle w:val="FootnoteAnchor"/>
          <w:rtl w:val="true"/>
        </w:rPr>
        <w:footnoteReference w:id="1575"/>
      </w:r>
      <w:r>
        <w:rPr>
          <w:rFonts w:ascii="Amiri" w:hAnsi="Amiri" w:eastAsia="Amiri" w:cs="Amiri"/>
          <w:color w:val="111111"/>
          <w:sz w:val="28"/>
          <w:sz w:val="28"/>
          <w:szCs w:val="28"/>
          <w:rtl w:val="true"/>
          <w:lang w:bidi="ar-SA"/>
        </w:rPr>
        <w:t>، و الاقتداءُ بالإمامِ يُخالِفُ الاقتداءَ‌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 الصلاةِ‌، بَل يُخالِفُ كُلَّ اقتداءٍ بمَن لَيسَ بإمامٍ مِن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بمُنكَرٍ أن نؤمَرَ</w:t>
      </w:r>
      <w:r>
        <w:rPr>
          <w:rStyle w:val="FootnoteAnchor"/>
          <w:rtl w:val="true"/>
        </w:rPr>
        <w:footnoteReference w:id="1576"/>
      </w:r>
      <w:r>
        <w:rPr>
          <w:rFonts w:ascii="Amiri" w:hAnsi="Amiri" w:eastAsia="Amiri" w:cs="Amiri"/>
          <w:color w:val="111111"/>
          <w:sz w:val="28"/>
          <w:sz w:val="28"/>
          <w:szCs w:val="28"/>
          <w:rtl w:val="true"/>
          <w:lang w:bidi="ar-SA"/>
        </w:rPr>
        <w:t xml:space="preserve">بالاقتداءِ بمَن لَيسَ بإمامٍ ما لَم يَظهَرْ لنا قُبحُ </w:t>
      </w:r>
      <w:r>
        <w:rPr>
          <w:rStyle w:val="FootnoteAnchor"/>
          <w:rtl w:val="true"/>
        </w:rPr>
        <w:footnoteReference w:id="1577"/>
      </w:r>
      <w:r>
        <w:rPr>
          <w:rFonts w:ascii="Amiri" w:hAnsi="Amiri" w:eastAsia="Amiri" w:cs="Amiri"/>
          <w:color w:val="111111"/>
          <w:sz w:val="28"/>
          <w:sz w:val="28"/>
          <w:szCs w:val="28"/>
          <w:rtl w:val="true"/>
          <w:lang w:bidi="ar-SA"/>
        </w:rPr>
        <w:t xml:space="preserve">فِعلِه، فإذا ظَهَرَ لنا ذلكَ </w:t>
      </w:r>
      <w:r>
        <w:rPr>
          <w:rStyle w:val="FootnoteAnchor"/>
          <w:rtl w:val="true"/>
        </w:rPr>
        <w:footnoteReference w:id="1578"/>
      </w:r>
      <w:r>
        <w:rPr>
          <w:rFonts w:ascii="Amiri" w:hAnsi="Amiri" w:eastAsia="Amiri" w:cs="Amiri"/>
          <w:color w:val="111111"/>
          <w:sz w:val="28"/>
          <w:sz w:val="28"/>
          <w:szCs w:val="28"/>
          <w:rtl w:val="true"/>
          <w:lang w:bidi="ar-SA"/>
        </w:rPr>
        <w:t xml:space="preserve">لَم </w:t>
      </w:r>
      <w:bookmarkStart w:id="253" w:name="pg20015_284903"/>
    </w:p>
    <w:p>
      <w:pPr>
        <w:pStyle w:val="BookText"/>
        <w:rPr/>
      </w:pPr>
      <w:bookmarkEnd w:id="253"/>
      <w:r>
        <w:rPr>
          <w:rFonts w:ascii="Amiri" w:hAnsi="Amiri" w:eastAsia="Amiri" w:cs="Amiri"/>
          <w:color w:val="111111"/>
          <w:sz w:val="28"/>
          <w:sz w:val="28"/>
          <w:szCs w:val="28"/>
          <w:rtl w:val="true"/>
          <w:lang w:bidi="ar-SA"/>
        </w:rPr>
        <w:t>يَلزَمْنا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يَصِحُّ مِثلُ ذلكَ في الاقتداءِ بالإمامِ‌؛ لوجوبِ حُصولِ المَزيّةِ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إجماعُ الأُمّةِ علىٰ سَبيلِ الجُملةِ علىٰ أنّه لا بُدَّ أن يَكونَ بَينَ الإمامِ و بَينَ رَعيّتِه و خُلَفائِه فَرقٌ و مَزيّةٌ في معنَى الائتمامِ و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ذلكَ‌، و لَم يُمكِنْ أن يُشارَ إلىٰ مَزيّةٍ معقولةٍ سِوىٰ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الاقتداءَ بالإمامِ يَجِبُ أن يَكونَ فيما عُرِفَ صَوابُه به</w:t>
      </w:r>
      <w:r>
        <w:rPr>
          <w:rStyle w:val="FootnoteAnchor"/>
          <w:rtl w:val="true"/>
        </w:rPr>
        <w:footnoteReference w:id="1579"/>
      </w:r>
      <w:r>
        <w:rPr>
          <w:rFonts w:ascii="Amiri" w:hAnsi="Amiri" w:eastAsia="Amiri" w:cs="Amiri"/>
          <w:color w:val="111111"/>
          <w:sz w:val="28"/>
          <w:sz w:val="28"/>
          <w:szCs w:val="28"/>
          <w:rtl w:val="true"/>
          <w:lang w:bidi="ar-SA"/>
        </w:rPr>
        <w:t xml:space="preserve">، و كانَ فِعلُه حُجّةً فيه، و لَيسَ كذلك الاقتداءُ بغَيرِه مِن أُمَرائه و 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Style w:val="FootnoteAnchor"/>
          <w:rtl w:val="true"/>
        </w:rPr>
        <w:footnoteReference w:id="1580"/>
      </w:r>
      <w:r>
        <w:rPr>
          <w:rFonts w:ascii="Amiri" w:hAnsi="Amiri" w:eastAsia="Amiri" w:cs="Amiri"/>
          <w:color w:val="111111"/>
          <w:sz w:val="28"/>
          <w:sz w:val="28"/>
          <w:szCs w:val="28"/>
          <w:rtl w:val="true"/>
          <w:lang w:bidi="ar-SA"/>
        </w:rPr>
        <w:t>ما قَصَدنا</w:t>
      </w:r>
      <w:r>
        <w:rPr>
          <w:rStyle w:val="FootnoteAnchor"/>
          <w:rtl w:val="true"/>
        </w:rPr>
        <w:footnoteReference w:id="1581"/>
      </w:r>
      <w:r>
        <w:rPr>
          <w:rFonts w:ascii="Amiri" w:hAnsi="Amiri" w:eastAsia="Amiri" w:cs="Amiri"/>
          <w:color w:val="111111"/>
          <w:sz w:val="28"/>
          <w:sz w:val="28"/>
          <w:szCs w:val="28"/>
          <w:rtl w:val="true"/>
          <w:lang w:bidi="ar-SA"/>
        </w:rPr>
        <w:t>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المُفتي و وُجوبِ اتّباعِه كالقَولِ في إمامِ الصلاةِ ، فيَجِبُ أن يَجريَ الكلامُ فيهِما مَجرىً واحداً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894901_2320776876"/>
      <w:bookmarkStart w:id="255" w:name="_Toc92"/>
      <w:bookmarkEnd w:id="254"/>
      <w:r>
        <w:rPr>
          <w:rtl w:val="true"/>
        </w:rPr>
        <w:t>ضرورة وجود مزيّة بين الإمام و مَن هو دونه</w:t>
      </w:r>
      <w:bookmarkEnd w:id="25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هذا القَولَ يوجِبُ عَلَيهم أن لا تَنقادَ</w:t>
      </w:r>
      <w:r>
        <w:rPr>
          <w:rStyle w:val="FootnoteAnchor"/>
          <w:rtl w:val="true"/>
        </w:rPr>
        <w:footnoteReference w:id="1582"/>
      </w:r>
      <w:r>
        <w:rPr>
          <w:rFonts w:ascii="Amiri" w:hAnsi="Amiri" w:eastAsia="Amiri" w:cs="Amiri"/>
          <w:color w:val="111111"/>
          <w:sz w:val="28"/>
          <w:sz w:val="28"/>
          <w:szCs w:val="28"/>
          <w:rtl w:val="true"/>
          <w:lang w:bidi="ar-SA"/>
        </w:rPr>
        <w:t>الرَّعيّةُ للأُمَراءِ إذا لَم يَكونوا معصومينَ‌؛ لِمِثلِ‌</w:t>
      </w:r>
      <w:r>
        <w:rPr>
          <w:rStyle w:val="FootnoteAnchor"/>
          <w:rtl w:val="true"/>
        </w:rPr>
        <w:footnoteReference w:id="1583"/>
      </w:r>
      <w:r>
        <w:rPr>
          <w:rFonts w:ascii="Amiri" w:hAnsi="Amiri" w:eastAsia="Amiri" w:cs="Amiri"/>
          <w:color w:val="111111"/>
          <w:sz w:val="28"/>
          <w:sz w:val="28"/>
          <w:szCs w:val="28"/>
          <w:rtl w:val="true"/>
          <w:lang w:bidi="ar-SA"/>
        </w:rPr>
        <w:t>هذه العِلّةِ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1584"/>
      </w:r>
      <w:r>
        <w:rPr>
          <w:rFonts w:ascii="Amiri" w:hAnsi="Amiri" w:eastAsia="Amiri" w:cs="Amiri"/>
          <w:color w:val="111111"/>
          <w:sz w:val="28"/>
          <w:sz w:val="28"/>
          <w:szCs w:val="28"/>
          <w:rtl w:val="true"/>
          <w:lang w:bidi="ar-SA"/>
        </w:rPr>
        <w:t xml:space="preserve">لَم يَجِبْ لأجلِ ذلكَ عصمتُهم، و لَم يَمنَعْ ذلكَ مِن وُجوبِ طاعتِهم ما لَم يُعلَمْ </w:t>
      </w:r>
      <w:r>
        <w:rPr>
          <w:rStyle w:val="FootnoteAnchor"/>
          <w:rtl w:val="true"/>
        </w:rPr>
        <w:footnoteReference w:id="1585"/>
      </w:r>
      <w:r>
        <w:rPr>
          <w:rFonts w:ascii="Amiri" w:hAnsi="Amiri" w:eastAsia="Amiri" w:cs="Amiri"/>
          <w:color w:val="111111"/>
          <w:sz w:val="28"/>
          <w:sz w:val="28"/>
          <w:szCs w:val="28"/>
          <w:rtl w:val="true"/>
          <w:lang w:bidi="ar-SA"/>
        </w:rPr>
        <w:t xml:space="preserve">دُعاؤهم </w:t>
      </w:r>
    </w:p>
    <w:p>
      <w:pPr>
        <w:pStyle w:val="BookText"/>
        <w:rPr/>
      </w:pPr>
      <w:r>
        <w:rPr>
          <w:rFonts w:ascii="Amiri" w:hAnsi="Amiri" w:eastAsia="Amiri" w:cs="Amiri"/>
          <w:color w:val="111111"/>
          <w:sz w:val="28"/>
          <w:sz w:val="28"/>
          <w:szCs w:val="28"/>
          <w:rtl w:val="true"/>
          <w:lang w:bidi="ar-SA"/>
        </w:rPr>
        <w:t>إلَى المعصيةِ ، فكذلكَ القَولُ في الإمامِ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الاقتداءَ بالإمامِ لا بُدَّ أن يَكونَ مُخالِفاً للاقتداءِ بكُلِّ مَن هو دونَه مِن أميرٍ و قاضٍ و حاكمٍ‌</w:t>
      </w:r>
      <w:r>
        <w:rPr>
          <w:rStyle w:val="FootnoteAnchor"/>
          <w:rtl w:val="true"/>
        </w:rPr>
        <w:footnoteReference w:id="1587"/>
      </w:r>
      <w:r>
        <w:rPr>
          <w:rFonts w:ascii="Amiri" w:hAnsi="Amiri" w:eastAsia="Amiri" w:cs="Amiri"/>
          <w:color w:val="111111"/>
          <w:sz w:val="28"/>
          <w:sz w:val="28"/>
          <w:szCs w:val="28"/>
          <w:rtl w:val="true"/>
          <w:lang w:bidi="ar-SA"/>
        </w:rPr>
        <w:t>، و لأنّ‌</w:t>
      </w:r>
      <w:r>
        <w:rPr>
          <w:rStyle w:val="FootnoteAnchor"/>
          <w:rtl w:val="true"/>
        </w:rPr>
        <w:footnoteReference w:id="1588"/>
      </w:r>
      <w:r>
        <w:rPr>
          <w:rFonts w:ascii="Amiri" w:hAnsi="Amiri" w:eastAsia="Amiri" w:cs="Amiri"/>
          <w:color w:val="111111"/>
          <w:sz w:val="28"/>
          <w:sz w:val="28"/>
          <w:szCs w:val="28"/>
          <w:rtl w:val="true"/>
          <w:lang w:bidi="ar-SA"/>
        </w:rPr>
        <w:t xml:space="preserve">معنَى الإمامةِ أيضاً لا بُدَّ أن يَكونَ مُخالِفاً لمعنَى الإمارةِ ، مِن غَيرِ رجوعٍ إلَى اختلافِ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لا بُدَّ مِن مَزيّةٍ بَينَ الإمامِ و بَينَ </w:t>
      </w:r>
      <w:r>
        <w:rPr>
          <w:rStyle w:val="FootnoteAnchor"/>
          <w:rtl w:val="true"/>
        </w:rPr>
        <w:footnoteReference w:id="1589"/>
      </w:r>
      <w:r>
        <w:rPr>
          <w:rFonts w:ascii="Amiri" w:hAnsi="Amiri" w:eastAsia="Amiri" w:cs="Amiri"/>
          <w:color w:val="111111"/>
          <w:sz w:val="28"/>
          <w:sz w:val="28"/>
          <w:szCs w:val="28"/>
          <w:rtl w:val="true"/>
          <w:lang w:bidi="ar-SA"/>
        </w:rPr>
        <w:t>مَن ذَكرناه</w:t>
      </w:r>
      <w:r>
        <w:rPr>
          <w:rStyle w:val="FootnoteAnchor"/>
          <w:rtl w:val="true"/>
        </w:rPr>
        <w:footnoteReference w:id="1590"/>
      </w:r>
      <w:r>
        <w:rPr>
          <w:rFonts w:ascii="Amiri" w:hAnsi="Amiri" w:eastAsia="Amiri" w:cs="Amiri"/>
          <w:color w:val="111111"/>
          <w:sz w:val="28"/>
          <w:sz w:val="28"/>
          <w:szCs w:val="28"/>
          <w:rtl w:val="true"/>
          <w:lang w:bidi="ar-SA"/>
        </w:rPr>
        <w:t>مِن الأُمَراءِ و غَيرِهم في معنَى الاقتداءِ ، فلا مَزيّةَ يُمكِنُ إثباتُها إلّاما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يُخالِفُ الأميرَ بكَثرةِ رَعيّتِه، و سَعةِ عملِه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جائزٌ أن يَستَخلِفَ الإمامُ علىٰ جميعِ أعمالِه و سائرِ رَعيّتِه خَليفةً أو</w:t>
      </w:r>
      <w:r>
        <w:rPr>
          <w:rStyle w:val="FootnoteAnchor"/>
          <w:rtl w:val="true"/>
        </w:rPr>
        <w:footnoteReference w:id="1592"/>
      </w:r>
      <w:r>
        <w:rPr>
          <w:rFonts w:ascii="Amiri" w:hAnsi="Amiri" w:eastAsia="Amiri" w:cs="Amiri"/>
          <w:color w:val="111111"/>
          <w:sz w:val="28"/>
          <w:sz w:val="28"/>
          <w:szCs w:val="28"/>
          <w:rtl w:val="true"/>
          <w:lang w:bidi="ar-SA"/>
        </w:rPr>
        <w:t>خُلَفاءَ‌، فيَجعَلَ إليهم التصرُّفَ فيما إليه التصرُّفُ فيه، مِن تدبيرِ الأُمورِ الحاضرةِ و الغائبةِ‌، و تَوليةِ الوُلاةِ‌، و استِخلافِ الخُلَفاءِ فيما نأىٰ مِن البِلادِ، إلىٰ غَيرِ ما ذَكرناه ممّا يَتَصَرَّفُ فيه الإمامُ و يَتَوَلّاه بنَفسِه؛ لأنّه إذا جازَ أن يَتَوَلّىٰ جميعَه بنَفسِه جازَ أن يَستَخلِفَ علىٰ جميعِه، كما أنّه لَمّا جازَ أن يَتولّىٰ بعضَه بنَفسِه جازَ أن يَستَخلِفَ علىٰ بعضِه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أنّ الحالَ في ثُبوتِ المَزيّةِ في معنَى الاقتداءِ بَينَ الإمامِ و الأميرِ علىٰ ما ذَكرناه، لَوَجَبَ أن يَكونَ ما قدَّرناه و أجَزناه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استخلافِ الإمامِ علىٰ جميعِ ما إليه خَليفةً ، إذا</w:t>
      </w:r>
      <w:r>
        <w:rPr>
          <w:rStyle w:val="FootnoteAnchor"/>
          <w:rtl w:val="true"/>
        </w:rPr>
        <w:footnoteReference w:id="1593"/>
      </w:r>
      <w:r>
        <w:rPr>
          <w:rFonts w:ascii="Amiri" w:hAnsi="Amiri" w:eastAsia="Amiri" w:cs="Amiri"/>
          <w:color w:val="111111"/>
          <w:sz w:val="28"/>
          <w:sz w:val="28"/>
          <w:szCs w:val="28"/>
          <w:rtl w:val="true"/>
          <w:lang w:bidi="ar-SA"/>
        </w:rPr>
        <w:t xml:space="preserve">كانَ لا فَرقَ بَينَهما في معنَى الاقتداءِ بهما و الائتمامِ ، علىٰ ما يَدَّعيهِ </w:t>
      </w:r>
    </w:p>
    <w:p>
      <w:pPr>
        <w:pStyle w:val="BookText"/>
        <w:rPr/>
      </w:pPr>
      <w:r>
        <w:rPr>
          <w:rFonts w:ascii="Amiri" w:hAnsi="Amiri" w:eastAsia="Amiri" w:cs="Amiri"/>
          <w:color w:val="111111"/>
          <w:sz w:val="28"/>
          <w:sz w:val="28"/>
          <w:szCs w:val="28"/>
          <w:rtl w:val="true"/>
          <w:lang w:bidi="ar-SA"/>
        </w:rPr>
        <w:t xml:space="preserve">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قادحاً في الإجماعِ علىٰ أنّ الإمامَ لا يَكونُ في الزمانِ إلّاواحداً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وَجَبَت علينا حِراسةُ هذا الإجماعِ ، و إبطالُ ما أدّىٰ إلَى القَدحِ فيه، وَجَبَ القَطعُ علىٰ أنّ حالَ الإمامِ مُخالِفةٌ في معنَى الاقتداءِ لِحالِ خُلَفائه و الوُلاةِ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إنّما انعَقَدَ علىٰ أنّ الإمامَ لا يَكونُ في الزمانِ </w:t>
      </w:r>
      <w:r>
        <w:rPr>
          <w:rStyle w:val="FootnoteAnchor"/>
          <w:rtl w:val="true"/>
        </w:rPr>
        <w:footnoteReference w:id="1594"/>
      </w:r>
      <w:r>
        <w:rPr>
          <w:rFonts w:ascii="Amiri" w:hAnsi="Amiri" w:eastAsia="Amiri" w:cs="Amiri"/>
          <w:color w:val="111111"/>
          <w:sz w:val="28"/>
          <w:sz w:val="28"/>
          <w:szCs w:val="28"/>
          <w:rtl w:val="true"/>
          <w:lang w:bidi="ar-SA"/>
        </w:rPr>
        <w:t>إلّا واحداً؛ علىٰ معنىٰ أنّ الأُمّةَ لا تُوَلّي إلّاواحداً، أو</w:t>
      </w:r>
      <w:r>
        <w:rPr>
          <w:rStyle w:val="FootnoteAnchor"/>
          <w:rtl w:val="true"/>
        </w:rPr>
        <w:footnoteReference w:id="1595"/>
      </w:r>
      <w:r>
        <w:rPr>
          <w:rFonts w:ascii="Amiri" w:hAnsi="Amiri" w:eastAsia="Amiri" w:cs="Amiri"/>
          <w:color w:val="111111"/>
          <w:sz w:val="28"/>
          <w:sz w:val="28"/>
          <w:szCs w:val="28"/>
          <w:rtl w:val="true"/>
          <w:lang w:bidi="ar-SA"/>
        </w:rPr>
        <w:t>الرَّسولَ لا يَنُصُّ إلّاعلىٰ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جَوازُ تَوليةِ الإمامِ خَليفةً يَكونُ حُكمُه كحُكمِه في معنَى الاقتداءِ و سَعةِ العملِ ، فلَيسَ يَمنَعُ مِنه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القَولَ مِن مُخرِجِه تخصيصٌ للإجماعِ ، و إطلاقُه يَقتَضي إبطالَ </w:t>
      </w:r>
      <w:r>
        <w:rPr>
          <w:rStyle w:val="FootnoteAnchor"/>
          <w:rtl w:val="true"/>
        </w:rPr>
        <w:footnoteReference w:id="1596"/>
      </w:r>
      <w:r>
        <w:rPr>
          <w:rFonts w:ascii="Amiri" w:hAnsi="Amiri" w:eastAsia="Amiri" w:cs="Amiri"/>
          <w:color w:val="111111"/>
          <w:sz w:val="28"/>
          <w:sz w:val="28"/>
          <w:szCs w:val="28"/>
          <w:rtl w:val="true"/>
          <w:lang w:bidi="ar-SA"/>
        </w:rPr>
        <w:t>هذا القَولِ و ما 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إنّما مَنَعَ مِن ثُبوتِ إمامَينِ في عصرٍ واحدٍ يَتَسَمَّيانِ بالإمامةِ و يَدَّعيانِ بها، و لَيسَ بمانعٍ مِن كَونِ أحَدِ المُتَولّيَينِ علَى الأُمّةِ مُلقَّباً بالإمامةِ ، و الآخَرِ مُلقَّباً بالإمارةِ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الأسماءَ لا مُعتَبَرَ</w:t>
      </w:r>
      <w:r>
        <w:rPr>
          <w:rStyle w:val="FootnoteAnchor"/>
          <w:rtl w:val="true"/>
        </w:rPr>
        <w:footnoteReference w:id="1597"/>
      </w:r>
      <w:r>
        <w:rPr>
          <w:rFonts w:ascii="Amiri" w:hAnsi="Amiri" w:eastAsia="Amiri" w:cs="Amiri"/>
          <w:color w:val="111111"/>
          <w:sz w:val="28"/>
          <w:sz w:val="28"/>
          <w:szCs w:val="28"/>
          <w:rtl w:val="true"/>
          <w:lang w:bidi="ar-SA"/>
        </w:rPr>
        <w:t>بها، و إنّما المعتبَرُ بالمَعاني</w:t>
      </w:r>
      <w:r>
        <w:rPr>
          <w:rStyle w:val="FootnoteAnchor"/>
          <w:rtl w:val="true"/>
        </w:rPr>
        <w:footnoteReference w:id="1598"/>
      </w:r>
      <w:r>
        <w:rPr>
          <w:rFonts w:ascii="IRNazanin" w:hAnsi="IRNazanin" w:eastAsia="IRNazanin"/>
          <w:color w:val="111111"/>
          <w:sz w:val="28"/>
          <w:sz w:val="28"/>
          <w:szCs w:val="28"/>
          <w:rtl w:val="true"/>
          <w:lang w:bidi="fa-IR"/>
        </w:rPr>
        <w:t>فإذا</w:t>
      </w:r>
      <w:r>
        <w:rPr>
          <w:rStyle w:val="FootnoteAnchor"/>
          <w:rtl w:val="true"/>
        </w:rPr>
        <w:footnoteReference w:id="1599"/>
      </w:r>
      <w:r>
        <w:rPr>
          <w:rFonts w:ascii="Amiri" w:hAnsi="Amiri" w:eastAsia="Amiri" w:cs="Amiri"/>
          <w:color w:val="111111"/>
          <w:sz w:val="28"/>
          <w:sz w:val="28"/>
          <w:szCs w:val="28"/>
          <w:rtl w:val="true"/>
          <w:lang w:bidi="ar-SA"/>
        </w:rPr>
        <w:t xml:space="preserve">ثَبَتَ معنَى الإمامةِ في الاثنَينِ </w:t>
      </w:r>
      <w:r>
        <w:rPr>
          <w:rStyle w:val="FootnoteAnchor"/>
          <w:rtl w:val="true"/>
        </w:rPr>
        <w:footnoteReference w:id="1600"/>
      </w:r>
      <w:r>
        <w:rPr>
          <w:rFonts w:ascii="Amiri" w:hAnsi="Amiri" w:eastAsia="Amiri" w:cs="Amiri"/>
          <w:color w:val="111111"/>
          <w:sz w:val="28"/>
          <w:sz w:val="28"/>
          <w:szCs w:val="28"/>
          <w:rtl w:val="true"/>
          <w:lang w:bidi="ar-SA"/>
        </w:rPr>
        <w:t>كانا إمامَينِ ؛ سَواءٌ لُقِّبا بالإمامةِ أو لَم يُلقَّبا</w:t>
      </w:r>
      <w:r>
        <w:rPr>
          <w:rStyle w:val="FootnoteAnchor"/>
          <w:rtl w:val="true"/>
        </w:rPr>
        <w:footnoteReference w:id="1601"/>
      </w:r>
      <w:r>
        <w:rPr>
          <w:rFonts w:ascii="Amiri" w:hAnsi="Amiri" w:eastAsia="Amiri" w:cs="Amiri"/>
          <w:color w:val="111111"/>
          <w:sz w:val="28"/>
          <w:sz w:val="28"/>
          <w:szCs w:val="28"/>
          <w:rtl w:val="true"/>
          <w:lang w:bidi="ar-SA"/>
        </w:rPr>
        <w:t>، و الإجماعُ مانعٌ مِن هذا</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لَم يَتَسَمَّ الواحدُ بالإمامةِ‌، و تَصرَّفَ فيما يَتَصَرَّفُ فيه الأئمّةُ‌، و حَصَلَ على الصفاتِ التي تَقتَضي كَونَ الإمامِ إماماً، لَوَجَبَ كَونُه إماماً علَى الحقيقةِ ، مِن غَيرِ اعتبارٍ بالتسميةِ و اللقَبِ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Style w:val="FootnoteAnchor"/>
          <w:rtl w:val="true"/>
        </w:rPr>
        <w:footnoteReference w:id="1603"/>
      </w:r>
      <w:r>
        <w:rPr>
          <w:rFonts w:ascii="Amiri" w:hAnsi="Amiri" w:eastAsia="Amiri" w:cs="Amiri"/>
          <w:color w:val="111111"/>
          <w:sz w:val="28"/>
          <w:sz w:val="28"/>
          <w:szCs w:val="28"/>
          <w:rtl w:val="true"/>
          <w:lang w:bidi="ar-SA"/>
        </w:rPr>
        <w:t xml:space="preserve">القَولُ في الاثنَينِ </w:t>
      </w:r>
      <w:r>
        <w:rPr>
          <w:rFonts w:eastAsia="Amiri" w:cs="Amiri" w:ascii="Amiri" w:hAnsi="Amiri"/>
          <w:color w:val="111111"/>
          <w:sz w:val="28"/>
          <w:szCs w:val="28"/>
          <w:rtl w:val="true"/>
          <w:lang w:bidi="ar-SA"/>
        </w:rPr>
        <w:t xml:space="preserve">. </w:t>
      </w:r>
      <w:bookmarkStart w:id="256" w:name="pg20015_284907"/>
    </w:p>
    <w:p>
      <w:pPr>
        <w:pStyle w:val="Heading5"/>
        <w:numPr>
          <w:ilvl w:val="4"/>
          <w:numId w:val="1"/>
        </w:numPr>
        <w:rPr/>
      </w:pPr>
      <w:bookmarkStart w:id="257" w:name="__RefHeading___Toc894903_2320776876"/>
      <w:bookmarkStart w:id="258" w:name="_Toc93"/>
      <w:bookmarkEnd w:id="256"/>
      <w:bookmarkEnd w:id="257"/>
      <w:r>
        <w:rPr>
          <w:rtl w:val="true"/>
        </w:rPr>
        <w:t>الدليل الثالث عشر في بيان أنّ الإمام يولّي و لا يولّىٰ ، و يَعزل و لا يُعزل، و لزوم العصمة من ذلك</w:t>
      </w:r>
      <w:bookmarkEnd w:id="258"/>
    </w:p>
    <w:p>
      <w:pPr>
        <w:pStyle w:val="Heading6"/>
        <w:numPr>
          <w:ilvl w:val="5"/>
          <w:numId w:val="1"/>
        </w:numPr>
        <w:rPr/>
      </w:pPr>
      <w:bookmarkStart w:id="259" w:name="__RefHeading___Toc894905_2320776876"/>
      <w:bookmarkStart w:id="260" w:name="_Toc9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w:t>
      </w:r>
      <w:r>
        <w:rPr>
          <w:rStyle w:val="FootnoteAnchor"/>
          <w:rtl w:val="true"/>
        </w:rPr>
        <w:footnoteReference w:id="1604"/>
      </w:r>
      <w:r>
        <w:rPr>
          <w:rFonts w:ascii="Amiri" w:hAnsi="Amiri" w:eastAsia="Amiri" w:cs="Amiri"/>
          <w:color w:val="111111"/>
          <w:sz w:val="28"/>
          <w:sz w:val="28"/>
          <w:szCs w:val="28"/>
          <w:rtl w:val="true"/>
          <w:lang w:bidi="ar-SA"/>
        </w:rPr>
        <w:t>أنّ مِن حقِّ الإمامِ أن يَكونَ واحداً في الزمانِ‌، و أنّه يُوَلّي و لا يُوَلّىٰ‌</w:t>
      </w:r>
      <w:r>
        <w:rPr>
          <w:rStyle w:val="FootnoteAnchor"/>
          <w:rtl w:val="true"/>
        </w:rPr>
        <w:footnoteReference w:id="1605"/>
      </w:r>
      <w:r>
        <w:rPr>
          <w:rFonts w:ascii="Amiri" w:hAnsi="Amiri" w:eastAsia="Amiri" w:cs="Amiri"/>
          <w:color w:val="111111"/>
          <w:sz w:val="28"/>
          <w:sz w:val="28"/>
          <w:szCs w:val="28"/>
          <w:rtl w:val="true"/>
          <w:lang w:bidi="ar-SA"/>
        </w:rPr>
        <w:t>، و يَعزِلُ و لا يُعزَلُ‌، و يأخُذُ علىٰ يَدِ غَيرِه، و لا يؤخَذُ علىٰ يَدِه، و يَجِبُ علىٰ غَيرِه طاعتُه، و لا يَلزَمُه</w:t>
      </w:r>
      <w:r>
        <w:rPr>
          <w:rStyle w:val="FootnoteAnchor"/>
          <w:rtl w:val="true"/>
        </w:rPr>
        <w:footnoteReference w:id="1606"/>
      </w:r>
      <w:r>
        <w:rPr>
          <w:rFonts w:ascii="Amiri" w:hAnsi="Amiri" w:eastAsia="Amiri" w:cs="Amiri"/>
          <w:color w:val="111111"/>
          <w:sz w:val="28"/>
          <w:sz w:val="28"/>
          <w:szCs w:val="28"/>
          <w:rtl w:val="true"/>
          <w:lang w:bidi="ar-SA"/>
        </w:rPr>
        <w:t xml:space="preserve">طاعةُ غَيرِه؛ فحَلَّ مَحَلَّ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1607"/>
      </w:r>
      <w:r>
        <w:rPr>
          <w:rFonts w:ascii="Amiri" w:hAnsi="Amiri" w:eastAsia="Amiri" w:cs="Amiri"/>
          <w:color w:val="111111"/>
          <w:sz w:val="28"/>
          <w:sz w:val="28"/>
          <w:szCs w:val="28"/>
          <w:rtl w:val="true"/>
          <w:lang w:bidi="ar-SA"/>
        </w:rPr>
        <w:t xml:space="preserve">وَجَبَت عصمةُ الرسولِ وجَبَت عصمةُ الإمامِ ، و إذا وَجَبَ في الرسولِ أن يَكونَ متميِّزاً مِن سائرِ الوُلاةِ فكذلكَ الإمامُ ، و لَيسَ بَعدَ صِحّةِ ذلكَ إلّاالقَولُ بأنّه لا بُدَّ مِن إمامٍ معصومٍ في كُلِّ زمانٍ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bookmarkStart w:id="261" w:name="pg20015_284908"/>
    </w:p>
    <w:p>
      <w:pPr>
        <w:pStyle w:val="BookText"/>
        <w:rPr/>
      </w:pPr>
      <w:bookmarkEnd w:id="2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جميعَ ما أَورَدوه لَيسَ بعِلّةٍ في عِصمةِ الرسولِ‌، و إنّما يَجِبُ حَملُ الإمامِ علَى الرسولِ في العصمةِ إذا بُيِّنَ عِلّةُ العصمةِ في الرسولِ‌، و أنّها قائمةٌ في الإمامِ‌، و لا يُقتَصَرُ علَى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العِلّةُ ما ذَكروها، لكِنَّها التي ذَكرناها في كتابِنا</w:t>
      </w:r>
      <w:r>
        <w:rPr>
          <w:rStyle w:val="FootnoteAnchor"/>
          <w:rtl w:val="true"/>
        </w:rPr>
        <w:footnoteReference w:id="1609"/>
      </w:r>
      <w:r>
        <w:rPr>
          <w:rFonts w:ascii="Amiri" w:hAnsi="Amiri" w:eastAsia="Amiri" w:cs="Amiri"/>
          <w:color w:val="111111"/>
          <w:sz w:val="28"/>
          <w:sz w:val="28"/>
          <w:szCs w:val="28"/>
          <w:rtl w:val="true"/>
          <w:lang w:bidi="ar-SA"/>
        </w:rPr>
        <w:t>، و هو أنّه إذا كانَ حُجّةً فيما</w:t>
      </w:r>
    </w:p>
    <w:p>
      <w:pPr>
        <w:pStyle w:val="BookText"/>
        <w:rPr/>
      </w:pPr>
      <w:r>
        <w:rPr>
          <w:rFonts w:ascii="Amiri" w:hAnsi="Amiri" w:eastAsia="Amiri" w:cs="Amiri"/>
          <w:color w:val="111111"/>
          <w:sz w:val="28"/>
          <w:sz w:val="28"/>
          <w:szCs w:val="28"/>
          <w:rtl w:val="true"/>
          <w:lang w:bidi="ar-SA"/>
        </w:rPr>
        <w:t xml:space="preserve">يؤَدّيهِ عن اللّٰهِ تَعالىٰ فيَجِبُ أن لا يَجوزَ عليه ما يَنقُضُ كَونَه حُجّةً ، مِن الغلطِ و السهوِ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لَم نَقطَعْ بعصِمتِه فيما عَدا ذلكَ ، و جَوَّزنا وقوعَ بعضِ الصغائرِ مِنه إذا لَم تَكُن منفِّرةً </w:t>
      </w:r>
      <w:r>
        <w:rPr>
          <w:rFonts w:eastAsia="Amiri" w:cs="Amiri" w:ascii="Amiri" w:hAnsi="Amiri"/>
          <w:color w:val="111111"/>
          <w:sz w:val="28"/>
          <w:szCs w:val="28"/>
          <w:rtl w:val="true"/>
          <w:lang w:bidi="ar-SA"/>
        </w:rPr>
        <w:t>...].</w:t>
      </w:r>
      <w:r>
        <w:rPr>
          <w:rStyle w:val="FootnoteAnchor"/>
          <w:rtl w:val="true"/>
        </w:rPr>
        <w:footnoteReference w:id="1610"/>
      </w:r>
    </w:p>
    <w:p>
      <w:pPr>
        <w:pStyle w:val="Heading6"/>
        <w:numPr>
          <w:ilvl w:val="5"/>
          <w:numId w:val="1"/>
        </w:numPr>
        <w:rPr/>
      </w:pPr>
      <w:bookmarkStart w:id="262" w:name="__RefHeading___Toc894907_2320776876"/>
      <w:bookmarkStart w:id="263" w:name="_Toc95"/>
      <w:bookmarkEnd w:id="262"/>
      <w:r>
        <w:rPr>
          <w:rtl w:val="true"/>
        </w:rPr>
        <w:t>تفصيل المصنّف لدليل عصمة الإمام</w:t>
      </w:r>
      <w:bookmarkEnd w:id="263"/>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ذَكرتَه علَى الترتيبِ الذي رَتَّبتَه بدالٍّ عندَنا علىٰ وجوبِ عصمةِ الإمامِ‌؛ لأنّكَ إنّما</w:t>
      </w:r>
      <w:r>
        <w:rPr>
          <w:rStyle w:val="FootnoteAnchor"/>
          <w:rtl w:val="true"/>
        </w:rPr>
        <w:footnoteReference w:id="1611"/>
      </w:r>
      <w:r>
        <w:rPr>
          <w:rFonts w:ascii="Amiri" w:hAnsi="Amiri" w:eastAsia="Amiri" w:cs="Amiri"/>
          <w:color w:val="111111"/>
          <w:sz w:val="28"/>
          <w:sz w:val="28"/>
          <w:szCs w:val="28"/>
          <w:rtl w:val="true"/>
          <w:lang w:bidi="ar-SA"/>
        </w:rPr>
        <w:t>جَمَعتَ فيما حَكَيتَه بَينَ أشياءَ لا تأثيرَ لها جُملةً‌، و بَينَ أشياءَ مؤثِّرةٍ‌، و أُخرىٰ‌</w:t>
      </w:r>
      <w:r>
        <w:rPr>
          <w:rStyle w:val="FootnoteAnchor"/>
          <w:rtl w:val="true"/>
        </w:rPr>
        <w:footnoteReference w:id="1612"/>
      </w:r>
      <w:r>
        <w:rPr>
          <w:rFonts w:ascii="Amiri" w:hAnsi="Amiri" w:eastAsia="Amiri" w:cs="Amiri"/>
          <w:color w:val="111111"/>
          <w:sz w:val="28"/>
          <w:sz w:val="28"/>
          <w:szCs w:val="28"/>
          <w:rtl w:val="true"/>
          <w:lang w:bidi="ar-SA"/>
        </w:rPr>
        <w:t>تؤثِّرُ إذا رُدَّت</w:t>
      </w:r>
      <w:r>
        <w:rPr>
          <w:rStyle w:val="FootnoteAnchor"/>
          <w:rtl w:val="true"/>
        </w:rPr>
        <w:footnoteReference w:id="1613"/>
      </w:r>
      <w:r>
        <w:rPr>
          <w:rFonts w:ascii="Amiri" w:hAnsi="Amiri" w:eastAsia="Amiri" w:cs="Amiri"/>
          <w:color w:val="111111"/>
          <w:sz w:val="28"/>
          <w:sz w:val="28"/>
          <w:szCs w:val="28"/>
          <w:rtl w:val="true"/>
          <w:lang w:bidi="ar-SA"/>
        </w:rPr>
        <w:t xml:space="preserve">إلىٰ بعضِ الأُصولِ المقرَّرةِ </w:t>
      </w:r>
      <w:r>
        <w:rPr>
          <w:rStyle w:val="FootnoteAnchor"/>
          <w:rtl w:val="true"/>
        </w:rPr>
        <w:footnoteReference w:id="1614"/>
      </w:r>
      <w:r>
        <w:rPr>
          <w:rFonts w:ascii="Amiri" w:hAnsi="Amiri" w:eastAsia="Amiri" w:cs="Amiri"/>
          <w:color w:val="111111"/>
          <w:sz w:val="28"/>
          <w:sz w:val="28"/>
          <w:szCs w:val="28"/>
          <w:rtl w:val="true"/>
          <w:lang w:bidi="ar-SA"/>
        </w:rPr>
        <w:t>و بُنيَت عَلَيها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نُفصِّلُ هذه الجُملةَ تفصيلاً يُوضِحُ عمّا قَصَدناه، ثُمّ نَعتَرِضُ جُملةَ </w:t>
      </w:r>
      <w:r>
        <w:rPr>
          <w:rStyle w:val="FootnoteAnchor"/>
          <w:rtl w:val="true"/>
        </w:rPr>
        <w:footnoteReference w:id="1615"/>
      </w:r>
      <w:r>
        <w:rPr>
          <w:rFonts w:ascii="Amiri" w:hAnsi="Amiri" w:eastAsia="Amiri" w:cs="Amiri"/>
          <w:color w:val="111111"/>
          <w:sz w:val="28"/>
          <w:sz w:val="28"/>
          <w:szCs w:val="28"/>
          <w:rtl w:val="true"/>
          <w:lang w:bidi="ar-SA"/>
        </w:rPr>
        <w:t xml:space="preserve">كلامِكَ الذي اعتَرَضتَ به هذه الطريقةَ ، و نُبِينُ </w:t>
      </w:r>
      <w:r>
        <w:rPr>
          <w:rStyle w:val="FootnoteAnchor"/>
          <w:rtl w:val="true"/>
        </w:rPr>
        <w:footnoteReference w:id="1616"/>
      </w:r>
      <w:r>
        <w:rPr>
          <w:rFonts w:ascii="Amiri" w:hAnsi="Amiri" w:eastAsia="Amiri" w:cs="Amiri"/>
          <w:color w:val="111111"/>
          <w:sz w:val="28"/>
          <w:sz w:val="28"/>
          <w:szCs w:val="28"/>
          <w:rtl w:val="true"/>
          <w:lang w:bidi="ar-SA"/>
        </w:rPr>
        <w:t xml:space="preserve">عن مَواقعِ الخَلَلِ فيه و الفَسادِ؛ </w:t>
      </w:r>
    </w:p>
    <w:p>
      <w:pPr>
        <w:pStyle w:val="BookText"/>
        <w:rPr/>
      </w:pPr>
      <w:r>
        <w:rPr>
          <w:rFonts w:ascii="Amiri" w:hAnsi="Amiri" w:eastAsia="Amiri" w:cs="Amiri"/>
          <w:color w:val="111111"/>
          <w:sz w:val="28"/>
          <w:sz w:val="28"/>
          <w:szCs w:val="28"/>
          <w:rtl w:val="true"/>
          <w:lang w:bidi="ar-SA"/>
        </w:rPr>
        <w:t xml:space="preserve">فقَد ضَمَمتَ أيضاً في الاعتراضِ علىٰ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نَرتَضِ ترتيبَها، و استَضعَفنا الاستدلالَ بها علَى الوجهِ الذي حَكَيتَه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صحيحٍ و سقيمٍ ، و قادحٍ و غَيرِ قادحٍ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ما حَكَيتُ إلّاما اعتَمَدَه</w:t>
      </w:r>
      <w:r>
        <w:rPr>
          <w:rStyle w:val="FootnoteAnchor"/>
          <w:rtl w:val="true"/>
        </w:rPr>
        <w:footnoteReference w:id="1617"/>
      </w:r>
      <w:r>
        <w:rPr>
          <w:rFonts w:ascii="Amiri" w:hAnsi="Amiri" w:eastAsia="Amiri" w:cs="Amiri"/>
          <w:color w:val="111111"/>
          <w:sz w:val="28"/>
          <w:sz w:val="28"/>
          <w:szCs w:val="28"/>
          <w:rtl w:val="true"/>
          <w:lang w:bidi="ar-SA"/>
        </w:rPr>
        <w:t>أصحابُكم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لا نَعلَمُ أنّ أصحابَنا اعتَمَدوا ما حَكَيتَه علىٰ ترتيبِكَ‌، و لَعلَّ بعضَهم إن كانَ اعتَمَدَه فعَلىٰ طريقِ التقريبِ ، و رُبَّما أَورَدوا هذا الضربَ مِن الكلامِ علىٰ طريقِ الفَصلِ بَينَ الإمامِ و الأميرِ في وجوبِ العصمةِ إذا ألزَمَهم مُخالِفوهم أن يُساووا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حُكيَ </w:t>
      </w:r>
      <w:r>
        <w:rPr>
          <w:rStyle w:val="FootnoteAnchor"/>
          <w:rtl w:val="true"/>
        </w:rPr>
        <w:footnoteReference w:id="1618"/>
      </w:r>
      <w:r>
        <w:rPr>
          <w:rFonts w:ascii="Amiri" w:hAnsi="Amiri" w:eastAsia="Amiri" w:cs="Amiri"/>
          <w:color w:val="111111"/>
          <w:sz w:val="28"/>
          <w:sz w:val="28"/>
          <w:szCs w:val="28"/>
          <w:rtl w:val="true"/>
          <w:lang w:bidi="ar-SA"/>
        </w:rPr>
        <w:t>هذا الكلامُ الذي حَكَيتَه علىٰ سَبيلِ الفَصلِ بَينَ الإمامِ و الأميرِ، و الفَرقِ بَينَه و بَينَه</w:t>
      </w:r>
      <w:r>
        <w:rPr>
          <w:rStyle w:val="FootnoteAnchor"/>
          <w:rtl w:val="true"/>
        </w:rPr>
        <w:footnoteReference w:id="1619"/>
      </w:r>
      <w:r>
        <w:rPr>
          <w:rFonts w:ascii="Amiri" w:hAnsi="Amiri" w:eastAsia="Amiri" w:cs="Amiri"/>
          <w:color w:val="111111"/>
          <w:sz w:val="28"/>
          <w:sz w:val="28"/>
          <w:szCs w:val="28"/>
          <w:rtl w:val="true"/>
          <w:lang w:bidi="ar-SA"/>
        </w:rPr>
        <w:t>، بَعُدَ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ما يورَدُ</w:t>
      </w:r>
      <w:r>
        <w:rPr>
          <w:rStyle w:val="FootnoteAnchor"/>
          <w:rtl w:val="true"/>
        </w:rPr>
        <w:footnoteReference w:id="1620"/>
      </w:r>
      <w:r>
        <w:rPr>
          <w:rFonts w:ascii="Amiri" w:hAnsi="Amiri" w:eastAsia="Amiri" w:cs="Amiri"/>
          <w:color w:val="111111"/>
          <w:sz w:val="28"/>
          <w:sz w:val="28"/>
          <w:szCs w:val="28"/>
          <w:rtl w:val="true"/>
          <w:lang w:bidi="ar-SA"/>
        </w:rPr>
        <w:t xml:space="preserve">علىٰ سَبيلِ الفَرقِ بَينَ شَيئَينِ </w:t>
      </w:r>
      <w:r>
        <w:rPr>
          <w:rStyle w:val="FootnoteAnchor"/>
          <w:rtl w:val="true"/>
        </w:rPr>
        <w:footnoteReference w:id="1621"/>
      </w:r>
      <w:r>
        <w:rPr>
          <w:rFonts w:ascii="Amiri" w:hAnsi="Amiri" w:eastAsia="Amiri" w:cs="Amiri"/>
          <w:color w:val="111111"/>
          <w:sz w:val="28"/>
          <w:sz w:val="28"/>
          <w:szCs w:val="28"/>
          <w:rtl w:val="true"/>
          <w:lang w:bidi="ar-SA"/>
        </w:rPr>
        <w:t>يَحسُنُ أن يُجعَلَ اعتلالاً؛ فإنّ للاعتلالِ مَذهَباً</w:t>
      </w:r>
      <w:r>
        <w:rPr>
          <w:rStyle w:val="FootnoteAnchor"/>
          <w:rtl w:val="true"/>
        </w:rPr>
        <w:footnoteReference w:id="1622"/>
      </w:r>
      <w:r>
        <w:rPr>
          <w:rFonts w:ascii="Amiri" w:hAnsi="Amiri" w:eastAsia="Amiri" w:cs="Amiri"/>
          <w:color w:val="111111"/>
          <w:sz w:val="28"/>
          <w:sz w:val="28"/>
          <w:szCs w:val="28"/>
          <w:rtl w:val="true"/>
          <w:lang w:bidi="ar-SA"/>
        </w:rPr>
        <w:t>يُخالِفُ مَذهَبَ الفُصولِ بَينَ الأشياءِ و الفُروقِ ، و هذا معروفٌ عندَ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نَعودُ إلىٰ ما وَعَدنا به مِن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الإمامِ واحداً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له جُملةً في وجوبِ عصمتِه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23"/>
      </w:r>
      <w:r>
        <w:rPr>
          <w:rFonts w:ascii="Amiri" w:hAnsi="Amiri" w:eastAsia="Amiri" w:cs="Amiri"/>
          <w:color w:val="111111"/>
          <w:sz w:val="28"/>
          <w:sz w:val="28"/>
          <w:szCs w:val="28"/>
          <w:rtl w:val="true"/>
          <w:lang w:bidi="ar-SA"/>
        </w:rPr>
        <w:t>كَونُه 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له تأثيرٌ؛ مِن جهةِ أنّه لَو لَم يَكُنِ الخطأُ عليه </w:t>
      </w:r>
    </w:p>
    <w:p>
      <w:pPr>
        <w:pStyle w:val="BookText"/>
        <w:rPr/>
      </w:pPr>
      <w:r>
        <w:rPr>
          <w:rFonts w:ascii="Amiri" w:hAnsi="Amiri" w:eastAsia="Amiri" w:cs="Amiri"/>
          <w:color w:val="111111"/>
          <w:sz w:val="28"/>
          <w:sz w:val="28"/>
          <w:szCs w:val="28"/>
          <w:rtl w:val="true"/>
          <w:lang w:bidi="ar-SA"/>
        </w:rPr>
        <w:t>مأموناً لَم يؤمَنْ أن يُوَلّيَ مَن لا يَحسُنُ وِلايتُه و مَن يَكونُ وِلايتُه</w:t>
      </w:r>
      <w:r>
        <w:rPr>
          <w:rStyle w:val="FootnoteAnchor"/>
          <w:rtl w:val="true"/>
        </w:rPr>
        <w:footnoteReference w:id="1624"/>
      </w:r>
      <w:r>
        <w:rPr>
          <w:rFonts w:ascii="Amiri" w:hAnsi="Amiri" w:eastAsia="Amiri" w:cs="Amiri"/>
          <w:color w:val="111111"/>
          <w:sz w:val="28"/>
          <w:sz w:val="28"/>
          <w:szCs w:val="28"/>
          <w:rtl w:val="true"/>
          <w:lang w:bidi="ar-SA"/>
        </w:rPr>
        <w:t>سبباً لهَلاكِ الدِّينِ و فَسادِ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لا 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تأثيرٌ واضحٌ‌؛ لأنّه إذا كانَ المُرادُ بهذا القَولِ أنّ أحَداً مِن البَشَرِ لا يُوَلّيهِ و أنّ وِلايتَه إنّما تَكونُ مِن قِبَلِ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الغُيوبِ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w:t>
      </w:r>
      <w:r>
        <w:rPr>
          <w:rStyle w:val="FootnoteAnchor"/>
          <w:rtl w:val="true"/>
        </w:rPr>
        <w:footnoteReference w:id="1625"/>
      </w:r>
      <w:r>
        <w:rPr>
          <w:rFonts w:ascii="Amiri" w:hAnsi="Amiri" w:eastAsia="Amiri" w:cs="Amiri"/>
          <w:color w:val="111111"/>
          <w:sz w:val="28"/>
          <w:sz w:val="28"/>
          <w:szCs w:val="28"/>
          <w:rtl w:val="true"/>
          <w:lang w:bidi="ar-SA"/>
        </w:rPr>
        <w:t xml:space="preserve">أن يَكونَ معصوماً؛ لأنّ القَديمَ تَعالىٰ لا يَجوزُ أن يُوَلّيَه إلّامع العِلمِ بطهارةِ مَغيبِه؛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عندَ مَن جَوَّزَ</w:t>
      </w:r>
      <w:r>
        <w:rPr>
          <w:rStyle w:val="FootnoteAnchor"/>
          <w:rtl w:val="true"/>
        </w:rPr>
        <w:footnoteReference w:id="1626"/>
      </w:r>
      <w:r>
        <w:rPr>
          <w:rFonts w:ascii="Amiri" w:hAnsi="Amiri" w:eastAsia="Amiri" w:cs="Amiri"/>
          <w:color w:val="111111"/>
          <w:sz w:val="28"/>
          <w:sz w:val="28"/>
          <w:szCs w:val="28"/>
          <w:rtl w:val="true"/>
          <w:lang w:bidi="ar-SA"/>
        </w:rPr>
        <w:t>اختيارَ الإمامِ أن يُختارَ علىٰ ظاهرِه؛ مِن حَيثُ لَم يَكُن للبَشَرِ سَبيلٌ إلَى العِلمِ بمَغيبِه، و لَو كانَ لهُم إلىٰ ذلكَ سَبيلٌ‌</w:t>
      </w:r>
      <w:r>
        <w:rPr>
          <w:rStyle w:val="FootnoteAnchor"/>
          <w:rtl w:val="true"/>
        </w:rPr>
        <w:footnoteReference w:id="1627"/>
      </w:r>
      <w:r>
        <w:rPr>
          <w:rFonts w:ascii="Amiri" w:hAnsi="Amiri" w:eastAsia="Amiri" w:cs="Amiri"/>
          <w:color w:val="111111"/>
          <w:sz w:val="28"/>
          <w:sz w:val="28"/>
          <w:szCs w:val="28"/>
          <w:rtl w:val="true"/>
          <w:lang w:bidi="ar-SA"/>
        </w:rPr>
        <w:t xml:space="preserve">لَما جازَ أن يُقيموا إلّامَن يَعلَمونَ مِن حالِه الطهارةَ و حُسنَ الطريقةِ و يَقطَعونَ علىٰ باطنِه، كما أنّهم لَمّا كانَ لهُم طريقٌ </w:t>
      </w:r>
      <w:r>
        <w:rPr>
          <w:rStyle w:val="FootnoteAnchor"/>
          <w:rtl w:val="true"/>
        </w:rPr>
        <w:footnoteReference w:id="1628"/>
      </w:r>
      <w:r>
        <w:rPr>
          <w:rFonts w:ascii="Amiri" w:hAnsi="Amiri" w:eastAsia="Amiri" w:cs="Amiri"/>
          <w:color w:val="111111"/>
          <w:sz w:val="28"/>
          <w:sz w:val="28"/>
          <w:szCs w:val="28"/>
          <w:rtl w:val="true"/>
          <w:lang w:bidi="ar-SA"/>
        </w:rPr>
        <w:t>إلىٰ غَلَبةِ الظَّنِّ فيمَن</w:t>
      </w:r>
      <w:r>
        <w:rPr>
          <w:rStyle w:val="FootnoteAnchor"/>
          <w:rtl w:val="true"/>
        </w:rPr>
        <w:footnoteReference w:id="1629"/>
      </w:r>
      <w:r>
        <w:rPr>
          <w:rFonts w:ascii="Amiri" w:hAnsi="Amiri" w:eastAsia="Amiri" w:cs="Amiri"/>
          <w:color w:val="111111"/>
          <w:sz w:val="28"/>
          <w:sz w:val="28"/>
          <w:szCs w:val="28"/>
          <w:rtl w:val="true"/>
          <w:lang w:bidi="ar-SA"/>
        </w:rPr>
        <w:t>يَختَصُّ بهذه الأحوالِ لَم يَجُز أن يُقيموا إلّامَن يَغلِبُ علىٰ ظَنِّهم ما ذَكرناه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w:t>
      </w:r>
      <w:r>
        <w:rPr>
          <w:rStyle w:val="FootnoteAnchor"/>
          <w:rtl w:val="true"/>
        </w:rPr>
        <w:footnoteReference w:id="1630"/>
      </w:r>
      <w:r>
        <w:rPr>
          <w:rFonts w:ascii="Amiri" w:hAnsi="Amiri" w:eastAsia="Amiri" w:cs="Amiri"/>
          <w:color w:val="111111"/>
          <w:sz w:val="28"/>
          <w:sz w:val="28"/>
          <w:szCs w:val="28"/>
          <w:rtl w:val="true"/>
          <w:lang w:bidi="ar-SA"/>
        </w:rPr>
        <w:t xml:space="preserve">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فتأثيرُه كتأثيرِ كَونِه يُوَلّي، و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لا 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له في عصمتِه؛ علىٰ ما ذَكرناه في اشتراطِ أن يَكونَ واحداً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كَونُه يأخُذُ علىٰ يَدِ غَيرِه و لا يؤخَذُ علىٰ يَدِه، و يَجِبُ علىٰ غَيرِه طاعتُه و لا يَلزَمُه طاعةُ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تأثيرٌ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كَونُه آخِذاً علىٰ يَدِ غَيرِه</w:t>
      </w:r>
      <w:r>
        <w:rPr>
          <w:rStyle w:val="FootnoteAnchor"/>
          <w:rtl w:val="true"/>
        </w:rPr>
        <w:footnoteReference w:id="1631"/>
      </w:r>
      <w:r>
        <w:rPr>
          <w:rFonts w:ascii="Amiri" w:hAnsi="Amiri" w:eastAsia="Amiri" w:cs="Amiri"/>
          <w:color w:val="111111"/>
          <w:sz w:val="28"/>
          <w:sz w:val="28"/>
          <w:szCs w:val="28"/>
          <w:rtl w:val="true"/>
          <w:lang w:bidi="ar-SA"/>
        </w:rPr>
        <w:t>و يَجِبُ علَى الغَيرِ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تأثيرُه إلىٰ دليلِ الاقتداءِ الذي تَقدَّمَ‌؛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w:t>
      </w:r>
      <w:r>
        <w:rPr>
          <w:rStyle w:val="FootnoteAnchor"/>
          <w:rtl w:val="true"/>
        </w:rPr>
        <w:footnoteReference w:id="1632"/>
      </w:r>
      <w:r>
        <w:rPr>
          <w:rFonts w:ascii="Amiri" w:hAnsi="Amiri" w:eastAsia="Amiri" w:cs="Amiri"/>
          <w:color w:val="111111"/>
          <w:sz w:val="28"/>
          <w:sz w:val="28"/>
          <w:szCs w:val="28"/>
          <w:rtl w:val="true"/>
          <w:lang w:bidi="ar-SA"/>
        </w:rPr>
        <w:t>طاعتُه و أخذُه علَى الأيدي علَى الوجهِ‌</w:t>
      </w:r>
    </w:p>
    <w:p>
      <w:pPr>
        <w:pStyle w:val="BookText"/>
        <w:rPr/>
      </w:pPr>
      <w:r>
        <w:rPr>
          <w:rFonts w:ascii="Amiri" w:hAnsi="Amiri" w:eastAsia="Amiri" w:cs="Amiri"/>
          <w:color w:val="111111"/>
          <w:sz w:val="28"/>
          <w:sz w:val="28"/>
          <w:szCs w:val="28"/>
          <w:rtl w:val="true"/>
          <w:lang w:bidi="ar-SA"/>
        </w:rPr>
        <w:t xml:space="preserve">الذي يَجِبُ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جهةِ الاقتداءِ المخصوصِ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معصوماً، و إلّاأدّىٰ إلىٰ وَجوبِ الاقتداءِ به في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المعارَضةُ بالأميرِ و وجوبِ الاقتداءِ به مع سُقوطِ عصمتِه، فالجوابُ عنه ما تَقدَّمَ‌</w:t>
      </w:r>
      <w:r>
        <w:rPr>
          <w:rStyle w:val="FootnoteAnchor"/>
          <w:rtl w:val="true"/>
        </w:rPr>
        <w:footnoteReference w:id="1633"/>
      </w:r>
      <w:r>
        <w:rPr>
          <w:rFonts w:ascii="Amiri" w:hAnsi="Amiri" w:eastAsia="Amiri" w:cs="Amiri"/>
          <w:color w:val="111111"/>
          <w:sz w:val="28"/>
          <w:sz w:val="28"/>
          <w:szCs w:val="28"/>
          <w:rtl w:val="true"/>
          <w:lang w:bidi="ar-SA"/>
        </w:rPr>
        <w:t>، و قد مضَى الكلامُ في نُصرةِ هذا الدليلِ مُستَقصىً‌</w:t>
      </w:r>
      <w:r>
        <w:rPr>
          <w:rFonts w:eastAsia="Amiri" w:cs="Amiri" w:ascii="Amiri" w:hAnsi="Amiri"/>
          <w:color w:val="111111"/>
          <w:sz w:val="28"/>
          <w:szCs w:val="28"/>
          <w:rtl w:val="true"/>
          <w:lang w:bidi="ar-SA"/>
        </w:rPr>
        <w:t>.</w:t>
      </w:r>
      <w:r>
        <w:rPr>
          <w:rStyle w:val="FootnoteAnchor"/>
          <w:rtl w:val="true"/>
        </w:rPr>
        <w:footnoteReference w:id="16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 ممّن لا يَلزَمُه</w:t>
      </w:r>
      <w:r>
        <w:rPr>
          <w:rStyle w:val="FootnoteAnchor"/>
          <w:rtl w:val="true"/>
        </w:rPr>
        <w:footnoteReference w:id="1635"/>
      </w:r>
      <w:r>
        <w:rPr>
          <w:rFonts w:ascii="Amiri" w:hAnsi="Amiri" w:eastAsia="Amiri" w:cs="Amiri"/>
          <w:color w:val="111111"/>
          <w:sz w:val="28"/>
          <w:sz w:val="28"/>
          <w:szCs w:val="28"/>
          <w:rtl w:val="true"/>
          <w:lang w:bidi="ar-SA"/>
        </w:rPr>
        <w:t>طاعةُ غَيرِه و لا يؤخَذُ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تأثيرُه إلَى الدليلِ الذي اعتبَرَنا فيه أنّه لَو لَم يَكُن معصوماً لَاحتاجَ إلىٰ إمامٍ لحُصولِ عِلّةِ الحاجةِ‌؛ لأنّه إذا ثَبَتَ‌</w:t>
      </w:r>
      <w:r>
        <w:rPr>
          <w:rStyle w:val="FootnoteAnchor"/>
          <w:rtl w:val="true"/>
        </w:rPr>
        <w:footnoteReference w:id="1636"/>
      </w:r>
      <w:r>
        <w:rPr>
          <w:rFonts w:ascii="Amiri" w:hAnsi="Amiri" w:eastAsia="Amiri" w:cs="Amiri"/>
          <w:color w:val="111111"/>
          <w:sz w:val="28"/>
          <w:sz w:val="28"/>
          <w:szCs w:val="28"/>
          <w:rtl w:val="true"/>
          <w:lang w:bidi="ar-SA"/>
        </w:rPr>
        <w:t>أنّه ممّن</w:t>
      </w:r>
      <w:r>
        <w:rPr>
          <w:rStyle w:val="FootnoteAnchor"/>
          <w:rtl w:val="true"/>
        </w:rPr>
        <w:footnoteReference w:id="1637"/>
      </w:r>
      <w:r>
        <w:rPr>
          <w:rFonts w:ascii="Amiri" w:hAnsi="Amiri" w:eastAsia="Amiri" w:cs="Amiri"/>
          <w:color w:val="111111"/>
          <w:sz w:val="28"/>
          <w:sz w:val="28"/>
          <w:szCs w:val="28"/>
          <w:rtl w:val="true"/>
          <w:lang w:bidi="ar-SA"/>
        </w:rPr>
        <w:t xml:space="preserve">لا يؤخَذُ علىٰ يَدِه و لا طاعةَ لأحَدٍ عليه، لَم يَخلُ حالُه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معصوماً، أو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غَيرَ معصومٍ وجَبَت حاجتُه إلىٰ مَن يأخُذُ علىٰ يَدِه؛ لحُصولِ العِلّةِ المُحوِجةِ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أن لا يأخُذَ</w:t>
      </w:r>
      <w:r>
        <w:rPr>
          <w:rStyle w:val="FootnoteAnchor"/>
          <w:rtl w:val="true"/>
        </w:rPr>
        <w:footnoteReference w:id="1638"/>
      </w:r>
      <w:r>
        <w:rPr>
          <w:rFonts w:ascii="Amiri" w:hAnsi="Amiri" w:eastAsia="Amiri" w:cs="Amiri"/>
          <w:color w:val="111111"/>
          <w:sz w:val="28"/>
          <w:sz w:val="28"/>
          <w:szCs w:val="28"/>
          <w:rtl w:val="true"/>
          <w:lang w:bidi="ar-SA"/>
        </w:rPr>
        <w:t>علىٰ يَدِه أحَدٌ</w:t>
      </w:r>
      <w:r>
        <w:rPr>
          <w:rStyle w:val="FootnoteAnchor"/>
          <w:rtl w:val="true"/>
        </w:rPr>
        <w:footnoteReference w:id="1639"/>
      </w:r>
      <w:r>
        <w:rPr>
          <w:rFonts w:ascii="Amiri" w:hAnsi="Amiri" w:eastAsia="Amiri" w:cs="Amiri"/>
          <w:color w:val="111111"/>
          <w:sz w:val="28"/>
          <w:sz w:val="28"/>
          <w:szCs w:val="28"/>
          <w:rtl w:val="true"/>
          <w:lang w:bidi="ar-SA"/>
        </w:rPr>
        <w:t xml:space="preserve">مع كَونِه غَيرَ معصومٍ ، لَجازَ مِثلُ ذلكَ في كَثيرٍ مِن الأُمّةِ ، </w:t>
      </w:r>
    </w:p>
    <w:p>
      <w:pPr>
        <w:pStyle w:val="BookText"/>
        <w:rPr/>
      </w:pPr>
      <w:r>
        <w:rPr>
          <w:rFonts w:ascii="Amiri" w:hAnsi="Amiri" w:eastAsia="Amiri" w:cs="Amiri"/>
          <w:color w:val="111111"/>
          <w:sz w:val="28"/>
          <w:sz w:val="28"/>
          <w:szCs w:val="28"/>
          <w:rtl w:val="true"/>
          <w:lang w:bidi="ar-SA"/>
        </w:rPr>
        <w:t>بَل في جميعِهم، و قد تَقدَّمَ فَسادُ هذا؛ فلا بُدّ إذَن مِن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نُصرةِ هذا الدليلِ و ذِكرِ الزياداتِ عليه ما</w:t>
      </w:r>
      <w:r>
        <w:rPr>
          <w:rStyle w:val="FootnoteAnchor"/>
          <w:rtl w:val="true"/>
        </w:rPr>
        <w:footnoteReference w:id="1640"/>
      </w:r>
      <w:r>
        <w:rPr>
          <w:rFonts w:ascii="Amiri" w:hAnsi="Amiri" w:eastAsia="Amiri" w:cs="Amiri"/>
          <w:color w:val="111111"/>
          <w:sz w:val="28"/>
          <w:sz w:val="28"/>
          <w:szCs w:val="28"/>
          <w:rtl w:val="true"/>
          <w:lang w:bidi="ar-SA"/>
        </w:rPr>
        <w:t xml:space="preserve">فيه كِفايةٌ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فأمّا قَولُ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العِلّةَ في عصمةِ الرسولِ لَيسَت ما ذَكَرتُموه، و إنّما العِلّةُ ثُبوتُ كَونِه حُجَّةً </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فقَد تَقَدَّمَ لنا ما يَدُلُّ علىٰ أنّ الإمامَ أيضاً حُجّةٌ في الأداءِ ، فيَجِبُ أن يَكونَ معصوماً، علَى الطريقةِ التي فَزِعَ إليها صاحبُ الكتابِ ، و ظَنّ أنّا لا نَتَمَكَّنُ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643"/>
      </w:r>
      <w:r>
        <w:rPr>
          <w:rFonts w:ascii="Amiri" w:hAnsi="Amiri" w:eastAsia="Amiri" w:cs="Amiri"/>
          <w:color w:val="111111"/>
          <w:sz w:val="28"/>
          <w:sz w:val="28"/>
          <w:szCs w:val="28"/>
          <w:rtl w:val="true"/>
          <w:lang w:bidi="ar-SA"/>
        </w:rPr>
        <w:t>قَولُه أنّه يُنازِعُ‌</w:t>
      </w:r>
      <w:r>
        <w:rPr>
          <w:rStyle w:val="FootnoteAnchor"/>
          <w:rtl w:val="true"/>
        </w:rPr>
        <w:footnoteReference w:id="1644"/>
      </w:r>
      <w:r>
        <w:rPr>
          <w:rFonts w:ascii="Amiri" w:hAnsi="Amiri" w:eastAsia="Amiri" w:cs="Amiri"/>
          <w:color w:val="111111"/>
          <w:sz w:val="28"/>
          <w:sz w:val="28"/>
          <w:szCs w:val="28"/>
          <w:rtl w:val="true"/>
          <w:lang w:bidi="ar-SA"/>
        </w:rPr>
        <w:t>في كَونِ الإمامِ مِن حقِّه أن يُوَلّيَ و لا يُوَلّىٰ‌، و ادّعاؤه أنّه علىٰ مَذهَبِه يُوَلّىٰ و يُنصَبُ كالأميرِ</w:t>
      </w:r>
      <w:r>
        <w:rPr>
          <w:rStyle w:val="FootnoteAnchor"/>
          <w:rtl w:val="true"/>
        </w:rPr>
        <w:footnoteReference w:id="164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تَثبُتُ‌</w:t>
      </w:r>
      <w:r>
        <w:rPr>
          <w:rStyle w:val="FootnoteAnchor"/>
          <w:rtl w:val="true"/>
        </w:rPr>
        <w:footnoteReference w:id="1646"/>
      </w:r>
      <w:r>
        <w:rPr>
          <w:rFonts w:ascii="Amiri" w:hAnsi="Amiri" w:eastAsia="Amiri" w:cs="Amiri"/>
          <w:color w:val="111111"/>
          <w:sz w:val="28"/>
          <w:sz w:val="28"/>
          <w:szCs w:val="28"/>
          <w:rtl w:val="true"/>
          <w:lang w:bidi="ar-SA"/>
        </w:rPr>
        <w:t>بالنَّصِّ‌، فلذلكَ قُلنا أنّه لا يوَلّىٰ‌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صاروا يَعتَمِدونَ في أنّه معصومٌ علَى النَّصِّ </w:t>
      </w:r>
      <w:r>
        <w:rPr>
          <w:rStyle w:val="FootnoteAnchor"/>
          <w:rtl w:val="true"/>
        </w:rPr>
        <w:footnoteReference w:id="1647"/>
      </w:r>
      <w:r>
        <w:rPr>
          <w:rFonts w:ascii="Amiri" w:hAnsi="Amiri" w:eastAsia="Amiri" w:cs="Amiri"/>
          <w:color w:val="111111"/>
          <w:sz w:val="28"/>
          <w:sz w:val="28"/>
          <w:szCs w:val="28"/>
          <w:rtl w:val="true"/>
          <w:lang w:bidi="ar-SA"/>
        </w:rPr>
        <w:t xml:space="preserve">، و في النَّصِّ علىٰ أنّه معصومٌ </w:t>
      </w:r>
      <w:r>
        <w:rPr>
          <w:rFonts w:eastAsia="Amiri" w:cs="Amiri" w:ascii="Amiri" w:hAnsi="Amiri"/>
          <w:color w:val="111111"/>
          <w:sz w:val="28"/>
          <w:szCs w:val="28"/>
          <w:rtl w:val="true"/>
          <w:lang w:bidi="ar-SA"/>
        </w:rPr>
        <w:t>.</w:t>
      </w:r>
      <w:r>
        <w:rPr>
          <w:rStyle w:val="FootnoteAnchor"/>
          <w:rtl w:val="true"/>
        </w:rPr>
        <w:footnoteReference w:id="164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يَقدَحُ في الكلامِ الذي حَكاه؛ لأنّ القَومَ بَنَوا كلامَهم علىٰ أُصولِهم، فلا </w:t>
      </w:r>
    </w:p>
    <w:p>
      <w:pPr>
        <w:pStyle w:val="BookText"/>
        <w:rPr/>
      </w:pPr>
      <w:r>
        <w:rPr>
          <w:rFonts w:ascii="Amiri" w:hAnsi="Amiri" w:eastAsia="Amiri" w:cs="Amiri"/>
          <w:color w:val="111111"/>
          <w:sz w:val="28"/>
          <w:sz w:val="28"/>
          <w:szCs w:val="28"/>
          <w:rtl w:val="true"/>
          <w:lang w:bidi="ar-SA"/>
        </w:rPr>
        <w:t>يَضُرُّهم خِلافُ مَن خالَفَهم في أنّ الإمامَ يُوَلّىٰ إذا رَجَعوا في فَسادِ</w:t>
      </w:r>
      <w:r>
        <w:rPr>
          <w:rStyle w:val="FootnoteAnchor"/>
          <w:rtl w:val="true"/>
        </w:rPr>
        <w:footnoteReference w:id="1649"/>
      </w:r>
      <w:r>
        <w:rPr>
          <w:rFonts w:ascii="Amiri" w:hAnsi="Amiri" w:eastAsia="Amiri" w:cs="Amiri"/>
          <w:color w:val="111111"/>
          <w:sz w:val="28"/>
          <w:sz w:val="28"/>
          <w:szCs w:val="28"/>
          <w:rtl w:val="true"/>
          <w:lang w:bidi="ar-SA"/>
        </w:rPr>
        <w:t>ذلكَ إلَى الدليلِ الواضحِ ، و لهُم علىٰ وجوبِ النَّصِّ و فَسادِ</w:t>
      </w:r>
      <w:r>
        <w:rPr>
          <w:rStyle w:val="FootnoteAnchor"/>
          <w:rtl w:val="true"/>
        </w:rPr>
        <w:footnoteReference w:id="1650"/>
      </w:r>
      <w:r>
        <w:rPr>
          <w:rFonts w:ascii="Amiri" w:hAnsi="Amiri" w:eastAsia="Amiri" w:cs="Amiri"/>
          <w:color w:val="111111"/>
          <w:sz w:val="28"/>
          <w:sz w:val="28"/>
          <w:szCs w:val="28"/>
          <w:rtl w:val="true"/>
          <w:lang w:bidi="ar-SA"/>
        </w:rPr>
        <w:t>الاختيارِ أدلّةٌ غَيرُ وجوبِ العصمةِ ، و إن كانَ دليلُ العصمةِ أقواها؛ فلَيسَ يَجِبُ تعليقُ ما ظَنَّه مِن كُلِّ واحدٍ مِن الأمرَينِ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مَن يَنُصُّ عليه يُوَلّيهِ؟ فَلِمَ قُلتُم أنّه لا يُوَلّىٰ؟ و إنّما يُفارِقُ حالَ الأميرِ بأنّه يُوَلّىٰ بَعدَ المَوتِ ، و الأميرَ يُوَلّىٰ في حالِ الحَياةِ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 عليه الرسولُ أو الإمامُ المُتَقدِّمُ ، فهو مِن قِبَلِ اللّٰهِ تَعالىٰ ، لا أنّه يُوَلّىٰ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بَينَكم و بَينَ مَن قالَ في الأميرِ إذا وَلّاهُ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قِبَلِ اللّٰهِ تَعالىٰ </w:t>
      </w:r>
      <w:r>
        <w:rPr>
          <w:rFonts w:eastAsia="Amiri" w:cs="Amiri" w:ascii="Amiri" w:hAnsi="Amiri"/>
          <w:color w:val="111111"/>
          <w:sz w:val="28"/>
          <w:szCs w:val="28"/>
          <w:rtl w:val="true"/>
          <w:lang w:bidi="ar-SA"/>
        </w:rPr>
        <w:t>!</w:t>
      </w:r>
      <w:r>
        <w:rPr>
          <w:rStyle w:val="FootnoteAnchor"/>
          <w:rtl w:val="true"/>
        </w:rPr>
        <w:footnoteReference w:id="165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الفَسادِ؛ لأنّ مُرادَ القَومِ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هو أنّ البَشَرَ لا يُوَلّونَه، و لا يَكونُ </w:t>
      </w:r>
      <w:r>
        <w:rPr>
          <w:rStyle w:val="FootnoteAnchor"/>
          <w:rtl w:val="true"/>
        </w:rPr>
        <w:footnoteReference w:id="1654"/>
      </w:r>
      <w:r>
        <w:rPr>
          <w:rFonts w:ascii="Amiri" w:hAnsi="Amiri" w:eastAsia="Amiri" w:cs="Amiri"/>
          <w:color w:val="111111"/>
          <w:sz w:val="28"/>
          <w:sz w:val="28"/>
          <w:szCs w:val="28"/>
          <w:rtl w:val="true"/>
          <w:lang w:bidi="ar-SA"/>
        </w:rPr>
        <w:t>وِلايتُه إلّامِن قِبَلِ اللّٰهِ تَعالىٰ ؛ فيَجِبُ أن يُكلَّموا</w:t>
      </w:r>
      <w:r>
        <w:rPr>
          <w:rStyle w:val="FootnoteAnchor"/>
          <w:rtl w:val="true"/>
        </w:rPr>
        <w:footnoteReference w:id="1655"/>
      </w:r>
      <w:r>
        <w:rPr>
          <w:rFonts w:ascii="Amiri" w:hAnsi="Amiri" w:eastAsia="Amiri" w:cs="Amiri"/>
          <w:color w:val="111111"/>
          <w:sz w:val="28"/>
          <w:sz w:val="28"/>
          <w:szCs w:val="28"/>
          <w:rtl w:val="true"/>
          <w:lang w:bidi="ar-SA"/>
        </w:rPr>
        <w:t>علىٰ غرضِهم، و يُرجَعَ إليهم في مُرادِهم بما أَطلَقوه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المعارَضةُ بالأميرِ لا تَلزَمُ‌</w:t>
      </w:r>
      <w:r>
        <w:rPr>
          <w:rStyle w:val="FootnoteAnchor"/>
          <w:rtl w:val="true"/>
        </w:rPr>
        <w:footnoteReference w:id="1656"/>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w:t>
      </w:r>
      <w:r>
        <w:rPr>
          <w:rStyle w:val="FootnoteAnchor"/>
          <w:rtl w:val="true"/>
        </w:rPr>
        <w:footnoteReference w:id="1657"/>
      </w:r>
      <w:r>
        <w:rPr>
          <w:rFonts w:ascii="Amiri" w:hAnsi="Amiri" w:eastAsia="Amiri" w:cs="Amiri"/>
          <w:color w:val="111111"/>
          <w:sz w:val="28"/>
          <w:sz w:val="28"/>
          <w:szCs w:val="28"/>
          <w:rtl w:val="true"/>
          <w:lang w:bidi="ar-SA"/>
        </w:rPr>
        <w:t xml:space="preserve">علىٰ فَسادِ اختيارِ الإمامِ و وجوبِ نَصبِه مِن قِبَلِ </w:t>
      </w:r>
      <w:r>
        <w:rPr>
          <w:rStyle w:val="FootnoteAnchor"/>
          <w:rtl w:val="true"/>
        </w:rPr>
        <w:footnoteReference w:id="1658"/>
      </w:r>
      <w:r>
        <w:rPr>
          <w:rFonts w:ascii="Amiri" w:hAnsi="Amiri" w:eastAsia="Amiri" w:cs="Amiri"/>
          <w:color w:val="111111"/>
          <w:sz w:val="28"/>
          <w:sz w:val="28"/>
          <w:szCs w:val="28"/>
          <w:rtl w:val="true"/>
          <w:lang w:bidi="ar-SA"/>
        </w:rPr>
        <w:t>القَديمِ تَعالىٰ ، لَيسَ مِثلُه في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إذا</w:t>
      </w:r>
      <w:r>
        <w:rPr>
          <w:rStyle w:val="FootnoteAnchor"/>
          <w:rtl w:val="true"/>
        </w:rPr>
        <w:footnoteReference w:id="1659"/>
      </w:r>
      <w:r>
        <w:rPr>
          <w:rFonts w:ascii="Amiri" w:hAnsi="Amiri" w:eastAsia="Amiri" w:cs="Amiri"/>
          <w:color w:val="111111"/>
          <w:sz w:val="28"/>
          <w:sz w:val="28"/>
          <w:szCs w:val="28"/>
          <w:rtl w:val="true"/>
          <w:lang w:bidi="ar-SA"/>
        </w:rPr>
        <w:t xml:space="preserve">ثَبَتَ أنّه لا يُوَلّىٰ ، فمِن أينَ ثَبَتَ </w:t>
      </w:r>
      <w:r>
        <w:rPr>
          <w:rStyle w:val="FootnoteAnchor"/>
          <w:rtl w:val="true"/>
        </w:rPr>
        <w:footnoteReference w:id="1660"/>
      </w:r>
      <w:r>
        <w:rPr>
          <w:rFonts w:ascii="Amiri" w:hAnsi="Amiri" w:eastAsia="Amiri" w:cs="Amiri"/>
          <w:color w:val="111111"/>
          <w:sz w:val="28"/>
          <w:sz w:val="28"/>
          <w:szCs w:val="28"/>
          <w:rtl w:val="true"/>
          <w:lang w:bidi="ar-SA"/>
        </w:rPr>
        <w:t>أنّه يَجِبُ أن يكون معصوماً؟ و ما تأثيرُ هذه الصفةِ في العصمةِ حتّىٰ يَجِبَ لأجلِها ثُبوتُها؟ و هَلّا جازَ أن يَكونَ ممّن يُوَلّي و لا يُوَلّىٰ و لا يَكونَ معصوماً؟</w:t>
      </w:r>
    </w:p>
    <w:p>
      <w:pPr>
        <w:pStyle w:val="BookText"/>
        <w:rPr/>
      </w:pPr>
      <w:r>
        <w:rPr>
          <w:rFonts w:ascii="Amiri" w:hAnsi="Amiri" w:eastAsia="Amiri" w:cs="Amiri"/>
          <w:color w:val="111111"/>
          <w:sz w:val="28"/>
          <w:sz w:val="28"/>
          <w:szCs w:val="28"/>
          <w:rtl w:val="true"/>
          <w:lang w:bidi="ar-SA"/>
        </w:rPr>
        <w:t xml:space="preserve">و لَو أنّه عليه السلامُ نَصَّ علَى الإمامِ ، ما كانَ يَجِبُ أن يَكونَ معصوماً عندَنا، كَما أنّه عليه السلامُ يُوَلّي الأُمَراءَ و إن لَم يَكونوا معصومينَ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فلَيسَ يَخلو كلامُه هذا مِن أن يَكونَ علىٰ تسليمِ مُرادِنا بقَولِنا أنّه لا يُوَلّىٰ‌، أو علَى المُنازَعةِ في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مع التسليمِ‌، فقَد دَلَّلنا علىٰ تأثيرِ هذه الصفةِ في العصمةِ بما لا مَطعَنَ </w:t>
      </w:r>
      <w:r>
        <w:rPr>
          <w:rStyle w:val="FootnoteAnchor"/>
          <w:rtl w:val="true"/>
        </w:rPr>
        <w:footnoteReference w:id="1662"/>
      </w:r>
      <w:r>
        <w:rPr>
          <w:rFonts w:ascii="Amiri" w:hAnsi="Amiri" w:eastAsia="Amiri" w:cs="Amiri"/>
          <w:color w:val="111111"/>
          <w:sz w:val="28"/>
          <w:sz w:val="28"/>
          <w:szCs w:val="28"/>
          <w:rtl w:val="true"/>
          <w:lang w:bidi="ar-SA"/>
        </w:rPr>
        <w:t xml:space="preserve">عليه، و لَيسَ صاحبُ الكتابِ ممّن يُخالِفُنا في أنّ الإمامَ لَو تَوَلَّى اللّٰهُ تَعالىٰ نَصْبَه لَوجَبَ أن يَكونَ مأمونَ الباطِنِ ؛ لأنّه قد صَرَّحَ في كلامِه في هذا المَوضِعِ بذلكَ </w:t>
      </w:r>
      <w:r>
        <w:rPr>
          <w:rFonts w:eastAsia="Amiri" w:cs="Amiri" w:ascii="Amiri" w:hAnsi="Amiri"/>
          <w:color w:val="111111"/>
          <w:sz w:val="28"/>
          <w:szCs w:val="28"/>
          <w:rtl w:val="true"/>
          <w:lang w:bidi="ar-SA"/>
        </w:rPr>
        <w:t>.</w:t>
      </w:r>
      <w:r>
        <w:rPr>
          <w:rStyle w:val="FootnoteAnchor"/>
          <w:rtl w:val="true"/>
        </w:rPr>
        <w:footnoteReference w:id="1663"/>
      </w:r>
      <w:bookmarkStart w:id="264" w:name="pg20015_284915"/>
    </w:p>
    <w:p>
      <w:pPr>
        <w:pStyle w:val="BookText"/>
        <w:rPr/>
      </w:pPr>
      <w:bookmarkEnd w:id="264"/>
      <w:r>
        <w:rPr>
          <w:rFonts w:ascii="Amiri" w:hAnsi="Amiri" w:eastAsia="Amiri" w:cs="Amiri"/>
          <w:color w:val="111111"/>
          <w:sz w:val="28"/>
          <w:sz w:val="28"/>
          <w:szCs w:val="28"/>
          <w:rtl w:val="true"/>
          <w:lang w:bidi="ar-SA"/>
        </w:rPr>
        <w:t>و إن كانَ مُنازِعاً فيما أَرَدناه بقَولِنا أنّ الإمامَ لا يُوَلّىٰ ، فلا معنىٰ لإخراجِه كلامَه مَخرَجَ التسليمِ و إظهارِه العُدولَ عن</w:t>
      </w:r>
      <w:r>
        <w:rPr>
          <w:rStyle w:val="FootnoteAnchor"/>
          <w:rtl w:val="true"/>
        </w:rPr>
        <w:footnoteReference w:id="1664"/>
      </w:r>
      <w:r>
        <w:rPr>
          <w:rFonts w:ascii="Amiri" w:hAnsi="Amiri" w:eastAsia="Amiri" w:cs="Amiri"/>
          <w:color w:val="111111"/>
          <w:sz w:val="28"/>
          <w:sz w:val="28"/>
          <w:szCs w:val="28"/>
          <w:rtl w:val="true"/>
          <w:lang w:bidi="ar-SA"/>
        </w:rPr>
        <w:t>المخالَفةِ إلَى الموافَقةِ ، و مفهومُ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إذا كانَ علىٰ ما ذَكرتُم، فمِن أينَ أنّه</w:t>
      </w:r>
      <w:r>
        <w:rPr>
          <w:rStyle w:val="FootnoteAnchor"/>
          <w:rtl w:val="true"/>
        </w:rPr>
        <w:footnoteReference w:id="1665"/>
      </w:r>
      <w:r>
        <w:rPr>
          <w:rFonts w:ascii="Amiri" w:hAnsi="Amiri" w:eastAsia="Amiri" w:cs="Amiri"/>
          <w:color w:val="111111"/>
          <w:sz w:val="28"/>
          <w:sz w:val="28"/>
          <w:szCs w:val="28"/>
          <w:rtl w:val="true"/>
          <w:lang w:bidi="ar-SA"/>
        </w:rPr>
        <w:t>يَجِبُ أن يَكونَ معصوماً؟ و قد كانَ يَجِبُ إذا كانَ مُنازِعاً أن يُقيمَ علىٰ كلامِه الأوّلِ و لا يَعدِلَ عنه</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894909_2320776876"/>
      <w:bookmarkStart w:id="266" w:name="_Toc96"/>
      <w:bookmarkEnd w:id="265"/>
      <w:r>
        <w:rPr>
          <w:rtl w:val="true"/>
        </w:rPr>
        <w:t>دلالة كون الإمام ممّن يولّي، على العصمة</w:t>
      </w:r>
      <w:bookmarkEnd w:id="26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أنّه تَعالىٰ تَعبَّدَ الإمامَ بأن يَقومَ بالحُدودِ و الأحكامِ‌، و لَم يُجوِّزْ له</w:t>
      </w:r>
      <w:r>
        <w:rPr>
          <w:rStyle w:val="FootnoteAnchor"/>
          <w:rtl w:val="true"/>
        </w:rPr>
        <w:footnoteReference w:id="1666"/>
      </w:r>
      <w:r>
        <w:rPr>
          <w:rFonts w:ascii="Amiri" w:hAnsi="Amiri" w:eastAsia="Amiri" w:cs="Amiri"/>
          <w:color w:val="111111"/>
          <w:sz w:val="28"/>
          <w:sz w:val="28"/>
          <w:szCs w:val="28"/>
          <w:rtl w:val="true"/>
          <w:lang w:bidi="ar-SA"/>
        </w:rPr>
        <w:t xml:space="preserve">أن يُوَلّيَ‌، كانَ لا يَمتَنِعُ أن تَكونَ </w:t>
      </w:r>
      <w:r>
        <w:rPr>
          <w:rStyle w:val="FootnoteAnchor"/>
          <w:rtl w:val="true"/>
        </w:rPr>
        <w:footnoteReference w:id="1667"/>
      </w:r>
      <w:r>
        <w:rPr>
          <w:rFonts w:ascii="Amiri" w:hAnsi="Amiri" w:eastAsia="Amiri" w:cs="Amiri"/>
          <w:color w:val="111111"/>
          <w:sz w:val="28"/>
          <w:sz w:val="28"/>
          <w:szCs w:val="28"/>
          <w:rtl w:val="true"/>
          <w:lang w:bidi="ar-SA"/>
        </w:rPr>
        <w:t xml:space="preserve">التَّوليةُ إلىٰ صالِحي الأُمّةِ ، فلَيسَت هذه الصفةُ بواجِبةٍ للإمامِ حَتّىٰ يَصِحَّ أن تُجعَلَ </w:t>
      </w:r>
      <w:r>
        <w:rPr>
          <w:rStyle w:val="FootnoteAnchor"/>
          <w:rtl w:val="true"/>
        </w:rPr>
        <w:footnoteReference w:id="1668"/>
      </w:r>
      <w:r>
        <w:rPr>
          <w:rFonts w:ascii="Amiri" w:hAnsi="Amiri" w:eastAsia="Amiri" w:cs="Amiri"/>
          <w:color w:val="111111"/>
          <w:sz w:val="28"/>
          <w:sz w:val="28"/>
          <w:szCs w:val="28"/>
          <w:rtl w:val="true"/>
          <w:lang w:bidi="ar-SA"/>
        </w:rPr>
        <w:t xml:space="preserve">عِلّةً في العصمةِ </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فلَسنا نَعلَمُ مِن أيِّ وَجهٍ كانَ كلامُه هذا مُفسِداً لتأثيرِ كَونِ الإمامِ ممّن يُوَلّي</w:t>
      </w:r>
      <w:r>
        <w:rPr>
          <w:rStyle w:val="FootnoteAnchor"/>
          <w:rtl w:val="true"/>
        </w:rPr>
        <w:footnoteReference w:id="1670"/>
      </w:r>
      <w:r>
        <w:rPr>
          <w:rFonts w:ascii="Amiri" w:hAnsi="Amiri" w:eastAsia="Amiri" w:cs="Amiri"/>
          <w:color w:val="111111"/>
          <w:sz w:val="28"/>
          <w:sz w:val="28"/>
          <w:szCs w:val="28"/>
          <w:rtl w:val="true"/>
          <w:lang w:bidi="ar-SA"/>
        </w:rPr>
        <w:t>في العصمةِ؟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أتُوجِبُ عصمتَه إذا كانَ له أن يُوَلّيَ ، و إن سَلَّمنا لكَ تَطوُّعاً جَوازَ رَدِّ التَّوليةِ إلىٰ صالِحي الأُمّةِ و العُدولِ بها عنه، علىٰ فَسادِ ذلكَ عندَنا؟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تعالىٰ عالماً بذلك، لم يجُز أن يقيم إلّامَن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نَرَكَ‌</w:t>
      </w:r>
      <w:r>
        <w:rPr>
          <w:rStyle w:val="FootnoteAnchor"/>
          <w:rtl w:val="true"/>
        </w:rPr>
        <w:footnoteReference w:id="1671"/>
      </w:r>
      <w:r>
        <w:rPr>
          <w:rFonts w:ascii="Amiri" w:hAnsi="Amiri" w:eastAsia="Amiri" w:cs="Amiri"/>
          <w:color w:val="111111"/>
          <w:sz w:val="28"/>
          <w:sz w:val="28"/>
          <w:szCs w:val="28"/>
          <w:rtl w:val="true"/>
          <w:lang w:bidi="ar-SA"/>
        </w:rPr>
        <w:t xml:space="preserve">أَفسَدتَ ذلكَ بشَيءٍ أكثَرَ مِن ذِكرِ تقديرٍ لَم يَثبُتْ‌؛ و هو تقديرُكَ أن تَكونَ </w:t>
      </w:r>
      <w:r>
        <w:rPr>
          <w:rStyle w:val="FootnoteAnchor"/>
          <w:rtl w:val="true"/>
        </w:rPr>
        <w:footnoteReference w:id="1672"/>
      </w:r>
      <w:r>
        <w:rPr>
          <w:rFonts w:ascii="Amiri" w:hAnsi="Amiri" w:eastAsia="Amiri" w:cs="Amiri"/>
          <w:color w:val="111111"/>
          <w:sz w:val="28"/>
          <w:sz w:val="28"/>
          <w:szCs w:val="28"/>
          <w:rtl w:val="true"/>
          <w:lang w:bidi="ar-SA"/>
        </w:rPr>
        <w:t>الوِلايةُ إلىٰ غَيرِه، و لو ثَبَتَت</w:t>
      </w:r>
      <w:r>
        <w:rPr>
          <w:rStyle w:val="FootnoteAnchor"/>
          <w:rtl w:val="true"/>
        </w:rPr>
        <w:footnoteReference w:id="1673"/>
      </w:r>
      <w:r>
        <w:rPr>
          <w:rFonts w:ascii="IRNazanin" w:hAnsi="IRNazanin" w:eastAsia="IRNazanin"/>
          <w:color w:val="111111"/>
          <w:sz w:val="28"/>
          <w:sz w:val="28"/>
          <w:szCs w:val="28"/>
          <w:rtl w:val="true"/>
          <w:lang w:bidi="fa-IR"/>
        </w:rPr>
        <w:t>له</w:t>
      </w:r>
      <w:r>
        <w:rPr>
          <w:rStyle w:val="FootnoteAnchor"/>
          <w:rtl w:val="true"/>
        </w:rPr>
        <w:footnoteReference w:id="1674"/>
      </w:r>
      <w:r>
        <w:rPr>
          <w:rFonts w:ascii="Amiri" w:hAnsi="Amiri" w:eastAsia="Amiri" w:cs="Amiri"/>
          <w:color w:val="111111"/>
          <w:sz w:val="28"/>
          <w:sz w:val="28"/>
          <w:szCs w:val="28"/>
          <w:rtl w:val="true"/>
          <w:lang w:bidi="ar-SA"/>
        </w:rPr>
        <w:t xml:space="preserve">لَم يَبطُلْ ما قَصَدناه بالكلامِ مِن إيجابِ كَونِ الإمامِ معصوماً إذا كانَت إليه الوِلايةُ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مَوضِعُ الخِلاف؛ لأنّا لَم نَختَلِفْ في عصمةِ </w:t>
      </w:r>
      <w:r>
        <w:rPr>
          <w:rStyle w:val="FootnoteAnchor"/>
          <w:rtl w:val="true"/>
        </w:rPr>
        <w:footnoteReference w:id="1676"/>
      </w:r>
      <w:r>
        <w:rPr>
          <w:rFonts w:ascii="Amiri" w:hAnsi="Amiri" w:eastAsia="Amiri" w:cs="Amiri"/>
          <w:color w:val="111111"/>
          <w:sz w:val="28"/>
          <w:sz w:val="28"/>
          <w:szCs w:val="28"/>
          <w:rtl w:val="true"/>
          <w:lang w:bidi="ar-SA"/>
        </w:rPr>
        <w:t xml:space="preserve">مَن لا يُوَلّي، بل فيمَن له أن يُوَلّيَ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أنّها لَو كانَت عِلّةً في العصمةِ لَلَزِمَت و وَجَبَت علىٰ أصلِكم، و إذا جازَ بما قَدَّرتُه خُروجَ الإمامِ عنها بطَلَ أن تَكونَ </w:t>
      </w:r>
      <w:r>
        <w:rPr>
          <w:rStyle w:val="FootnoteAnchor"/>
          <w:rtl w:val="true"/>
        </w:rPr>
        <w:footnoteReference w:id="1677"/>
      </w:r>
      <w:r>
        <w:rPr>
          <w:rFonts w:ascii="Amiri" w:hAnsi="Amiri" w:eastAsia="Amiri" w:cs="Amiri"/>
          <w:color w:val="111111"/>
          <w:sz w:val="28"/>
          <w:sz w:val="28"/>
          <w:szCs w:val="28"/>
          <w:rtl w:val="true"/>
          <w:lang w:bidi="ar-SA"/>
        </w:rPr>
        <w:t xml:space="preserve">عِلّةً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يَكونُ عِلّةً في العصمةِ و إن لَم تَلزَمْ في كُلِّ‌</w:t>
      </w:r>
      <w:r>
        <w:rPr>
          <w:rStyle w:val="FootnoteAnchor"/>
          <w:rtl w:val="true"/>
        </w:rPr>
        <w:footnoteReference w:id="1679"/>
      </w:r>
      <w:r>
        <w:rPr>
          <w:rFonts w:ascii="Amiri" w:hAnsi="Amiri" w:eastAsia="Amiri" w:cs="Amiri"/>
          <w:color w:val="111111"/>
          <w:sz w:val="28"/>
          <w:sz w:val="28"/>
          <w:szCs w:val="28"/>
          <w:rtl w:val="true"/>
          <w:lang w:bidi="ar-SA"/>
        </w:rPr>
        <w:t>حالٍ؟ لأنّها عِلّةٌ في العصمةِ‌</w:t>
      </w:r>
      <w:r>
        <w:rPr>
          <w:rStyle w:val="FootnoteAnchor"/>
          <w:rtl w:val="true"/>
        </w:rPr>
        <w:footnoteReference w:id="1680"/>
      </w:r>
      <w:r>
        <w:rPr>
          <w:rFonts w:ascii="Amiri" w:hAnsi="Amiri" w:eastAsia="Amiri" w:cs="Amiri"/>
          <w:color w:val="111111"/>
          <w:sz w:val="28"/>
          <w:sz w:val="28"/>
          <w:szCs w:val="28"/>
          <w:rtl w:val="true"/>
          <w:lang w:bidi="ar-SA"/>
        </w:rPr>
        <w:t>مِن</w:t>
      </w:r>
      <w:r>
        <w:rPr>
          <w:rStyle w:val="FootnoteAnchor"/>
          <w:rtl w:val="true"/>
        </w:rPr>
        <w:footnoteReference w:id="1681"/>
      </w:r>
      <w:r>
        <w:rPr>
          <w:rFonts w:ascii="Amiri" w:hAnsi="Amiri" w:eastAsia="Amiri" w:cs="Amiri"/>
          <w:color w:val="111111"/>
          <w:sz w:val="28"/>
          <w:sz w:val="28"/>
          <w:szCs w:val="28"/>
          <w:rtl w:val="true"/>
          <w:lang w:bidi="ar-SA"/>
        </w:rPr>
        <w:t>جُملةِ عِلَلٍ ، فقَد يَجوزُ</w:t>
      </w:r>
      <w:r>
        <w:rPr>
          <w:rStyle w:val="FootnoteAnchor"/>
          <w:rtl w:val="true"/>
        </w:rPr>
        <w:footnoteReference w:id="1682"/>
      </w:r>
      <w:r>
        <w:rPr>
          <w:rFonts w:ascii="Amiri" w:hAnsi="Amiri" w:eastAsia="Amiri" w:cs="Amiri"/>
          <w:color w:val="111111"/>
          <w:sz w:val="28"/>
          <w:sz w:val="28"/>
          <w:szCs w:val="28"/>
          <w:rtl w:val="true"/>
          <w:lang w:bidi="ar-SA"/>
        </w:rPr>
        <w:t xml:space="preserve">أن تَزولَ ، و تَثبُتَ </w:t>
      </w:r>
      <w:r>
        <w:rPr>
          <w:rStyle w:val="FootnoteAnchor"/>
          <w:rtl w:val="true"/>
        </w:rPr>
        <w:footnoteReference w:id="1683"/>
      </w:r>
      <w:r>
        <w:rPr>
          <w:rFonts w:ascii="Amiri" w:hAnsi="Amiri" w:eastAsia="Amiri" w:cs="Amiri"/>
          <w:color w:val="111111"/>
          <w:sz w:val="28"/>
          <w:sz w:val="28"/>
          <w:szCs w:val="28"/>
          <w:rtl w:val="true"/>
          <w:lang w:bidi="ar-SA"/>
        </w:rPr>
        <w:t>عصمةُ الإمامِ لغَيرِها</w:t>
      </w:r>
      <w:r>
        <w:rPr>
          <w:rStyle w:val="FootnoteAnchor"/>
          <w:rtl w:val="true"/>
        </w:rPr>
        <w:footnoteReference w:id="1684"/>
      </w:r>
      <w:r>
        <w:rPr>
          <w:rFonts w:ascii="Amiri" w:hAnsi="Amiri" w:eastAsia="Amiri" w:cs="Amiri"/>
          <w:color w:val="111111"/>
          <w:sz w:val="28"/>
          <w:sz w:val="28"/>
          <w:szCs w:val="28"/>
          <w:rtl w:val="true"/>
          <w:lang w:bidi="ar-SA"/>
        </w:rPr>
        <w:t>ممّا لا يَجوزُ خُروجُه عنه، و لا يَمنَعُ ذلك مِن تأثيرِ العِلّةِ التي ذَكرناها في العصمةِ إذا ثَبَتَت</w:t>
      </w:r>
      <w:r>
        <w:rPr>
          <w:rFonts w:eastAsia="Amiri" w:cs="Amiri" w:ascii="Amiri" w:hAnsi="Amiri"/>
          <w:color w:val="111111"/>
          <w:sz w:val="28"/>
          <w:szCs w:val="28"/>
          <w:rtl w:val="true"/>
          <w:lang w:bidi="ar-SA"/>
        </w:rPr>
        <w:t xml:space="preserve">. </w:t>
      </w:r>
      <w:bookmarkStart w:id="267" w:name="pg20015_284917"/>
    </w:p>
    <w:p>
      <w:pPr>
        <w:pStyle w:val="BookText"/>
        <w:rPr/>
      </w:pPr>
      <w:bookmarkEnd w:id="267"/>
      <w:r>
        <w:rPr>
          <w:rFonts w:ascii="Amiri" w:hAnsi="Amiri" w:eastAsia="Amiri" w:cs="Amiri"/>
          <w:color w:val="111111"/>
          <w:sz w:val="28"/>
          <w:sz w:val="28"/>
          <w:szCs w:val="28"/>
          <w:rtl w:val="true"/>
          <w:lang w:bidi="ar-SA"/>
        </w:rPr>
        <w:t>و بَعدُ، فإنّ مَن اعتَلَّ بهذا الوجهِ لَم يَعتَلَّ لعصمةِ‌</w:t>
      </w:r>
      <w:r>
        <w:rPr>
          <w:rStyle w:val="FootnoteAnchor"/>
          <w:rtl w:val="true"/>
        </w:rPr>
        <w:footnoteReference w:id="1685"/>
      </w:r>
      <w:r>
        <w:rPr>
          <w:rFonts w:ascii="Amiri" w:hAnsi="Amiri" w:eastAsia="Amiri" w:cs="Amiri"/>
          <w:color w:val="111111"/>
          <w:sz w:val="28"/>
          <w:sz w:val="28"/>
          <w:szCs w:val="28"/>
          <w:rtl w:val="true"/>
          <w:lang w:bidi="ar-SA"/>
        </w:rPr>
        <w:t>الإمامِ علىٰ سائرِ الوجوهِ ، و علىٰ كُلِّ حالٍ يُقدَّرُ له و يُمكِنُ أن يَحصُلَ عليها؛ بل إنّما اعتَلَّ لعصمتِه</w:t>
      </w:r>
      <w:r>
        <w:rPr>
          <w:rStyle w:val="FootnoteAnchor"/>
          <w:rtl w:val="true"/>
        </w:rPr>
        <w:footnoteReference w:id="1686"/>
      </w:r>
      <w:r>
        <w:rPr>
          <w:rFonts w:ascii="Amiri" w:hAnsi="Amiri" w:eastAsia="Amiri" w:cs="Amiri"/>
          <w:color w:val="111111"/>
          <w:sz w:val="28"/>
          <w:sz w:val="28"/>
          <w:szCs w:val="28"/>
          <w:rtl w:val="true"/>
          <w:lang w:bidi="ar-SA"/>
        </w:rPr>
        <w:t xml:space="preserve">مع أنّه علَى الصفاتِ المعلومِ حُصولُها له، التي مِن جُملتِها كَونُه ممّن يُوَلّي، و في عصمةِ مَن هذه حالُه خالَفَهم خُصومُهم، فيَجِبُ أن يَفسُدَ اعتلالُهم علىٰ وجهِه، و لَم نَجِدْكَ تَعرَّضتَ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طَعَنَ به مِن كَونِه يَعزِلُ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عليه فيه</w:t>
      </w:r>
      <w:r>
        <w:rPr>
          <w:rStyle w:val="FootnoteAnchor"/>
          <w:rtl w:val="true"/>
        </w:rPr>
        <w:footnoteReference w:id="1688"/>
      </w:r>
      <w:r>
        <w:rPr>
          <w:rFonts w:ascii="Amiri" w:hAnsi="Amiri" w:eastAsia="Amiri" w:cs="Amiri"/>
          <w:color w:val="111111"/>
          <w:sz w:val="28"/>
          <w:sz w:val="28"/>
          <w:szCs w:val="28"/>
          <w:rtl w:val="true"/>
          <w:lang w:bidi="ar-SA"/>
        </w:rPr>
        <w:t>كالكلامِ فيما طَعَنَ به في</w:t>
      </w:r>
      <w:r>
        <w:rPr>
          <w:rStyle w:val="FootnoteAnchor"/>
          <w:rtl w:val="true"/>
        </w:rPr>
        <w:footnoteReference w:id="1689"/>
      </w:r>
      <w:r>
        <w:rPr>
          <w:rFonts w:ascii="Amiri" w:hAnsi="Amiri" w:eastAsia="Amiri" w:cs="Amiri"/>
          <w:color w:val="111111"/>
          <w:sz w:val="28"/>
          <w:sz w:val="28"/>
          <w:szCs w:val="28"/>
          <w:rtl w:val="true"/>
          <w:lang w:bidi="ar-SA"/>
        </w:rPr>
        <w:t>كَونِه يُوَلّي؛ لأنّه طَعَنَ في الأمرَينِ بما ذَكرَه</w:t>
      </w:r>
      <w:r>
        <w:rPr>
          <w:rStyle w:val="FootnoteAnchor"/>
          <w:rtl w:val="true"/>
        </w:rPr>
        <w:footnoteReference w:id="1690"/>
      </w:r>
      <w:r>
        <w:rPr>
          <w:rFonts w:ascii="Amiri" w:hAnsi="Amiri" w:eastAsia="Amiri" w:cs="Amiri"/>
          <w:color w:val="111111"/>
          <w:sz w:val="28"/>
          <w:sz w:val="28"/>
          <w:szCs w:val="28"/>
          <w:rtl w:val="true"/>
          <w:lang w:bidi="ar-SA"/>
        </w:rPr>
        <w:t>مِن التقديرِ، و قد مضىٰ بيانُ فَسادِه</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894911_2320776876"/>
      <w:bookmarkStart w:id="269" w:name="_Toc97"/>
      <w:bookmarkEnd w:id="268"/>
      <w:r>
        <w:rPr>
          <w:rtl w:val="true"/>
        </w:rPr>
        <w:t>ضرورة وجود مزيّة بين الإمام و الرعيّة في باب الطاعة</w:t>
      </w:r>
      <w:bookmarkEnd w:id="26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إنّ كَونَه</w:t>
      </w:r>
      <w:r>
        <w:rPr>
          <w:rStyle w:val="FootnoteAnchor"/>
          <w:rtl w:val="true"/>
        </w:rPr>
        <w:footnoteReference w:id="1692"/>
      </w:r>
      <w:r>
        <w:rPr>
          <w:rFonts w:ascii="Amiri" w:hAnsi="Amiri" w:eastAsia="Amiri" w:cs="Amiri"/>
          <w:color w:val="111111"/>
          <w:sz w:val="28"/>
          <w:sz w:val="28"/>
          <w:szCs w:val="28"/>
          <w:rtl w:val="true"/>
          <w:lang w:bidi="ar-SA"/>
        </w:rPr>
        <w:t>لا يُؤخَذُ علىٰ يَدِه و يأخُذُ علىٰ يَدِ غَيرِه</w:t>
      </w:r>
      <w:r>
        <w:rPr>
          <w:rStyle w:val="FootnoteAnchor"/>
          <w:rtl w:val="true"/>
        </w:rPr>
        <w:footnoteReference w:id="1693"/>
      </w:r>
      <w:r>
        <w:rPr>
          <w:rFonts w:ascii="Amiri" w:hAnsi="Amiri" w:eastAsia="Amiri" w:cs="Amiri"/>
          <w:color w:val="111111"/>
          <w:sz w:val="28"/>
          <w:sz w:val="28"/>
          <w:szCs w:val="28"/>
          <w:rtl w:val="true"/>
          <w:lang w:bidi="ar-SA"/>
        </w:rPr>
        <w:t>فغَيرُ</w:t>
      </w:r>
      <w:r>
        <w:rPr>
          <w:rStyle w:val="FootnoteAnchor"/>
          <w:rtl w:val="true"/>
        </w:rPr>
        <w:footnoteReference w:id="1694"/>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عندَنا أنّ‌</w:t>
      </w:r>
      <w:r>
        <w:rPr>
          <w:rStyle w:val="FootnoteAnchor"/>
          <w:rtl w:val="true"/>
        </w:rPr>
        <w:footnoteReference w:id="1695"/>
      </w:r>
      <w:r>
        <w:rPr>
          <w:rFonts w:ascii="Amiri" w:hAnsi="Amiri" w:eastAsia="Amiri" w:cs="Amiri"/>
          <w:color w:val="111111"/>
          <w:sz w:val="28"/>
          <w:sz w:val="28"/>
          <w:szCs w:val="28"/>
          <w:rtl w:val="true"/>
          <w:lang w:bidi="ar-SA"/>
        </w:rPr>
        <w:t>الإمامَ يأخُذُ علىٰ يَدِه العُلَماءُ و الصالِحونَ‌، و يُنَبِّهونَه</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علىٰ غَلَطِه، و يَرُدّونَه عن باطِلِه، و يُذكِّرونَه بما زَلَّ عنه</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فقَد أطلَقَ‌ في الإمامِ و رَعيّتِه ما كُنّا نَعهَدُ أصحابَه يَتَجافَونَه</w:t>
      </w:r>
      <w:r>
        <w:rPr>
          <w:rStyle w:val="FootnoteAnchor"/>
          <w:rtl w:val="true"/>
        </w:rPr>
        <w:footnoteReference w:id="1698"/>
      </w:r>
      <w:r>
        <w:rPr>
          <w:rFonts w:ascii="Amiri" w:hAnsi="Amiri" w:eastAsia="Amiri" w:cs="Amiri"/>
          <w:color w:val="111111"/>
          <w:sz w:val="28"/>
          <w:sz w:val="28"/>
          <w:szCs w:val="28"/>
          <w:rtl w:val="true"/>
          <w:lang w:bidi="ar-SA"/>
        </w:rPr>
        <w:t>، و يَعتَذِرونَ مِن إطلاقِه</w:t>
      </w:r>
      <w:r>
        <w:rPr>
          <w:rStyle w:val="FootnoteAnchor"/>
          <w:rtl w:val="true"/>
        </w:rPr>
        <w:footnoteReference w:id="1699"/>
      </w:r>
      <w:r>
        <w:rPr>
          <w:rFonts w:ascii="Amiri" w:hAnsi="Amiri" w:eastAsia="Amiri" w:cs="Amiri"/>
          <w:color w:val="111111"/>
          <w:sz w:val="28"/>
          <w:sz w:val="28"/>
          <w:szCs w:val="28"/>
          <w:rtl w:val="true"/>
          <w:lang w:bidi="ar-SA"/>
        </w:rPr>
        <w:t>، و لَم يَبقَ بَعدَ ما أَطلَقَه إلّاأن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طاعتَهم عليه مُفتَرَضةٌ‌، و إنّهم أئمّةٌ له، و رُعاةٌ‌</w:t>
      </w:r>
      <w:r>
        <w:rPr>
          <w:rStyle w:val="FootnoteAnchor"/>
          <w:rtl w:val="true"/>
        </w:rPr>
        <w:footnoteReference w:id="1700"/>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قد أَعطىٰ معنىٰ ذلكَ فيما صَرَّحَ به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هذا لَو سَلِمَ مِن الفَسادِ لَم يَكُن مُخِلاًّ بالمُرادِ في هذا المَوضِعِ‌؛ لأنّ رَدَّ العُلَماءِ علَى الإمامِ و تنبيهَهُم له علَى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يَختَصُّ حالَ</w:t>
      </w:r>
    </w:p>
    <w:p>
      <w:pPr>
        <w:pStyle w:val="BookText"/>
        <w:rPr/>
      </w:pPr>
      <w:r>
        <w:rPr>
          <w:rFonts w:ascii="Amiri" w:hAnsi="Amiri" w:eastAsia="Amiri" w:cs="Amiri"/>
          <w:color w:val="111111"/>
          <w:sz w:val="28"/>
          <w:sz w:val="28"/>
          <w:szCs w:val="28"/>
          <w:rtl w:val="true"/>
          <w:lang w:bidi="ar-SA"/>
        </w:rPr>
        <w:t>الخطإ الواقعِ مِن الإمامِ ، و لا يَدَ لهُم عليه، و لا يَسوغُ لهُم مِن تنبيهِه و الأخذِ علىٰ يَدِه ما يَسوغُ له أن يَستَعمِلَه معهم، و لذلكَ لا يَلزَمُه طاعتُهم، و يَلزَمُهم</w:t>
      </w:r>
      <w:r>
        <w:rPr>
          <w:rStyle w:val="FootnoteAnchor"/>
          <w:rtl w:val="true"/>
        </w:rPr>
        <w:footnoteReference w:id="1702"/>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لا خِلافَ فيها؛ لأنّ الإجماعَ مُنعَقِدٌ علىٰ أنّه لا بُدَّ مِن مَزيّةٍ ثابتةٍ بَينَ الإمام و رَعيّتِه في بابِ الطاعةِ و الأخذِ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بَينَ الإمامِ و المأمومِ مَزيّةٌ فيما ذَكرناه، و نحنُ نَعلَمُ أنّ المَزيّةَ لَو ارتَفَعَت</w:t>
      </w:r>
      <w:r>
        <w:rPr>
          <w:rStyle w:val="FootnoteAnchor"/>
          <w:rtl w:val="true"/>
        </w:rPr>
        <w:footnoteReference w:id="1703"/>
      </w:r>
      <w:r>
        <w:rPr>
          <w:rFonts w:ascii="Amiri" w:hAnsi="Amiri" w:eastAsia="Amiri" w:cs="Amiri"/>
          <w:color w:val="111111"/>
          <w:sz w:val="28"/>
          <w:sz w:val="28"/>
          <w:szCs w:val="28"/>
          <w:rtl w:val="true"/>
          <w:lang w:bidi="ar-SA"/>
        </w:rPr>
        <w:t xml:space="preserve">حتّىٰ يَجِبُ علىٰ كُلِّ </w:t>
      </w:r>
      <w:r>
        <w:rPr>
          <w:rStyle w:val="FootnoteAnchor"/>
          <w:rtl w:val="true"/>
        </w:rPr>
        <w:footnoteReference w:id="1704"/>
      </w:r>
      <w:r>
        <w:rPr>
          <w:rFonts w:ascii="Amiri" w:hAnsi="Amiri" w:eastAsia="Amiri" w:cs="Amiri"/>
          <w:color w:val="111111"/>
          <w:sz w:val="28"/>
          <w:sz w:val="28"/>
          <w:szCs w:val="28"/>
          <w:rtl w:val="true"/>
          <w:lang w:bidi="ar-SA"/>
        </w:rPr>
        <w:t>واحدٍ مِن طاعةِ الآخَرِ في الشيءِ بعَينِه مِثلُ ما يَجِبُ للآخَرِ عليه، لَكانَ ذلكَ فاسداً مُستَحيلاً لا يَخفىٰ علىٰ عاقلٍ بُطلانُه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ما أرَدناه مِن المَزيّةِ للإمامِ علَى الرعيّةِ في بابِ الطاعةِ و الأخذِ علَى اليَدِ، </w:t>
      </w:r>
      <w:bookmarkStart w:id="270" w:name="pg20015_284919"/>
    </w:p>
    <w:p>
      <w:pPr>
        <w:pStyle w:val="BookText"/>
        <w:rPr/>
      </w:pPr>
      <w:bookmarkEnd w:id="270"/>
      <w:r>
        <w:rPr>
          <w:rFonts w:ascii="Amiri" w:hAnsi="Amiri" w:eastAsia="Amiri" w:cs="Amiri"/>
          <w:color w:val="111111"/>
          <w:sz w:val="28"/>
          <w:sz w:val="28"/>
          <w:szCs w:val="28"/>
          <w:rtl w:val="true"/>
          <w:lang w:bidi="ar-SA"/>
        </w:rPr>
        <w:t xml:space="preserve">استَحالَ أن يَكونَ </w:t>
      </w:r>
      <w:r>
        <w:rPr>
          <w:rStyle w:val="FootnoteAnchor"/>
          <w:rtl w:val="true"/>
        </w:rPr>
        <w:footnoteReference w:id="1705"/>
      </w:r>
      <w:r>
        <w:rPr>
          <w:rFonts w:ascii="Amiri" w:hAnsi="Amiri" w:eastAsia="Amiri" w:cs="Amiri"/>
          <w:color w:val="111111"/>
          <w:sz w:val="28"/>
          <w:sz w:val="28"/>
          <w:szCs w:val="28"/>
          <w:rtl w:val="true"/>
          <w:lang w:bidi="ar-SA"/>
        </w:rPr>
        <w:t>العِلّةُ المُحوِجةُ إلىٰ مَن له تِلكَ المَزيّةُ حاصِلةً في الإمامِ ؛ لأنّها لَو حَصَلَت فيه كحُصولِها في رَعيّتِه لَاحتاجَ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هذا الكلامُ مُستَوفىً </w:t>
      </w:r>
      <w:r>
        <w:rPr>
          <w:rFonts w:eastAsia="Amiri" w:cs="Amiri" w:ascii="Amiri" w:hAnsi="Amiri"/>
          <w:color w:val="111111"/>
          <w:sz w:val="28"/>
          <w:szCs w:val="28"/>
          <w:rtl w:val="true"/>
          <w:lang w:bidi="ar-SA"/>
        </w:rPr>
        <w:t>.</w:t>
      </w:r>
      <w:r>
        <w:rPr>
          <w:rStyle w:val="FootnoteAnchor"/>
          <w:rtl w:val="true"/>
        </w:rPr>
        <w:footnoteReference w:id="1706"/>
      </w:r>
    </w:p>
    <w:p>
      <w:pPr>
        <w:pStyle w:val="Heading6"/>
        <w:numPr>
          <w:ilvl w:val="5"/>
          <w:numId w:val="1"/>
        </w:numPr>
        <w:rPr/>
      </w:pPr>
      <w:bookmarkStart w:id="271" w:name="__RefHeading___Toc894913_2320776876"/>
      <w:bookmarkStart w:id="272" w:name="_Toc98"/>
      <w:bookmarkEnd w:id="271"/>
      <w:r>
        <w:rPr>
          <w:rtl w:val="true"/>
        </w:rPr>
        <w:t>ضرورة وجود مزيّة بين الإمام و الأمير في باب الولاية و العصمة</w:t>
      </w:r>
      <w:bookmarkEnd w:id="27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علىٰ طريقةِ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يَقومُ به الإمامُ هو الذي يَقومُ به الأميرُ و لا مَزيّةَ له</w:t>
      </w:r>
      <w:r>
        <w:rPr>
          <w:rStyle w:val="FootnoteAnchor"/>
          <w:rtl w:val="true"/>
        </w:rPr>
        <w:footnoteReference w:id="1707"/>
      </w:r>
      <w:r>
        <w:rPr>
          <w:rFonts w:ascii="Amiri" w:hAnsi="Amiri" w:eastAsia="Amiri" w:cs="Amiri"/>
          <w:color w:val="111111"/>
          <w:sz w:val="28"/>
          <w:sz w:val="28"/>
          <w:szCs w:val="28"/>
          <w:rtl w:val="true"/>
          <w:lang w:bidi="ar-SA"/>
        </w:rPr>
        <w:t xml:space="preserve">، و لَم يَجِبْ في الأميرِ أن يَكونَ معصوماً، فكذلكَ </w:t>
      </w:r>
      <w:r>
        <w:rPr>
          <w:rStyle w:val="FootnoteAnchor"/>
          <w:rtl w:val="true"/>
        </w:rPr>
        <w:footnoteReference w:id="1708"/>
      </w:r>
      <w:r>
        <w:rPr>
          <w:rFonts w:ascii="Amiri" w:hAnsi="Amiri" w:eastAsia="Amiri" w:cs="Amiri"/>
          <w:color w:val="111111"/>
          <w:sz w:val="28"/>
          <w:sz w:val="28"/>
          <w:szCs w:val="28"/>
          <w:rtl w:val="true"/>
          <w:lang w:bidi="ar-SA"/>
        </w:rPr>
        <w:t>في الإمامِ ؛ لأنّ العصمةَ لَو وَجَبَتَ فيه</w:t>
      </w:r>
      <w:r>
        <w:rPr>
          <w:rStyle w:val="FootnoteAnchor"/>
          <w:rtl w:val="true"/>
        </w:rPr>
        <w:footnoteReference w:id="1709"/>
      </w:r>
      <w:r>
        <w:rPr>
          <w:rFonts w:ascii="Amiri" w:hAnsi="Amiri" w:eastAsia="Amiri" w:cs="Amiri"/>
          <w:color w:val="111111"/>
          <w:sz w:val="28"/>
          <w:sz w:val="28"/>
          <w:szCs w:val="28"/>
          <w:rtl w:val="true"/>
          <w:lang w:bidi="ar-SA"/>
        </w:rPr>
        <w:t xml:space="preserve">لَكانَ إنّما تَجِبُ لأمرٍ يَقومُ به، لا لِشَيءٍ </w:t>
      </w:r>
      <w:r>
        <w:rPr>
          <w:rStyle w:val="FootnoteAnchor"/>
          <w:rtl w:val="true"/>
        </w:rPr>
        <w:footnoteReference w:id="1710"/>
      </w:r>
      <w:r>
        <w:rPr>
          <w:rFonts w:ascii="Amiri" w:hAnsi="Amiri" w:eastAsia="Amiri" w:cs="Amiri"/>
          <w:color w:val="111111"/>
          <w:sz w:val="28"/>
          <w:sz w:val="28"/>
          <w:szCs w:val="28"/>
          <w:rtl w:val="true"/>
          <w:lang w:bidi="ar-SA"/>
        </w:rPr>
        <w:t>يَرجِعُ إلىٰ خِلقَتِه</w:t>
      </w:r>
      <w:r>
        <w:rPr>
          <w:rStyle w:val="FootnoteAnchor"/>
          <w:rtl w:val="true"/>
        </w:rPr>
        <w:footnoteReference w:id="1711"/>
      </w:r>
      <w:r>
        <w:rPr>
          <w:rFonts w:ascii="Amiri" w:hAnsi="Amiri" w:eastAsia="Amiri" w:cs="Amiri"/>
          <w:color w:val="111111"/>
          <w:sz w:val="28"/>
          <w:sz w:val="28"/>
          <w:szCs w:val="28"/>
          <w:rtl w:val="true"/>
          <w:lang w:bidi="ar-SA"/>
        </w:rPr>
        <w:t>و أَوصافِه و تَكليفِه في نفسِه</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فقَد بيّنّا أنّ الذي يَقومُ به الإمامُ يُفارِقُ لِما يَقومُ به الأميرُ</w:t>
      </w:r>
      <w:r>
        <w:rPr>
          <w:rStyle w:val="FootnoteAnchor"/>
          <w:rtl w:val="true"/>
        </w:rPr>
        <w:footnoteReference w:id="1713"/>
      </w:r>
      <w:r>
        <w:rPr>
          <w:rFonts w:ascii="Amiri" w:hAnsi="Amiri" w:eastAsia="Amiri" w:cs="Amiri"/>
          <w:color w:val="111111"/>
          <w:sz w:val="28"/>
          <w:sz w:val="28"/>
          <w:szCs w:val="28"/>
          <w:rtl w:val="true"/>
          <w:lang w:bidi="ar-SA"/>
        </w:rPr>
        <w:t xml:space="preserve">، و أنّه لا بُدَّ مِن مَزيّةٍ بَينَ ما يَتَوَلّاهُ الإمامُ و الأميرُ، و ذَكَرنا أنّ القَولَ بتَساوي وِلايَتِهما يؤَدّي إلَى القَدحِ في الإجماعِ المُنعقِدِ علىٰ أنّه لا يَصِحُّ في زمانٍ واحدٍ كَونُ إمامَينِ </w:t>
      </w:r>
      <w:r>
        <w:rPr>
          <w:rFonts w:eastAsia="Amiri" w:cs="Amiri" w:ascii="Amiri" w:hAnsi="Amiri"/>
          <w:color w:val="111111"/>
          <w:sz w:val="28"/>
          <w:szCs w:val="28"/>
          <w:rtl w:val="true"/>
          <w:lang w:bidi="ar-SA"/>
        </w:rPr>
        <w:t>.</w:t>
      </w:r>
      <w:r>
        <w:rPr>
          <w:rStyle w:val="FootnoteAnchor"/>
          <w:rtl w:val="true"/>
        </w:rPr>
        <w:footnoteReference w:id="17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w:t>
      </w:r>
      <w:r>
        <w:rPr>
          <w:rStyle w:val="FootnoteAnchor"/>
          <w:rtl w:val="true"/>
        </w:rPr>
        <w:footnoteReference w:id="1715"/>
      </w:r>
      <w:r>
        <w:rPr>
          <w:rFonts w:ascii="Amiri" w:hAnsi="Amiri" w:eastAsia="Amiri" w:cs="Amiri"/>
          <w:color w:val="111111"/>
          <w:sz w:val="28"/>
          <w:sz w:val="28"/>
          <w:szCs w:val="28"/>
          <w:rtl w:val="true"/>
          <w:lang w:bidi="ar-SA"/>
        </w:rPr>
        <w:t xml:space="preserve">لَو كانَ الذي يَقومانِ به و يَتَوَلَّيانِه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يُريدُ</w:t>
      </w:r>
      <w:r>
        <w:rPr>
          <w:rStyle w:val="FootnoteAnchor"/>
          <w:rtl w:val="true"/>
        </w:rPr>
        <w:footnoteReference w:id="1716"/>
      </w:r>
      <w:r>
        <w:rPr>
          <w:rFonts w:ascii="Amiri" w:hAnsi="Amiri" w:eastAsia="Amiri" w:cs="Amiri"/>
          <w:color w:val="111111"/>
          <w:sz w:val="28"/>
          <w:sz w:val="28"/>
          <w:szCs w:val="28"/>
          <w:rtl w:val="true"/>
          <w:lang w:bidi="ar-SA"/>
        </w:rPr>
        <w:t xml:space="preserve">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273" w:name="pg20015_284920"/>
    </w:p>
    <w:p>
      <w:pPr>
        <w:pStyle w:val="BookText"/>
        <w:rPr/>
      </w:pPr>
      <w:bookmarkEnd w:id="273"/>
      <w:r>
        <w:rPr>
          <w:rFonts w:ascii="Amiri" w:hAnsi="Amiri" w:eastAsia="Amiri" w:cs="Amiri"/>
          <w:color w:val="111111"/>
          <w:sz w:val="28"/>
          <w:sz w:val="28"/>
          <w:szCs w:val="28"/>
          <w:rtl w:val="true"/>
          <w:lang w:bidi="ar-SA"/>
        </w:rPr>
        <w:t>يَجِبْ‌</w:t>
      </w:r>
      <w:r>
        <w:rPr>
          <w:rStyle w:val="FootnoteAnchor"/>
          <w:rtl w:val="true"/>
        </w:rPr>
        <w:footnoteReference w:id="1717"/>
      </w:r>
      <w:r>
        <w:rPr>
          <w:rFonts w:ascii="Amiri" w:hAnsi="Amiri" w:eastAsia="Amiri" w:cs="Amiri"/>
          <w:color w:val="111111"/>
          <w:sz w:val="28"/>
          <w:sz w:val="28"/>
          <w:szCs w:val="28"/>
          <w:rtl w:val="true"/>
          <w:lang w:bidi="ar-SA"/>
        </w:rPr>
        <w:t>عصمةُ الأميرِ قياساً</w:t>
      </w:r>
      <w:r>
        <w:rPr>
          <w:rStyle w:val="FootnoteAnchor"/>
          <w:rtl w:val="true"/>
        </w:rPr>
        <w:footnoteReference w:id="1718"/>
      </w:r>
      <w:r>
        <w:rPr>
          <w:rFonts w:ascii="Amiri" w:hAnsi="Amiri" w:eastAsia="Amiri" w:cs="Amiri"/>
          <w:color w:val="111111"/>
          <w:sz w:val="28"/>
          <w:sz w:val="28"/>
          <w:szCs w:val="28"/>
          <w:rtl w:val="true"/>
          <w:lang w:bidi="ar-SA"/>
        </w:rPr>
        <w:t>علىٰ عصمةِ الإمامِ‌؛ لأنّ الإمامَ لَو لَم يَكُن معصوماً</w:t>
      </w:r>
    </w:p>
    <w:p>
      <w:pPr>
        <w:pStyle w:val="BookText"/>
        <w:rPr/>
      </w:pPr>
      <w:r>
        <w:rPr>
          <w:rFonts w:ascii="Amiri" w:hAnsi="Amiri" w:eastAsia="Amiri" w:cs="Amiri"/>
          <w:color w:val="111111"/>
          <w:sz w:val="28"/>
          <w:sz w:val="28"/>
          <w:szCs w:val="28"/>
          <w:rtl w:val="true"/>
          <w:lang w:bidi="ar-SA"/>
        </w:rPr>
        <w:t>لَوَجَبَ أن يَكونَ له إمامٌ ، و قد عَلِمنا أنّه لا إمامَ له، فيَجِبُ القَطعُ علىٰ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الأميرُ إذا لَم يَكُن معصوماً و احتاجَ إلىٰ إمامٍ فلَه إمامٌ ، و هو إمامُ الجَماعةِ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يَخرُجِ الأميرُ علىٰ هذا القَولِ مِن جُملةِ الرَّعيّةِ المؤتَمّينَ بالإمامِ ؛ فلا وَجهَ يَقتَضي عصمتَه</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894915_2320776876"/>
      <w:bookmarkStart w:id="275" w:name="_Toc99"/>
      <w:bookmarkEnd w:id="274"/>
      <w:r>
        <w:rPr>
          <w:rtl w:val="true"/>
        </w:rPr>
        <w:t>كيفيّة دلالة نصّ الرسول على عصمة الإمام</w:t>
      </w:r>
      <w:bookmarkEnd w:id="275"/>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72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تَوصَّلوا بنَصِّ الرسولِ علَى الإمامِ إلَى العصمةِ ، لَزِمَهم فيمَن يُوَلّيهِ الإمامُ و وَلّاه الرسولُ في حالِ حَياتِه أن يَكونوا معصومينَ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جازَ أن يُوَلّيَ عليه السلامُ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النَّواحي و لا عِصمةَ ، فما الذي يَمنَعُ لَو نَصَّ علَى الإمامِ أن لا يَكونَ معصوماً؟</w:t>
      </w:r>
      <w:r>
        <w:rPr>
          <w:rStyle w:val="FootnoteAnchor"/>
          <w:rtl w:val="true"/>
        </w:rPr>
        <w:footnoteReference w:id="17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فرُجوعٌ مِنه إلَى التَوهُّمِ الأوّلِ الذي قد بيّنّا أنّ المَذهَبَ بخِلافِه؛ لأنّ مَن تَوصَّلَ مِنّا بنَصِّ الرسولِ صَلَّى اللّٰهُ عليه و آلِه</w:t>
      </w:r>
      <w:r>
        <w:rPr>
          <w:rStyle w:val="FootnoteAnchor"/>
          <w:rtl w:val="true"/>
        </w:rPr>
        <w:footnoteReference w:id="1723"/>
      </w:r>
      <w:r>
        <w:rPr>
          <w:rFonts w:ascii="Amiri" w:hAnsi="Amiri" w:eastAsia="Amiri" w:cs="Amiri"/>
          <w:color w:val="111111"/>
          <w:sz w:val="28"/>
          <w:sz w:val="28"/>
          <w:szCs w:val="28"/>
          <w:rtl w:val="true"/>
          <w:lang w:bidi="ar-SA"/>
        </w:rPr>
        <w:t xml:space="preserve">علَى الإمامِ إلَى العصمةِ ، لَم يَذهَبْ إلىٰ أنّ ذلكَ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صادِراً مِن جهةِ الرسولِ صَلَّى اللّٰهُ عليه و آلِه</w:t>
      </w:r>
      <w:r>
        <w:rPr>
          <w:rStyle w:val="FootnoteAnchor"/>
          <w:rtl w:val="true"/>
        </w:rPr>
        <w:footnoteReference w:id="1724"/>
      </w:r>
      <w:r>
        <w:rPr>
          <w:rFonts w:ascii="Amiri" w:hAnsi="Amiri" w:eastAsia="Amiri" w:cs="Amiri"/>
          <w:color w:val="111111"/>
          <w:sz w:val="28"/>
          <w:sz w:val="28"/>
          <w:szCs w:val="28"/>
          <w:rtl w:val="true"/>
          <w:lang w:bidi="ar-SA"/>
        </w:rPr>
        <w:t xml:space="preserve">و مسموعاً </w:t>
      </w:r>
    </w:p>
    <w:p>
      <w:pPr>
        <w:pStyle w:val="BookText"/>
        <w:rPr/>
      </w:pP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برأيِه و راجِعٌ إلَى اختيارِه،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جهةِ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الرسولَ صَلَّى اللّٰهُ عليه و آلِه</w:t>
      </w:r>
      <w:r>
        <w:rPr>
          <w:rStyle w:val="FootnoteAnchor"/>
          <w:rtl w:val="true"/>
        </w:rPr>
        <w:footnoteReference w:id="1725"/>
      </w:r>
      <w:r>
        <w:rPr>
          <w:rFonts w:ascii="Amiri" w:hAnsi="Amiri" w:eastAsia="Amiri" w:cs="Amiri"/>
          <w:color w:val="111111"/>
          <w:sz w:val="28"/>
          <w:sz w:val="28"/>
          <w:szCs w:val="28"/>
          <w:rtl w:val="true"/>
          <w:lang w:bidi="ar-SA"/>
        </w:rPr>
        <w:t>مؤَدٍّ له و معبِّرٌ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بمُشكِلٍ مِن مَذهَبِهم، و غامِضٍ مِن قَولِهم، حَتّىٰ يَشتَبِهَ مِثلُه علىٰ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كانوا بهذا النَّصِّ تَوصَّلوا إلَى العصمةِ لَم يَكُن ما ذَكرَه قادِحاً، و كيفَ يَجوزُ أن يُظَنَّ عَلَيهم إيجابُ عصمةِ الإمامِ لِرَدِّها إلىٰ نَصِّ الرسولِ صَلَّى اللّٰهُ عليه و آلِه</w:t>
      </w:r>
      <w:r>
        <w:rPr>
          <w:rStyle w:val="FootnoteAnchor"/>
          <w:rtl w:val="true"/>
        </w:rPr>
        <w:footnoteReference w:id="1726"/>
      </w:r>
      <w:r>
        <w:rPr>
          <w:rFonts w:ascii="Amiri" w:hAnsi="Amiri" w:eastAsia="Amiri" w:cs="Amiri"/>
          <w:color w:val="111111"/>
          <w:sz w:val="28"/>
          <w:sz w:val="28"/>
          <w:szCs w:val="28"/>
          <w:rtl w:val="true"/>
          <w:lang w:bidi="ar-SA"/>
        </w:rPr>
        <w:t>الذي صَدَرَ مِن جهتِه، و ذلكَ عندَهم حُكمُ جميعِ الأُمَراءِ و الخُلَفاءِ في حَياتِه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يَصِحُّ أن يَجمَعوا بَينَ اعتقادِ عصمةِ الإمامِ لنَصِّ الرسولِ عليه السلامُ </w:t>
      </w:r>
      <w:r>
        <w:rPr>
          <w:rStyle w:val="FootnoteAnchor"/>
          <w:rtl w:val="true"/>
        </w:rPr>
        <w:footnoteReference w:id="1727"/>
      </w:r>
      <w:r>
        <w:rPr>
          <w:rFonts w:ascii="Amiri" w:hAnsi="Amiri" w:eastAsia="Amiri" w:cs="Amiri"/>
          <w:color w:val="111111"/>
          <w:sz w:val="28"/>
          <w:sz w:val="28"/>
          <w:szCs w:val="28"/>
          <w:rtl w:val="true"/>
          <w:lang w:bidi="ar-SA"/>
        </w:rPr>
        <w:t>علَى الوجهِ الذي راعَيناه</w:t>
      </w:r>
      <w:r>
        <w:rPr>
          <w:rStyle w:val="FootnoteAnchor"/>
          <w:rtl w:val="true"/>
        </w:rPr>
        <w:footnoteReference w:id="1728"/>
      </w:r>
      <w:r>
        <w:rPr>
          <w:rFonts w:ascii="Amiri" w:hAnsi="Amiri" w:eastAsia="Amiri" w:cs="Amiri"/>
          <w:color w:val="111111"/>
          <w:sz w:val="28"/>
          <w:sz w:val="28"/>
          <w:szCs w:val="28"/>
          <w:rtl w:val="true"/>
          <w:lang w:bidi="ar-SA"/>
        </w:rPr>
        <w:t>لا لغَيرِ ذلكَ ، و اعتقادِ كَونِ الأُمَراءِ مع أنّهم منصوصٌ عَلَيهم علىٰ هذا الوجهِ غَيرَ معصومينَ؟ و هذا سُوءُ ظَنٍّ بهم</w:t>
      </w:r>
      <w:r>
        <w:rPr>
          <w:rStyle w:val="FootnoteAnchor"/>
          <w:rtl w:val="true"/>
        </w:rPr>
        <w:footnoteReference w:id="1729"/>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bookmarkStart w:id="276" w:name="pg20015_284922"/>
    </w:p>
    <w:p>
      <w:pPr>
        <w:pStyle w:val="Heading5"/>
        <w:numPr>
          <w:ilvl w:val="4"/>
          <w:numId w:val="1"/>
        </w:numPr>
        <w:rPr/>
      </w:pPr>
      <w:bookmarkStart w:id="277" w:name="__RefHeading___Toc894917_2320776876"/>
      <w:bookmarkStart w:id="278" w:name="_Toc100"/>
      <w:bookmarkEnd w:id="276"/>
      <w:bookmarkEnd w:id="277"/>
      <w:r>
        <w:rPr>
          <w:rtl w:val="true"/>
        </w:rPr>
        <w:t>الدليل الرابع عشر في بيان أنّ الإمامة مستحَقّة</w:t>
      </w:r>
      <w:bookmarkEnd w:id="278"/>
    </w:p>
    <w:p>
      <w:pPr>
        <w:pStyle w:val="Heading6"/>
        <w:numPr>
          <w:ilvl w:val="5"/>
          <w:numId w:val="1"/>
        </w:numPr>
        <w:rPr/>
      </w:pPr>
      <w:bookmarkStart w:id="279" w:name="__RefHeading___Toc894919_2320776876"/>
      <w:bookmarkStart w:id="280" w:name="_Toc101"/>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الدليل الرابع عشر في بيان أنّ الإمامة مستحَقّة</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أَوجَبوا الإمامةَ لِمَن هو أفضَلُ في الزمانِ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مُستَحَقّةٌ بالفَضلِ لِما يُقارِنُها مِن التعظيمِ و الإجلالِ بنَفاذِ الأمرِ</w:t>
      </w:r>
      <w:r>
        <w:rPr>
          <w:rStyle w:val="FootnoteAnchor"/>
          <w:rtl w:val="true"/>
        </w:rPr>
        <w:footnoteReference w:id="1732"/>
      </w:r>
      <w:r>
        <w:rPr>
          <w:rFonts w:ascii="Amiri" w:hAnsi="Amiri" w:eastAsia="Amiri" w:cs="Amiri"/>
          <w:color w:val="111111"/>
          <w:sz w:val="28"/>
          <w:sz w:val="28"/>
          <w:szCs w:val="28"/>
          <w:rtl w:val="true"/>
          <w:lang w:bidi="ar-SA"/>
        </w:rPr>
        <w:t>و لُزومِ الانقيادِ، فلا بُدَّ مِن أن يَكونَ إماماً إذا كانَ حالُه هذا</w:t>
      </w:r>
      <w:r>
        <w:rPr>
          <w:rStyle w:val="FootnoteAnchor"/>
          <w:rtl w:val="true"/>
        </w:rPr>
        <w:footnoteReference w:id="1733"/>
      </w:r>
      <w:r>
        <w:rPr>
          <w:rFonts w:ascii="Amiri" w:hAnsi="Amiri" w:eastAsia="Amiri" w:cs="Amiri"/>
          <w:color w:val="111111"/>
          <w:sz w:val="28"/>
          <w:sz w:val="28"/>
          <w:szCs w:val="28"/>
          <w:rtl w:val="true"/>
          <w:lang w:bidi="ar-SA"/>
        </w:rPr>
        <w:t>، و لا يَجوزُ أن يَكونَ كذلكَ إلّا بأمرٍ يتميَّزُ به مِن نَصٍّ أو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 الكلامِ في النُّبوّاتِ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أنّ الرسالةَ لَيسَت </w:t>
      </w:r>
      <w:bookmarkStart w:id="281" w:name="pg20015_284923"/>
    </w:p>
    <w:p>
      <w:pPr>
        <w:pStyle w:val="BookText"/>
        <w:rPr/>
      </w:pPr>
      <w:bookmarkEnd w:id="281"/>
      <w:r>
        <w:rPr>
          <w:rFonts w:ascii="Amiri" w:hAnsi="Amiri" w:eastAsia="Amiri" w:cs="Amiri"/>
          <w:color w:val="111111"/>
          <w:sz w:val="28"/>
          <w:sz w:val="28"/>
          <w:szCs w:val="28"/>
          <w:rtl w:val="true"/>
          <w:lang w:bidi="ar-SA"/>
        </w:rPr>
        <w:t>مُستَحَقّةً‌، و أنّها تكليفٌ لأمرٍ تَعظُمُ‌</w:t>
      </w:r>
      <w:r>
        <w:rPr>
          <w:rStyle w:val="FootnoteAnchor"/>
          <w:rtl w:val="true"/>
        </w:rPr>
        <w:footnoteReference w:id="1737"/>
      </w:r>
      <w:r>
        <w:rPr>
          <w:rFonts w:ascii="Amiri" w:hAnsi="Amiri" w:eastAsia="Amiri" w:cs="Amiri"/>
          <w:color w:val="111111"/>
          <w:sz w:val="28"/>
          <w:sz w:val="28"/>
          <w:szCs w:val="28"/>
          <w:rtl w:val="true"/>
          <w:lang w:bidi="ar-SA"/>
        </w:rPr>
        <w:t xml:space="preserve">فيه المَشَقّةُ‌، و أنّه يَستَحِقُّ الرِّفعةَ لِقيامِه بذلكَ ، و تَوطينِه النفسَ علَى الصَّبرِ عندَ العَوارضِ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يُقدِّمُ مِن طاعاتِه</w:t>
      </w:r>
      <w:r>
        <w:rPr>
          <w:rFonts w:eastAsia="Amiri" w:cs="Amiri" w:ascii="Amiri" w:hAnsi="Amiri"/>
          <w:color w:val="111111"/>
          <w:sz w:val="28"/>
          <w:szCs w:val="28"/>
          <w:rtl w:val="true"/>
          <w:lang w:bidi="ar-SA"/>
        </w:rPr>
        <w:t>]</w:t>
      </w:r>
      <w:r>
        <w:rPr>
          <w:rStyle w:val="FootnoteAnchor"/>
          <w:rtl w:val="true"/>
        </w:rPr>
        <w:footnoteReference w:id="1738"/>
      </w:r>
      <w:r>
        <w:rPr>
          <w:rFonts w:ascii="Amiri" w:hAnsi="Amiri" w:eastAsia="Amiri" w:cs="Amiri"/>
          <w:color w:val="111111"/>
          <w:sz w:val="28"/>
          <w:sz w:val="28"/>
          <w:szCs w:val="28"/>
          <w:rtl w:val="true"/>
          <w:lang w:bidi="ar-SA"/>
        </w:rPr>
        <w:t>، و دَلَّلنا علىٰ ذلكَ بوُجوهٍ كَثيرةٍ ، فيَجِبُ أن تَكونَ الإمامةُ كمِثلِها</w:t>
      </w:r>
      <w:r>
        <w:rPr>
          <w:rStyle w:val="FootnoteAnchor"/>
          <w:rtl w:val="true"/>
        </w:rPr>
        <w:footnoteReference w:id="1739"/>
      </w:r>
      <w:r>
        <w:rPr>
          <w:rFonts w:ascii="Amiri" w:hAnsi="Amiri" w:eastAsia="Amiri" w:cs="Amiri"/>
          <w:color w:val="111111"/>
          <w:sz w:val="28"/>
          <w:sz w:val="28"/>
          <w:szCs w:val="28"/>
          <w:rtl w:val="true"/>
          <w:lang w:bidi="ar-SA"/>
        </w:rPr>
        <w:t>، بَل هي أَولىٰ بذلكَ ؛ فإذا بُنيَ هذا</w:t>
      </w:r>
      <w:r>
        <w:rPr>
          <w:rStyle w:val="FootnoteAnchor"/>
          <w:rtl w:val="true"/>
        </w:rPr>
        <w:footnoteReference w:id="1740"/>
      </w:r>
      <w:r>
        <w:rPr>
          <w:rFonts w:ascii="Amiri" w:hAnsi="Amiri" w:eastAsia="Amiri" w:cs="Amiri"/>
          <w:color w:val="111111"/>
          <w:sz w:val="28"/>
          <w:sz w:val="28"/>
          <w:szCs w:val="28"/>
          <w:rtl w:val="true"/>
          <w:lang w:bidi="ar-SA"/>
        </w:rPr>
        <w:t xml:space="preserve">الكلامُ علىٰ كَونِها مُستَحَقّةً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قَولُهم</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894921_2320776876"/>
      <w:bookmarkStart w:id="283" w:name="_Toc102"/>
      <w:bookmarkEnd w:id="282"/>
      <w:r>
        <w:rPr>
          <w:rtl w:val="true"/>
        </w:rPr>
        <w:t>نفي أن تكون الإمامة مستحقّة</w:t>
      </w:r>
      <w:bookmarkEnd w:id="283"/>
    </w:p>
    <w:p>
      <w:pPr>
        <w:pStyle w:val="BookText"/>
        <w:rPr/>
      </w:pPr>
      <w:r>
        <w:rPr>
          <w:rFonts w:ascii="Amiri" w:hAnsi="Amiri" w:eastAsia="Amiri" w:cs="Amiri"/>
          <w:color w:val="111111"/>
          <w:sz w:val="28"/>
          <w:sz w:val="28"/>
          <w:szCs w:val="28"/>
          <w:rtl w:val="true"/>
          <w:lang w:bidi="ar-SA"/>
        </w:rPr>
        <w:t>و الذي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غَيرُ مُستَحَقّةٍ‌</w:t>
      </w:r>
      <w:r>
        <w:rPr>
          <w:rStyle w:val="FootnoteAnchor"/>
          <w:rtl w:val="true"/>
        </w:rPr>
        <w:footnoteReference w:id="1742"/>
      </w:r>
      <w:r>
        <w:rPr>
          <w:rFonts w:ascii="Amiri" w:hAnsi="Amiri" w:eastAsia="Amiri" w:cs="Amiri"/>
          <w:color w:val="111111"/>
          <w:sz w:val="28"/>
          <w:sz w:val="28"/>
          <w:szCs w:val="28"/>
          <w:rtl w:val="true"/>
          <w:lang w:bidi="ar-SA"/>
        </w:rPr>
        <w:t>، و كذلكَ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 يَذهَبُ إليه طائفةٌ مِن أصحابِنا مِن أنّهما يُستَحَقّانِ </w:t>
      </w:r>
      <w:r>
        <w:rPr>
          <w:rStyle w:val="FootnoteAnchor"/>
          <w:rtl w:val="true"/>
        </w:rPr>
        <w:footnoteReference w:id="1743"/>
      </w:r>
      <w:r>
        <w:rPr>
          <w:rFonts w:ascii="Amiri" w:hAnsi="Amiri" w:eastAsia="Amiri" w:cs="Amiri"/>
          <w:color w:val="111111"/>
          <w:sz w:val="28"/>
          <w:sz w:val="28"/>
          <w:szCs w:val="28"/>
          <w:rtl w:val="true"/>
          <w:lang w:bidi="ar-SA"/>
        </w:rPr>
        <w:t>استحقاقَ الثَّوابِ و الجَزاءِ باطِلٌ</w:t>
      </w:r>
    </w:p>
    <w:p>
      <w:pPr>
        <w:pStyle w:val="BookText"/>
        <w:rPr/>
      </w:pPr>
      <w:r>
        <w:rPr>
          <w:rFonts w:ascii="Amiri" w:hAnsi="Amiri" w:eastAsia="Amiri" w:cs="Amiri"/>
          <w:color w:val="111111"/>
          <w:sz w:val="28"/>
          <w:sz w:val="28"/>
          <w:szCs w:val="28"/>
          <w:rtl w:val="true"/>
          <w:lang w:bidi="ar-SA"/>
        </w:rPr>
        <w:t>لا شُبهةَ في مِثلِه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إفسادِ كَونِهما مُستَحَقَّينِ طُرُقٌ كَثيرةٌ ، فما</w:t>
      </w:r>
      <w:r>
        <w:rPr>
          <w:rStyle w:val="FootnoteAnchor"/>
          <w:rtl w:val="true"/>
        </w:rPr>
        <w:footnoteReference w:id="1744"/>
      </w:r>
      <w:r>
        <w:rPr>
          <w:rFonts w:ascii="Amiri" w:hAnsi="Amiri" w:eastAsia="Amiri" w:cs="Amiri"/>
          <w:color w:val="111111"/>
          <w:sz w:val="28"/>
          <w:sz w:val="28"/>
          <w:szCs w:val="28"/>
          <w:rtl w:val="true"/>
          <w:lang w:bidi="ar-SA"/>
        </w:rPr>
        <w:t>أشارَ إليه صاحبُ الكتابِ مِن ذِكرِ المَشَقّةِ و الكُلْفةِ أحَدُها، و هو آكَدُها</w:t>
      </w:r>
      <w:r>
        <w:rPr>
          <w:rFonts w:eastAsia="Amiri" w:cs="Amiri" w:ascii="Amiri" w:hAnsi="Amiri"/>
          <w:color w:val="111111"/>
          <w:sz w:val="28"/>
          <w:szCs w:val="28"/>
          <w:rtl w:val="true"/>
          <w:lang w:bidi="ar-SA"/>
        </w:rPr>
        <w:t xml:space="preserve">. </w:t>
      </w:r>
      <w:bookmarkStart w:id="284" w:name="pg20015_284924"/>
    </w:p>
    <w:p>
      <w:pPr>
        <w:pStyle w:val="BookText"/>
        <w:rPr/>
      </w:pPr>
      <w:bookmarkEnd w:id="284"/>
      <w:r>
        <w:rPr>
          <w:rFonts w:ascii="Amiri" w:hAnsi="Amiri" w:eastAsia="Amiri" w:cs="Amiri"/>
          <w:color w:val="111111"/>
          <w:sz w:val="28"/>
          <w:sz w:val="28"/>
          <w:szCs w:val="28"/>
          <w:rtl w:val="true"/>
          <w:lang w:bidi="ar-SA"/>
        </w:rPr>
        <w:t>و نحنُ و إن لَم نَقُلْ في الإمامةِ أنّها مُستَحَقّةٌ بأعمالٍ متقدِّمةٍ علَى الوجهِ الذي رَغِبنا عنه، فإنّا لا نُوجِبُها إلّاللأفضَلِ ؛ لِما سَنَذكُرُه</w:t>
      </w:r>
      <w:r>
        <w:rPr>
          <w:rStyle w:val="FootnoteAnchor"/>
          <w:rtl w:val="true"/>
        </w:rPr>
        <w:footnoteReference w:id="1745"/>
      </w:r>
      <w:r>
        <w:rPr>
          <w:rFonts w:ascii="Amiri" w:hAnsi="Amiri" w:eastAsia="Amiri" w:cs="Amiri"/>
          <w:color w:val="111111"/>
          <w:sz w:val="28"/>
          <w:sz w:val="28"/>
          <w:szCs w:val="28"/>
          <w:rtl w:val="true"/>
          <w:lang w:bidi="ar-SA"/>
        </w:rPr>
        <w:t xml:space="preserve">عندَ الكلامِ في المفضولِ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894923_2320776876"/>
      <w:bookmarkStart w:id="286" w:name="_Toc103"/>
      <w:bookmarkEnd w:id="285"/>
      <w:r>
        <w:rPr>
          <w:rtl w:val="true"/>
        </w:rPr>
        <w:t>ما يدلّ عليه الاستحقاق و ما لا يدلّ</w:t>
      </w:r>
      <w:bookmarkEnd w:id="286"/>
    </w:p>
    <w:p>
      <w:pPr>
        <w:pStyle w:val="BookText"/>
        <w:rPr/>
      </w:pPr>
      <w:r>
        <w:rPr>
          <w:rFonts w:ascii="Amiri" w:hAnsi="Amiri" w:eastAsia="Amiri" w:cs="Amiri"/>
          <w:color w:val="111111"/>
          <w:sz w:val="28"/>
          <w:sz w:val="28"/>
          <w:szCs w:val="28"/>
          <w:rtl w:val="true"/>
          <w:lang w:bidi="ar-SA"/>
        </w:rPr>
        <w:t>علىٰ أنّ مَن ذهَبَ فيها إلَى الاستحقاقِ لا يَصِحُّ أن يَستَدِلَّ علىٰ وجوبِ الإمامةِ بما حَكاه؛ لأنّه قد يَجوزُ</w:t>
      </w:r>
      <w:r>
        <w:rPr>
          <w:rStyle w:val="FootnoteAnchor"/>
          <w:rtl w:val="true"/>
        </w:rPr>
        <w:footnoteReference w:id="1747"/>
      </w:r>
      <w:r>
        <w:rPr>
          <w:rFonts w:ascii="Amiri" w:hAnsi="Amiri" w:eastAsia="Amiri" w:cs="Amiri"/>
          <w:color w:val="111111"/>
          <w:sz w:val="28"/>
          <w:sz w:val="28"/>
          <w:szCs w:val="28"/>
          <w:rtl w:val="true"/>
          <w:lang w:bidi="ar-SA"/>
        </w:rPr>
        <w:t>أن لا يَكونَ في الزمانِ مَن بَلَغَت أعمالُه القَدرَ الذي يُستَحَقُّ‌</w:t>
      </w:r>
      <w:r>
        <w:rPr>
          <w:rStyle w:val="FootnoteAnchor"/>
          <w:rtl w:val="true"/>
        </w:rPr>
        <w:footnoteReference w:id="1748"/>
      </w:r>
      <w:r>
        <w:rPr>
          <w:rFonts w:ascii="Amiri" w:hAnsi="Amiri" w:eastAsia="Amiri" w:cs="Amiri"/>
          <w:color w:val="111111"/>
          <w:sz w:val="28"/>
          <w:sz w:val="28"/>
          <w:szCs w:val="28"/>
          <w:rtl w:val="true"/>
          <w:lang w:bidi="ar-SA"/>
        </w:rPr>
        <w:t>بمِثلِه الإمامةُ‌، و لَيسَ بواجبٍ أن يَكونَ في كُلِّ زمانٍ مَن تَبلُغُ‌</w:t>
      </w:r>
      <w:r>
        <w:rPr>
          <w:rStyle w:val="FootnoteAnchor"/>
          <w:rtl w:val="true"/>
        </w:rPr>
        <w:footnoteReference w:id="1749"/>
      </w:r>
      <w:r>
        <w:rPr>
          <w:rFonts w:ascii="Amiri" w:hAnsi="Amiri" w:eastAsia="Amiri" w:cs="Amiri"/>
          <w:color w:val="111111"/>
          <w:sz w:val="28"/>
          <w:sz w:val="28"/>
          <w:szCs w:val="28"/>
          <w:rtl w:val="true"/>
          <w:lang w:bidi="ar-SA"/>
        </w:rPr>
        <w:t>أعمالُه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أيضاً</w:t>
      </w:r>
      <w:r>
        <w:rPr>
          <w:rStyle w:val="FootnoteAnchor"/>
          <w:rtl w:val="true"/>
        </w:rPr>
        <w:footnoteReference w:id="1750"/>
      </w:r>
      <w:r>
        <w:rPr>
          <w:rFonts w:ascii="Amiri" w:hAnsi="Amiri" w:eastAsia="Amiri" w:cs="Amiri"/>
          <w:color w:val="111111"/>
          <w:sz w:val="28"/>
          <w:sz w:val="28"/>
          <w:szCs w:val="28"/>
          <w:rtl w:val="true"/>
          <w:lang w:bidi="ar-SA"/>
        </w:rPr>
        <w:t>أن يُستَدَلَّ بطريقةِ الاستحقاقِ علَى العصمةِ‌؛ لأنّه قد يَجوزُ أن يَستَحِقَّها بأعمالِه و كَثرةِ ثَوابِه مَن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مُمتَنِعٍ أن تَزيدَ</w:t>
      </w:r>
      <w:r>
        <w:rPr>
          <w:rStyle w:val="FootnoteAnchor"/>
          <w:rtl w:val="true"/>
        </w:rPr>
        <w:footnoteReference w:id="1751"/>
      </w:r>
      <w:r>
        <w:rPr>
          <w:rFonts w:ascii="Amiri" w:hAnsi="Amiri" w:eastAsia="Amiri" w:cs="Amiri"/>
          <w:color w:val="111111"/>
          <w:sz w:val="28"/>
          <w:sz w:val="28"/>
          <w:szCs w:val="28"/>
          <w:rtl w:val="true"/>
          <w:lang w:bidi="ar-SA"/>
        </w:rPr>
        <w:t>طاعاتُ مَن</w:t>
      </w:r>
      <w:r>
        <w:rPr>
          <w:rStyle w:val="FootnoteAnchor"/>
          <w:rtl w:val="true"/>
        </w:rPr>
        <w:footnoteReference w:id="1752"/>
      </w:r>
      <w:r>
        <w:rPr>
          <w:rFonts w:ascii="Amiri" w:hAnsi="Amiri" w:eastAsia="Amiri" w:cs="Amiri"/>
          <w:color w:val="111111"/>
          <w:sz w:val="28"/>
          <w:sz w:val="28"/>
          <w:szCs w:val="28"/>
          <w:rtl w:val="true"/>
          <w:lang w:bidi="ar-SA"/>
        </w:rPr>
        <w:t>لَيسَ بمعصومٍ علىٰ طاعاتِ المعصومِ‌، فيَزيدَ ما يَستَحِقُّه بها مِن</w:t>
      </w:r>
      <w:r>
        <w:rPr>
          <w:rStyle w:val="FootnoteAnchor"/>
          <w:rtl w:val="true"/>
        </w:rPr>
        <w:footnoteReference w:id="1753"/>
      </w:r>
      <w:r>
        <w:rPr>
          <w:rFonts w:ascii="Amiri" w:hAnsi="Amiri" w:eastAsia="Amiri" w:cs="Amiri"/>
          <w:color w:val="111111"/>
          <w:sz w:val="28"/>
          <w:sz w:val="28"/>
          <w:szCs w:val="28"/>
          <w:rtl w:val="true"/>
          <w:lang w:bidi="ar-SA"/>
        </w:rPr>
        <w:t>الثَّوابِ علىٰ ثَوابِ المعصومِ‌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سَلِمَ للقَومِ‌</w:t>
      </w:r>
      <w:r>
        <w:rPr>
          <w:rStyle w:val="FootnoteAnchor"/>
          <w:rtl w:val="true"/>
        </w:rPr>
        <w:footnoteReference w:id="1754"/>
      </w:r>
      <w:r>
        <w:rPr>
          <w:rFonts w:ascii="Amiri" w:hAnsi="Amiri" w:eastAsia="Amiri" w:cs="Amiri"/>
          <w:color w:val="111111"/>
          <w:sz w:val="28"/>
          <w:sz w:val="28"/>
          <w:szCs w:val="28"/>
          <w:rtl w:val="true"/>
          <w:lang w:bidi="ar-SA"/>
        </w:rPr>
        <w:t xml:space="preserve">أنّ الإمامةَ مُستَحَقَّةٌ بالأعمالِ </w:t>
      </w:r>
      <w:r>
        <w:rPr>
          <w:rStyle w:val="FootnoteAnchor"/>
          <w:rtl w:val="true"/>
        </w:rPr>
        <w:footnoteReference w:id="1755"/>
      </w:r>
      <w:r>
        <w:rPr>
          <w:rFonts w:ascii="Amiri" w:hAnsi="Amiri" w:eastAsia="Amiri" w:cs="Amiri"/>
          <w:color w:val="111111"/>
          <w:sz w:val="28"/>
          <w:sz w:val="28"/>
          <w:szCs w:val="28"/>
          <w:rtl w:val="true"/>
          <w:lang w:bidi="ar-SA"/>
        </w:rPr>
        <w:t xml:space="preserve">، لَم يَثبُتْ لهُم وجوبُها علَى </w:t>
      </w:r>
    </w:p>
    <w:p>
      <w:pPr>
        <w:pStyle w:val="BookText"/>
        <w:rPr/>
      </w:pPr>
      <w:r>
        <w:rPr>
          <w:rFonts w:ascii="Amiri" w:hAnsi="Amiri" w:eastAsia="Amiri" w:cs="Amiri"/>
          <w:color w:val="111111"/>
          <w:sz w:val="28"/>
          <w:sz w:val="28"/>
          <w:szCs w:val="28"/>
          <w:rtl w:val="true"/>
          <w:lang w:bidi="ar-SA"/>
        </w:rPr>
        <w:t>الحَدِّ الذي يَذهَبونَ إليه، و لا العصمةُ أيضاً مِن الوجهِ الذي أَوضَحناه، فتَشاغُلُ صاحبِ الكتابِ مع هذا بمُنازَعتِه لهم في الاستحقاقِ لا وجهَ له مع بُطلانِ قَولِهم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يَصِحُّ أن يَستَدِلَّ بكَونِ الإمامةِ مُستَحَقَّةً مَن يَذهَبُ </w:t>
      </w:r>
      <w:r>
        <w:rPr>
          <w:rStyle w:val="FootnoteAnchor"/>
          <w:rtl w:val="true"/>
        </w:rPr>
        <w:footnoteReference w:id="1756"/>
      </w:r>
      <w:r>
        <w:rPr>
          <w:rFonts w:ascii="Amiri" w:hAnsi="Amiri" w:eastAsia="Amiri" w:cs="Amiri"/>
          <w:color w:val="111111"/>
          <w:sz w:val="28"/>
          <w:sz w:val="28"/>
          <w:szCs w:val="28"/>
          <w:rtl w:val="true"/>
          <w:lang w:bidi="ar-SA"/>
        </w:rPr>
        <w:t>إلىٰ ذلكَ فيها علىٰ أنّ الإمامَ أفضَلُ أهلِ زمانِه، فيَكونُ ذلكَ وجهاً يُتعلَّقُ بمِثلِه، و إن كانَ الأصلُ الذي بُنيَ عليه</w:t>
      </w:r>
      <w:r>
        <w:rPr>
          <w:rStyle w:val="FootnoteAnchor"/>
          <w:rtl w:val="true"/>
        </w:rPr>
        <w:footnoteReference w:id="1757"/>
      </w: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بَينَكم في قَولِكم</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مُستَحَقّةٌ فيُطلَبُ لها المعصومُ و الأفضَلُ ، و بَينَ مَن قالَ بمِثلِه في الإمارةِ ؛ لأنّا قد بيّنّا أنّ الذي يَقومُ به الإمامُ هو ما يَقومُ به الأميرُ ظاهراً</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اختَلَفا في سَعةِ الوِلايةِ و كَثرَتِها و قِلّتِها، و بيّنّا أنّ ذلك لا يؤثِّرُ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يَجِبْ في الأميرِ أن يَكونَ معصوماً و أن تَكونَ إمارتُه مُستَحَقّةً ، فكذلكَ الإمامُ </w:t>
      </w:r>
      <w:r>
        <w:rPr>
          <w:rFonts w:eastAsia="Amiri" w:cs="Amiri" w:ascii="Amiri" w:hAnsi="Amiri"/>
          <w:color w:val="111111"/>
          <w:sz w:val="28"/>
          <w:szCs w:val="28"/>
          <w:rtl w:val="true"/>
          <w:lang w:bidi="ar-SA"/>
        </w:rPr>
        <w:t>].</w:t>
      </w:r>
      <w:r>
        <w:rPr>
          <w:rStyle w:val="FootnoteAnchor"/>
          <w:rtl w:val="true"/>
        </w:rPr>
        <w:footnoteReference w:id="176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w:t>
      </w:r>
      <w:r>
        <w:rPr>
          <w:rStyle w:val="FootnoteAnchor"/>
          <w:rtl w:val="true"/>
        </w:rPr>
        <w:footnoteReference w:id="1761"/>
      </w:r>
      <w:r>
        <w:rPr>
          <w:rFonts w:ascii="Amiri" w:hAnsi="Amiri" w:eastAsia="Amiri" w:cs="Amiri"/>
          <w:color w:val="111111"/>
          <w:sz w:val="28"/>
          <w:sz w:val="28"/>
          <w:szCs w:val="28"/>
          <w:rtl w:val="true"/>
          <w:lang w:bidi="ar-SA"/>
        </w:rPr>
        <w:t>بيّنّا أنّا لا نَذهَبُ في الإمامةِ إلىٰ أنّها مُستَحَقّةٌ ،</w:t>
      </w:r>
      <w:r>
        <w:rPr>
          <w:rStyle w:val="FootnoteAnchor"/>
          <w:rtl w:val="true"/>
        </w:rPr>
        <w:footnoteReference w:id="1762"/>
      </w:r>
      <w:r>
        <w:rPr>
          <w:rFonts w:ascii="Amiri" w:hAnsi="Amiri" w:eastAsia="Amiri" w:cs="Amiri"/>
          <w:color w:val="111111"/>
          <w:sz w:val="28"/>
          <w:sz w:val="28"/>
          <w:szCs w:val="28"/>
          <w:rtl w:val="true"/>
          <w:lang w:bidi="ar-SA"/>
        </w:rPr>
        <w:t xml:space="preserve">و لا نَجعَلُ كَونَها مُستَحَقّةً </w:t>
      </w:r>
      <w:bookmarkStart w:id="287" w:name="pg20015_284926"/>
    </w:p>
    <w:p>
      <w:pPr>
        <w:pStyle w:val="BookText"/>
        <w:rPr/>
      </w:pPr>
      <w:bookmarkEnd w:id="287"/>
      <w:r>
        <w:rPr>
          <w:rFonts w:ascii="Amiri" w:hAnsi="Amiri" w:eastAsia="Amiri" w:cs="Amiri"/>
          <w:color w:val="111111"/>
          <w:sz w:val="28"/>
          <w:sz w:val="28"/>
          <w:szCs w:val="28"/>
          <w:rtl w:val="true"/>
          <w:lang w:bidi="ar-SA"/>
        </w:rPr>
        <w:t xml:space="preserve">عِلّةً فيما ذَكرَه، و فَصَّلنا فيما تَقدَّمَ بَينَ الإمامِ و الأميرِ في معنَى الوِلايةِ </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ثُمّ علىٰ تسليمِ تَساويهِما في الوِلايةِ لا يَلزَمُ تَساويهِما في غَيرِها؛ لِما</w:t>
      </w:r>
      <w:r>
        <w:rPr>
          <w:rStyle w:val="FootnoteAnchor"/>
          <w:rtl w:val="true"/>
        </w:rPr>
        <w:footnoteReference w:id="1764"/>
      </w:r>
      <w:r>
        <w:rPr>
          <w:rFonts w:ascii="Amiri" w:hAnsi="Amiri" w:eastAsia="Amiri" w:cs="Amiri"/>
          <w:color w:val="111111"/>
          <w:sz w:val="28"/>
          <w:sz w:val="28"/>
          <w:szCs w:val="28"/>
          <w:rtl w:val="true"/>
          <w:lang w:bidi="ar-SA"/>
        </w:rPr>
        <w:t>بيّنّا به أنّ ما يُوجِبُ عصمةَ أحَدِهما لا يُوجِبُ عصمةَ الآخَرِ، و تَكرارُ ذلكَ لا فائدةَ فيه</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894925_2320776876"/>
      <w:bookmarkStart w:id="289" w:name="_Toc104"/>
      <w:bookmarkEnd w:id="288"/>
      <w:r>
        <w:rPr>
          <w:rtl w:val="true"/>
        </w:rPr>
        <w:t>دفاع المصنّف عن القائلين بالاستحقاق من الإماميّة</w:t>
      </w:r>
      <w:bookmarkEnd w:id="28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عِلّتَهم</w:t>
      </w:r>
      <w:r>
        <w:rPr>
          <w:rStyle w:val="FootnoteAnchor"/>
          <w:rtl w:val="true"/>
        </w:rPr>
        <w:footnoteReference w:id="1765"/>
      </w:r>
      <w:r>
        <w:rPr>
          <w:rFonts w:ascii="Amiri" w:hAnsi="Amiri" w:eastAsia="Amiri" w:cs="Amiri"/>
          <w:color w:val="111111"/>
          <w:sz w:val="28"/>
          <w:sz w:val="28"/>
          <w:szCs w:val="28"/>
          <w:rtl w:val="true"/>
          <w:lang w:bidi="ar-SA"/>
        </w:rPr>
        <w:t xml:space="preserve">تُوجِبُ أنّ غَيرَ الإمامِ لا يُساويهِ في العصمةِ و الفَضلِ ، و إلّاكانَ يَجِبُ أن يَكونَ إماماً، و لَما صَحَّ القَولُ </w:t>
      </w:r>
      <w:r>
        <w:rPr>
          <w:rStyle w:val="FootnoteAnchor"/>
          <w:rtl w:val="true"/>
        </w:rPr>
        <w:footnoteReference w:id="1766"/>
      </w:r>
      <w:r>
        <w:rPr>
          <w:rFonts w:ascii="Amiri" w:hAnsi="Amiri" w:eastAsia="Amiri" w:cs="Amiri"/>
          <w:color w:val="111111"/>
          <w:sz w:val="28"/>
          <w:sz w:val="28"/>
          <w:szCs w:val="28"/>
          <w:rtl w:val="true"/>
          <w:lang w:bidi="ar-SA"/>
        </w:rPr>
        <w:t xml:space="preserve">بأنّ الإمامَ لا يَكونُ إلّاواحداً،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بيّنّا أنّ ذلكَ لا يُمكِنُ القَطعُ عليه، بَل الدَّلالةُ مِن جهةِ السمعِ قد دَلَّت علىٰ خِلافِه</w:t>
      </w:r>
      <w:r>
        <w:rPr>
          <w:rFonts w:eastAsia="Amiri" w:cs="Amiri" w:ascii="Amiri" w:hAnsi="Amiri"/>
          <w:color w:val="111111"/>
          <w:sz w:val="28"/>
          <w:szCs w:val="28"/>
          <w:rtl w:val="true"/>
          <w:lang w:bidi="ar-SA"/>
        </w:rPr>
        <w:t>].</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فغَيرُ لازمٍ‌ للقَومِ الذاهِبينَ في الإمامةِ إلَى الاستحقاقِ‌؛ لأنّ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في استحقاقِ الإمامةِ لَيسَ بالعصمةِ وَحدَها، فيَلزَمَنا أن نَمنَعَ مِن مُساواةِ غَيرِ الإمام له في العصمةِ‌؛ بَل الاعتبارُ بزِياداتِ الفَضلِ و كَثرةِ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يُساويَ الإمامُ عندَهم في الفَضلِ المُستَحَقِّ به الإمامةُ مَن لَيسَ بإمامٍ‌، و هذا نَصُّ مَذهَبِهم و صَريحُه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العقلُ يُجَوِّزُ ثُبوتَ عِدّةِ أئمّةٍ ، و إنّما السمعُ مَنَعَ </w:t>
      </w:r>
      <w:r>
        <w:rPr>
          <w:rStyle w:val="FootnoteAnchor"/>
          <w:rtl w:val="true"/>
        </w:rPr>
        <w:footnoteReference w:id="1768"/>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مَنعِ السمعِ </w:t>
      </w:r>
    </w:p>
    <w:p>
      <w:pPr>
        <w:pStyle w:val="BookText"/>
        <w:rPr/>
      </w:pPr>
      <w:r>
        <w:rPr>
          <w:rFonts w:ascii="Amiri" w:hAnsi="Amiri" w:eastAsia="Amiri" w:cs="Amiri"/>
          <w:color w:val="111111"/>
          <w:sz w:val="28"/>
          <w:sz w:val="28"/>
          <w:szCs w:val="28"/>
          <w:rtl w:val="true"/>
          <w:lang w:bidi="ar-SA"/>
        </w:rPr>
        <w:t>مِنه قَطَعَ القَومُ علىٰ أنّه لا يَتَّفِقُ لِاثنَينِ مِن الفَضلِ ما يُستَحَقُّ به الإمامةُ‌، و إن جازَ أن يَكونَ ذلكَ قد اتَّفَقَ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لَم نَذهَبْ في الإمامةِ إلَى الاستحقاقِ‌، و كانَ‌</w:t>
      </w:r>
      <w:r>
        <w:rPr>
          <w:rStyle w:val="FootnoteAnchor"/>
          <w:rtl w:val="true"/>
        </w:rPr>
        <w:footnoteReference w:id="1769"/>
      </w:r>
      <w:r>
        <w:rPr>
          <w:rFonts w:ascii="Amiri" w:hAnsi="Amiri" w:eastAsia="Amiri" w:cs="Amiri"/>
          <w:color w:val="111111"/>
          <w:sz w:val="28"/>
          <w:sz w:val="28"/>
          <w:szCs w:val="28"/>
          <w:rtl w:val="true"/>
          <w:lang w:bidi="ar-SA"/>
        </w:rPr>
        <w:t xml:space="preserve">مَذهَبُنا فيها موافِقاً لمَذهَبِ </w:t>
      </w:r>
      <w:r>
        <w:rPr>
          <w:rStyle w:val="FootnoteAnchor"/>
          <w:rtl w:val="true"/>
        </w:rPr>
        <w:footnoteReference w:id="1770"/>
      </w:r>
      <w:r>
        <w:rPr>
          <w:rFonts w:ascii="Amiri" w:hAnsi="Amiri" w:eastAsia="Amiri" w:cs="Amiri"/>
          <w:color w:val="111111"/>
          <w:sz w:val="28"/>
          <w:sz w:val="28"/>
          <w:szCs w:val="28"/>
          <w:rtl w:val="true"/>
          <w:lang w:bidi="ar-SA"/>
        </w:rPr>
        <w:t xml:space="preserve">صاحبِ الكتابِ ، فغَيرُ مُنكَرٍ أن نُبيِّنَ </w:t>
      </w:r>
      <w:r>
        <w:rPr>
          <w:rStyle w:val="FootnoteAnchor"/>
          <w:rtl w:val="true"/>
        </w:rPr>
        <w:footnoteReference w:id="1771"/>
      </w:r>
      <w:r>
        <w:rPr>
          <w:rFonts w:ascii="Amiri" w:hAnsi="Amiri" w:eastAsia="Amiri" w:cs="Amiri"/>
          <w:color w:val="111111"/>
          <w:sz w:val="28"/>
          <w:sz w:val="28"/>
          <w:szCs w:val="28"/>
          <w:rtl w:val="true"/>
          <w:lang w:bidi="ar-SA"/>
        </w:rPr>
        <w:t>فَسادَ ما قَدَّرَ أنّه يَلزَمُ القائلينَ بذلكَ و لَيسَ بِلازمٍ في الحقيقةِ ، و نُميِّزَ صحيحَ ذلكَ مِن باطلِه؛ إذ</w:t>
      </w:r>
      <w:r>
        <w:rPr>
          <w:rStyle w:val="FootnoteAnchor"/>
          <w:rtl w:val="true"/>
        </w:rPr>
        <w:footnoteReference w:id="1772"/>
      </w:r>
      <w:r>
        <w:rPr>
          <w:rFonts w:ascii="Amiri" w:hAnsi="Amiri" w:eastAsia="Amiri" w:cs="Amiri"/>
          <w:color w:val="111111"/>
          <w:sz w:val="28"/>
          <w:sz w:val="28"/>
          <w:szCs w:val="28"/>
          <w:rtl w:val="true"/>
          <w:lang w:bidi="ar-SA"/>
        </w:rPr>
        <w:t>كانَ الخِلافُ في الطريقةِ إلىٰ نُصرةِ المَذهَبِ رُبَّما</w:t>
      </w:r>
      <w:r>
        <w:rPr>
          <w:rStyle w:val="FootnoteAnchor"/>
          <w:rtl w:val="true"/>
        </w:rPr>
        <w:footnoteReference w:id="1773"/>
      </w:r>
      <w:r>
        <w:rPr>
          <w:rFonts w:ascii="Amiri" w:hAnsi="Amiri" w:eastAsia="Amiri" w:cs="Amiri"/>
          <w:color w:val="111111"/>
          <w:sz w:val="28"/>
          <w:sz w:val="28"/>
          <w:szCs w:val="28"/>
          <w:rtl w:val="true"/>
          <w:lang w:bidi="ar-SA"/>
        </w:rPr>
        <w:t>لا يَكونُ خِلافاً في المَذهَبِ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القَومَ في أيّامِ أميرِ المؤمنينَ عليه السلامُ أن يَكونَ حالُ الحَسَنِ و الحُسَينِ عَلَيهما السلامُ كَحالِه في الإمامةِ‌؛ لأنّهما معصومانِ‌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عليه السلامُ مَزيّةً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يوجِبُ ثُبوتَ أئمّةٍ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يَلزَمُهم أن لا يُصيِّروا الثانيَ إماماً عندَ تَقَضّي</w:t>
      </w:r>
      <w:r>
        <w:rPr>
          <w:rStyle w:val="FootnoteAnchor"/>
          <w:rtl w:val="true"/>
        </w:rPr>
        <w:footnoteReference w:id="1774"/>
      </w:r>
      <w:r>
        <w:rPr>
          <w:rFonts w:ascii="Amiri" w:hAnsi="Amiri" w:eastAsia="Amiri" w:cs="Amiri"/>
          <w:color w:val="111111"/>
          <w:sz w:val="28"/>
          <w:sz w:val="28"/>
          <w:szCs w:val="28"/>
          <w:rtl w:val="true"/>
          <w:lang w:bidi="ar-SA"/>
        </w:rPr>
        <w:t>الأوّلِ ، بَل يَجِبُ أن يَكونَ إماماً معه؛ للعِلّةِ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يَلزَمُهم أن يَكونَ أميرُ المؤمنينَ عليه السلامُ </w:t>
      </w:r>
      <w:r>
        <w:rPr>
          <w:rStyle w:val="FootnoteAnchor"/>
          <w:rtl w:val="true"/>
        </w:rPr>
        <w:footnoteReference w:id="1775"/>
      </w:r>
      <w:r>
        <w:rPr>
          <w:rFonts w:ascii="Amiri" w:hAnsi="Amiri" w:eastAsia="Amiri" w:cs="Amiri"/>
          <w:color w:val="111111"/>
          <w:sz w:val="28"/>
          <w:sz w:val="28"/>
          <w:szCs w:val="28"/>
          <w:rtl w:val="true"/>
          <w:lang w:bidi="ar-SA"/>
        </w:rPr>
        <w:t xml:space="preserve">في أيّامِ الرسولِ صَلَّى اللّٰهُ عليه و آلِه و سَلَّمَ </w:t>
      </w:r>
      <w:r>
        <w:rPr>
          <w:rStyle w:val="FootnoteAnchor"/>
          <w:rtl w:val="true"/>
        </w:rPr>
        <w:footnoteReference w:id="1776"/>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يَصِحَّ أن يَقومَ </w:t>
      </w:r>
    </w:p>
    <w:p>
      <w:pPr>
        <w:pStyle w:val="BookText"/>
        <w:rPr/>
      </w:pPr>
      <w:r>
        <w:rPr>
          <w:rFonts w:ascii="Amiri" w:hAnsi="Amiri" w:eastAsia="Amiri" w:cs="Amiri"/>
          <w:color w:val="111111"/>
          <w:sz w:val="28"/>
          <w:sz w:val="28"/>
          <w:szCs w:val="28"/>
          <w:rtl w:val="true"/>
          <w:lang w:bidi="ar-SA"/>
        </w:rPr>
        <w:t>بالحُدودِ و الأحكامِ مِن غَيرِ مُراجَعةٍ‌</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لا يَلزَمُ أيضاً؛ لأنّ الإمامةَ لَيسَ‌</w:t>
      </w:r>
      <w:r>
        <w:rPr>
          <w:rStyle w:val="FootnoteAnchor"/>
          <w:rtl w:val="true"/>
        </w:rPr>
        <w:footnoteReference w:id="1778"/>
      </w:r>
      <w:r>
        <w:rPr>
          <w:rFonts w:ascii="Amiri" w:hAnsi="Amiri" w:eastAsia="Amiri" w:cs="Amiri"/>
          <w:color w:val="111111"/>
          <w:sz w:val="28"/>
          <w:sz w:val="28"/>
          <w:szCs w:val="28"/>
          <w:rtl w:val="true"/>
          <w:lang w:bidi="ar-SA"/>
        </w:rPr>
        <w:t>تُستَحَقُّ عندَهم</w:t>
      </w:r>
      <w:r>
        <w:rPr>
          <w:rStyle w:val="FootnoteAnchor"/>
          <w:rtl w:val="true"/>
        </w:rPr>
        <w:footnoteReference w:id="1779"/>
      </w:r>
      <w:r>
        <w:rPr>
          <w:rFonts w:ascii="Amiri" w:hAnsi="Amiri" w:eastAsia="Amiri" w:cs="Amiri"/>
          <w:color w:val="111111"/>
          <w:sz w:val="28"/>
          <w:sz w:val="28"/>
          <w:szCs w:val="28"/>
          <w:rtl w:val="true"/>
          <w:lang w:bidi="ar-SA"/>
        </w:rPr>
        <w:t>بالعصمةِ حسَبَ ما ذَكرناه مِن</w:t>
      </w:r>
      <w:r>
        <w:rPr>
          <w:rStyle w:val="FootnoteAnchor"/>
          <w:rtl w:val="true"/>
        </w:rPr>
        <w:footnoteReference w:id="1780"/>
      </w:r>
      <w:r>
        <w:rPr>
          <w:rFonts w:ascii="Amiri" w:hAnsi="Amiri" w:eastAsia="Amiri" w:cs="Amiri"/>
          <w:color w:val="111111"/>
          <w:sz w:val="28"/>
          <w:sz w:val="28"/>
          <w:szCs w:val="28"/>
          <w:rtl w:val="true"/>
          <w:lang w:bidi="ar-SA"/>
        </w:rPr>
        <w:t>قَبلُ‌</w:t>
      </w:r>
      <w:r>
        <w:rPr>
          <w:rStyle w:val="FootnoteAnchor"/>
          <w:rtl w:val="true"/>
        </w:rPr>
        <w:footnoteReference w:id="1781"/>
      </w:r>
      <w:r>
        <w:rPr>
          <w:rFonts w:ascii="Amiri" w:hAnsi="Amiri" w:eastAsia="Amiri" w:cs="Amiri"/>
          <w:color w:val="111111"/>
          <w:sz w:val="28"/>
          <w:sz w:val="28"/>
          <w:szCs w:val="28"/>
          <w:rtl w:val="true"/>
          <w:lang w:bidi="ar-SA"/>
        </w:rPr>
        <w:t>، و لا بها و بضَربٍ مِن الفَضلِ غَيرِ مخصوصٍ‌</w:t>
      </w:r>
      <w:r>
        <w:rPr>
          <w:rStyle w:val="FootnoteAnchor"/>
          <w:rtl w:val="true"/>
        </w:rPr>
        <w:footnoteReference w:id="1782"/>
      </w:r>
      <w:r>
        <w:rPr>
          <w:rFonts w:ascii="Amiri" w:hAnsi="Amiri" w:eastAsia="Amiri" w:cs="Amiri"/>
          <w:color w:val="111111"/>
          <w:sz w:val="28"/>
          <w:sz w:val="28"/>
          <w:szCs w:val="28"/>
          <w:rtl w:val="true"/>
          <w:lang w:bidi="ar-SA"/>
        </w:rPr>
        <w:t>بَل إنّما تُستَحَقُّ علىٰ مَذهَبِهم بقَدرٍ مِن الفَضلِ مخصوصٍ‌، مَنِ‌</w:t>
      </w:r>
      <w:r>
        <w:rPr>
          <w:rStyle w:val="FootnoteAnchor"/>
          <w:rtl w:val="true"/>
        </w:rPr>
        <w:footnoteReference w:id="1783"/>
      </w:r>
      <w:r>
        <w:rPr>
          <w:rFonts w:ascii="Amiri" w:hAnsi="Amiri" w:eastAsia="Amiri" w:cs="Amiri"/>
          <w:color w:val="111111"/>
          <w:sz w:val="28"/>
          <w:sz w:val="28"/>
          <w:szCs w:val="28"/>
          <w:rtl w:val="true"/>
          <w:lang w:bidi="ar-SA"/>
        </w:rPr>
        <w:t>انتَهىٰ إليه كانَ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أنّ أميرَ المؤمنينَ عليه السلامُ لَم يَنتَهِ في أيّامِ الرسولِ صَلَّى اللّٰهُ عليه و آلِه و سَلَّمَ‌</w:t>
      </w:r>
      <w:r>
        <w:rPr>
          <w:rStyle w:val="FootnoteAnchor"/>
          <w:rtl w:val="true"/>
        </w:rPr>
        <w:footnoteReference w:id="1784"/>
      </w:r>
      <w:r>
        <w:rPr>
          <w:rFonts w:ascii="Amiri" w:hAnsi="Amiri" w:eastAsia="Amiri" w:cs="Amiri"/>
          <w:color w:val="111111"/>
          <w:sz w:val="28"/>
          <w:sz w:val="28"/>
          <w:szCs w:val="28"/>
          <w:rtl w:val="true"/>
          <w:lang w:bidi="ar-SA"/>
        </w:rPr>
        <w:t>إلىٰ ذلكَ القَدرِ مِن الفَضلِ‌، و إنّما انتَهىٰ إليه في الحالِ التي وجَبَت له فيها الإمامةُ‌، و هي بَعدَ الرسولِ‌</w:t>
      </w:r>
      <w:r>
        <w:rPr>
          <w:rStyle w:val="FootnoteAnchor"/>
          <w:rtl w:val="true"/>
        </w:rPr>
        <w:footnoteReference w:id="1785"/>
      </w:r>
      <w:r>
        <w:rPr>
          <w:rFonts w:ascii="Amiri" w:hAnsi="Amiri" w:eastAsia="Amiri" w:cs="Amiri"/>
          <w:color w:val="111111"/>
          <w:sz w:val="28"/>
          <w:sz w:val="28"/>
          <w:szCs w:val="28"/>
          <w:rtl w:val="true"/>
          <w:lang w:bidi="ar-SA"/>
        </w:rPr>
        <w:t xml:space="preserve">صَلَّى اللّٰهُ عليه و آلِه و سَلَّمَ بلا فَصلٍ </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الحَسَنِ و الحُسَينِ عَلَيهما السلامُ في أيّامِ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أيضاً حالُ كُلِّ إمامٍ يَثبُتُ </w:t>
      </w:r>
      <w:r>
        <w:rPr>
          <w:rStyle w:val="FootnoteAnchor"/>
          <w:rtl w:val="true"/>
        </w:rPr>
        <w:footnoteReference w:id="1787"/>
      </w:r>
      <w:r>
        <w:rPr>
          <w:rFonts w:ascii="Amiri" w:hAnsi="Amiri" w:eastAsia="Amiri" w:cs="Amiri"/>
          <w:color w:val="111111"/>
          <w:sz w:val="28"/>
          <w:sz w:val="28"/>
          <w:szCs w:val="28"/>
          <w:rtl w:val="true"/>
          <w:lang w:bidi="ar-SA"/>
        </w:rPr>
        <w:t xml:space="preserve">له الإمامةُ بَعدَ مَن كانَ قَبلَه مِن الأئمّةِ في أنّه لا يَجِبُ أن يَكونَ إماماً في حالِ مَن كانَ إماماً قَبلَه؛ لأنّه لا يَحصُلُ له مِن الفَضلِ في تلكَ الأحوالِ القَدرُ الذي يُستَحَقُّ به الإمامةُ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سُقوطُ هذا عن القَومِ واضحٌ لا إشكالَ فيه</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20015_284930"/>
      <w:bookmarkStart w:id="291" w:name="pg20015_284930"/>
      <w:bookmarkEnd w:id="291"/>
    </w:p>
    <w:p>
      <w:pPr>
        <w:pStyle w:val="Heading2"/>
        <w:numPr>
          <w:ilvl w:val="1"/>
          <w:numId w:val="1"/>
        </w:numPr>
        <w:rPr/>
      </w:pPr>
      <w:bookmarkStart w:id="292" w:name="pg20015_284930"/>
      <w:bookmarkStart w:id="293" w:name="__RefHeading___Toc894927_2320776876"/>
      <w:bookmarkStart w:id="294" w:name="_Toc105"/>
      <w:bookmarkEnd w:id="292"/>
      <w:bookmarkEnd w:id="293"/>
      <w:r>
        <w:rPr/>
        <w:t>4</w:t>
      </w:r>
      <w:r>
        <w:rPr>
          <w:rtl w:val="true"/>
        </w:rPr>
        <w:t xml:space="preserve"> </w:t>
      </w:r>
      <w:r>
        <w:rPr>
          <w:rtl w:val="true"/>
        </w:rPr>
        <w:t>فصلٌ في الكلامِ علىٰ ما اعتَمَدَه في دفعِ وجوبِ النَّصِّ مِن جهةِ العقلِ</w:t>
      </w:r>
      <w:bookmarkEnd w:id="294"/>
    </w:p>
    <w:p>
      <w:pPr>
        <w:pStyle w:val="Heading3"/>
        <w:numPr>
          <w:ilvl w:val="2"/>
          <w:numId w:val="1"/>
        </w:numPr>
        <w:rPr/>
      </w:pPr>
      <w:bookmarkStart w:id="295" w:name="__RefHeading___Toc894929_2320776876"/>
      <w:bookmarkStart w:id="296" w:name="_Toc106"/>
      <w:bookmarkEnd w:id="295"/>
      <w:r>
        <w:rPr>
          <w:rtl w:val="true"/>
        </w:rPr>
        <w:t>اشارة</w:t>
      </w:r>
      <w:bookmarkEnd w:id="2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الكلامِ علىٰ ما اعتَمَدَه في</w:t>
      </w:r>
      <w:r>
        <w:rPr>
          <w:rStyle w:val="FootnoteAnchor"/>
          <w:rtl w:val="true"/>
        </w:rPr>
        <w:footnoteReference w:id="1788"/>
      </w:r>
      <w:r>
        <w:rPr>
          <w:rFonts w:ascii="Amiri" w:hAnsi="Amiri" w:eastAsia="Amiri" w:cs="Amiri"/>
          <w:color w:val="111111"/>
          <w:sz w:val="28"/>
          <w:sz w:val="28"/>
          <w:szCs w:val="28"/>
          <w:rtl w:val="true"/>
          <w:lang w:bidi="ar-SA"/>
        </w:rPr>
        <w:t xml:space="preserve">دفعِ وجوبِ النَّصِّ </w:t>
      </w:r>
      <w:r>
        <w:rPr>
          <w:rStyle w:val="FootnoteAnchor"/>
          <w:rtl w:val="true"/>
        </w:rPr>
        <w:footnoteReference w:id="1789"/>
      </w:r>
      <w:r>
        <w:rPr>
          <w:rFonts w:ascii="Amiri" w:hAnsi="Amiri" w:eastAsia="Amiri" w:cs="Amiri"/>
          <w:color w:val="111111"/>
          <w:sz w:val="28"/>
          <w:sz w:val="28"/>
          <w:szCs w:val="28"/>
          <w:rtl w:val="true"/>
          <w:lang w:bidi="ar-SA"/>
        </w:rPr>
        <w:t xml:space="preserve">مِن جهةِ العقلِ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20015_284932"/>
      <w:bookmarkStart w:id="298" w:name="pg20015_284932"/>
      <w:bookmarkEnd w:id="298"/>
    </w:p>
    <w:p>
      <w:pPr>
        <w:pStyle w:val="Heading3"/>
        <w:numPr>
          <w:ilvl w:val="2"/>
          <w:numId w:val="1"/>
        </w:numPr>
        <w:rPr/>
      </w:pPr>
      <w:bookmarkStart w:id="299" w:name="pg20015_284932"/>
      <w:bookmarkStart w:id="300" w:name="__RefHeading___Toc894931_2320776876"/>
      <w:bookmarkStart w:id="301" w:name="_Toc107"/>
      <w:bookmarkEnd w:id="299"/>
      <w:bookmarkEnd w:id="300"/>
      <w:r>
        <w:rPr>
          <w:rtl w:val="true"/>
        </w:rPr>
        <w:t>مقدّمة في بيان الأدلّة علىٰ وجوب النصّ عقلاً</w:t>
      </w:r>
      <w:bookmarkEnd w:id="301"/>
    </w:p>
    <w:p>
      <w:pPr>
        <w:pStyle w:val="Heading4"/>
        <w:numPr>
          <w:ilvl w:val="3"/>
          <w:numId w:val="1"/>
        </w:numPr>
        <w:rPr/>
      </w:pPr>
      <w:bookmarkStart w:id="302" w:name="__RefHeading___Toc894933_2320776876"/>
      <w:bookmarkStart w:id="303" w:name="_Toc108"/>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الواجبُ أن نُقدِّمَ‌</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حكايةِ كلامِه و مناقَضتِه</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وجوبِ النَّصِّ ، ثُمّ نَعترضَ </w:t>
      </w:r>
      <w:r>
        <w:rPr>
          <w:rStyle w:val="FootnoteAnchor"/>
          <w:rtl w:val="true"/>
        </w:rPr>
        <w:footnoteReference w:id="1792"/>
      </w:r>
      <w:r>
        <w:rPr>
          <w:rFonts w:ascii="Amiri" w:hAnsi="Amiri" w:eastAsia="Amiri" w:cs="Amiri"/>
          <w:color w:val="111111"/>
          <w:sz w:val="28"/>
          <w:sz w:val="28"/>
          <w:szCs w:val="28"/>
          <w:rtl w:val="true"/>
          <w:lang w:bidi="ar-SA"/>
        </w:rPr>
        <w:t xml:space="preserve">جُملةَ ما أَورَدَه صاحبُ الكتابِ </w:t>
      </w:r>
      <w:r>
        <w:rPr>
          <w:rStyle w:val="FootnoteAnchor"/>
          <w:rtl w:val="true"/>
        </w:rPr>
        <w:footnoteReference w:id="1793"/>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894935_2320776876"/>
      <w:bookmarkStart w:id="305" w:name="_Toc109"/>
      <w:bookmarkEnd w:id="304"/>
      <w:r>
        <w:rPr>
          <w:rtl w:val="true"/>
        </w:rPr>
        <w:t>الدليل الأوّل</w:t>
      </w:r>
      <w:bookmarkEnd w:id="3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يَدُلُّ مِن طريقِ العقولِ‌</w:t>
      </w:r>
      <w:r>
        <w:rPr>
          <w:rStyle w:val="FootnoteAnchor"/>
          <w:rtl w:val="true"/>
        </w:rPr>
        <w:footnoteReference w:id="1794"/>
      </w:r>
      <w:r>
        <w:rPr>
          <w:rFonts w:ascii="Amiri" w:hAnsi="Amiri" w:eastAsia="Amiri" w:cs="Amiri"/>
          <w:color w:val="111111"/>
          <w:sz w:val="28"/>
          <w:sz w:val="28"/>
          <w:szCs w:val="28"/>
          <w:rtl w:val="true"/>
          <w:lang w:bidi="ar-SA"/>
        </w:rPr>
        <w:t xml:space="preserve">علىٰ وجوبِ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إذا وَجَبَت عصمتُه بما قَدَّمناه مِن الأدلّةِ </w:t>
      </w:r>
      <w:r>
        <w:rPr>
          <w:rStyle w:val="FootnoteAnchor"/>
          <w:rtl w:val="true"/>
        </w:rPr>
        <w:footnoteReference w:id="1795"/>
      </w:r>
      <w:r>
        <w:rPr>
          <w:rFonts w:ascii="Amiri" w:hAnsi="Amiri" w:eastAsia="Amiri" w:cs="Amiri"/>
          <w:color w:val="111111"/>
          <w:sz w:val="28"/>
          <w:sz w:val="28"/>
          <w:szCs w:val="28"/>
          <w:rtl w:val="true"/>
          <w:lang w:bidi="ar-SA"/>
        </w:rPr>
        <w:t>، و كانَت العصمةُ غيرَ مُدرَكةٍ فتُستفادَ</w:t>
      </w:r>
      <w:r>
        <w:rPr>
          <w:rStyle w:val="FootnoteAnchor"/>
          <w:rtl w:val="true"/>
        </w:rPr>
        <w:footnoteReference w:id="1796"/>
      </w:r>
      <w:r>
        <w:rPr>
          <w:rFonts w:ascii="Amiri" w:hAnsi="Amiri" w:eastAsia="Amiri" w:cs="Amiri"/>
          <w:color w:val="111111"/>
          <w:sz w:val="28"/>
          <w:sz w:val="28"/>
          <w:szCs w:val="28"/>
          <w:rtl w:val="true"/>
          <w:lang w:bidi="ar-SA"/>
        </w:rPr>
        <w:t>مِن جهةِ الحَواسِّ ، و لَم يَكُن أيضاً عَلَيها</w:t>
      </w:r>
      <w:r>
        <w:rPr>
          <w:rStyle w:val="FootnoteAnchor"/>
          <w:rtl w:val="true"/>
        </w:rPr>
        <w:footnoteReference w:id="1797"/>
      </w:r>
      <w:r>
        <w:rPr>
          <w:rFonts w:ascii="Amiri" w:hAnsi="Amiri" w:eastAsia="Amiri" w:cs="Amiri"/>
          <w:color w:val="111111"/>
          <w:sz w:val="28"/>
          <w:sz w:val="28"/>
          <w:szCs w:val="28"/>
          <w:rtl w:val="true"/>
          <w:lang w:bidi="ar-SA"/>
        </w:rPr>
        <w:t>دليلٌ يوصِلُ إلَى العِلمِ بحالِ مَن اختَصَّ بها فيُتوصَّلَ إليها بالنظَرِ في الأدلّةِ ، فلا بُدَّ مع صحّةِ هذه الجُملةِ مِن وجوبِ النَّصِّ علَى الإمامِ بعَينِه</w:t>
      </w:r>
      <w:r>
        <w:rPr>
          <w:rStyle w:val="FootnoteAnchor"/>
          <w:rtl w:val="true"/>
        </w:rPr>
        <w:footnoteReference w:id="17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إظهارِ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مَقامَ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الأمرَينِ صَحَّ بَطَلَ الاختيارُ الذي هو مَذهَبُ المُخالِفِ‌، و مِن أجلِه تكَلَّفنا الدَّلالةَ علىٰ وجوبِ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بَطَلَ </w:t>
      </w:r>
      <w:r>
        <w:rPr>
          <w:rStyle w:val="FootnoteAnchor"/>
          <w:rtl w:val="true"/>
        </w:rPr>
        <w:footnoteReference w:id="1799"/>
      </w:r>
      <w:r>
        <w:rPr>
          <w:rFonts w:ascii="Amiri" w:hAnsi="Amiri" w:eastAsia="Amiri" w:cs="Amiri"/>
          <w:color w:val="111111"/>
          <w:sz w:val="28"/>
          <w:sz w:val="28"/>
          <w:szCs w:val="28"/>
          <w:rtl w:val="true"/>
          <w:lang w:bidi="ar-SA"/>
        </w:rPr>
        <w:t xml:space="preserve">مِن حَيثُ كانَ في تكليفِه مع ثُبوتِ عصمةِ الإمامِ تكليفٌ لإصابةِ ما لا دليلَ عَلَيه، و ذلكَ في القُبحِ يَجري مَجرىٰ تكليفِ </w:t>
      </w:r>
      <w:r>
        <w:rPr>
          <w:rStyle w:val="FootnoteAnchor"/>
          <w:rtl w:val="true"/>
        </w:rPr>
        <w:footnoteReference w:id="1800"/>
      </w:r>
      <w:r>
        <w:rPr>
          <w:rFonts w:ascii="Amiri" w:hAnsi="Amiri" w:eastAsia="Amiri" w:cs="Amiri"/>
          <w:color w:val="111111"/>
          <w:sz w:val="28"/>
          <w:sz w:val="28"/>
          <w:szCs w:val="28"/>
          <w:rtl w:val="true"/>
          <w:lang w:bidi="ar-SA"/>
        </w:rPr>
        <w:t xml:space="preserve">ما لا يُطاقُ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جازَ</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العصمةِ التي ادَّعَيتموها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الاختيارِ؟</w:t>
      </w:r>
    </w:p>
    <w:p>
      <w:pPr>
        <w:pStyle w:val="BookText"/>
        <w:rPr/>
      </w:pPr>
      <w:r>
        <w:rPr>
          <w:rFonts w:ascii="Amiri" w:hAnsi="Amiri" w:eastAsia="Amiri" w:cs="Amiri"/>
          <w:color w:val="111111"/>
          <w:sz w:val="28"/>
          <w:sz w:val="28"/>
          <w:szCs w:val="28"/>
          <w:rtl w:val="true"/>
          <w:lang w:bidi="ar-SA"/>
        </w:rPr>
        <w:t xml:space="preserve">بأن يَعلَمَ اللّٰهُ تَعالىٰ أنّ المُختارينَ للإمامِ </w:t>
      </w:r>
      <w:r>
        <w:rPr>
          <w:rStyle w:val="FootnoteAnchor"/>
          <w:rtl w:val="true"/>
        </w:rPr>
        <w:footnoteReference w:id="1803"/>
      </w:r>
      <w:r>
        <w:rPr>
          <w:rFonts w:ascii="Amiri" w:hAnsi="Amiri" w:eastAsia="Amiri" w:cs="Amiri"/>
          <w:color w:val="111111"/>
          <w:sz w:val="28"/>
          <w:sz w:val="28"/>
          <w:szCs w:val="28"/>
          <w:rtl w:val="true"/>
          <w:lang w:bidi="ar-SA"/>
        </w:rPr>
        <w:t>لا يَختارونَ إلّامعصوماً، و</w:t>
      </w:r>
      <w:r>
        <w:rPr>
          <w:rStyle w:val="FootnoteAnchor"/>
          <w:rtl w:val="true"/>
        </w:rPr>
        <w:footnoteReference w:id="1804"/>
      </w:r>
      <w:r>
        <w:rPr>
          <w:rFonts w:ascii="Amiri" w:hAnsi="Amiri" w:eastAsia="Amiri" w:cs="Amiri"/>
          <w:color w:val="111111"/>
          <w:sz w:val="28"/>
          <w:sz w:val="28"/>
          <w:szCs w:val="28"/>
          <w:rtl w:val="true"/>
          <w:lang w:bidi="ar-SA"/>
        </w:rPr>
        <w:t>لا يتَّفِقُ لهم إلّا اختيارُ المعصومِ ، فيَحسُنُ تكليفُهم الاختيارَ مع العِلمِ بما ذَكَرناه مِن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ذَكَرتموه بمُخرِجٍ هذا التكليفَ مِن اللُّحوقِ بتكليفِ ما لا يُطاقُ‌، و لا دليلَ عَلَيه</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مُعتبَرَ بالعِلمِ في هذا البابِ‌؛ لأنّ عِلمَ اللّٰهِ تَعالىٰ مِن حالِ المكلَّفِ أنّه يتَّفِقُ له اختيارُ المعصومِ‌، لَيسَ بدَلالةٍ </w:t>
      </w:r>
      <w:r>
        <w:rPr>
          <w:rStyle w:val="FootnoteAnchor"/>
          <w:rtl w:val="true"/>
        </w:rPr>
        <w:footnoteReference w:id="1806"/>
      </w:r>
      <w:r>
        <w:rPr>
          <w:rFonts w:ascii="Amiri" w:hAnsi="Amiri" w:eastAsia="Amiri" w:cs="Amiri"/>
          <w:color w:val="111111"/>
          <w:sz w:val="28"/>
          <w:sz w:val="28"/>
          <w:szCs w:val="28"/>
          <w:rtl w:val="true"/>
          <w:lang w:bidi="ar-SA"/>
        </w:rPr>
        <w:t xml:space="preserve">علىٰ عَينِ الإمامِ </w:t>
      </w:r>
      <w:r>
        <w:rPr>
          <w:rStyle w:val="FootnoteAnchor"/>
          <w:rtl w:val="true"/>
        </w:rPr>
        <w:footnoteReference w:id="1807"/>
      </w:r>
      <w:r>
        <w:rPr>
          <w:rFonts w:ascii="Amiri" w:hAnsi="Amiri" w:eastAsia="Amiri" w:cs="Amiri"/>
          <w:color w:val="111111"/>
          <w:sz w:val="28"/>
          <w:sz w:val="28"/>
          <w:szCs w:val="28"/>
          <w:rtl w:val="true"/>
          <w:lang w:bidi="ar-SA"/>
        </w:rPr>
        <w:t>المعصومِ ؛ فقَد آلَ الأمرُ إلىٰ أنّه تكليفٌ لِما لا دليلَ عَلَيه، و قُبحُ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عُورِضَ مَن أجازَ ما تَضمَّنَه هذا السؤالُ ، و أُلزِمَ إجازةَ تكليفِ اختيارِ</w:t>
      </w:r>
      <w:r>
        <w:rPr>
          <w:rStyle w:val="FootnoteAnchor"/>
          <w:rtl w:val="true"/>
        </w:rPr>
        <w:footnoteReference w:id="180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يكون إلّامعصوماً، و ليست العصمة في ظاهر الخلقة فيُعرف بها، و لذلك لا يكون إلّامنصوصاً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الشرائعِ و الأنبياءِ‌، و الإخبارِ عمّا كانَ و يَكونُ مِن الغائباتِ‌، إذا عُلِمَ أنّ مَن كُلِّفَ ذلكَ يَتَّفقُ له في الشرائعِ ما فيه</w:t>
      </w:r>
      <w:r>
        <w:rPr>
          <w:rStyle w:val="FootnoteAnchor"/>
          <w:rtl w:val="true"/>
        </w:rPr>
        <w:footnoteReference w:id="1809"/>
      </w:r>
      <w:r>
        <w:rPr>
          <w:rFonts w:ascii="Amiri" w:hAnsi="Amiri" w:eastAsia="Amiri" w:cs="Amiri"/>
          <w:color w:val="111111"/>
          <w:sz w:val="28"/>
          <w:sz w:val="28"/>
          <w:szCs w:val="28"/>
          <w:rtl w:val="true"/>
          <w:lang w:bidi="ar-SA"/>
        </w:rPr>
        <w:t>المصلحةُ‌، و في الأنبياءِ مَن يَجِبُ بَعثُه</w:t>
      </w:r>
      <w:r>
        <w:rPr>
          <w:rStyle w:val="FootnoteAnchor"/>
          <w:rtl w:val="true"/>
        </w:rPr>
        <w:footnoteReference w:id="1810"/>
      </w:r>
      <w:r>
        <w:rPr>
          <w:rFonts w:ascii="Amiri" w:hAnsi="Amiri" w:eastAsia="Amiri" w:cs="Amiri"/>
          <w:color w:val="111111"/>
          <w:sz w:val="28"/>
          <w:sz w:val="28"/>
          <w:szCs w:val="28"/>
          <w:rtl w:val="true"/>
          <w:lang w:bidi="ar-SA"/>
        </w:rPr>
        <w:t>، و في الأخبارِ الصِّدقُ مِنها دونَ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مَن أجازَ اختيارَ المعصومِ و بَينَ مَن أجازَ كُلَّ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الناسِ مَن ارتَكبَ جوازَ اختيارِ الشرائعِ و الأنبياءِ ، و قد حُكيَ ذلكَ عن مُوَيسَ بنِ عِمرانَ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الإخبارُ عمّا لا يَتعلَّقُ بالأحكامِ مِن الأُمورِ الكائناتِ ، فإنّه لَم يَرتَكِبْ حُسنَ تكليفِها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ما ارْتَكَبَه ممّا حَكَيناه و بَينَ ما لَم يَرتَكِبْه</w:t>
      </w:r>
      <w:r>
        <w:rPr>
          <w:rStyle w:val="FootnoteAnchor"/>
          <w:rtl w:val="true"/>
        </w:rPr>
        <w:footnoteReference w:id="1812"/>
      </w:r>
      <w:r>
        <w:rPr>
          <w:rFonts w:ascii="Amiri" w:hAnsi="Amiri" w:eastAsia="Amiri" w:cs="Amiri"/>
          <w:color w:val="111111"/>
          <w:sz w:val="28"/>
          <w:sz w:val="28"/>
          <w:szCs w:val="28"/>
          <w:rtl w:val="true"/>
          <w:lang w:bidi="ar-SA"/>
        </w:rPr>
        <w:t xml:space="preserve">لأنّ الجَميعَ يَرجِعُ إلىٰ أصلٍ واحدٍ، و هو أنّه تكليفٌ لِما لا دليلَ عَلَيه و لا سَبيلَ إليه، و ذلكَ يَجري مَجرىٰ تكليفِ ما لا يُطاقُ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تكليفِ أحدِنا غَيرَه</w:t>
      </w:r>
      <w:r>
        <w:rPr>
          <w:rStyle w:val="FootnoteAnchor"/>
          <w:rtl w:val="true"/>
        </w:rPr>
        <w:footnoteReference w:id="1813"/>
      </w:r>
      <w:r>
        <w:rPr>
          <w:rFonts w:ascii="Amiri" w:hAnsi="Amiri" w:eastAsia="Amiri" w:cs="Amiri"/>
          <w:color w:val="111111"/>
          <w:sz w:val="28"/>
          <w:sz w:val="28"/>
          <w:szCs w:val="28"/>
          <w:rtl w:val="true"/>
          <w:lang w:bidi="ar-SA"/>
        </w:rPr>
        <w:t xml:space="preserve">الإخبارَ عمّا </w:t>
      </w:r>
      <w:bookmarkStart w:id="306" w:name="pg20015_284935"/>
    </w:p>
    <w:p>
      <w:pPr>
        <w:pStyle w:val="BookText"/>
        <w:rPr/>
      </w:pPr>
      <w:bookmarkEnd w:id="306"/>
      <w:r>
        <w:rPr>
          <w:rFonts w:ascii="Amiri" w:hAnsi="Amiri" w:eastAsia="Amiri" w:cs="Amiri"/>
          <w:color w:val="111111"/>
          <w:sz w:val="28"/>
          <w:sz w:val="28"/>
          <w:szCs w:val="28"/>
          <w:rtl w:val="true"/>
          <w:lang w:bidi="ar-SA"/>
        </w:rPr>
        <w:t>يَفعَلُه المكلِّفُ مُستَسِرّاً به،</w:t>
      </w:r>
      <w:r>
        <w:rPr>
          <w:rStyle w:val="FootnoteAnchor"/>
          <w:rtl w:val="true"/>
        </w:rPr>
        <w:footnoteReference w:id="1814"/>
      </w:r>
      <w:r>
        <w:rPr>
          <w:rFonts w:ascii="Amiri" w:hAnsi="Amiri" w:eastAsia="Amiri" w:cs="Amiri"/>
          <w:color w:val="111111"/>
          <w:sz w:val="28"/>
          <w:sz w:val="28"/>
          <w:szCs w:val="28"/>
          <w:rtl w:val="true"/>
          <w:lang w:bidi="ar-SA"/>
        </w:rPr>
        <w:t xml:space="preserve">و عن مَبلَغِ أموالِه التي لا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كلَّفه الإخبارَ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بمَبلَغِها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يُخرِجُ هذا التكليفَ مِن القُبحِ غلبةُ ظنِّ المكلِّفِ بأنّ المكلَّفَ يُصيبُ اتّفاقاً أو عِلمُه بذلكَ‌؛ فقد يَجوزُ أن يَعلَمَه مِن جهةِ نبيٍّ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قَبُحَ هذا التكليفُ ، و ظهَرَ</w:t>
      </w:r>
      <w:r>
        <w:rPr>
          <w:rStyle w:val="FootnoteAnchor"/>
          <w:rtl w:val="true"/>
        </w:rPr>
        <w:footnoteReference w:id="1815"/>
      </w:r>
      <w:r>
        <w:rPr>
          <w:rFonts w:ascii="Amiri" w:hAnsi="Amiri" w:eastAsia="Amiri" w:cs="Amiri"/>
          <w:color w:val="111111"/>
          <w:sz w:val="28"/>
          <w:sz w:val="28"/>
          <w:szCs w:val="28"/>
          <w:rtl w:val="true"/>
          <w:lang w:bidi="ar-SA"/>
        </w:rPr>
        <w:t xml:space="preserve">سَفَهُ مكلِّفِه لكُلِّ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العِلّةُ في قُبحِه إلّافَقدَ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قُبحُ كُلِّ نَظيرٍ له مِن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آكَدُ ما اعتُمِدَ عَلَيه في وجوبِ النَّصِّ مِن طريقِ العقلِ ، بل هو الذي يَجِبُ أن يَكونَ التعويلُ عَلَيه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894937_2320776876"/>
      <w:bookmarkStart w:id="308" w:name="_Toc110"/>
      <w:bookmarkEnd w:id="307"/>
      <w:r>
        <w:rPr>
          <w:rtl w:val="true"/>
        </w:rPr>
        <w:t>الدليل الثاني</w:t>
      </w:r>
      <w:bookmarkEnd w:id="308"/>
    </w:p>
    <w:p>
      <w:pPr>
        <w:pStyle w:val="BookText"/>
        <w:rPr/>
      </w:pPr>
      <w:r>
        <w:rPr>
          <w:rFonts w:ascii="Amiri" w:hAnsi="Amiri" w:eastAsia="Amiri" w:cs="Amiri"/>
          <w:color w:val="111111"/>
          <w:sz w:val="28"/>
          <w:sz w:val="28"/>
          <w:szCs w:val="28"/>
          <w:rtl w:val="true"/>
          <w:lang w:bidi="ar-SA"/>
        </w:rPr>
        <w:t>و يَتلوه في القوّةِ ما استَدَلَّ به</w:t>
      </w:r>
      <w:r>
        <w:rPr>
          <w:rStyle w:val="FootnoteAnchor"/>
          <w:rtl w:val="true"/>
        </w:rPr>
        <w:footnoteReference w:id="1816"/>
      </w:r>
      <w:r>
        <w:rPr>
          <w:rFonts w:ascii="Amiri" w:hAnsi="Amiri" w:eastAsia="Amiri" w:cs="Amiri"/>
          <w:color w:val="111111"/>
          <w:sz w:val="28"/>
          <w:sz w:val="28"/>
          <w:szCs w:val="28"/>
          <w:rtl w:val="true"/>
          <w:lang w:bidi="ar-SA"/>
        </w:rPr>
        <w:t>كثيرٌ مِن أصحابِنا أيضاً علىٰ وجوبِ النَّصِّ‌،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لا بُدَّ أن يَكونَ أفضَلَ الخَلقِ عند اللّٰهِ تَعالىٰ‌، و أعلاهُم مَنزلةً في الثوابِ في زَمانِه</w:t>
      </w:r>
      <w:r>
        <w:rPr>
          <w:rStyle w:val="FootnoteAnchor"/>
          <w:rtl w:val="true"/>
        </w:rPr>
        <w:footnoteReference w:id="1817"/>
      </w:r>
      <w:r>
        <w:rPr>
          <w:rFonts w:ascii="Amiri" w:hAnsi="Amiri" w:eastAsia="Amiri" w:cs="Amiri"/>
          <w:color w:val="111111"/>
          <w:sz w:val="28"/>
          <w:sz w:val="28"/>
          <w:szCs w:val="28"/>
          <w:rtl w:val="true"/>
          <w:lang w:bidi="ar-SA"/>
        </w:rPr>
        <w:t>و عند ثُبوتِ إمامتِه؛ لأنّه إذا كانَ إماماً للكُلِّ فلا بُدَّ أن يَكونَ أفضَلَ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w:t>
      </w:r>
      <w:r>
        <w:rPr>
          <w:rStyle w:val="FootnoteAnchor"/>
          <w:rtl w:val="true"/>
        </w:rPr>
        <w:footnoteReference w:id="1818"/>
      </w:r>
      <w:r>
        <w:rPr>
          <w:rFonts w:ascii="Amiri" w:hAnsi="Amiri" w:eastAsia="Amiri" w:cs="Amiri"/>
          <w:color w:val="111111"/>
          <w:sz w:val="28"/>
          <w:sz w:val="28"/>
          <w:szCs w:val="28"/>
          <w:rtl w:val="true"/>
          <w:lang w:bidi="ar-SA"/>
        </w:rPr>
        <w:t>الدَّلالةُ علىٰ هذا المَوضعِ فيما يأتي مِن الكتابِ‌</w:t>
      </w:r>
      <w:r>
        <w:rPr>
          <w:rFonts w:eastAsia="Amiri" w:cs="Amiri" w:ascii="Amiri" w:hAnsi="Amiri"/>
          <w:color w:val="111111"/>
          <w:sz w:val="28"/>
          <w:szCs w:val="28"/>
          <w:rtl w:val="true"/>
          <w:lang w:bidi="ar-SA"/>
        </w:rPr>
        <w:t>.</w:t>
      </w:r>
      <w:r>
        <w:rPr>
          <w:rStyle w:val="FootnoteAnchor"/>
          <w:rtl w:val="true"/>
        </w:rPr>
        <w:footnoteReference w:id="181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كَونُه أفضَلَ ، و لَم يُمكِنِ التوَصُّلُ إليه بالأدلّةِ و لا بالمُشاهَدةِ ، وَجَبَ النَّصُّ أو المُعجِزُ، علَى الحَدِّ الذي رَتَّبناه</w:t>
      </w:r>
      <w:r>
        <w:rPr>
          <w:rStyle w:val="FootnoteAnchor"/>
          <w:rtl w:val="true"/>
        </w:rPr>
        <w:footnoteReference w:id="1820"/>
      </w:r>
      <w:r>
        <w:rPr>
          <w:rFonts w:ascii="Amiri" w:hAnsi="Amiri" w:eastAsia="Amiri" w:cs="Amiri"/>
          <w:color w:val="111111"/>
          <w:sz w:val="28"/>
          <w:sz w:val="28"/>
          <w:szCs w:val="28"/>
          <w:rtl w:val="true"/>
          <w:lang w:bidi="ar-SA"/>
        </w:rPr>
        <w:t xml:space="preserve">عندَ التعلُّقِ بالعصمةِ </w:t>
      </w:r>
      <w:r>
        <w:rPr>
          <w:rFonts w:eastAsia="Amiri" w:cs="Amiri" w:ascii="Amiri" w:hAnsi="Amiri"/>
          <w:color w:val="111111"/>
          <w:sz w:val="28"/>
          <w:szCs w:val="28"/>
          <w:rtl w:val="true"/>
          <w:lang w:bidi="ar-SA"/>
        </w:rPr>
        <w:t>.</w:t>
      </w:r>
      <w:r>
        <w:rPr>
          <w:rStyle w:val="FootnoteAnchor"/>
          <w:rtl w:val="true"/>
        </w:rPr>
        <w:footnoteReference w:id="1821"/>
      </w:r>
      <w:bookmarkStart w:id="309" w:name="pg20015_284936"/>
    </w:p>
    <w:p>
      <w:pPr>
        <w:pStyle w:val="BookText"/>
        <w:rPr/>
      </w:pPr>
      <w:bookmarkEnd w:id="309"/>
      <w:r>
        <w:rPr>
          <w:rFonts w:ascii="Amiri" w:hAnsi="Amiri" w:eastAsia="Amiri" w:cs="Amiri"/>
          <w:color w:val="111111"/>
          <w:sz w:val="28"/>
          <w:sz w:val="28"/>
          <w:szCs w:val="28"/>
          <w:rtl w:val="true"/>
          <w:lang w:bidi="ar-SA"/>
        </w:rPr>
        <w:t>و إذا سُئلَ علىٰ هذا الدليلِ عمّا ذَكرناه في دليلِ العصمةِ ، فالجوابُ عنه</w:t>
      </w:r>
      <w:r>
        <w:rPr>
          <w:rStyle w:val="FootnoteAnchor"/>
          <w:rtl w:val="true"/>
        </w:rPr>
        <w:footnoteReference w:id="1822"/>
      </w:r>
      <w:r>
        <w:rPr>
          <w:rFonts w:ascii="Amiri" w:hAnsi="Amiri" w:eastAsia="Amiri" w:cs="Amiri"/>
          <w:color w:val="111111"/>
          <w:sz w:val="28"/>
          <w:sz w:val="28"/>
          <w:szCs w:val="28"/>
          <w:rtl w:val="true"/>
          <w:lang w:bidi="ar-SA"/>
        </w:rPr>
        <w:t>ما ذَكرناه هُناكَ ؛ لأنّ مَرجِعَ الطريقَينِ إلىٰ أصلٍ واحدٍ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894939_2320776876"/>
      <w:bookmarkStart w:id="311" w:name="_Toc111"/>
      <w:bookmarkEnd w:id="310"/>
      <w:r>
        <w:rPr>
          <w:rtl w:val="true"/>
        </w:rPr>
        <w:t>الدليل الثالث</w:t>
      </w:r>
      <w:bookmarkEnd w:id="311"/>
    </w:p>
    <w:p>
      <w:pPr>
        <w:pStyle w:val="BookText"/>
        <w:rPr/>
      </w:pPr>
      <w:r>
        <w:rPr>
          <w:rFonts w:ascii="Amiri" w:hAnsi="Amiri" w:eastAsia="Amiri" w:cs="Amiri"/>
          <w:color w:val="111111"/>
          <w:sz w:val="28"/>
          <w:sz w:val="28"/>
          <w:szCs w:val="28"/>
          <w:rtl w:val="true"/>
          <w:lang w:bidi="ar-SA"/>
        </w:rPr>
        <w:t>و قد استُدِلَّ علىٰ وجوبِ النَّصِّ علَى الإمامِ‌، بكَونِه عالِماً بجَميعِ الأحكامِ حتّىٰ لا يَفوتَه شيءٌ مِنها، و أنّ كَونَه عالِماً بها لا يُمكِنُ الوصولُ إليه إلّابالنَّصِّ‌، و لَو</w:t>
      </w:r>
    </w:p>
    <w:p>
      <w:pPr>
        <w:pStyle w:val="BookText"/>
        <w:rPr/>
      </w:pPr>
      <w:r>
        <w:rPr>
          <w:rFonts w:ascii="Amiri" w:hAnsi="Amiri" w:eastAsia="Amiri" w:cs="Amiri"/>
          <w:color w:val="111111"/>
          <w:sz w:val="28"/>
          <w:sz w:val="28"/>
          <w:szCs w:val="28"/>
          <w:rtl w:val="true"/>
          <w:lang w:bidi="ar-SA"/>
        </w:rPr>
        <w:t>أمكَنَ الوصولُ إليه بالامتحانِ لَم يَجُز أن يَكونَ الممتَحِنُ له إلّامَن هو عالِمٌ بجميعِ الأحكامِ‌، و قد عَلِمنا أنّ مَن يُمكِنُه اختيارُ الإمامِ و امتحانُه مِن جَماعاتِ‌</w:t>
      </w:r>
      <w:r>
        <w:rPr>
          <w:rStyle w:val="FootnoteAnchor"/>
          <w:rtl w:val="true"/>
        </w:rPr>
        <w:footnoteReference w:id="1823"/>
      </w:r>
      <w:r>
        <w:rPr>
          <w:rFonts w:ascii="Amiri" w:hAnsi="Amiri" w:eastAsia="Amiri" w:cs="Amiri"/>
          <w:color w:val="111111"/>
          <w:sz w:val="28"/>
          <w:sz w:val="28"/>
          <w:szCs w:val="28"/>
          <w:rtl w:val="true"/>
          <w:lang w:bidi="ar-SA"/>
        </w:rPr>
        <w:t>الأُمّةِ لا يَعلَمُ ذلكَ و لا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الكلامُ في هذه الطريقةِ تَرتيبَه في الطريقَينِ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الدليلُ لَيسَ يُرجَعُ فيه إلىٰ مُجرَّدِ العقلِ‌، بَل لا بُدَّ فيه مِن ثُبوتِ أمرٍ لا يَثبُتُ إلّابالسمعِ‌؛ لأنّ التعبُّدَ بالأحكامِ الشرعيّةِ في الأصلِ كانَ يَجوزُ في العقلِ سُقوطُه و ارتفاعُه عن المكلَّفينَ‌، و لا شيءَ مِن هذه الأحكامِ إلّاو العقلُ يجوِّزُ أن لا يَرِدَ التعبُّدُ به بأن لا يَكونَ فيه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العقلُ غيرَ موجِبٍ لثُبوتِ هذه الأحكامِ في حالٍ </w:t>
      </w:r>
      <w:r>
        <w:rPr>
          <w:rStyle w:val="FootnoteAnchor"/>
          <w:rtl w:val="true"/>
        </w:rPr>
        <w:footnoteReference w:id="1824"/>
      </w:r>
      <w:r>
        <w:rPr>
          <w:rFonts w:ascii="Amiri" w:hAnsi="Amiri" w:eastAsia="Amiri" w:cs="Amiri"/>
          <w:color w:val="111111"/>
          <w:sz w:val="28"/>
          <w:sz w:val="28"/>
          <w:szCs w:val="28"/>
          <w:rtl w:val="true"/>
          <w:lang w:bidi="ar-SA"/>
        </w:rPr>
        <w:t>، فكيفَ يَجِبُ فيه كَونُ الإمامِ عالِماً بها في كُلِّ حالٍ ، و يُجعَلُ عِلمُه بذلكَ مِن شُروطِ</w:t>
      </w:r>
      <w:r>
        <w:rPr>
          <w:rStyle w:val="FootnoteAnchor"/>
          <w:rtl w:val="true"/>
        </w:rPr>
        <w:footnoteReference w:id="1825"/>
      </w:r>
      <w:r>
        <w:rPr>
          <w:rFonts w:ascii="Amiri" w:hAnsi="Amiri" w:eastAsia="Amiri" w:cs="Amiri"/>
          <w:color w:val="111111"/>
          <w:sz w:val="28"/>
          <w:sz w:val="28"/>
          <w:szCs w:val="28"/>
          <w:rtl w:val="true"/>
          <w:lang w:bidi="ar-SA"/>
        </w:rPr>
        <w:t>إمامتِه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يَقتَضيه مجرَّدُ العقلِ أنّ الإمامَ لا بُدَّ أن يَكونَ مضطَلِعاً</w:t>
      </w:r>
      <w:r>
        <w:rPr>
          <w:rStyle w:val="FootnoteAnchor"/>
          <w:rtl w:val="true"/>
        </w:rPr>
        <w:footnoteReference w:id="1826"/>
      </w:r>
      <w:r>
        <w:rPr>
          <w:rFonts w:ascii="Amiri" w:hAnsi="Amiri" w:eastAsia="Amiri" w:cs="Amiri"/>
          <w:color w:val="111111"/>
          <w:sz w:val="28"/>
          <w:sz w:val="28"/>
          <w:szCs w:val="28"/>
          <w:rtl w:val="true"/>
          <w:lang w:bidi="ar-SA"/>
        </w:rPr>
        <w:t>بما أُسنِدَ إليه، عالِماً بما عُوِّلَ فيه عَلَيه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العِلمُ بالأحكامِ الشرعيّةِ الوارِدةِ مِن </w:t>
      </w:r>
    </w:p>
    <w:p>
      <w:pPr>
        <w:pStyle w:val="BookText"/>
        <w:rPr/>
      </w:pPr>
      <w:r>
        <w:rPr>
          <w:rFonts w:ascii="Amiri" w:hAnsi="Amiri" w:eastAsia="Amiri" w:cs="Amiri"/>
          <w:color w:val="111111"/>
          <w:sz w:val="28"/>
          <w:sz w:val="28"/>
          <w:szCs w:val="28"/>
          <w:rtl w:val="true"/>
          <w:lang w:bidi="ar-SA"/>
        </w:rPr>
        <w:t xml:space="preserve">طريقِ </w:t>
      </w:r>
      <w:r>
        <w:rPr>
          <w:rStyle w:val="FootnoteAnchor"/>
          <w:rtl w:val="true"/>
        </w:rPr>
        <w:footnoteReference w:id="1827"/>
      </w:r>
      <w:r>
        <w:rPr>
          <w:rFonts w:ascii="Amiri" w:hAnsi="Amiri" w:eastAsia="Amiri" w:cs="Amiri"/>
          <w:color w:val="111111"/>
          <w:sz w:val="28"/>
          <w:sz w:val="28"/>
          <w:szCs w:val="28"/>
          <w:rtl w:val="true"/>
          <w:lang w:bidi="ar-SA"/>
        </w:rPr>
        <w:t>السمعِ فلَيسَ في العقلِ ، إلّاأنّ السمعَ إذا وَرَدَ بها عَلِمنا بالقياسِ العقليِّ أنّ الإمامَ لا بُدَّ أن يَكونَ عالِماً بجميعِها، علىٰ ما سنَذكُرُه</w:t>
      </w:r>
      <w:r>
        <w:rPr>
          <w:rFonts w:eastAsia="Amiri" w:cs="Amiri" w:ascii="Amiri" w:hAnsi="Amiri"/>
          <w:color w:val="111111"/>
          <w:sz w:val="28"/>
          <w:szCs w:val="28"/>
          <w:rtl w:val="true"/>
          <w:lang w:bidi="ar-SA"/>
        </w:rPr>
        <w:t>.</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فأمّا قَولُه في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 xml:space="preserve">أنّه غَيرُ مُمتَنِعٍ أن يَعلَمَ </w:t>
      </w:r>
      <w:r>
        <w:rPr>
          <w:rStyle w:val="FootnoteAnchor"/>
          <w:rtl w:val="true"/>
        </w:rPr>
        <w:footnoteReference w:id="1830"/>
      </w:r>
      <w:r>
        <w:rPr>
          <w:rFonts w:ascii="Amiri" w:hAnsi="Amiri" w:eastAsia="Amiri" w:cs="Amiri"/>
          <w:color w:val="111111"/>
          <w:sz w:val="28"/>
          <w:sz w:val="28"/>
          <w:szCs w:val="28"/>
          <w:rtl w:val="true"/>
          <w:lang w:bidi="ar-SA"/>
        </w:rPr>
        <w:t xml:space="preserve">تَعالىٰ أنّ الصلاحَ أن لا يُقامَ الإمامُ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قَدَّمناه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يَجوزُ ذلكَ فجازَ</w:t>
      </w:r>
      <w:r>
        <w:rPr>
          <w:rStyle w:val="FootnoteAnchor"/>
          <w:rtl w:val="true"/>
        </w:rPr>
        <w:footnoteReference w:id="1831"/>
      </w:r>
      <w:r>
        <w:rPr>
          <w:rFonts w:ascii="Amiri" w:hAnsi="Amiri" w:eastAsia="Amiri" w:cs="Amiri"/>
          <w:color w:val="111111"/>
          <w:sz w:val="28"/>
          <w:sz w:val="28"/>
          <w:szCs w:val="28"/>
          <w:rtl w:val="true"/>
          <w:lang w:bidi="ar-SA"/>
        </w:rPr>
        <w:t xml:space="preserve">أن يَكونَ الصلاحُ إقامتَه بطريقةِ </w:t>
      </w:r>
      <w:r>
        <w:rPr>
          <w:rStyle w:val="FootnoteAnchor"/>
          <w:rtl w:val="true"/>
        </w:rPr>
        <w:footnoteReference w:id="1832"/>
      </w:r>
      <w:r>
        <w:rPr>
          <w:rFonts w:ascii="Amiri" w:hAnsi="Amiri" w:eastAsia="Amiri" w:cs="Amiri"/>
          <w:color w:val="111111"/>
          <w:sz w:val="28"/>
          <w:sz w:val="28"/>
          <w:szCs w:val="28"/>
          <w:rtl w:val="true"/>
          <w:lang w:bidi="ar-SA"/>
        </w:rPr>
        <w:t xml:space="preserve">الاجتهادِ إذا ثَبَتَ و بُيِّنَ </w:t>
      </w:r>
      <w:r>
        <w:rPr>
          <w:rStyle w:val="FootnoteAnchor"/>
          <w:rtl w:val="true"/>
        </w:rPr>
        <w:footnoteReference w:id="1833"/>
      </w:r>
      <w:r>
        <w:rPr>
          <w:rFonts w:ascii="Amiri" w:hAnsi="Amiri" w:eastAsia="Amiri" w:cs="Amiri"/>
          <w:color w:val="111111"/>
          <w:sz w:val="28"/>
          <w:sz w:val="28"/>
          <w:szCs w:val="28"/>
          <w:rtl w:val="true"/>
          <w:lang w:bidi="ar-SA"/>
        </w:rPr>
        <w:t xml:space="preserve">مَوضِعُه؛ بأن يَدُلَّ تَعالىٰ علَى الصفةِ التي إذا كانَ عَلَيها مَن يُقيمُه كانَ 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التَّوَصُّلُ عندَ ذلكَ إلىٰ إقامةِ الواجبِ فيه، كما يَصِحُّ أن يَكونَ في المعلومِ أنّ الصلاحَ أن يَنُصَّ تَعالىٰ علىٰ عَينِه</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فممّا قد تَقدَّمَ فَسادُه بما دَلَّلنا به علىٰ وجوبِ الإمامةِ‌، و علىٰ أنّ الصِّفةَ التي لا بُدَّ مِن كَونِ </w:t>
      </w:r>
      <w:r>
        <w:rPr>
          <w:rStyle w:val="FootnoteAnchor"/>
          <w:rtl w:val="true"/>
        </w:rPr>
        <w:footnoteReference w:id="1835"/>
      </w:r>
      <w:r>
        <w:rPr>
          <w:rFonts w:ascii="Amiri" w:hAnsi="Amiri" w:eastAsia="Amiri" w:cs="Amiri"/>
          <w:color w:val="111111"/>
          <w:sz w:val="28"/>
          <w:sz w:val="28"/>
          <w:szCs w:val="28"/>
          <w:rtl w:val="true"/>
          <w:lang w:bidi="ar-SA"/>
        </w:rPr>
        <w:t>الإمامِ عَلَيها لا يُمكِنُ أن يُستَفادَ مِن جهةِ الاجتهادِ،</w:t>
      </w:r>
      <w:r>
        <w:rPr>
          <w:rStyle w:val="FootnoteAnchor"/>
          <w:rtl w:val="true"/>
        </w:rPr>
        <w:footnoteReference w:id="1836"/>
      </w:r>
      <w:r>
        <w:rPr>
          <w:rFonts w:ascii="Amiri" w:hAnsi="Amiri" w:eastAsia="Amiri" w:cs="Amiri"/>
          <w:color w:val="111111"/>
          <w:sz w:val="28"/>
          <w:sz w:val="28"/>
          <w:szCs w:val="28"/>
          <w:rtl w:val="true"/>
          <w:lang w:bidi="ar-SA"/>
        </w:rPr>
        <w:t>و أنّها ممّا لا يَقومُ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مِثلِه دَلالةٌ ؛ فيُعلَمَ مِن طريقِ النظَرِ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يَثبُتْ مِن ذلكَ إلّاكَونُه معصوماً، لَكَفىٰ في وجوبِ النَّصِّ عَلَيه و فَسادِ اختيارِه</w:t>
      </w:r>
      <w:r>
        <w:rPr>
          <w:rFonts w:eastAsia="Amiri" w:cs="Amiri" w:ascii="Amiri" w:hAnsi="Amiri"/>
          <w:color w:val="111111"/>
          <w:sz w:val="28"/>
          <w:szCs w:val="28"/>
          <w:rtl w:val="true"/>
          <w:lang w:bidi="ar-SA"/>
        </w:rPr>
        <w:t xml:space="preserve">. </w:t>
      </w:r>
      <w:bookmarkStart w:id="312" w:name="pg20015_284938"/>
    </w:p>
    <w:p>
      <w:pPr>
        <w:pStyle w:val="Heading4"/>
        <w:numPr>
          <w:ilvl w:val="3"/>
          <w:numId w:val="1"/>
        </w:numPr>
        <w:rPr/>
      </w:pPr>
      <w:bookmarkStart w:id="313" w:name="__RefHeading___Toc894941_2320776876"/>
      <w:bookmarkStart w:id="314" w:name="_Toc112"/>
      <w:bookmarkEnd w:id="312"/>
      <w:bookmarkEnd w:id="313"/>
      <w:r>
        <w:rPr>
          <w:rtl w:val="true"/>
        </w:rPr>
        <w:t xml:space="preserve">بيان الفرق بين الإمام و الأُمراء و غيرهم المستلزم لوجوب النصّ </w:t>
      </w:r>
      <w:r>
        <w:rPr>
          <w:rtl w:val="true"/>
        </w:rPr>
        <w:t>:</w:t>
      </w:r>
      <w:bookmarkEnd w:id="314"/>
    </w:p>
    <w:p>
      <w:pPr>
        <w:pStyle w:val="BookText"/>
        <w:rPr/>
      </w:pPr>
      <w:r>
        <w:rPr>
          <w:rFonts w:ascii="Amiri" w:hAnsi="Amiri" w:eastAsia="Amiri" w:cs="Amiri"/>
          <w:color w:val="111111"/>
          <w:sz w:val="28"/>
          <w:sz w:val="28"/>
          <w:szCs w:val="28"/>
          <w:rtl w:val="true"/>
          <w:lang w:bidi="ar-SA"/>
        </w:rPr>
        <w:t xml:space="preserve">فأمّا مُعارَضتُه لنا بالأُمَراءِ و العُمّالِ و الحُكّامِ‌، ثُمّ بالشُّهودِ و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إلزامُه التسويةَ بَينَهم و بَينَ الأئمّةِ في وجوبِ النَّصِّ‌</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لازمةٍ‌؛ لأنّ جميعَ مَن ذُكِرَ مِن هؤلاءِ لَيسَ يَجِبُ اختصاصُه بصِفةٍ لا سَبيلَ إلَى الوصولِ إليها بالامتحانِ علىٰ حَدِّ ما قُلناه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فَرَّقنا بَينَ الإمامِ و أُمَرائِه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المُتَوَلّينَ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العصمةِ‌</w:t>
      </w:r>
      <w:r>
        <w:rPr>
          <w:rStyle w:val="FootnoteAnchor"/>
          <w:rtl w:val="true"/>
        </w:rPr>
        <w:footnoteReference w:id="1838"/>
      </w:r>
      <w:r>
        <w:rPr>
          <w:rFonts w:ascii="Amiri" w:hAnsi="Amiri" w:eastAsia="Amiri" w:cs="Amiri"/>
          <w:color w:val="111111"/>
          <w:sz w:val="28"/>
          <w:sz w:val="28"/>
          <w:szCs w:val="28"/>
          <w:rtl w:val="true"/>
          <w:lang w:bidi="ar-SA"/>
        </w:rPr>
        <w:t>بما يَقتَضي الفَرقَ بَينَهم و بَينَه</w:t>
      </w:r>
      <w:r>
        <w:rPr>
          <w:rStyle w:val="FootnoteAnchor"/>
          <w:rtl w:val="true"/>
        </w:rPr>
        <w:footnoteReference w:id="1839"/>
      </w:r>
      <w:r>
        <w:rPr>
          <w:rFonts w:ascii="Amiri" w:hAnsi="Amiri" w:eastAsia="Amiri" w:cs="Amiri"/>
          <w:color w:val="111111"/>
          <w:sz w:val="28"/>
          <w:sz w:val="28"/>
          <w:szCs w:val="28"/>
          <w:rtl w:val="true"/>
          <w:lang w:bidi="ar-SA"/>
        </w:rPr>
        <w:t>في وجوبِ النَّصِّ أيضاً؛ لأنّه إذا</w:t>
      </w:r>
      <w:r>
        <w:rPr>
          <w:rStyle w:val="FootnoteAnchor"/>
          <w:rtl w:val="true"/>
        </w:rPr>
        <w:footnoteReference w:id="1840"/>
      </w:r>
      <w:r>
        <w:rPr>
          <w:rFonts w:ascii="Amiri" w:hAnsi="Amiri" w:eastAsia="Amiri" w:cs="Amiri"/>
          <w:color w:val="111111"/>
          <w:sz w:val="28"/>
          <w:sz w:val="28"/>
          <w:szCs w:val="28"/>
          <w:rtl w:val="true"/>
          <w:lang w:bidi="ar-SA"/>
        </w:rPr>
        <w:t>كانَ ما أوجَبَ النَّصَّ عَلَيه مِن الاختصاصِ بالعصمةِ غَيرَ موجودٍ فيهم، لَم يَجِبْ مساواتُهم له في وجوبِ النَّصَّ عَلَيهم، و جازَ أن يُرجَعَ في وِلايتِهم إلَى الاختيارِ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الشُّهودِ</w:t>
      </w:r>
      <w:r>
        <w:rPr>
          <w:rStyle w:val="FootnoteAnchor"/>
          <w:rtl w:val="true"/>
        </w:rPr>
        <w:footnoteReference w:id="1841"/>
      </w:r>
      <w:r>
        <w:rPr>
          <w:rFonts w:ascii="Amiri" w:hAnsi="Amiri" w:eastAsia="Amiri" w:cs="Amiri"/>
          <w:color w:val="111111"/>
          <w:sz w:val="28"/>
          <w:sz w:val="28"/>
          <w:szCs w:val="28"/>
          <w:rtl w:val="true"/>
          <w:lang w:bidi="ar-SA"/>
        </w:rPr>
        <w:t xml:space="preserve">و الأوصياءِ </w:t>
      </w:r>
      <w:r>
        <w:rPr>
          <w:rStyle w:val="FootnoteAnchor"/>
          <w:rtl w:val="true"/>
        </w:rPr>
        <w:footnoteReference w:id="1842"/>
      </w:r>
      <w:r>
        <w:rPr>
          <w:rFonts w:ascii="Amiri" w:hAnsi="Amiri" w:eastAsia="Amiri" w:cs="Amiri"/>
          <w:color w:val="111111"/>
          <w:sz w:val="28"/>
          <w:sz w:val="28"/>
          <w:szCs w:val="28"/>
          <w:rtl w:val="true"/>
          <w:lang w:bidi="ar-SA"/>
        </w:rPr>
        <w:t xml:space="preserve">كالقَولِ في الأُمَراءِ و الحُكّامِ في أنّه لا صِفةَ </w:t>
      </w:r>
      <w:bookmarkStart w:id="315" w:name="pg20015_284939"/>
    </w:p>
    <w:p>
      <w:pPr>
        <w:pStyle w:val="BookText"/>
        <w:rPr/>
      </w:pPr>
      <w:bookmarkEnd w:id="315"/>
      <w:r>
        <w:rPr>
          <w:rFonts w:ascii="Amiri" w:hAnsi="Amiri" w:eastAsia="Amiri" w:cs="Amiri"/>
          <w:color w:val="111111"/>
          <w:sz w:val="28"/>
          <w:sz w:val="28"/>
          <w:szCs w:val="28"/>
          <w:rtl w:val="true"/>
          <w:lang w:bidi="ar-SA"/>
        </w:rPr>
        <w:t>لهُم يَستَحيلُ أن تُعلَمَ بالامتحانِ ، بَل الذي</w:t>
      </w:r>
      <w:r>
        <w:rPr>
          <w:rStyle w:val="FootnoteAnchor"/>
          <w:rtl w:val="true"/>
        </w:rPr>
        <w:footnoteReference w:id="1843"/>
      </w:r>
      <w:r>
        <w:rPr>
          <w:rFonts w:ascii="Amiri" w:hAnsi="Amiri" w:eastAsia="Amiri" w:cs="Amiri"/>
          <w:color w:val="111111"/>
          <w:sz w:val="28"/>
          <w:sz w:val="28"/>
          <w:szCs w:val="28"/>
          <w:rtl w:val="true"/>
          <w:lang w:bidi="ar-SA"/>
        </w:rPr>
        <w:t xml:space="preserve">يُعتَبَرُ فيهم مِن حُسنِ الظاهرِ و العَدالةِ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الوصولُ إليه، و لا يَجري مَجرَى العصمةِ التي لا سَبيلَ إلَى العِلمِ بها بالامتحانِ و الاختبارِ</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94943_2320776876"/>
      <w:bookmarkStart w:id="317" w:name="_Toc113"/>
      <w:bookmarkEnd w:id="316"/>
      <w:r>
        <w:rPr>
          <w:rtl w:val="true"/>
        </w:rPr>
        <w:t>بيان التسوية بين النبيّ و الإمام في بطلان الاختيار</w:t>
      </w:r>
      <w:r>
        <w:rPr>
          <w:rtl w:val="true"/>
        </w:rPr>
        <w:t>:</w:t>
      </w:r>
      <w:bookmarkEnd w:id="317"/>
    </w:p>
    <w:p>
      <w:pPr>
        <w:pStyle w:val="BookText"/>
        <w:rPr/>
      </w:pPr>
      <w:r>
        <w:rPr>
          <w:rFonts w:ascii="Amiri" w:hAnsi="Amiri" w:eastAsia="Amiri" w:cs="Amiri"/>
          <w:color w:val="111111"/>
          <w:sz w:val="28"/>
          <w:sz w:val="28"/>
          <w:szCs w:val="28"/>
          <w:rtl w:val="true"/>
          <w:lang w:bidi="ar-SA"/>
        </w:rPr>
        <w:t>فأمّا إلزامُه نفسَه إقامةَ الأنبياءِ بالاجتهادِ و الاختيارِ قياساً علَى الأئمّةِ‌، و قولُه في الجوابِ‌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له يَجِبُ في الرسولِ أن يَكونَ معيَّناً هو كَونُه حُجّةً فيما حَمَلَ مِن الرسالةِ‌، فلا بُدَّ</w:t>
      </w:r>
      <w:r>
        <w:rPr>
          <w:rStyle w:val="FootnoteAnchor"/>
          <w:rtl w:val="true"/>
        </w:rPr>
        <w:footnoteReference w:id="1844"/>
      </w:r>
      <w:r>
        <w:rPr>
          <w:rFonts w:ascii="Amiri" w:hAnsi="Amiri" w:eastAsia="Amiri" w:cs="Amiri"/>
          <w:color w:val="111111"/>
          <w:sz w:val="28"/>
          <w:sz w:val="28"/>
          <w:szCs w:val="28"/>
          <w:rtl w:val="true"/>
          <w:lang w:bidi="ar-SA"/>
        </w:rPr>
        <w:t>مِن أن يَكونَ تَعالىٰ قد حَمَّلَه</w:t>
      </w:r>
      <w:r>
        <w:rPr>
          <w:rStyle w:val="FootnoteAnchor"/>
          <w:rtl w:val="true"/>
        </w:rPr>
        <w:footnoteReference w:id="1845"/>
      </w:r>
      <w:r>
        <w:rPr>
          <w:rFonts w:ascii="Amiri" w:hAnsi="Amiri" w:eastAsia="Amiri" w:cs="Amiri"/>
          <w:color w:val="111111"/>
          <w:sz w:val="28"/>
          <w:sz w:val="28"/>
          <w:szCs w:val="28"/>
          <w:rtl w:val="true"/>
          <w:lang w:bidi="ar-SA"/>
        </w:rPr>
        <w:t>الرسالةَ بعَينِه، ثُمّ لا بُدَّ مِن أن يَدَّعيَ و يُصدِّقَه اللّٰهُ تَعالىٰ بدَلالةِ الإعجازِ لتحصيلِ البُغيةِ‌</w:t>
      </w:r>
      <w:r>
        <w:rPr>
          <w:rStyle w:val="FootnoteAnchor"/>
          <w:rtl w:val="true"/>
        </w:rPr>
        <w:footnoteReference w:id="1846"/>
      </w:r>
      <w:r>
        <w:rPr>
          <w:rFonts w:ascii="Amiri" w:hAnsi="Amiri" w:eastAsia="Amiri" w:cs="Amiri"/>
          <w:color w:val="111111"/>
          <w:sz w:val="28"/>
          <w:sz w:val="28"/>
          <w:szCs w:val="28"/>
          <w:rtl w:val="true"/>
          <w:lang w:bidi="ar-SA"/>
        </w:rPr>
        <w:t>، و ذلكَ لا يأتي</w:t>
      </w:r>
      <w:r>
        <w:rPr>
          <w:rStyle w:val="FootnoteAnchor"/>
          <w:rtl w:val="true"/>
        </w:rPr>
        <w:footnoteReference w:id="1847"/>
      </w:r>
      <w:r>
        <w:rPr>
          <w:rFonts w:ascii="Amiri" w:hAnsi="Amiri" w:eastAsia="Amiri" w:cs="Amiri"/>
          <w:color w:val="111111"/>
          <w:sz w:val="28"/>
          <w:sz w:val="28"/>
          <w:szCs w:val="28"/>
          <w:rtl w:val="true"/>
          <w:lang w:bidi="ar-SA"/>
        </w:rPr>
        <w:t>في الإمامِ ؛ لأنّه لَيسَ بحُجّةٍ في شيءٍ يَتَحَمَّلُه،</w:t>
      </w:r>
      <w:r>
        <w:rPr>
          <w:rStyle w:val="FootnoteAnchor"/>
          <w:rtl w:val="true"/>
        </w:rPr>
        <w:footnoteReference w:id="1848"/>
      </w:r>
      <w:r>
        <w:rPr>
          <w:rFonts w:ascii="Amiri" w:hAnsi="Amiri" w:eastAsia="Amiri" w:cs="Amiri"/>
          <w:color w:val="111111"/>
          <w:sz w:val="28"/>
          <w:sz w:val="28"/>
          <w:szCs w:val="28"/>
          <w:rtl w:val="true"/>
          <w:lang w:bidi="ar-SA"/>
        </w:rPr>
        <w:t>و إنّما يَقومُ بالأُمورِ التي ذَكرناها ممّا قد وَجَبَت</w:t>
      </w:r>
      <w:r>
        <w:rPr>
          <w:rStyle w:val="FootnoteAnchor"/>
          <w:rtl w:val="true"/>
        </w:rPr>
        <w:footnoteReference w:id="1849"/>
      </w:r>
      <w:r>
        <w:rPr>
          <w:rFonts w:ascii="Amiri" w:hAnsi="Amiri" w:eastAsia="Amiri" w:cs="Amiri"/>
          <w:color w:val="111111"/>
          <w:sz w:val="28"/>
          <w:sz w:val="28"/>
          <w:szCs w:val="28"/>
          <w:rtl w:val="true"/>
          <w:lang w:bidi="ar-SA"/>
        </w:rPr>
        <w:t xml:space="preserve">بالشرعِ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يَمنَعُ مِن أن يَكونَ طريقُه الاختيارَ و الاجتهادَ، و أن يَحُلَّ مَحَلَّ الأُمَراءِ و العُمّالِ و ما يَجري مَجراهم ؟</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فلنا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أوجَبتَ الدَّلالةَ علىٰ عَينِ الرسولِ و أبطَلتَ اختيارَه لأجلِ كَونِه</w:t>
      </w:r>
      <w:r>
        <w:rPr>
          <w:rStyle w:val="FootnoteAnchor"/>
          <w:rtl w:val="true"/>
        </w:rPr>
        <w:footnoteReference w:id="1851"/>
      </w:r>
      <w:r>
        <w:rPr>
          <w:rFonts w:ascii="Amiri" w:hAnsi="Amiri" w:eastAsia="Amiri" w:cs="Amiri"/>
          <w:color w:val="111111"/>
          <w:sz w:val="28"/>
          <w:sz w:val="28"/>
          <w:szCs w:val="28"/>
          <w:rtl w:val="true"/>
          <w:lang w:bidi="ar-SA"/>
        </w:rPr>
        <w:t>حُجّةً و صادقاً فيما ادَّعاه لأنّ ذلكَ ممّا لا يُعلَمُ بطريقةِ الاختيارِ، فأَوجِبْ أيضاً في الإمامِ‌</w:t>
      </w:r>
      <w:r>
        <w:rPr>
          <w:rStyle w:val="FootnoteAnchor"/>
          <w:rtl w:val="true"/>
        </w:rPr>
        <w:footnoteReference w:id="1852"/>
      </w:r>
      <w:r>
        <w:rPr>
          <w:rFonts w:ascii="Amiri" w:hAnsi="Amiri" w:eastAsia="Amiri" w:cs="Amiri"/>
          <w:color w:val="111111"/>
          <w:sz w:val="28"/>
          <w:sz w:val="28"/>
          <w:szCs w:val="28"/>
          <w:rtl w:val="true"/>
          <w:lang w:bidi="ar-SA"/>
        </w:rPr>
        <w:t>مِثلَه؛ لأنّا</w:t>
      </w:r>
      <w:r>
        <w:rPr>
          <w:rStyle w:val="FootnoteAnchor"/>
          <w:rtl w:val="true"/>
        </w:rPr>
        <w:footnoteReference w:id="1853"/>
      </w:r>
      <w:r>
        <w:rPr>
          <w:rFonts w:ascii="Amiri" w:hAnsi="Amiri" w:eastAsia="Amiri" w:cs="Amiri"/>
          <w:color w:val="111111"/>
          <w:sz w:val="28"/>
          <w:sz w:val="28"/>
          <w:szCs w:val="28"/>
          <w:rtl w:val="true"/>
          <w:lang w:bidi="ar-SA"/>
        </w:rPr>
        <w:t>قد دَلَّلنا علىٰ وجوبِ عصمتِه</w:t>
      </w:r>
      <w:r>
        <w:rPr>
          <w:rStyle w:val="FootnoteAnchor"/>
          <w:rtl w:val="true"/>
        </w:rPr>
        <w:footnoteReference w:id="1854"/>
      </w:r>
      <w:r>
        <w:rPr>
          <w:rFonts w:ascii="Amiri" w:hAnsi="Amiri" w:eastAsia="Amiri" w:cs="Amiri"/>
          <w:color w:val="111111"/>
          <w:sz w:val="28"/>
          <w:sz w:val="28"/>
          <w:szCs w:val="28"/>
          <w:rtl w:val="true"/>
          <w:lang w:bidi="ar-SA"/>
        </w:rPr>
        <w:t>، و العصمةُ ممّا لا يُمكِنُ أن يُعلَمَ‌</w:t>
      </w:r>
      <w:r>
        <w:rPr>
          <w:rStyle w:val="FootnoteAnchor"/>
          <w:rtl w:val="true"/>
        </w:rPr>
        <w:footnoteReference w:id="1855"/>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1856"/>
      </w:r>
      <w:r>
        <w:rPr>
          <w:rFonts w:ascii="Amiri" w:hAnsi="Amiri" w:eastAsia="Amiri" w:cs="Amiri"/>
          <w:color w:val="111111"/>
          <w:sz w:val="28"/>
          <w:sz w:val="28"/>
          <w:szCs w:val="28"/>
          <w:rtl w:val="true"/>
          <w:lang w:bidi="ar-SA"/>
        </w:rPr>
        <w:t>تحصيلُ السؤالِ الذي ذَكرتَ و سَألتَ نَفسَكَ عنه</w:t>
      </w:r>
      <w:r>
        <w:rPr>
          <w:rStyle w:val="FootnoteAnchor"/>
          <w:rtl w:val="true"/>
        </w:rPr>
        <w:footnoteReference w:id="1857"/>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ثُبوتُ الإمامِ مع وجوبِ عصمتِه بغَيرِ نَصٍّ لَم يَمتنِعْ مِثلُه في النبيِّ‌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عَدَلنا عن معارَضتِه بكَونِ الإمامِ حُجّةً كما أنّ النبيَّ‌</w:t>
      </w:r>
      <w:r>
        <w:rPr>
          <w:rStyle w:val="FootnoteAnchor"/>
          <w:rtl w:val="true"/>
        </w:rPr>
        <w:footnoteReference w:id="1858"/>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الدَّلالةُ قد سَوَّت</w:t>
      </w:r>
      <w:r>
        <w:rPr>
          <w:rStyle w:val="FootnoteAnchor"/>
          <w:rtl w:val="true"/>
        </w:rPr>
        <w:footnoteReference w:id="1859"/>
      </w:r>
      <w:r>
        <w:rPr>
          <w:rFonts w:ascii="Amiri" w:hAnsi="Amiri" w:eastAsia="Amiri" w:cs="Amiri"/>
          <w:color w:val="111111"/>
          <w:sz w:val="28"/>
          <w:sz w:val="28"/>
          <w:szCs w:val="28"/>
          <w:rtl w:val="true"/>
          <w:lang w:bidi="ar-SA"/>
        </w:rPr>
        <w:t xml:space="preserve">بَينَهما في معنَى الحُجّةِ عندَنا، و قد تَقدَّمَ ذِكرُها فيما مضىٰ مِن الكتابِ‌؛ حَيثُ دَلَّلنا علىٰ أنّ الإمامَ حافِظٌ للشرعِ و مؤدٍّ له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دَلالةَ كَونِ الإمامِ حُجّةً علىٰ هذا الوَجهِ‌</w:t>
      </w:r>
      <w:r>
        <w:rPr>
          <w:rStyle w:val="FootnoteAnchor"/>
          <w:rtl w:val="true"/>
        </w:rPr>
        <w:footnoteReference w:id="1860"/>
      </w:r>
      <w:r>
        <w:rPr>
          <w:rFonts w:ascii="Amiri" w:hAnsi="Amiri" w:eastAsia="Amiri" w:cs="Amiri"/>
          <w:color w:val="111111"/>
          <w:sz w:val="28"/>
          <w:sz w:val="28"/>
          <w:szCs w:val="28"/>
          <w:rtl w:val="true"/>
          <w:lang w:bidi="ar-SA"/>
        </w:rPr>
        <w:t xml:space="preserve">يَرجِعُ </w:t>
      </w:r>
      <w:r>
        <w:rPr>
          <w:rStyle w:val="FootnoteAnchor"/>
          <w:rtl w:val="true"/>
        </w:rPr>
        <w:footnoteReference w:id="1861"/>
      </w:r>
      <w:r>
        <w:rPr>
          <w:rFonts w:ascii="Amiri" w:hAnsi="Amiri" w:eastAsia="Amiri" w:cs="Amiri"/>
          <w:color w:val="111111"/>
          <w:sz w:val="28"/>
          <w:sz w:val="28"/>
          <w:szCs w:val="28"/>
          <w:rtl w:val="true"/>
          <w:lang w:bidi="ar-SA"/>
        </w:rPr>
        <w:t xml:space="preserve">إلىٰ أمرٍ مُتعلِّقٍ بالسَّمعِ </w:t>
      </w:r>
      <w:r>
        <w:rPr>
          <w:rStyle w:val="FootnoteAnchor"/>
          <w:rtl w:val="true"/>
        </w:rPr>
        <w:footnoteReference w:id="1862"/>
      </w:r>
      <w:r>
        <w:rPr>
          <w:rFonts w:ascii="Amiri" w:hAnsi="Amiri" w:eastAsia="Amiri" w:cs="Amiri"/>
          <w:color w:val="111111"/>
          <w:sz w:val="28"/>
          <w:sz w:val="28"/>
          <w:szCs w:val="28"/>
          <w:rtl w:val="true"/>
          <w:lang w:bidi="ar-SA"/>
        </w:rPr>
        <w:t xml:space="preserve">، و كَلامُنا في هذا الفصلِ علىٰ ما يَقتَضيهِ مجرَّدُ العُقولِ ؛ فلا بُدَّ مِن العُدولِ عمّا لا يُعلَمُ ثُبوتُه إلّابالسَّمعِ </w:t>
      </w:r>
      <w:r>
        <w:rPr>
          <w:rFonts w:eastAsia="Amiri" w:cs="Amiri" w:ascii="Amiri" w:hAnsi="Amiri"/>
          <w:color w:val="111111"/>
          <w:sz w:val="28"/>
          <w:szCs w:val="28"/>
          <w:rtl w:val="true"/>
          <w:lang w:bidi="ar-SA"/>
        </w:rPr>
        <w:t xml:space="preserve">. </w:t>
      </w:r>
      <w:bookmarkStart w:id="318" w:name="pg20015_284941"/>
    </w:p>
    <w:p>
      <w:pPr>
        <w:pStyle w:val="Heading4"/>
        <w:numPr>
          <w:ilvl w:val="3"/>
          <w:numId w:val="1"/>
        </w:numPr>
        <w:rPr/>
      </w:pPr>
      <w:bookmarkStart w:id="319" w:name="__RefHeading___Toc894945_2320776876"/>
      <w:bookmarkStart w:id="320" w:name="_Toc114"/>
      <w:bookmarkEnd w:id="318"/>
      <w:bookmarkEnd w:id="319"/>
      <w:r>
        <w:rPr>
          <w:rtl w:val="true"/>
        </w:rPr>
        <w:t>نفي ورود السمع علىٰ صحّة الاختيار في باب الإمامة</w:t>
      </w:r>
      <w:bookmarkEnd w:id="320"/>
    </w:p>
    <w:p>
      <w:pPr>
        <w:pStyle w:val="BookText"/>
        <w:rPr/>
      </w:pPr>
      <w:r>
        <w:rPr>
          <w:rFonts w:ascii="Amiri" w:hAnsi="Amiri" w:eastAsia="Amiri" w:cs="Amiri"/>
          <w:color w:val="111111"/>
          <w:sz w:val="28"/>
          <w:sz w:val="28"/>
          <w:szCs w:val="28"/>
          <w:rtl w:val="true"/>
          <w:lang w:bidi="ar-SA"/>
        </w:rPr>
        <w:t xml:space="preserve">فأمّا قَولُه في آخِرِ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السَّمعَ قد وَرَدَ في بابِ الإمامةِ بما ذَكرناه علىٰ ما سنُبيِّنُه مِن بَعدُ، و ثُبوتُ السَّمعِ علىٰ هذا الوجهِ يَدُلُّ علىٰ أنّ العقلَ لا يَمنَعُ مِن ثُبوتِ ذلكَ بغَيرِ النَّصِّ </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فدَعوىً مِنه علَى السَّمعِ غَيرُ صَحيحةٍ‌، و لَيسَ يُمكِنُ أن يُدَّعىٰ سَمعٌ يَقومُ‌</w:t>
      </w:r>
      <w:r>
        <w:rPr>
          <w:rStyle w:val="FootnoteAnchor"/>
          <w:rtl w:val="true"/>
        </w:rPr>
        <w:footnoteReference w:id="1864"/>
      </w:r>
      <w:r>
        <w:rPr>
          <w:rFonts w:ascii="Amiri" w:hAnsi="Amiri" w:eastAsia="Amiri" w:cs="Amiri"/>
          <w:color w:val="111111"/>
          <w:sz w:val="28"/>
          <w:sz w:val="28"/>
          <w:szCs w:val="28"/>
          <w:rtl w:val="true"/>
          <w:lang w:bidi="ar-SA"/>
        </w:rPr>
        <w:t>بمِثلِه الحُجّةُ في بابِ الاختيارِ، و أكثرُ ما يُمكِنُ ادّعاؤه</w:t>
      </w:r>
      <w:r>
        <w:rPr>
          <w:rStyle w:val="FootnoteAnchor"/>
          <w:rtl w:val="true"/>
        </w:rPr>
        <w:footnoteReference w:id="1865"/>
      </w:r>
      <w:r>
        <w:rPr>
          <w:rFonts w:ascii="Amiri" w:hAnsi="Amiri" w:eastAsia="Amiri" w:cs="Amiri"/>
          <w:color w:val="111111"/>
          <w:sz w:val="28"/>
          <w:sz w:val="28"/>
          <w:szCs w:val="28"/>
          <w:rtl w:val="true"/>
          <w:lang w:bidi="ar-SA"/>
        </w:rPr>
        <w:t>في السَّمعِ ورودُه بأنّ اختياراً وَقَعَ لبعضِ مَن ادُّعيَت إمامتُه، و لَم يَثبُتْ أنّ المختارينَ كان لهم فِعلُ ما فَعَلوه، و لا أنّ الذي عَقَدوا له الإمامةَ يَثبُتُ‌</w:t>
      </w:r>
      <w:r>
        <w:rPr>
          <w:rStyle w:val="FootnoteAnchor"/>
          <w:rtl w:val="true"/>
        </w:rPr>
        <w:footnoteReference w:id="1866"/>
      </w:r>
      <w:r>
        <w:rPr>
          <w:rFonts w:ascii="Amiri" w:hAnsi="Amiri" w:eastAsia="Amiri" w:cs="Amiri"/>
          <w:color w:val="111111"/>
          <w:sz w:val="28"/>
          <w:sz w:val="28"/>
          <w:szCs w:val="28"/>
          <w:rtl w:val="true"/>
          <w:lang w:bidi="ar-SA"/>
        </w:rPr>
        <w:t>له إمامةٌ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نَمنَعْ مِن اختيارِ مَن يُدَّعىٰ‌</w:t>
      </w:r>
      <w:r>
        <w:rPr>
          <w:rStyle w:val="FootnoteAnchor"/>
          <w:rtl w:val="true"/>
        </w:rPr>
        <w:footnoteReference w:id="1867"/>
      </w:r>
      <w:r>
        <w:rPr>
          <w:rFonts w:ascii="Amiri" w:hAnsi="Amiri" w:eastAsia="Amiri" w:cs="Amiri"/>
          <w:color w:val="111111"/>
          <w:sz w:val="28"/>
          <w:sz w:val="28"/>
          <w:szCs w:val="28"/>
          <w:rtl w:val="true"/>
          <w:lang w:bidi="ar-SA"/>
        </w:rPr>
        <w:t xml:space="preserve">له الإمامةُ و لَيسَ بإمامٍ علَى الحقيقةِ ، و إنّما مَنَعنا مِن اختيارِ الإمامِ الذي تَثبُتُ إمامتُه و تَصِحُّ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سَنَتكلَّمُ علىٰ ما وَعَدَ</w:t>
      </w:r>
      <w:r>
        <w:rPr>
          <w:rStyle w:val="FootnoteAnchor"/>
          <w:rtl w:val="true"/>
        </w:rPr>
        <w:footnoteReference w:id="1869"/>
      </w:r>
      <w:r>
        <w:rPr>
          <w:rFonts w:ascii="Amiri" w:hAnsi="Amiri" w:eastAsia="Amiri" w:cs="Amiri"/>
          <w:color w:val="111111"/>
          <w:sz w:val="28"/>
          <w:sz w:val="28"/>
          <w:szCs w:val="28"/>
          <w:rtl w:val="true"/>
          <w:lang w:bidi="ar-SA"/>
        </w:rPr>
        <w:t xml:space="preserve">بإيرادِه مِن السَّمعِ عندَ البُلوغِ إليه، بعَونِ اللّٰهِ تَعالىٰ </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94947_2320776876"/>
      <w:bookmarkStart w:id="322" w:name="_Toc115"/>
      <w:bookmarkEnd w:id="321"/>
      <w:r>
        <w:rPr>
          <w:rtl w:val="true"/>
        </w:rPr>
        <w:t>مخالفة جماعة من أجلّة السلف في أصل الاختيار و عدم حصول رضاهم فيما بعد</w:t>
      </w:r>
      <w:bookmarkEnd w:id="32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ثَبَتَ أيضاً أنّ أحَداً مِن السَّلَفِ لَم يَذكُرْ في الإمامةِ أنّها لا تَكونُ إلّا </w:t>
      </w:r>
    </w:p>
    <w:p>
      <w:pPr>
        <w:pStyle w:val="BookText"/>
        <w:rPr/>
      </w:pPr>
      <w:r>
        <w:rPr>
          <w:rFonts w:ascii="Amiri" w:hAnsi="Amiri" w:eastAsia="Amiri" w:cs="Amiri"/>
          <w:color w:val="111111"/>
          <w:sz w:val="28"/>
          <w:sz w:val="28"/>
          <w:szCs w:val="28"/>
          <w:rtl w:val="true"/>
          <w:lang w:bidi="ar-SA"/>
        </w:rPr>
        <w:t xml:space="preserve">بالنَّصِّ‌، و قد جَرَت فيها الخُطوبُ </w:t>
      </w:r>
      <w:r>
        <w:rPr>
          <w:rStyle w:val="FootnoteAnchor"/>
          <w:rtl w:val="true"/>
        </w:rPr>
        <w:footnoteReference w:id="1870"/>
      </w:r>
      <w:r>
        <w:rPr>
          <w:rFonts w:ascii="Amiri" w:hAnsi="Amiri" w:eastAsia="Amiri" w:cs="Amiri"/>
          <w:color w:val="111111"/>
          <w:sz w:val="28"/>
          <w:sz w:val="28"/>
          <w:szCs w:val="28"/>
          <w:rtl w:val="true"/>
          <w:lang w:bidi="ar-SA"/>
        </w:rPr>
        <w:t xml:space="preserve">، و أنّ </w:t>
      </w:r>
      <w:r>
        <w:rPr>
          <w:rStyle w:val="FootnoteAnchor"/>
          <w:rtl w:val="true"/>
        </w:rPr>
        <w:footnoteReference w:id="1871"/>
      </w:r>
      <w:r>
        <w:rPr>
          <w:rFonts w:ascii="Amiri" w:hAnsi="Amiri" w:eastAsia="Amiri" w:cs="Amiri"/>
          <w:color w:val="111111"/>
          <w:sz w:val="28"/>
          <w:sz w:val="28"/>
          <w:szCs w:val="28"/>
          <w:rtl w:val="true"/>
          <w:lang w:bidi="ar-SA"/>
        </w:rPr>
        <w:t xml:space="preserve">العقلَ يَقتَضي ذلكَ فيها؛ ليُصرَفَ </w:t>
      </w:r>
      <w:r>
        <w:rPr>
          <w:rStyle w:val="FootnoteAnchor"/>
          <w:rtl w:val="true"/>
        </w:rPr>
        <w:footnoteReference w:id="1872"/>
      </w:r>
      <w:r>
        <w:rPr>
          <w:rFonts w:ascii="Amiri" w:hAnsi="Amiri" w:eastAsia="Amiri" w:cs="Amiri"/>
          <w:color w:val="111111"/>
          <w:sz w:val="28"/>
          <w:sz w:val="28"/>
          <w:szCs w:val="28"/>
          <w:rtl w:val="true"/>
          <w:lang w:bidi="ar-SA"/>
        </w:rPr>
        <w:t>بذلكَ عمّا كانوا عَلَيه علَى</w:t>
      </w:r>
      <w:r>
        <w:rPr>
          <w:rStyle w:val="FootnoteAnchor"/>
          <w:rtl w:val="true"/>
        </w:rPr>
        <w:footnoteReference w:id="1873"/>
      </w:r>
      <w:r>
        <w:rPr>
          <w:rFonts w:ascii="Amiri" w:hAnsi="Amiri" w:eastAsia="Amiri" w:cs="Amiri"/>
          <w:color w:val="111111"/>
          <w:sz w:val="28"/>
          <w:sz w:val="28"/>
          <w:szCs w:val="28"/>
          <w:rtl w:val="true"/>
          <w:lang w:bidi="ar-SA"/>
        </w:rPr>
        <w:t>اختلافِ أحوالِهم</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فباطلٌ‌؛ لأنّه لا شُبهةَ في أنّ جَماعةً مِن أجِلَّةِ‌</w:t>
      </w:r>
      <w:r>
        <w:rPr>
          <w:rStyle w:val="FootnoteAnchor"/>
          <w:rtl w:val="true"/>
        </w:rPr>
        <w:footnoteReference w:id="1875"/>
      </w:r>
      <w:r>
        <w:rPr>
          <w:rFonts w:ascii="Amiri" w:hAnsi="Amiri" w:eastAsia="Amiri" w:cs="Amiri"/>
          <w:color w:val="111111"/>
          <w:sz w:val="28"/>
          <w:sz w:val="28"/>
          <w:szCs w:val="28"/>
          <w:rtl w:val="true"/>
          <w:lang w:bidi="ar-SA"/>
        </w:rPr>
        <w:t>السَّلَفِ خالَفَت في أصلِ الاختيارِ، علىٰ ما سَنَذكُرُه مِن بَعدُ عندَ الكلامِ في إمامةِ أبي بَكرٍ، بمَشيئةِ اللّٰهِ تَعالىٰ‌</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 الدليلُ علىٰ أنّ إنكارَ هؤلاءِ كانَ لأصلِ الاختيارِ و إن لَم يُصَرِّحوا به، و اكتَفَوا بالنَّكيرِ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يدُلَّ الدليلُ علىٰ ذلكَ لَكانَ إنكارُهم مُحتَمِلاً للأمرَينِ‌؛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 الاختيارِ جُملةً‌، و إنكارَ إمامةِ المُختارِ في تلكَ الحالِ‌؛ و إذا كان مُحتَمِلاً بطَلَ ادّعاؤه الإطباقَ ، و أنّ أحَداً مِن السَّلَفِ لَم يقُلْ في الإمامةِ أنّها لا تَكونُ إلّابالنَّصِّ ، و صارَ مُحتاجاً إلىٰ أن يدُلَّ علىٰ أنّ الإنكارَ الواقعَ الذي بيّنّا أنّه مُحتَمِلٌ للأمرَينِ لَم يَكُنْ إلّالأحَدِهما دونَ الآخَرِ؛ و أنّىٰ له بذلكَ؟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عَوَّلَ صاحبُ الكتابِ علىٰ ما لا يَزالُ أصحابُه يَعتَمِدونَه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مَن </w:t>
      </w:r>
    </w:p>
    <w:p>
      <w:pPr>
        <w:pStyle w:val="BookText"/>
        <w:rPr/>
      </w:pPr>
      <w:r>
        <w:rPr>
          <w:rFonts w:ascii="Amiri" w:hAnsi="Amiri" w:eastAsia="Amiri" w:cs="Amiri"/>
          <w:color w:val="111111"/>
          <w:sz w:val="28"/>
          <w:sz w:val="28"/>
          <w:szCs w:val="28"/>
          <w:rtl w:val="true"/>
          <w:lang w:bidi="ar-SA"/>
        </w:rPr>
        <w:t>ذَكرناه</w:t>
      </w:r>
      <w:r>
        <w:rPr>
          <w:rStyle w:val="FootnoteAnchor"/>
          <w:rtl w:val="true"/>
        </w:rPr>
        <w:footnoteReference w:id="1877"/>
      </w:r>
      <w:r>
        <w:rPr>
          <w:rFonts w:ascii="Amiri" w:hAnsi="Amiri" w:eastAsia="Amiri" w:cs="Amiri"/>
          <w:color w:val="111111"/>
          <w:sz w:val="28"/>
          <w:sz w:val="28"/>
          <w:szCs w:val="28"/>
          <w:rtl w:val="true"/>
          <w:lang w:bidi="ar-SA"/>
        </w:rPr>
        <w:t xml:space="preserve">مِن المُخالِفينَ‌، و وقوعِ الرِّضا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فسنُبيِّنُ بُطلانَ هذا فيما بَعدُ، و ندُلُّ علىٰ أنّ الرِّضا لَم يُعلَمْ‌، و أكثَرُ ما عُلِمَ الكَفُّ عن النَّكيرِ المخصوصِ‌، و ذلكَ لا يَدُلُّ علَى الرِّضا في مِثلِ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أحَداً مِن المُنكِرينَ لإمامةِ أبي بكرٍ، ممّن ذَكرناه، لَم يَقُلْ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جائزٌ</w:t>
      </w:r>
    </w:p>
    <w:p>
      <w:pPr>
        <w:pStyle w:val="BookText"/>
        <w:rPr/>
      </w:pPr>
      <w:r>
        <w:rPr>
          <w:rFonts w:ascii="Amiri" w:hAnsi="Amiri" w:eastAsia="Amiri" w:cs="Amiri"/>
          <w:color w:val="111111"/>
          <w:sz w:val="28"/>
          <w:sz w:val="28"/>
          <w:szCs w:val="28"/>
          <w:rtl w:val="true"/>
          <w:lang w:bidi="ar-SA"/>
        </w:rPr>
        <w:t>عندي مِن طريقِ العقلِ الاختيارُ</w:t>
      </w:r>
      <w:r>
        <w:rPr>
          <w:rStyle w:val="FootnoteAnchor"/>
          <w:rtl w:val="true"/>
        </w:rPr>
        <w:footnoteReference w:id="1878"/>
      </w:r>
      <w:r>
        <w:rPr>
          <w:rFonts w:ascii="Amiri" w:hAnsi="Amiri" w:eastAsia="Amiri" w:cs="Amiri"/>
          <w:color w:val="111111"/>
          <w:sz w:val="28"/>
          <w:sz w:val="28"/>
          <w:szCs w:val="28"/>
          <w:rtl w:val="true"/>
          <w:lang w:bidi="ar-SA"/>
        </w:rPr>
        <w:t>، و إنّما خِلافي هذا في عَينِ المُختارِ لا في أصلِ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Style w:val="FootnoteAnchor"/>
          <w:rtl w:val="true"/>
        </w:rPr>
        <w:footnoteReference w:id="1879"/>
      </w:r>
      <w:r>
        <w:rPr>
          <w:rFonts w:ascii="Amiri" w:hAnsi="Amiri" w:eastAsia="Amiri" w:cs="Amiri"/>
          <w:color w:val="111111"/>
          <w:sz w:val="28"/>
          <w:sz w:val="28"/>
          <w:szCs w:val="28"/>
          <w:rtl w:val="true"/>
          <w:lang w:bidi="ar-SA"/>
        </w:rPr>
        <w:t>لَم يَقُلْ عندَ إظهارِه</w:t>
      </w:r>
      <w:r>
        <w:rPr>
          <w:rStyle w:val="FootnoteAnchor"/>
          <w:rtl w:val="true"/>
        </w:rPr>
        <w:footnoteReference w:id="1880"/>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مُخالِفٌ في أصلِ الاختيارِ و مُبطِلٌ لجميعِه، و لَيسَ خِلافي</w:t>
      </w:r>
      <w:r>
        <w:rPr>
          <w:rStyle w:val="FootnoteAnchor"/>
          <w:rtl w:val="true"/>
        </w:rPr>
        <w:footnoteReference w:id="1881"/>
      </w:r>
      <w:r>
        <w:rPr>
          <w:rFonts w:ascii="Amiri" w:hAnsi="Amiri" w:eastAsia="Amiri" w:cs="Amiri"/>
          <w:color w:val="111111"/>
          <w:sz w:val="28"/>
          <w:sz w:val="28"/>
          <w:szCs w:val="28"/>
          <w:rtl w:val="true"/>
          <w:lang w:bidi="ar-SA"/>
        </w:rPr>
        <w:t>خِلافَ مَن يُنكِرُ اختياراً و يُصحِّحُ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جازَ عندَ خُصومِنا أن يَكونَ ما ذَكرناه</w:t>
      </w:r>
      <w:r>
        <w:rPr>
          <w:rStyle w:val="FootnoteAnchor"/>
          <w:rtl w:val="true"/>
        </w:rPr>
        <w:footnoteReference w:id="1882"/>
      </w:r>
      <w:r>
        <w:rPr>
          <w:rFonts w:ascii="Amiri" w:hAnsi="Amiri" w:eastAsia="Amiri" w:cs="Amiri"/>
          <w:color w:val="111111"/>
          <w:sz w:val="28"/>
          <w:sz w:val="28"/>
          <w:szCs w:val="28"/>
          <w:rtl w:val="true"/>
          <w:lang w:bidi="ar-SA"/>
        </w:rPr>
        <w:t xml:space="preserve">أوّلاً مُستَقِرّاً في نُفوسِ القَومِ المُخالِفينَ في إمامةِ الرجُلِ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يُصرِّحوا به، و عَوَّلوا علىٰ ما يَرجِعُ إلَى الدليلِ فيه مِن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 أن يَكونَ ما ذَكرناه أخيراً</w:t>
      </w:r>
      <w:r>
        <w:rPr>
          <w:rStyle w:val="FootnoteAnchor"/>
          <w:rtl w:val="true"/>
        </w:rPr>
        <w:footnoteReference w:id="1883"/>
      </w:r>
      <w:r>
        <w:rPr>
          <w:rFonts w:ascii="Amiri" w:hAnsi="Amiri" w:eastAsia="Amiri" w:cs="Amiri"/>
          <w:color w:val="111111"/>
          <w:sz w:val="28"/>
          <w:sz w:val="28"/>
          <w:szCs w:val="28"/>
          <w:rtl w:val="true"/>
          <w:lang w:bidi="ar-SA"/>
        </w:rPr>
        <w:t>كانَ في نُفوسِهم و لَم يُظهِروه؛ للعِلّةِ التي ذُكِرَت أو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يُدَّعىٰ </w:t>
      </w:r>
      <w:r>
        <w:rPr>
          <w:rStyle w:val="FootnoteAnchor"/>
          <w:rtl w:val="true"/>
        </w:rPr>
        <w:footnoteReference w:id="1884"/>
      </w:r>
      <w:r>
        <w:rPr>
          <w:rFonts w:ascii="Amiri" w:hAnsi="Amiri" w:eastAsia="Amiri" w:cs="Amiri"/>
          <w:color w:val="111111"/>
          <w:sz w:val="28"/>
          <w:sz w:val="28"/>
          <w:szCs w:val="28"/>
          <w:rtl w:val="true"/>
          <w:lang w:bidi="ar-SA"/>
        </w:rPr>
        <w:t xml:space="preserve">في الأنصارِ مِن أنّ ظاهرَ خِلافِهم كانَ في عَينِ المُختارِ لا في أصلِ الاختيارِ، لا يُمكِنُ أن يُدَّعىٰ في غَيرِهم ممّن ذُكِرَ خِلافُه في تِلكَ الحالِ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الشورىٰ و ما يَدَّعونَه مِن أنّ دخولَ الجَماعةِ فيها كانَ علىٰ سَبيلِ الرِّضا بالاختيارِ، فسنُبيِّنُ أيضاً أنّه لَيسَ كُلُّ الداخِلينَ فيها كانَ راضياً بالاختيارِ، إذا انتَهَينا </w:t>
      </w:r>
    </w:p>
    <w:p>
      <w:pPr>
        <w:pStyle w:val="BookText"/>
        <w:rPr/>
      </w:pPr>
      <w:r>
        <w:rPr>
          <w:rFonts w:ascii="Amiri" w:hAnsi="Amiri" w:eastAsia="Amiri" w:cs="Amiri"/>
          <w:color w:val="111111"/>
          <w:sz w:val="28"/>
          <w:sz w:val="28"/>
          <w:szCs w:val="28"/>
          <w:rtl w:val="true"/>
          <w:lang w:bidi="ar-SA"/>
        </w:rPr>
        <w:t xml:space="preserve">إلَى الكلامِ فيما يَتعلَّقُ بالشورىٰ </w:t>
      </w:r>
      <w:r>
        <w:rPr>
          <w:rFonts w:eastAsia="Amiri" w:cs="Amiri" w:ascii="Amiri" w:hAnsi="Amiri"/>
          <w:color w:val="111111"/>
          <w:sz w:val="28"/>
          <w:szCs w:val="28"/>
          <w:rtl w:val="true"/>
          <w:lang w:bidi="ar-SA"/>
        </w:rPr>
        <w:t>.</w:t>
      </w:r>
      <w:r>
        <w:rPr>
          <w:rStyle w:val="FootnoteAnchor"/>
          <w:rtl w:val="true"/>
        </w:rPr>
        <w:footnoteReference w:id="18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الخُطوبَ لَم تَجرِ</w:t>
      </w:r>
      <w:r>
        <w:rPr>
          <w:rStyle w:val="FootnoteAnchor"/>
          <w:rtl w:val="true"/>
        </w:rPr>
        <w:footnoteReference w:id="1886"/>
      </w:r>
      <w:r>
        <w:rPr>
          <w:rFonts w:ascii="Amiri" w:hAnsi="Amiri" w:eastAsia="Amiri" w:cs="Amiri"/>
          <w:color w:val="111111"/>
          <w:sz w:val="28"/>
          <w:sz w:val="28"/>
          <w:szCs w:val="28"/>
          <w:rtl w:val="true"/>
          <w:lang w:bidi="ar-SA"/>
        </w:rPr>
        <w:t>في أنّ العقلَ يدُلُّ علىٰ فَسادِ الاختيارِ أَم علىٰ صحّتِه، و إنّما جَرَت في أعيانِ المُختارينَ ، و قد خولِفَ في ذلكَ بما أقَلُّ أحوالِه أن يَكونَ مُحتَمِلاً لإنكارِ</w:t>
      </w:r>
      <w:r>
        <w:rPr>
          <w:rStyle w:val="FootnoteAnchor"/>
          <w:rtl w:val="true"/>
        </w:rPr>
        <w:footnoteReference w:id="1887"/>
      </w:r>
      <w:r>
        <w:rPr>
          <w:rFonts w:ascii="Amiri" w:hAnsi="Amiri" w:eastAsia="Amiri" w:cs="Amiri"/>
          <w:color w:val="111111"/>
          <w:sz w:val="28"/>
          <w:sz w:val="28"/>
          <w:szCs w:val="28"/>
          <w:rtl w:val="true"/>
          <w:lang w:bidi="ar-SA"/>
        </w:rPr>
        <w:t>أصلِ الاختيارِ كاحتمالِه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علَى المُنكِرِ في كُلِّ حالٍ أن يبيِّنَ </w:t>
      </w:r>
      <w:r>
        <w:rPr>
          <w:rStyle w:val="FootnoteAnchor"/>
          <w:rtl w:val="true"/>
        </w:rPr>
        <w:footnoteReference w:id="1888"/>
      </w:r>
      <w:r>
        <w:rPr>
          <w:rFonts w:ascii="Amiri" w:hAnsi="Amiri" w:eastAsia="Amiri" w:cs="Amiri"/>
          <w:color w:val="111111"/>
          <w:sz w:val="28"/>
          <w:sz w:val="28"/>
          <w:szCs w:val="28"/>
          <w:rtl w:val="true"/>
          <w:lang w:bidi="ar-SA"/>
        </w:rPr>
        <w:t xml:space="preserve">وجهَ إنكارِه علىٰ سَبيلِ التفصيلِ و جهته، فإذا لَم يَجِبْ ذلكَ لَم يَكُن تَركُ القَومِ للتصريحِ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إنكارَهم إنّما كانَ لأصلِ الاختيارِ دونَ 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w:t>
      </w:r>
      <w:r>
        <w:rPr>
          <w:rStyle w:val="FootnoteAnchor"/>
          <w:rtl w:val="true"/>
        </w:rPr>
        <w:footnoteReference w:id="1889"/>
      </w:r>
      <w:r>
        <w:rPr>
          <w:rFonts w:ascii="Amiri" w:hAnsi="Amiri" w:eastAsia="Amiri" w:cs="Amiri"/>
          <w:color w:val="111111"/>
          <w:sz w:val="28"/>
          <w:sz w:val="28"/>
          <w:szCs w:val="28"/>
          <w:rtl w:val="true"/>
          <w:lang w:bidi="ar-SA"/>
        </w:rPr>
        <w:t xml:space="preserve">علىٰ أنّهم لَم يَكونوا مُنكِرينَ لأصلِه؛ لأنّ النَّكيرَ علىٰ سَبيلِ الجُملةِ يَكفي في مِثلِ تلكَ الحالِ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20015_284946"/>
      <w:bookmarkStart w:id="324" w:name="pg20015_284946"/>
      <w:bookmarkEnd w:id="324"/>
    </w:p>
    <w:p>
      <w:pPr>
        <w:pStyle w:val="Heading2"/>
        <w:numPr>
          <w:ilvl w:val="1"/>
          <w:numId w:val="1"/>
        </w:numPr>
        <w:rPr/>
      </w:pPr>
      <w:bookmarkStart w:id="325" w:name="pg20015_284946"/>
      <w:bookmarkStart w:id="326" w:name="__RefHeading___Toc894949_2320776876"/>
      <w:bookmarkStart w:id="327" w:name="_Toc116"/>
      <w:bookmarkEnd w:id="325"/>
      <w:bookmarkEnd w:id="326"/>
      <w:r>
        <w:rPr/>
        <w:t>5</w:t>
      </w:r>
      <w:r>
        <w:rPr>
          <w:rtl w:val="true"/>
        </w:rPr>
        <w:t xml:space="preserve"> </w:t>
      </w:r>
      <w:r>
        <w:rPr>
          <w:rtl w:val="true"/>
        </w:rPr>
        <w:t>فصلٌ في إبطالِ ما طَعَنَ به علىٰ ما حَكاه مِن طُرُقِنا في وجوبِ النَّصِّ</w:t>
      </w:r>
      <w:bookmarkEnd w:id="3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894951_2320776876"/>
      <w:bookmarkStart w:id="329" w:name="_Toc117"/>
      <w:bookmarkEnd w:id="328"/>
      <w:r>
        <w:rPr>
          <w:rtl w:val="true"/>
        </w:rPr>
        <w:t>اشارة</w:t>
      </w:r>
      <w:bookmarkEnd w:id="3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20015_284948"/>
      <w:bookmarkStart w:id="331" w:name="pg20015_284948"/>
      <w:bookmarkEnd w:id="331"/>
    </w:p>
    <w:p>
      <w:pPr>
        <w:pStyle w:val="Heading3"/>
        <w:numPr>
          <w:ilvl w:val="2"/>
          <w:numId w:val="1"/>
        </w:numPr>
        <w:rPr/>
      </w:pPr>
      <w:bookmarkStart w:id="332" w:name="pg20015_284948"/>
      <w:bookmarkStart w:id="333" w:name="__RefHeading___Toc894953_2320776876"/>
      <w:bookmarkStart w:id="334" w:name="_Toc118"/>
      <w:bookmarkEnd w:id="332"/>
      <w:bookmarkEnd w:id="333"/>
      <w:r>
        <w:rPr>
          <w:rtl w:val="true"/>
        </w:rPr>
        <w:t>الدليل الأوّل كونُ الإمام حجّةً و قائماً بمصالح الدين</w:t>
      </w:r>
      <w:bookmarkEnd w:id="33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ما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القَولُ فيه؛ مِن أنّ الإمامَ لا بُدَّ أن يَكونَ حُجّةً‌، و مُستَودَعاً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قيِّماً بحِفْظِها و أدائها، فلا بُدَّ مِن أن يَكونَ معيَّناً يَتميَّزُ مِن غَيرِه</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و أنّ ذلكَ لا يَكونُ إلّابنَصٍّ أو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يَقومُ بمَصالِحِ الدِّينِ الّتي لا بُدَّ مِنها من إقامةِ‌</w:t>
      </w:r>
      <w:r>
        <w:rPr>
          <w:rStyle w:val="FootnoteAnchor"/>
          <w:rtl w:val="true"/>
        </w:rPr>
        <w:footnoteReference w:id="1891"/>
      </w:r>
      <w:r>
        <w:rPr>
          <w:rFonts w:ascii="Amiri" w:hAnsi="Amiri" w:eastAsia="Amiri" w:cs="Amiri"/>
          <w:color w:val="111111"/>
          <w:sz w:val="28"/>
          <w:sz w:val="28"/>
          <w:szCs w:val="28"/>
          <w:rtl w:val="true"/>
          <w:lang w:bidi="ar-SA"/>
        </w:rPr>
        <w:t>الحُدودِ و ما أشبَهَها، فلا بُدَّ مِن عصمتِه</w:t>
      </w:r>
      <w:r>
        <w:rPr>
          <w:rStyle w:val="FootnoteAnchor"/>
          <w:rtl w:val="true"/>
        </w:rPr>
        <w:footnoteReference w:id="1892"/>
      </w:r>
      <w:r>
        <w:rPr>
          <w:rFonts w:ascii="Amiri" w:hAnsi="Amiri" w:eastAsia="Amiri" w:cs="Amiri"/>
          <w:color w:val="111111"/>
          <w:sz w:val="28"/>
          <w:sz w:val="28"/>
          <w:szCs w:val="28"/>
          <w:rtl w:val="true"/>
          <w:lang w:bidi="ar-SA"/>
        </w:rPr>
        <w:t xml:space="preserve">، و لا يَكونُ كذلكَ إلّابالتعيينِ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إلّابنَصٍّ أو مُعجِزٍ؛ إلىٰ سائرِ ما يُشاكِلُ ذلكَ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ممّا قد</w:t>
      </w:r>
      <w:r>
        <w:rPr>
          <w:rStyle w:val="FootnoteAnchor"/>
          <w:rtl w:val="true"/>
        </w:rPr>
        <w:footnoteReference w:id="1893"/>
      </w:r>
      <w:r>
        <w:rPr>
          <w:rFonts w:ascii="Amiri" w:hAnsi="Amiri" w:eastAsia="Amiri" w:cs="Amiri"/>
          <w:color w:val="111111"/>
          <w:sz w:val="28"/>
          <w:sz w:val="28"/>
          <w:szCs w:val="28"/>
          <w:rtl w:val="true"/>
          <w:lang w:bidi="ar-SA"/>
        </w:rPr>
        <w:t>تقدَّمَ الكلامُ عَلَيه و الجوابُ عنه</w:t>
      </w:r>
      <w:r>
        <w:rPr>
          <w:rStyle w:val="FootnoteAnchor"/>
          <w:rtl w:val="true"/>
        </w:rPr>
        <w:footnoteReference w:id="1894"/>
      </w:r>
      <w:r>
        <w:rPr>
          <w:rFonts w:ascii="Amiri" w:hAnsi="Amiri" w:eastAsia="Amiri" w:cs="Amiri"/>
          <w:color w:val="111111"/>
          <w:sz w:val="28"/>
          <w:sz w:val="28"/>
          <w:szCs w:val="28"/>
          <w:rtl w:val="true"/>
          <w:lang w:bidi="ar-SA"/>
        </w:rPr>
        <w:t xml:space="preserve">لأنّهم إذا بَنَوا </w:t>
      </w:r>
    </w:p>
    <w:p>
      <w:pPr>
        <w:pStyle w:val="BookText"/>
        <w:rPr/>
      </w:pPr>
      <w:r>
        <w:rPr>
          <w:rFonts w:ascii="Amiri" w:hAnsi="Amiri" w:eastAsia="Amiri" w:cs="Amiri"/>
          <w:color w:val="111111"/>
          <w:sz w:val="28"/>
          <w:sz w:val="28"/>
          <w:szCs w:val="28"/>
          <w:rtl w:val="true"/>
          <w:lang w:bidi="ar-SA"/>
        </w:rPr>
        <w:t xml:space="preserve">النَّصَّ عَلَيه و قد بيّنّا فَسادَ التعلُّقِ به، فيَجِبُ أن لا يَصِحَّ إثباتُ النَّصِّ مِن جهةِ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الوجهِ و ما يُشاكِلُه؛ ممّا نَبَّهنا بما أَورَدناه عَلَيه</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كلامُنا علىٰ ما ظَنَنتَ أنّه مُفسِدٌ</w:t>
      </w:r>
      <w:r>
        <w:rPr>
          <w:rStyle w:val="FootnoteAnchor"/>
          <w:rtl w:val="true"/>
        </w:rPr>
        <w:footnoteReference w:id="1896"/>
      </w:r>
      <w:r>
        <w:rPr>
          <w:rFonts w:ascii="Amiri" w:hAnsi="Amiri" w:eastAsia="Amiri" w:cs="Amiri"/>
          <w:color w:val="111111"/>
          <w:sz w:val="28"/>
          <w:sz w:val="28"/>
          <w:szCs w:val="28"/>
          <w:rtl w:val="true"/>
          <w:lang w:bidi="ar-SA"/>
        </w:rPr>
        <w:t>لِما حكَيتَه عنّا، و كَشَفنا مِن بُطلانِه ما</w:t>
      </w:r>
      <w:r>
        <w:rPr>
          <w:rStyle w:val="FootnoteAnchor"/>
          <w:rtl w:val="true"/>
        </w:rPr>
        <w:footnoteReference w:id="1897"/>
      </w:r>
      <w:r>
        <w:rPr>
          <w:rFonts w:ascii="Amiri" w:hAnsi="Amiri" w:eastAsia="Amiri" w:cs="Amiri"/>
          <w:color w:val="111111"/>
          <w:sz w:val="28"/>
          <w:sz w:val="28"/>
          <w:szCs w:val="28"/>
          <w:rtl w:val="true"/>
          <w:lang w:bidi="ar-SA"/>
        </w:rPr>
        <w:t>لا يَدخُلُ على مُنصِفٍ فيه</w:t>
      </w:r>
      <w:r>
        <w:rPr>
          <w:rStyle w:val="FootnoteAnchor"/>
          <w:rtl w:val="true"/>
        </w:rPr>
        <w:footnoteReference w:id="1898"/>
      </w:r>
      <w:r>
        <w:rPr>
          <w:rFonts w:ascii="Amiri" w:hAnsi="Amiri" w:eastAsia="Amiri" w:cs="Amiri"/>
          <w:color w:val="111111"/>
          <w:sz w:val="28"/>
          <w:sz w:val="28"/>
          <w:szCs w:val="28"/>
          <w:rtl w:val="true"/>
          <w:lang w:bidi="ar-SA"/>
        </w:rPr>
        <w:t>شُبهةٌ ، فإذا</w:t>
      </w:r>
      <w:r>
        <w:rPr>
          <w:rStyle w:val="FootnoteAnchor"/>
          <w:rtl w:val="true"/>
        </w:rPr>
        <w:footnoteReference w:id="1899"/>
      </w:r>
      <w:r>
        <w:rPr>
          <w:rFonts w:ascii="Amiri" w:hAnsi="Amiri" w:eastAsia="Amiri" w:cs="Amiri"/>
          <w:color w:val="111111"/>
          <w:sz w:val="28"/>
          <w:sz w:val="28"/>
          <w:szCs w:val="28"/>
          <w:rtl w:val="true"/>
          <w:lang w:bidi="ar-SA"/>
        </w:rPr>
        <w:t xml:space="preserve">كنتَ معتمِداً في دفعِ استدلالِنا بما حكَيتَه علىٰ ما 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فَسادَه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 ما تَطرَّقنا به إلىٰ وجوبِ النَّصِّ ، و خلَصَ مِن كُلِّ شُبهةٍ </w:t>
      </w:r>
      <w:r>
        <w:rPr>
          <w:rFonts w:eastAsia="Amiri" w:cs="Amiri" w:ascii="Amiri" w:hAnsi="Amiri"/>
          <w:color w:val="111111"/>
          <w:sz w:val="28"/>
          <w:szCs w:val="28"/>
          <w:rtl w:val="true"/>
          <w:lang w:bidi="ar-SA"/>
        </w:rPr>
        <w:t xml:space="preserve">. </w:t>
      </w:r>
      <w:bookmarkStart w:id="335" w:name="pg20015_284950"/>
    </w:p>
    <w:p>
      <w:pPr>
        <w:pStyle w:val="Heading3"/>
        <w:numPr>
          <w:ilvl w:val="2"/>
          <w:numId w:val="1"/>
        </w:numPr>
        <w:rPr/>
      </w:pPr>
      <w:bookmarkStart w:id="336" w:name="__RefHeading___Toc894955_2320776876"/>
      <w:bookmarkStart w:id="337" w:name="_Toc119"/>
      <w:bookmarkEnd w:id="335"/>
      <w:bookmarkEnd w:id="336"/>
      <w:r>
        <w:rPr>
          <w:rtl w:val="true"/>
        </w:rPr>
        <w:t>الدليل الثاني كونُ الإمام علىٰ صفةٍ لا طريق للاجتهاد فيها، كالعصمة و العلم بجميع الأحكام</w:t>
      </w:r>
      <w:bookmarkEnd w:id="337"/>
    </w:p>
    <w:p>
      <w:pPr>
        <w:pStyle w:val="Heading4"/>
        <w:numPr>
          <w:ilvl w:val="3"/>
          <w:numId w:val="1"/>
        </w:numPr>
        <w:rPr/>
      </w:pPr>
      <w:bookmarkStart w:id="338" w:name="__RefHeading___Toc894957_2320776876"/>
      <w:bookmarkStart w:id="339" w:name="_Toc120"/>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لمَن يَكونُ إماماً أن يَكونَ علىٰ حالٍ و صفةٍ لا طريقَ للِاجتهادِ</w:t>
      </w:r>
      <w:r>
        <w:rPr>
          <w:rStyle w:val="FootnoteAnchor"/>
          <w:rtl w:val="true"/>
        </w:rPr>
        <w:footnoteReference w:id="1900"/>
      </w:r>
      <w:r>
        <w:rPr>
          <w:rFonts w:ascii="Amiri" w:hAnsi="Amiri" w:eastAsia="Amiri" w:cs="Amiri"/>
          <w:color w:val="111111"/>
          <w:sz w:val="28"/>
          <w:sz w:val="28"/>
          <w:szCs w:val="28"/>
          <w:rtl w:val="true"/>
          <w:lang w:bidi="ar-SA"/>
        </w:rPr>
        <w:t>فيها؛ فلا بُدَّ مِن</w:t>
      </w:r>
      <w:r>
        <w:rPr>
          <w:rStyle w:val="FootnoteAnchor"/>
          <w:rtl w:val="true"/>
        </w:rPr>
        <w:footnoteReference w:id="1901"/>
      </w:r>
      <w:r>
        <w:rPr>
          <w:rFonts w:ascii="Amiri" w:hAnsi="Amiri" w:eastAsia="Amiri" w:cs="Amiri"/>
          <w:color w:val="111111"/>
          <w:sz w:val="28"/>
          <w:sz w:val="28"/>
          <w:szCs w:val="28"/>
          <w:rtl w:val="true"/>
          <w:lang w:bidi="ar-SA"/>
        </w:rPr>
        <w:t>أن يَكونَ بنَصٍّ‌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ذَكروا في هذه الصفةِ كَونَه معصوماً، إلىٰ سائرِ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ذَكروا غَيرَه؛</w:t>
      </w:r>
      <w:r>
        <w:rPr>
          <w:rStyle w:val="FootnoteAnchor"/>
          <w:rtl w:val="true"/>
        </w:rPr>
        <w:footnoteReference w:id="1902"/>
      </w:r>
      <w:r>
        <w:rPr>
          <w:rFonts w:ascii="Amiri" w:hAnsi="Amiri" w:eastAsia="Amiri" w:cs="Amiri"/>
          <w:color w:val="111111"/>
          <w:sz w:val="28"/>
          <w:sz w:val="28"/>
          <w:szCs w:val="28"/>
          <w:rtl w:val="true"/>
          <w:lang w:bidi="ar-SA"/>
        </w:rPr>
        <w:t>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عالِماً بجميعِ الأحكامِ حتّىٰ لا يشُذَّ عَلَيه</w:t>
      </w:r>
      <w:r>
        <w:rPr>
          <w:rStyle w:val="FootnoteAnchor"/>
          <w:rtl w:val="true"/>
        </w:rPr>
        <w:footnoteReference w:id="1903"/>
      </w:r>
      <w:r>
        <w:rPr>
          <w:rFonts w:ascii="Amiri" w:hAnsi="Amiri" w:eastAsia="Amiri" w:cs="Amiri"/>
          <w:color w:val="111111"/>
          <w:sz w:val="28"/>
          <w:sz w:val="28"/>
          <w:szCs w:val="28"/>
          <w:rtl w:val="true"/>
          <w:lang w:bidi="ar-SA"/>
        </w:rPr>
        <w:t xml:space="preserve">شَيءٌ مِنها، و إلّا أدّىٰ ذلكَ إلىٰ أن يَكونَ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قد كُلِّفَ القيامَ بما لا سَبيلَ له إليه</w:t>
      </w:r>
      <w:r>
        <w:rPr>
          <w:rStyle w:val="FootnoteAnchor"/>
          <w:rtl w:val="true"/>
        </w:rPr>
        <w:footnoteReference w:id="1905"/>
      </w:r>
      <w:r>
        <w:rPr>
          <w:rFonts w:ascii="Amiri" w:hAnsi="Amiri" w:eastAsia="Amiri" w:cs="Amiri"/>
          <w:color w:val="111111"/>
          <w:sz w:val="28"/>
          <w:sz w:val="28"/>
          <w:szCs w:val="28"/>
          <w:rtl w:val="true"/>
          <w:lang w:bidi="ar-SA"/>
        </w:rPr>
        <w:t>، و يَحُلُّ‌</w:t>
      </w:r>
      <w:r>
        <w:rPr>
          <w:rStyle w:val="FootnoteAnchor"/>
          <w:rtl w:val="true"/>
        </w:rPr>
        <w:footnoteReference w:id="1906"/>
      </w:r>
      <w:r>
        <w:rPr>
          <w:rFonts w:ascii="Amiri" w:hAnsi="Amiri" w:eastAsia="Amiri" w:cs="Amiri"/>
          <w:color w:val="111111"/>
          <w:sz w:val="28"/>
          <w:sz w:val="28"/>
          <w:szCs w:val="28"/>
          <w:rtl w:val="true"/>
          <w:lang w:bidi="ar-SA"/>
        </w:rPr>
        <w:t>مَحَلَّ تكليفِ ما لا يُطاقُ‌؛ فلا بُدَّ مِن نَصٍّ عَلَيه؛ لأنّه لا طريقَ للمُجتهِدينَ إلىٰ معرفةِ ذلكَ مِن حالِه؛ لأنّه إنّما يُعلَمُ‌</w:t>
      </w:r>
      <w:r>
        <w:rPr>
          <w:rStyle w:val="FootnoteAnchor"/>
          <w:rtl w:val="true"/>
        </w:rPr>
        <w:footnoteReference w:id="1907"/>
      </w:r>
      <w:r>
        <w:rPr>
          <w:rFonts w:ascii="Amiri" w:hAnsi="Amiri" w:eastAsia="Amiri" w:cs="Amiri"/>
          <w:color w:val="111111"/>
          <w:sz w:val="28"/>
          <w:sz w:val="28"/>
          <w:szCs w:val="28"/>
          <w:rtl w:val="true"/>
          <w:lang w:bidi="ar-SA"/>
        </w:rPr>
        <w:t>حالُه في استغراقِ‌</w:t>
      </w:r>
      <w:r>
        <w:rPr>
          <w:rStyle w:val="FootnoteAnchor"/>
          <w:rtl w:val="true"/>
        </w:rPr>
        <w:footnoteReference w:id="1908"/>
      </w:r>
      <w:r>
        <w:rPr>
          <w:rFonts w:ascii="Amiri" w:hAnsi="Amiri" w:eastAsia="Amiri" w:cs="Amiri"/>
          <w:color w:val="111111"/>
          <w:sz w:val="28"/>
          <w:sz w:val="28"/>
          <w:szCs w:val="28"/>
          <w:rtl w:val="true"/>
          <w:lang w:bidi="ar-SA"/>
        </w:rPr>
        <w:t>هذه العُلومِ‌</w:t>
      </w:r>
      <w:r>
        <w:rPr>
          <w:rStyle w:val="FootnoteAnchor"/>
          <w:rtl w:val="true"/>
        </w:rPr>
        <w:footnoteReference w:id="1909"/>
      </w:r>
      <w:r>
        <w:rPr>
          <w:rFonts w:ascii="Amiri" w:hAnsi="Amiri" w:eastAsia="Amiri" w:cs="Amiri"/>
          <w:color w:val="111111"/>
          <w:sz w:val="28"/>
          <w:sz w:val="28"/>
          <w:szCs w:val="28"/>
          <w:rtl w:val="true"/>
          <w:lang w:bidi="ar-SA"/>
        </w:rPr>
        <w:t>أجمَعَ‌، فإذا لَم يَكُن فيهم مَن يَستَغرقُ ذلكَ أجمَعَ‌</w:t>
      </w:r>
      <w:r>
        <w:rPr>
          <w:rStyle w:val="FootnoteAnchor"/>
          <w:rtl w:val="true"/>
        </w:rPr>
        <w:footnoteReference w:id="1910"/>
      </w:r>
      <w:r>
        <w:rPr>
          <w:rFonts w:ascii="Amiri" w:hAnsi="Amiri" w:eastAsia="Amiri" w:cs="Amiri"/>
          <w:color w:val="111111"/>
          <w:sz w:val="28"/>
          <w:sz w:val="28"/>
          <w:szCs w:val="28"/>
          <w:rtl w:val="true"/>
          <w:lang w:bidi="ar-SA"/>
        </w:rPr>
        <w:t>لَم يَصِحَّ‌</w:t>
      </w:r>
      <w:r>
        <w:rPr>
          <w:rStyle w:val="FootnoteAnchor"/>
          <w:rtl w:val="true"/>
        </w:rPr>
        <w:footnoteReference w:id="1911"/>
      </w:r>
      <w:r>
        <w:rPr>
          <w:rFonts w:ascii="Amiri" w:hAnsi="Amiri" w:eastAsia="Amiri" w:cs="Amiri"/>
          <w:color w:val="111111"/>
          <w:sz w:val="28"/>
          <w:sz w:val="28"/>
          <w:szCs w:val="28"/>
          <w:rtl w:val="true"/>
          <w:lang w:bidi="ar-SA"/>
        </w:rPr>
        <w:t>لهُم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معرفةَ ذلكَ لا يَصِحُّ‌</w:t>
      </w:r>
      <w:r>
        <w:rPr>
          <w:rStyle w:val="FootnoteAnchor"/>
          <w:rtl w:val="true"/>
        </w:rPr>
        <w:footnoteReference w:id="1912"/>
      </w:r>
      <w:r>
        <w:rPr>
          <w:rFonts w:ascii="Amiri" w:hAnsi="Amiri" w:eastAsia="Amiri" w:cs="Amiri"/>
          <w:color w:val="111111"/>
          <w:sz w:val="28"/>
          <w:sz w:val="28"/>
          <w:szCs w:val="28"/>
          <w:rtl w:val="true"/>
          <w:lang w:bidi="ar-SA"/>
        </w:rPr>
        <w:t>إلّابامتدادِ الأوقاتِ‌، و بالتجربةِ و الامتحانِ‌؛ فإذا لَم يُمكِنْ‌</w:t>
      </w:r>
      <w:r>
        <w:rPr>
          <w:rStyle w:val="FootnoteAnchor"/>
          <w:rtl w:val="true"/>
        </w:rPr>
        <w:footnoteReference w:id="1913"/>
      </w:r>
      <w:r>
        <w:rPr>
          <w:rFonts w:ascii="Amiri" w:hAnsi="Amiri" w:eastAsia="Amiri" w:cs="Amiri"/>
          <w:color w:val="111111"/>
          <w:sz w:val="28"/>
          <w:sz w:val="28"/>
          <w:szCs w:val="28"/>
          <w:rtl w:val="true"/>
          <w:lang w:bidi="ar-SA"/>
        </w:rPr>
        <w:t>وقوفُ أحَدٍ مِن الأُمّةِ عَلَيه، لَم يَجُز أن يكلَّفَ‌</w:t>
      </w:r>
      <w:r>
        <w:rPr>
          <w:rStyle w:val="FootnoteAnchor"/>
          <w:rtl w:val="true"/>
        </w:rPr>
        <w:footnoteReference w:id="1914"/>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فلا بُدَّ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جهةِ العقلِ تَعلَمونَ أنّ كَونَه عالِماً بجميعِ هذه الأحكامِ مِن شَرطِ كَونِه إماماً، أو بالسَّمعِ؟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نُكلِّمُكم في طريقةِ العقلِ‌، فكَيفَ يَصِحُّ أن تَلجَأوا إلَى السَّمعِ الذي يَجري مَجرَى الفَرعِ للعقلِ ، و الذي إذا ثبَتَ </w:t>
      </w:r>
      <w:bookmarkStart w:id="340" w:name="pg20015_284952"/>
    </w:p>
    <w:p>
      <w:pPr>
        <w:pStyle w:val="BookText"/>
        <w:rPr/>
      </w:pPr>
      <w:bookmarkEnd w:id="340"/>
      <w:r>
        <w:rPr>
          <w:rFonts w:ascii="Amiri" w:hAnsi="Amiri" w:eastAsia="Amiri" w:cs="Amiri"/>
          <w:color w:val="111111"/>
          <w:sz w:val="28"/>
          <w:sz w:val="28"/>
          <w:szCs w:val="28"/>
          <w:rtl w:val="true"/>
          <w:lang w:bidi="ar-SA"/>
        </w:rPr>
        <w:t xml:space="preserve">لَم يَدُلَّ </w:t>
      </w:r>
      <w:r>
        <w:rPr>
          <w:rStyle w:val="FootnoteAnchor"/>
          <w:rtl w:val="true"/>
        </w:rPr>
        <w:footnoteReference w:id="1916"/>
      </w:r>
      <w:r>
        <w:rPr>
          <w:rFonts w:ascii="Amiri" w:hAnsi="Amiri" w:eastAsia="Amiri" w:cs="Amiri"/>
          <w:color w:val="111111"/>
          <w:sz w:val="28"/>
          <w:sz w:val="28"/>
          <w:szCs w:val="28"/>
          <w:rtl w:val="true"/>
          <w:lang w:bidi="ar-SA"/>
        </w:rPr>
        <w:t xml:space="preserve">علىٰ أنّ قضيَّةَ العقلِ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ثَبَتَ بالسَّمعِ ما كانَ يَجوزُ في العقلِ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w:t>
      </w:r>
      <w:r>
        <w:rPr>
          <w:rStyle w:val="FootnoteAnchor"/>
          <w:rtl w:val="true"/>
        </w:rPr>
        <w:footnoteReference w:id="1917"/>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عَلِمنا ذلكَ بالعقلِ ،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دليلٍ في العقلِ يَقتَضي ما ذَكرتموه، مع عِلمِنا بأنّه قد يَجوزُ أن يَقومَ بكُلِّ ما فُوِّضَ إليه علىٰ حقِّه و إن لَم يَكُن عالِماً بجميعِ الأحكامِ؟</w:t>
      </w:r>
      <w:r>
        <w:rPr>
          <w:rStyle w:val="FootnoteAnchor"/>
          <w:rtl w:val="true"/>
        </w:rPr>
        <w:footnoteReference w:id="1918"/>
      </w:r>
    </w:p>
    <w:p>
      <w:pPr>
        <w:pStyle w:val="Heading4"/>
        <w:numPr>
          <w:ilvl w:val="3"/>
          <w:numId w:val="1"/>
        </w:numPr>
        <w:rPr/>
      </w:pPr>
      <w:bookmarkStart w:id="341" w:name="__RefHeading___Toc894959_2320776876"/>
      <w:bookmarkStart w:id="342" w:name="_Toc121"/>
      <w:bookmarkEnd w:id="341"/>
      <w:r>
        <w:rPr>
          <w:rtl w:val="true"/>
        </w:rPr>
        <w:t>الأدلّة العقليّة علىٰ ضَرورةِ كَونِ الإمامِ عالِماً بجميعِ الأحكامِ</w:t>
      </w:r>
      <w:bookmarkEnd w:id="342"/>
    </w:p>
    <w:p>
      <w:pPr>
        <w:pStyle w:val="Heading5"/>
        <w:numPr>
          <w:ilvl w:val="4"/>
          <w:numId w:val="1"/>
        </w:numPr>
        <w:rPr/>
      </w:pPr>
      <w:bookmarkStart w:id="343" w:name="__RefHeading___Toc894961_2320776876"/>
      <w:bookmarkStart w:id="344" w:name="_Toc122"/>
      <w:bookmarkEnd w:id="343"/>
      <w:r>
        <w:rPr>
          <w:rtl w:val="true"/>
        </w:rPr>
        <w:t>الدليل الأوّل</w:t>
      </w:r>
      <w:bookmarkEnd w:id="3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وجوبِ كَونِ الإمامِ عالِماً بجميعِ الأحكامِ‌، فهو أنّه قد ثبَتَ أنّ الإمامَ إمامٌ في سائرِ الدِّينِ‌، و متوَلٍّ للحُكمِ‌</w:t>
      </w:r>
      <w:r>
        <w:rPr>
          <w:rStyle w:val="FootnoteAnchor"/>
          <w:rtl w:val="true"/>
        </w:rPr>
        <w:footnoteReference w:id="1919"/>
      </w:r>
      <w:r>
        <w:rPr>
          <w:rFonts w:ascii="Amiri" w:hAnsi="Amiri" w:eastAsia="Amiri" w:cs="Amiri"/>
          <w:color w:val="111111"/>
          <w:sz w:val="28"/>
          <w:sz w:val="28"/>
          <w:szCs w:val="28"/>
          <w:rtl w:val="true"/>
          <w:lang w:bidi="ar-SA"/>
        </w:rPr>
        <w:t>في جميعِه؛ جَليلِه و دَقيقِه، ظاهرِه</w:t>
      </w:r>
      <w:r>
        <w:rPr>
          <w:rStyle w:val="FootnoteAnchor"/>
          <w:rtl w:val="true"/>
        </w:rPr>
        <w:footnoteReference w:id="1920"/>
      </w:r>
      <w:r>
        <w:rPr>
          <w:rFonts w:ascii="Amiri" w:hAnsi="Amiri" w:eastAsia="Amiri" w:cs="Amiri"/>
          <w:color w:val="111111"/>
          <w:sz w:val="28"/>
          <w:sz w:val="28"/>
          <w:szCs w:val="28"/>
          <w:rtl w:val="true"/>
          <w:lang w:bidi="ar-SA"/>
        </w:rPr>
        <w:t>و غامِضِه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يَجوزُ أن لا يَكونَ عالِماً بجميعِ الدِّينِ و الأحكامِ </w:t>
      </w:r>
      <w:r>
        <w:rPr>
          <w:rStyle w:val="FootnoteAnchor"/>
          <w:rtl w:val="true"/>
        </w:rPr>
        <w:footnoteReference w:id="1921"/>
      </w:r>
      <w:r>
        <w:rPr>
          <w:rFonts w:ascii="Amiri" w:hAnsi="Amiri" w:eastAsia="Amiri" w:cs="Amiri"/>
          <w:color w:val="111111"/>
          <w:sz w:val="28"/>
          <w:sz w:val="28"/>
          <w:szCs w:val="28"/>
          <w:rtl w:val="true"/>
          <w:lang w:bidi="ar-SA"/>
        </w:rPr>
        <w:t>و هذه صفتُه؛ لأنّ مِن المُتقرِّرِ عندَ العُقَلاءِ قُبحَ استكفاءِ الأمرِ و تَوليَتِه</w:t>
      </w:r>
      <w:r>
        <w:rPr>
          <w:rStyle w:val="FootnoteAnchor"/>
          <w:rtl w:val="true"/>
        </w:rPr>
        <w:footnoteReference w:id="1922"/>
      </w:r>
      <w:r>
        <w:rPr>
          <w:rFonts w:ascii="Amiri" w:hAnsi="Amiri" w:eastAsia="Amiri" w:cs="Amiri"/>
          <w:color w:val="111111"/>
          <w:sz w:val="28"/>
          <w:sz w:val="28"/>
          <w:szCs w:val="28"/>
          <w:rtl w:val="true"/>
          <w:lang w:bidi="ar-SA"/>
        </w:rPr>
        <w:t>مَن لا يَعلَمُه و إن كانَ لِمَن وَلَّوه و استَكفَوه سَبيلٌ إلىٰ عِلمِه؛ لأنّ المعتبَرَ عندَهم كَونُ الموَلّىٰ عالِماً بما</w:t>
      </w:r>
      <w:r>
        <w:rPr>
          <w:rStyle w:val="FootnoteAnchor"/>
          <w:rtl w:val="true"/>
        </w:rPr>
        <w:footnoteReference w:id="1923"/>
      </w:r>
      <w:r>
        <w:rPr>
          <w:rFonts w:ascii="Amiri" w:hAnsi="Amiri" w:eastAsia="Amiri" w:cs="Amiri"/>
          <w:color w:val="111111"/>
          <w:sz w:val="28"/>
          <w:sz w:val="28"/>
          <w:szCs w:val="28"/>
          <w:rtl w:val="true"/>
          <w:lang w:bidi="ar-SA"/>
        </w:rPr>
        <w:t xml:space="preserve">وَلِيَ </w:t>
      </w:r>
    </w:p>
    <w:p>
      <w:pPr>
        <w:pStyle w:val="BookText"/>
        <w:rPr/>
      </w:pPr>
      <w:r>
        <w:rPr>
          <w:rFonts w:ascii="Amiri" w:hAnsi="Amiri" w:eastAsia="Amiri" w:cs="Amiri"/>
          <w:color w:val="111111"/>
          <w:sz w:val="28"/>
          <w:sz w:val="28"/>
          <w:szCs w:val="28"/>
          <w:rtl w:val="true"/>
          <w:lang w:bidi="ar-SA"/>
        </w:rPr>
        <w:t xml:space="preserve">و مُضطَلِعاً به، و لا معتبَرَ بإمكانِ تعلُّمِه و كَونِه مُخَلًّى بَينَه و بَينَ طريقِ العِلمِ ؛ لأنّ ذلكَ و إن كانَ حاصلاً فلا يُخرِجُ </w:t>
      </w:r>
      <w:r>
        <w:rPr>
          <w:rStyle w:val="FootnoteAnchor"/>
          <w:rtl w:val="true"/>
        </w:rPr>
        <w:footnoteReference w:id="1924"/>
      </w:r>
      <w:r>
        <w:rPr>
          <w:rFonts w:ascii="Amiri" w:hAnsi="Amiri" w:eastAsia="Amiri" w:cs="Amiri"/>
          <w:color w:val="111111"/>
          <w:sz w:val="28"/>
          <w:sz w:val="28"/>
          <w:szCs w:val="28"/>
          <w:rtl w:val="true"/>
          <w:lang w:bidi="ar-SA"/>
        </w:rPr>
        <w:t xml:space="preserve">وِلايتَه مِن أن تَكونَ </w:t>
      </w:r>
      <w:r>
        <w:rPr>
          <w:rStyle w:val="FootnoteAnchor"/>
          <w:rtl w:val="true"/>
        </w:rPr>
        <w:footnoteReference w:id="1925"/>
      </w:r>
      <w:r>
        <w:rPr>
          <w:rFonts w:ascii="Amiri" w:hAnsi="Amiri" w:eastAsia="Amiri" w:cs="Amiri"/>
          <w:color w:val="111111"/>
          <w:sz w:val="28"/>
          <w:sz w:val="28"/>
          <w:szCs w:val="28"/>
          <w:rtl w:val="true"/>
          <w:lang w:bidi="ar-SA"/>
        </w:rPr>
        <w:t>قَبيحةً إذا كانَ فاقداً للعِلمِ بما 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إذا أرادَ أن يَستَوزِرَ بعضَ أصحابِه و يَستكفيَه تدبيرَ جُيوشِه و مَملَكتِه، فلا بُدَّ أن يَختارَ لِذلكَ مَن يَثِقُ مِنه بالمعرفةِ و الاضطِلاعِ‌، حتّىٰ أنّه رُبَّما جرَّبَه في بعضِ ما يشُكُّ‌</w:t>
      </w:r>
      <w:r>
        <w:rPr>
          <w:rStyle w:val="FootnoteAnchor"/>
          <w:rtl w:val="true"/>
        </w:rPr>
        <w:footnoteReference w:id="1926"/>
      </w:r>
      <w:r>
        <w:rPr>
          <w:rFonts w:ascii="Amiri" w:hAnsi="Amiri" w:eastAsia="Amiri" w:cs="Amiri"/>
          <w:color w:val="111111"/>
          <w:sz w:val="28"/>
          <w:sz w:val="28"/>
          <w:szCs w:val="28"/>
          <w:rtl w:val="true"/>
          <w:lang w:bidi="ar-SA"/>
        </w:rPr>
        <w:t>فيه مِن حالِه، و فيما لا يَكونُ واثِقاً بمعرفتِه به و اضطِلاعِه</w:t>
      </w:r>
      <w:r>
        <w:rPr>
          <w:rStyle w:val="FootnoteAnchor"/>
          <w:rtl w:val="true"/>
        </w:rPr>
        <w:footnoteReference w:id="192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يفوِّضَ أمرَ وِزارَتِه و</w:t>
      </w:r>
      <w:r>
        <w:rPr>
          <w:rStyle w:val="FootnoteAnchor"/>
          <w:rtl w:val="true"/>
        </w:rPr>
        <w:footnoteReference w:id="1928"/>
      </w:r>
      <w:r>
        <w:rPr>
          <w:rFonts w:ascii="Amiri" w:hAnsi="Amiri" w:eastAsia="Amiri" w:cs="Amiri"/>
          <w:color w:val="111111"/>
          <w:sz w:val="28"/>
          <w:sz w:val="28"/>
          <w:szCs w:val="28"/>
          <w:rtl w:val="true"/>
          <w:lang w:bidi="ar-SA"/>
        </w:rPr>
        <w:t>تدبيرَ أُمورِه و سياسةَ جُندِه إلىٰ مَن لا عِلمَ له بشيءٍ مِن ذلكَ‌، لكِنّه ممّن يَتمكَّنُ مِن التعلُّمِ و التعرُّفِ ، و لا</w:t>
      </w:r>
    </w:p>
    <w:p>
      <w:pPr>
        <w:pStyle w:val="BookText"/>
        <w:rPr/>
      </w:pPr>
      <w:r>
        <w:rPr>
          <w:rFonts w:ascii="Amiri" w:hAnsi="Amiri" w:eastAsia="Amiri" w:cs="Amiri"/>
          <w:color w:val="111111"/>
          <w:sz w:val="28"/>
          <w:sz w:val="28"/>
          <w:szCs w:val="28"/>
          <w:rtl w:val="true"/>
          <w:lang w:bidi="ar-SA"/>
        </w:rPr>
        <w:t xml:space="preserve">حائلَ بَينَه و بَينَ البحثِ و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استَكفَى المَلِكُ مَن هذه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1929"/>
      </w:r>
      <w:r>
        <w:rPr>
          <w:rFonts w:ascii="Amiri" w:hAnsi="Amiri" w:eastAsia="Amiri" w:cs="Amiri"/>
          <w:color w:val="111111"/>
          <w:sz w:val="28"/>
          <w:sz w:val="28"/>
          <w:szCs w:val="28"/>
          <w:rtl w:val="true"/>
          <w:lang w:bidi="ar-SA"/>
        </w:rPr>
        <w:t xml:space="preserve">فَقدَ العِلمِ و الاضطِلاعِ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مقبَّحاً مُهمِلاً لأمرِ وِزارتِه</w:t>
      </w:r>
      <w:r>
        <w:rPr>
          <w:rStyle w:val="FootnoteAnchor"/>
          <w:rtl w:val="true"/>
        </w:rPr>
        <w:footnoteReference w:id="1930"/>
      </w:r>
      <w:r>
        <w:rPr>
          <w:rFonts w:ascii="Amiri" w:hAnsi="Amiri" w:eastAsia="Amiri" w:cs="Amiri"/>
          <w:color w:val="111111"/>
          <w:sz w:val="28"/>
          <w:sz w:val="28"/>
          <w:szCs w:val="28"/>
          <w:rtl w:val="true"/>
          <w:lang w:bidi="ar-SA"/>
        </w:rPr>
        <w:t>، واضِعاً لها في غَيرِ مَوضِعِها، و استَحقَّ مِن جميعِ العُقَلاءِ نِهايةَ اللَّومِ له</w:t>
      </w:r>
      <w:r>
        <w:rPr>
          <w:rStyle w:val="FootnoteAnchor"/>
          <w:rtl w:val="true"/>
        </w:rPr>
        <w:footnoteReference w:id="1931"/>
      </w:r>
      <w:r>
        <w:rPr>
          <w:rFonts w:ascii="Amiri" w:hAnsi="Amiri" w:eastAsia="Amiri" w:cs="Amiri"/>
          <w:color w:val="111111"/>
          <w:sz w:val="28"/>
          <w:sz w:val="28"/>
          <w:szCs w:val="28"/>
          <w:rtl w:val="true"/>
          <w:lang w:bidi="ar-SA"/>
        </w:rPr>
        <w:t>و الإزراءِ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حُكمُ كُلِّ واحدٍ مِنّا مع مَن يَستَكفيهِ مُهِمّاً مِن أُمورِه؛ فإنّه لا يَجوزُ أن يفوِّضَ أحَدُنا ما يُريدُ أن يَصنَعَه إلىٰ مَن لا معرفةَ له</w:t>
      </w:r>
      <w:r>
        <w:rPr>
          <w:rStyle w:val="FootnoteAnchor"/>
          <w:rtl w:val="true"/>
        </w:rPr>
        <w:footnoteReference w:id="1932"/>
      </w:r>
      <w:r>
        <w:rPr>
          <w:rFonts w:ascii="Amiri" w:hAnsi="Amiri" w:eastAsia="Amiri" w:cs="Amiri"/>
          <w:color w:val="111111"/>
          <w:sz w:val="28"/>
          <w:sz w:val="28"/>
          <w:szCs w:val="28"/>
          <w:rtl w:val="true"/>
          <w:lang w:bidi="ar-SA"/>
        </w:rPr>
        <w:t>بتلكَ الصِّناعةِ ، لكِنّه يَتمكَّنُ مِن تعرُّفِها</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و تعلُّمِها، و كُلُّ مَن رأَيناه فاعلاً لذلكَ عَدَدناه في جُملةِ السُّفَهاءِ‌</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فيما اعتَبَرناه بَينَ فَقدِ المُستَكفىٰ للعِلمِ بجميعِ ما أُسنِدَ إليه، و بَينَ فَقدِه للعِلمِ ببعضِه؛ لأنّ العِلّةَ التي لها قَبَّحَ العُقَلاءُ‌</w:t>
      </w:r>
      <w:r>
        <w:rPr>
          <w:rStyle w:val="FootnoteAnchor"/>
          <w:rtl w:val="true"/>
        </w:rPr>
        <w:footnoteReference w:id="1935"/>
      </w:r>
      <w:r>
        <w:rPr>
          <w:rFonts w:ascii="Amiri" w:hAnsi="Amiri" w:eastAsia="Amiri" w:cs="Amiri"/>
          <w:color w:val="111111"/>
          <w:sz w:val="28"/>
          <w:sz w:val="28"/>
          <w:szCs w:val="28"/>
          <w:rtl w:val="true"/>
          <w:lang w:bidi="ar-SA"/>
        </w:rPr>
        <w:t>وِلايةَ الشيءِ مَن لا يَعلَمُ جميعَه هي فَقدُه للعِلمِ بما تَولّاه، و هذه العِلّةُ قائمةٌ في البعضِ‌؛ لأنّه إذا كانَ حُكمُ البعضِ حُكمَ الكُلِّ في الوِلايةِ و الاستكفاءِ‌، ففَقدُ الموَلّىٰ للعِلمِ بالبعضِ كفَقدِه للعِلمِ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يشُكُّ العُقَلاءُ في أنّ بعضَ المُلوكِ لَو وَلّىٰ وِزارتَه أو كِتابتَه مَن لا يَعلَمُ أكثَرَ أحكامِ الكِتابةِ و الوِزارةِ أو شَطرَها</w:t>
      </w:r>
      <w:r>
        <w:rPr>
          <w:rStyle w:val="FootnoteAnchor"/>
          <w:rtl w:val="true"/>
        </w:rPr>
        <w:footnoteReference w:id="1936"/>
      </w:r>
      <w:r>
        <w:rPr>
          <w:rFonts w:ascii="Amiri" w:hAnsi="Amiri" w:eastAsia="Amiri" w:cs="Amiri"/>
          <w:color w:val="111111"/>
          <w:sz w:val="28"/>
          <w:sz w:val="28"/>
          <w:szCs w:val="28"/>
          <w:rtl w:val="true"/>
          <w:lang w:bidi="ar-SA"/>
        </w:rPr>
        <w:t>، لَكانَ حُكمُه في فِعلِ القَبيحِ حُكمَ مَن وَلّىٰ وِزارتَه مَن لا يَعلَمُ شَيئاً مِنها، و كذلكَ القَولُ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تَجري</w:t>
      </w:r>
      <w:r>
        <w:rPr>
          <w:rStyle w:val="FootnoteAnchor"/>
          <w:rtl w:val="true"/>
        </w:rPr>
        <w:footnoteReference w:id="1937"/>
      </w:r>
      <w:r>
        <w:rPr>
          <w:rFonts w:ascii="Amiri" w:hAnsi="Amiri" w:eastAsia="Amiri" w:cs="Amiri"/>
          <w:color w:val="111111"/>
          <w:sz w:val="28"/>
          <w:sz w:val="28"/>
          <w:szCs w:val="28"/>
          <w:rtl w:val="true"/>
          <w:lang w:bidi="ar-SA"/>
        </w:rPr>
        <w:t>الوِلايةُ و الاستكفاءُ مَجرَى التكليفِ‌؛ فإنّ تكليفَ الشيءِ مَن لا يَعلَمُه</w:t>
      </w:r>
      <w:r>
        <w:rPr>
          <w:rStyle w:val="FootnoteAnchor"/>
          <w:rtl w:val="true"/>
        </w:rPr>
        <w:footnoteReference w:id="1938"/>
      </w:r>
      <w:r>
        <w:rPr>
          <w:rFonts w:ascii="Amiri" w:hAnsi="Amiri" w:eastAsia="Amiri" w:cs="Amiri"/>
          <w:color w:val="111111"/>
          <w:sz w:val="28"/>
          <w:sz w:val="28"/>
          <w:szCs w:val="28"/>
          <w:rtl w:val="true"/>
          <w:lang w:bidi="ar-SA"/>
        </w:rPr>
        <w:t>إذا كانَ له سَبيلٌ إلىٰ عِلمِه حَسَنٌ‌، و وِلايتَه و استكفاءَ أمرِه مَن لا يَعلَمُه</w:t>
      </w:r>
      <w:r>
        <w:rPr>
          <w:rStyle w:val="FootnoteAnchor"/>
          <w:rtl w:val="true"/>
        </w:rPr>
        <w:footnoteReference w:id="1939"/>
      </w:r>
      <w:r>
        <w:rPr>
          <w:rFonts w:ascii="Amiri" w:hAnsi="Amiri" w:eastAsia="Amiri" w:cs="Amiri"/>
          <w:color w:val="111111"/>
          <w:sz w:val="28"/>
          <w:sz w:val="28"/>
          <w:szCs w:val="28"/>
          <w:rtl w:val="true"/>
          <w:lang w:bidi="ar-SA"/>
        </w:rPr>
        <w:t xml:space="preserve">قَبيحانِ </w:t>
      </w:r>
      <w:r>
        <w:rPr>
          <w:rStyle w:val="FootnoteAnchor"/>
          <w:rtl w:val="true"/>
        </w:rPr>
        <w:footnoteReference w:id="1940"/>
      </w:r>
      <w:r>
        <w:rPr>
          <w:rFonts w:ascii="Amiri" w:hAnsi="Amiri" w:eastAsia="Amiri" w:cs="Amiri"/>
          <w:color w:val="111111"/>
          <w:sz w:val="28"/>
          <w:sz w:val="28"/>
          <w:szCs w:val="28"/>
          <w:rtl w:val="true"/>
          <w:lang w:bidi="ar-SA"/>
        </w:rPr>
        <w:t xml:space="preserve">و إن كانَ الموَلّىٰ مُتمكِّناً مِن أن يَعلَمَ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لِلفَرقِ أيضاً بَينَ الأمرَينِ مِثالٌ في الشاهدِ؛ لأنّ أحَدَنا يَحسُنُ مِنه أن يُكلِّفَ بعضَ غِلمانِه أو أحَدَ أولادِه</w:t>
      </w:r>
      <w:r>
        <w:rPr>
          <w:rStyle w:val="FootnoteAnchor"/>
          <w:rtl w:val="true"/>
        </w:rPr>
        <w:footnoteReference w:id="1941"/>
      </w:r>
      <w:r>
        <w:rPr>
          <w:rFonts w:ascii="Amiri" w:hAnsi="Amiri" w:eastAsia="Amiri" w:cs="Amiri"/>
          <w:color w:val="111111"/>
          <w:sz w:val="28"/>
          <w:sz w:val="28"/>
          <w:szCs w:val="28"/>
          <w:rtl w:val="true"/>
          <w:lang w:bidi="ar-SA"/>
        </w:rPr>
        <w:t xml:space="preserve">عِلمَ </w:t>
      </w:r>
      <w:r>
        <w:rPr>
          <w:rStyle w:val="FootnoteAnchor"/>
          <w:rtl w:val="true"/>
        </w:rPr>
        <w:footnoteReference w:id="1942"/>
      </w:r>
      <w:r>
        <w:rPr>
          <w:rFonts w:ascii="Amiri" w:hAnsi="Amiri" w:eastAsia="Amiri" w:cs="Amiri"/>
          <w:color w:val="111111"/>
          <w:sz w:val="28"/>
          <w:sz w:val="28"/>
          <w:szCs w:val="28"/>
          <w:rtl w:val="true"/>
          <w:lang w:bidi="ar-SA"/>
        </w:rPr>
        <w:t xml:space="preserve">بعضِ الصِّناعاتِ إذا كانَ مُتمكِّناً مِن الوصولِ </w:t>
      </w:r>
      <w:bookmarkStart w:id="345" w:name="pg20015_284955"/>
    </w:p>
    <w:p>
      <w:pPr>
        <w:pStyle w:val="BookText"/>
        <w:rPr/>
      </w:pPr>
      <w:bookmarkEnd w:id="345"/>
      <w:r>
        <w:rPr>
          <w:rFonts w:ascii="Amiri" w:hAnsi="Amiri" w:eastAsia="Amiri" w:cs="Amiri"/>
          <w:color w:val="111111"/>
          <w:sz w:val="28"/>
          <w:sz w:val="28"/>
          <w:szCs w:val="28"/>
          <w:rtl w:val="true"/>
          <w:lang w:bidi="ar-SA"/>
        </w:rPr>
        <w:t>إلَى العِلمِ بها، و لا يَحسُنُ مِنه أن يوَلّيَه صِناعةً و يَجعلَه رئيساً فيها و قُدوةً و هو لا</w:t>
      </w:r>
    </w:p>
    <w:p>
      <w:pPr>
        <w:pStyle w:val="BookText"/>
        <w:rPr/>
      </w:pPr>
      <w:r>
        <w:rPr>
          <w:rFonts w:ascii="Amiri" w:hAnsi="Amiri" w:eastAsia="Amiri" w:cs="Amiri"/>
          <w:color w:val="111111"/>
          <w:sz w:val="28"/>
          <w:sz w:val="28"/>
          <w:szCs w:val="28"/>
          <w:rtl w:val="true"/>
          <w:lang w:bidi="ar-SA"/>
        </w:rPr>
        <w:t>يُحسِنُها أو</w:t>
      </w:r>
      <w:r>
        <w:rPr>
          <w:rStyle w:val="FootnoteAnchor"/>
          <w:rtl w:val="true"/>
        </w:rPr>
        <w:footnoteReference w:id="1943"/>
      </w:r>
      <w:r>
        <w:rPr>
          <w:rFonts w:ascii="Amiri" w:hAnsi="Amiri" w:eastAsia="Amiri" w:cs="Amiri"/>
          <w:color w:val="111111"/>
          <w:sz w:val="28"/>
          <w:sz w:val="28"/>
          <w:szCs w:val="28"/>
          <w:rtl w:val="true"/>
          <w:lang w:bidi="ar-SA"/>
        </w:rPr>
        <w:t>لا يُحسِنُ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اعتذارَ مَن عَدَلَ عن وِلايةِ غَيرِه أمراً مِن الأُمورِ بأنّه لا يَعلَمُه و لا يُحسِنُه واضِحٌ واقِعٌ مَوقِعَه عندَ العُقَلاءِ‌، كما أنّ اعتذارَه في العُدولِ عنه بأنّه لا يَقدِرُ علىٰ ما عُدِلَ فيه عنه</w:t>
      </w:r>
      <w:r>
        <w:rPr>
          <w:rStyle w:val="FootnoteAnchor"/>
          <w:rtl w:val="true"/>
        </w:rPr>
        <w:footnoteReference w:id="1944"/>
      </w:r>
      <w:r>
        <w:rPr>
          <w:rFonts w:ascii="Amiri" w:hAnsi="Amiri" w:eastAsia="Amiri" w:cs="Amiri"/>
          <w:color w:val="111111"/>
          <w:sz w:val="28"/>
          <w:sz w:val="28"/>
          <w:szCs w:val="28"/>
          <w:rtl w:val="true"/>
          <w:lang w:bidi="ar-SA"/>
        </w:rPr>
        <w:t>أيضاً صحيحٌ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وِلايةَ الشيءِ مَن لا يَعلَمُه قَبيحةٌ غَيرُ جائزةٍ ، لَم يَحسُنِ الاعتذارُ بأنّه لا يُحسِنُ و لا يَعلَمُ ، كما لا يَحسُنُ الاعتذارُ بغَيرِ ذلك ممّا لا تأثيرَ له في قُبحِ الوِلايةِ ؛ كالهَيئةِ و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إمامٌ فيما عَلِمَه مِن الأحكامِ ، دونَ ما لَم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يَطعَنَ بذلكَ فيما اعتَمَدناه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الإجماعَ يَمنَعُ مِن ذلكَ‌، و لا خِلافَ في أنّ الإمامَ إمامٌ في سائرِ الدِّينِ و إنِ اختُلِفَ في تأويلِ معنَى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بَنَينا الكلامَ في الدَّلالةِ علىٰ وجوبِ كَونِه عالِماً بجميعِ الأحكامِ ، علىٰ كَونِه إماماً في سائرِ الدِّينِ ، و لَو جازَ أن يَكونَ إماماً في بعضٍ مِن</w:t>
      </w:r>
      <w:r>
        <w:rPr>
          <w:rStyle w:val="FootnoteAnchor"/>
          <w:rtl w:val="true"/>
        </w:rPr>
        <w:footnoteReference w:id="1945"/>
      </w:r>
      <w:r>
        <w:rPr>
          <w:rFonts w:ascii="Amiri" w:hAnsi="Amiri" w:eastAsia="Amiri" w:cs="Amiri"/>
          <w:color w:val="111111"/>
          <w:sz w:val="28"/>
          <w:sz w:val="28"/>
          <w:szCs w:val="28"/>
          <w:rtl w:val="true"/>
          <w:lang w:bidi="ar-SA"/>
        </w:rPr>
        <w:t>الدِّينِ دونَ بعضٍ ، لَم يَجِبْ عندَنا أن يَكونَ عالِماً بالبعضِ الذي لَيسَ هو إماماً فيه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894963_2320776876"/>
      <w:bookmarkStart w:id="347" w:name="_Toc123"/>
      <w:bookmarkEnd w:id="346"/>
      <w:r>
        <w:rPr>
          <w:rtl w:val="true"/>
        </w:rPr>
        <w:t>الدليل الثاني</w:t>
      </w:r>
      <w:bookmarkEnd w:id="3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w:t>
      </w:r>
      <w:r>
        <w:rPr>
          <w:rStyle w:val="FootnoteAnchor"/>
          <w:rtl w:val="true"/>
        </w:rPr>
        <w:footnoteReference w:id="1947"/>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قد ثَبَتَ كَونُه حُجّةً في الدِّينِ و حافِظاً </w:t>
      </w:r>
    </w:p>
    <w:p>
      <w:pPr>
        <w:pStyle w:val="BookText"/>
        <w:rPr/>
      </w:pPr>
      <w:r>
        <w:rPr>
          <w:rFonts w:ascii="Amiri" w:hAnsi="Amiri" w:eastAsia="Amiri" w:cs="Amiri"/>
          <w:color w:val="111111"/>
          <w:sz w:val="28"/>
          <w:sz w:val="28"/>
          <w:szCs w:val="28"/>
          <w:rtl w:val="true"/>
          <w:lang w:bidi="ar-SA"/>
        </w:rPr>
        <w:t>للشرعِ‌، بما تقدَّمَ مِن الأدلّةِ‌</w:t>
      </w:r>
      <w:r>
        <w:rPr>
          <w:rStyle w:val="FootnoteAnchor"/>
          <w:rtl w:val="true"/>
        </w:rPr>
        <w:footnoteReference w:id="1948"/>
      </w:r>
      <w:r>
        <w:rPr>
          <w:rFonts w:ascii="Amiri" w:hAnsi="Amiri" w:eastAsia="Amiri" w:cs="Amiri"/>
          <w:color w:val="111111"/>
          <w:sz w:val="28"/>
          <w:sz w:val="28"/>
          <w:szCs w:val="28"/>
          <w:rtl w:val="true"/>
          <w:lang w:bidi="ar-SA"/>
        </w:rPr>
        <w:t>، فلَو جَوَّزنا ذَهابَ بعضِ الأحكامِ عنه، لَقَدَحَ ذلكَ‌</w:t>
      </w:r>
      <w:r>
        <w:rPr>
          <w:rStyle w:val="FootnoteAnchor"/>
          <w:rtl w:val="true"/>
        </w:rPr>
        <w:footnoteReference w:id="1949"/>
      </w:r>
      <w:r>
        <w:rPr>
          <w:rFonts w:ascii="Amiri" w:hAnsi="Amiri" w:eastAsia="Amiri" w:cs="Amiri"/>
          <w:color w:val="111111"/>
          <w:sz w:val="28"/>
          <w:sz w:val="28"/>
          <w:szCs w:val="28"/>
          <w:rtl w:val="true"/>
          <w:lang w:bidi="ar-SA"/>
        </w:rPr>
        <w:t xml:space="preserve">في كَونِه حُجّةً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نأمَنُ أن يَكونَ ما ذهَبَ عنه مِن أمرِ الدِّينِ و لَم يَكُن عالِماً به، ممّا اتّفَقَ للأُمّةِ كِتمانُه و الإعراضُ عن نَقلِه و أدائِه؛ لأنّا قد دَلَّلنا فيما مضىٰ مِن الكتابِ علىٰ جَوازِ ذلكَ عَلَيها، و إذا كُنّا إنّما نَفزَعُ فيما يَجوزُ عَلَيها مِن الكِتمانِ إلىٰ بَيانِ الإمامِ و استدراكِه</w:t>
      </w:r>
      <w:r>
        <w:rPr>
          <w:rStyle w:val="FootnoteAnchor"/>
          <w:rtl w:val="true"/>
        </w:rPr>
        <w:footnoteReference w:id="1950"/>
      </w:r>
      <w:r>
        <w:rPr>
          <w:rFonts w:ascii="Amiri" w:hAnsi="Amiri" w:eastAsia="Amiri" w:cs="Amiri"/>
          <w:color w:val="111111"/>
          <w:sz w:val="28"/>
          <w:sz w:val="28"/>
          <w:szCs w:val="28"/>
          <w:rtl w:val="true"/>
          <w:lang w:bidi="ar-SA"/>
        </w:rPr>
        <w:t xml:space="preserve">عَلَيها، فمتىٰ جَوَّزنا علَى الإمامِ أن يَذهَبَ عنه بعضُ الأحكامِ ، ارتَفَعَت ثِقَتُنا بوصولِ جميعِ الشرعِ إلينا، و هذا قادحٌ في كَونِ الإمامِ حُجّةً بلا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ذَهابِ بعضِ الدِّينِ عنه و إشكالِ بعضِ الأحكامِ عَلَيه منفِّرٌ عن قَبولِ قَولِه و الانقيادِ له، و ما نفَّرَ</w:t>
      </w:r>
      <w:r>
        <w:rPr>
          <w:rStyle w:val="FootnoteAnchor"/>
          <w:rtl w:val="true"/>
        </w:rPr>
        <w:footnoteReference w:id="1951"/>
      </w:r>
      <w:r>
        <w:rPr>
          <w:rFonts w:ascii="Amiri" w:hAnsi="Amiri" w:eastAsia="Amiri" w:cs="Amiri"/>
          <w:color w:val="111111"/>
          <w:sz w:val="28"/>
          <w:sz w:val="28"/>
          <w:szCs w:val="28"/>
          <w:rtl w:val="true"/>
          <w:lang w:bidi="ar-SA"/>
        </w:rPr>
        <w:t xml:space="preserve">عن قَبولِ قَولِه قادحٌ في كَونِه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ما ذَكرتموه غَيرُ منفِّرٍ، فيَجِبُ أن تدُلّوا</w:t>
      </w:r>
      <w:r>
        <w:rPr>
          <w:rStyle w:val="FootnoteAnchor"/>
          <w:rtl w:val="true"/>
        </w:rPr>
        <w:footnoteReference w:id="1952"/>
      </w:r>
      <w:r>
        <w:rPr>
          <w:rFonts w:ascii="Amiri" w:hAnsi="Amiri" w:eastAsia="Amiri" w:cs="Amiri"/>
          <w:color w:val="111111"/>
          <w:sz w:val="28"/>
          <w:sz w:val="28"/>
          <w:szCs w:val="28"/>
          <w:rtl w:val="true"/>
          <w:lang w:bidi="ar-SA"/>
        </w:rPr>
        <w:t xml:space="preserve">علىٰ كَونِه مُنفِّراً؛ و ما تُنكِرونَ </w:t>
      </w:r>
      <w:r>
        <w:rPr>
          <w:rStyle w:val="FootnoteAnchor"/>
          <w:rtl w:val="true"/>
        </w:rPr>
        <w:footnoteReference w:id="1953"/>
      </w:r>
      <w:r>
        <w:rPr>
          <w:rFonts w:ascii="Amiri" w:hAnsi="Amiri" w:eastAsia="Amiri" w:cs="Amiri"/>
          <w:color w:val="111111"/>
          <w:sz w:val="28"/>
          <w:sz w:val="28"/>
          <w:szCs w:val="28"/>
          <w:rtl w:val="true"/>
          <w:lang w:bidi="ar-SA"/>
        </w:rPr>
        <w:t>علىٰ مَن قالَ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ذَكرتموه لَو كانَ منفِّراً لَوَجَبَ أن لا يَصِحَّ ممّن جوَّزَه علَى الإمامِ قَبولُ قَولِه و الانقيادُ له، و في العِلمِ بأنّ مَن جوَّزَ ما ذَكرتموه يَصِحُّ أن يَنقادَ له و يَمتَثِلَ </w:t>
      </w:r>
      <w:r>
        <w:rPr>
          <w:rStyle w:val="FootnoteAnchor"/>
          <w:rtl w:val="true"/>
        </w:rPr>
        <w:footnoteReference w:id="1954"/>
      </w:r>
      <w:r>
        <w:rPr>
          <w:rFonts w:ascii="Amiri" w:hAnsi="Amiri" w:eastAsia="Amiri" w:cs="Amiri"/>
          <w:color w:val="111111"/>
          <w:sz w:val="28"/>
          <w:sz w:val="28"/>
          <w:szCs w:val="28"/>
          <w:rtl w:val="true"/>
          <w:lang w:bidi="ar-SA"/>
        </w:rPr>
        <w:t>أمرَه دَلالةٌ علىٰ بُطلانِ ما اعتَبَرتموه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لَم نَعنِ بالتنفيرِ</w:t>
      </w:r>
      <w:r>
        <w:rPr>
          <w:rStyle w:val="FootnoteAnchor"/>
          <w:rtl w:val="true"/>
        </w:rPr>
        <w:footnoteReference w:id="1955"/>
      </w:r>
      <w:r>
        <w:rPr>
          <w:rFonts w:ascii="Amiri" w:hAnsi="Amiri" w:eastAsia="Amiri" w:cs="Amiri"/>
          <w:color w:val="111111"/>
          <w:sz w:val="28"/>
          <w:sz w:val="28"/>
          <w:szCs w:val="28"/>
          <w:rtl w:val="true"/>
          <w:lang w:bidi="ar-SA"/>
        </w:rPr>
        <w:t xml:space="preserve">ما يَمنَعُ مِن قَبولِ القَولِ و يَرفَعُ صحّةَ الانقيادِ، و لَيسَ هذا </w:t>
      </w:r>
    </w:p>
    <w:p>
      <w:pPr>
        <w:pStyle w:val="BookText"/>
        <w:rPr/>
      </w:pPr>
      <w:r>
        <w:rPr>
          <w:rFonts w:ascii="Amiri" w:hAnsi="Amiri" w:eastAsia="Amiri" w:cs="Amiri"/>
          <w:color w:val="111111"/>
          <w:sz w:val="28"/>
          <w:sz w:val="28"/>
          <w:szCs w:val="28"/>
          <w:rtl w:val="true"/>
          <w:lang w:bidi="ar-SA"/>
        </w:rPr>
        <w:t>مُرادَ أحَدٍ مِن المحصِّلينَ بذِكرِ التنفيرِ في المَواضعِ التي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أرَدناه أنّ رَعيّةَ الإمامِ لا يَكونونَ عندَ تجويزِهم عَلَيه الجَهلَ ببعضِ الدِّينِ و شَطرِه في السُّكونِ إلىٰ قَولِه و الانقيادِ له</w:t>
      </w:r>
      <w:r>
        <w:rPr>
          <w:rStyle w:val="FootnoteAnchor"/>
          <w:rtl w:val="true"/>
        </w:rPr>
        <w:footnoteReference w:id="1956"/>
      </w:r>
      <w:r>
        <w:rPr>
          <w:rFonts w:ascii="Amiri" w:hAnsi="Amiri" w:eastAsia="Amiri" w:cs="Amiri"/>
          <w:color w:val="111111"/>
          <w:sz w:val="28"/>
          <w:sz w:val="28"/>
          <w:szCs w:val="28"/>
          <w:rtl w:val="true"/>
          <w:lang w:bidi="ar-SA"/>
        </w:rPr>
        <w:t>و الانتهاءِ إلىٰ أوامرِه</w:t>
      </w:r>
      <w:r>
        <w:rPr>
          <w:rStyle w:val="FootnoteAnchor"/>
          <w:rtl w:val="true"/>
        </w:rPr>
        <w:footnoteReference w:id="1957"/>
      </w:r>
      <w:r>
        <w:rPr>
          <w:rFonts w:ascii="Amiri" w:hAnsi="Amiri" w:eastAsia="Amiri" w:cs="Amiri"/>
          <w:color w:val="111111"/>
          <w:sz w:val="28"/>
          <w:sz w:val="28"/>
          <w:szCs w:val="28"/>
          <w:rtl w:val="true"/>
          <w:lang w:bidi="ar-SA"/>
        </w:rPr>
        <w:t>، كَهُم</w:t>
      </w:r>
      <w:r>
        <w:rPr>
          <w:rStyle w:val="FootnoteAnchor"/>
          <w:rtl w:val="true"/>
        </w:rPr>
        <w:footnoteReference w:id="1958"/>
      </w:r>
      <w:r>
        <w:rPr>
          <w:rFonts w:ascii="Amiri" w:hAnsi="Amiri" w:eastAsia="Amiri" w:cs="Amiri"/>
          <w:color w:val="111111"/>
          <w:sz w:val="28"/>
          <w:sz w:val="28"/>
          <w:szCs w:val="28"/>
          <w:rtl w:val="true"/>
          <w:lang w:bidi="ar-SA"/>
        </w:rPr>
        <w:t>إذا لَم يجوِّزوا ذلكَ عَلَيه، و اعتَقَدوا أنّه عالِمٌ بجميعِ ما هو 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أنّه لا فَرقَ بَينَ الحالَينِ فيما يَقتَضي السُّكونَ و القُربَ مِن القَبولِ كانَ مُكابِراً لعقلِه، و مَن ادَّعىٰ أنّهم في الحالَينِ معاً يَصِحُّ مِنهم القَبولُ و الانقيادُ و لا يُنكِرُ</w:t>
      </w:r>
      <w:r>
        <w:rPr>
          <w:rStyle w:val="FootnoteAnchor"/>
          <w:rtl w:val="true"/>
        </w:rPr>
        <w:footnoteReference w:id="1959"/>
      </w:r>
      <w:r>
        <w:rPr>
          <w:rFonts w:ascii="Amiri" w:hAnsi="Amiri" w:eastAsia="Amiri" w:cs="Amiri"/>
          <w:color w:val="111111"/>
          <w:sz w:val="28"/>
          <w:sz w:val="28"/>
          <w:szCs w:val="28"/>
          <w:rtl w:val="true"/>
          <w:lang w:bidi="ar-SA"/>
        </w:rPr>
        <w:t>وقوعَهما</w:t>
      </w:r>
      <w:r>
        <w:rPr>
          <w:rStyle w:val="FootnoteAnchor"/>
          <w:rtl w:val="true"/>
        </w:rPr>
        <w:footnoteReference w:id="1960"/>
      </w:r>
      <w:r>
        <w:rPr>
          <w:rFonts w:ascii="Amiri" w:hAnsi="Amiri" w:eastAsia="Amiri" w:cs="Amiri"/>
          <w:color w:val="111111"/>
          <w:sz w:val="28"/>
          <w:sz w:val="28"/>
          <w:szCs w:val="28"/>
          <w:rtl w:val="true"/>
          <w:lang w:bidi="ar-SA"/>
        </w:rPr>
        <w:t>مِن جهتِهم كانَ مُحِقّاً إلّاأنّه</w:t>
      </w:r>
      <w:r>
        <w:rPr>
          <w:rStyle w:val="FootnoteAnchor"/>
          <w:rtl w:val="true"/>
        </w:rPr>
        <w:footnoteReference w:id="1961"/>
      </w:r>
      <w:r>
        <w:rPr>
          <w:rFonts w:ascii="Amiri" w:hAnsi="Amiri" w:eastAsia="Amiri" w:cs="Amiri"/>
          <w:color w:val="111111"/>
          <w:sz w:val="28"/>
          <w:sz w:val="28"/>
          <w:szCs w:val="28"/>
          <w:rtl w:val="true"/>
          <w:lang w:bidi="ar-SA"/>
        </w:rPr>
        <w:t xml:space="preserve">غَيرُ طاعنٍ علىٰ كلامِنا؛ لأنّا لَم نُرِدْ بالتنفيرِ رَفْعَ </w:t>
      </w:r>
      <w:r>
        <w:rPr>
          <w:rStyle w:val="FootnoteAnchor"/>
          <w:rtl w:val="true"/>
        </w:rPr>
        <w:footnoteReference w:id="1962"/>
      </w:r>
      <w:r>
        <w:rPr>
          <w:rFonts w:ascii="Amiri" w:hAnsi="Amiri" w:eastAsia="Amiri" w:cs="Amiri"/>
          <w:color w:val="111111"/>
          <w:sz w:val="28"/>
          <w:sz w:val="28"/>
          <w:szCs w:val="28"/>
          <w:rtl w:val="true"/>
          <w:lang w:bidi="ar-SA"/>
        </w:rPr>
        <w:t>الإمكانِ و الصحّةِ ، و إنّما أرَدنا ما ذَكرناه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أَخرَجَ ما ذَكرناه</w:t>
      </w:r>
      <w:r>
        <w:rPr>
          <w:rStyle w:val="FootnoteAnchor"/>
          <w:rtl w:val="true"/>
        </w:rPr>
        <w:footnoteReference w:id="1963"/>
      </w:r>
      <w:r>
        <w:rPr>
          <w:rFonts w:ascii="Amiri" w:hAnsi="Amiri" w:eastAsia="Amiri" w:cs="Amiri"/>
          <w:color w:val="111111"/>
          <w:sz w:val="28"/>
          <w:sz w:val="28"/>
          <w:szCs w:val="28"/>
          <w:rtl w:val="true"/>
          <w:lang w:bidi="ar-SA"/>
        </w:rPr>
        <w:t>مِن أن يَكونَ مُنفِّراً وقوعُ القَبولِ ممّن جوَّزَه، لَأخرَجَ تجويزَ الكبائرِ علَى الأنبياءِ قَبلَ حالِ النبوّةِ و في حالِها مِن أن يَكونَ منفِّراً وقوعُ تصديقِهم و العملِ بشرائعِهم ممّن جوَّزَها، فإذا</w:t>
      </w:r>
      <w:r>
        <w:rPr>
          <w:rStyle w:val="FootnoteAnchor"/>
          <w:rtl w:val="true"/>
        </w:rPr>
        <w:footnoteReference w:id="1964"/>
      </w:r>
      <w:r>
        <w:rPr>
          <w:rFonts w:ascii="Amiri" w:hAnsi="Amiri" w:eastAsia="Amiri" w:cs="Amiri"/>
          <w:color w:val="111111"/>
          <w:sz w:val="28"/>
          <w:sz w:val="28"/>
          <w:szCs w:val="28"/>
          <w:rtl w:val="true"/>
          <w:lang w:bidi="ar-SA"/>
        </w:rPr>
        <w:t xml:space="preserve">كانَ ذلكَ غَيرَ مُخرِجٍ لتجويزِ الكبائرِ مِن حُكمِ التنفيرِ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أنّ المكلَّفينَ لا يَكونونَ عندَه مِن السُّكونِ إلىٰ قَولِ النبيِّ علَى الحَدِّ الذي يَكونونَ عَلَيه إذا أَمِنوها و وَثِقوا ببَراءتِه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bookmarkStart w:id="348" w:name="pg20015_284958"/>
    </w:p>
    <w:p>
      <w:pPr>
        <w:pStyle w:val="BookText"/>
        <w:rPr/>
      </w:pPr>
      <w:bookmarkEnd w:id="348"/>
      <w:r>
        <w:rPr>
          <w:rFonts w:ascii="Amiri" w:hAnsi="Amiri" w:eastAsia="Amiri" w:cs="Amiri"/>
          <w:color w:val="111111"/>
          <w:sz w:val="28"/>
          <w:sz w:val="28"/>
          <w:szCs w:val="28"/>
          <w:rtl w:val="true"/>
          <w:lang w:bidi="ar-SA"/>
        </w:rPr>
        <w:t>القَولُ فيما حَكَمنا به مِن حُصولِ التنفيرِ عمّن جُوِّزَ عَلَيه الجَهلُ بأكثَرِ الدِّينِ ؛ لأنّا لَم نَعنِ به إلّاما عَناه مَن جَعَلَ تجويزَ الكبائرِ منفِّراً عن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894965_2320776876"/>
      <w:bookmarkStart w:id="350" w:name="_Toc124"/>
      <w:bookmarkEnd w:id="349"/>
      <w:r>
        <w:rPr>
          <w:rtl w:val="true"/>
        </w:rPr>
        <w:t>الدليل الثالث</w:t>
      </w:r>
      <w:bookmarkEnd w:id="350"/>
    </w:p>
    <w:p>
      <w:pPr>
        <w:pStyle w:val="BookText"/>
        <w:rPr/>
      </w:pPr>
      <w:r>
        <w:rPr>
          <w:rFonts w:ascii="Amiri" w:hAnsi="Amiri" w:eastAsia="Amiri" w:cs="Amiri"/>
          <w:color w:val="111111"/>
          <w:sz w:val="28"/>
          <w:sz w:val="28"/>
          <w:szCs w:val="28"/>
          <w:rtl w:val="true"/>
          <w:lang w:bidi="ar-SA"/>
        </w:rPr>
        <w:t>و يدُلُّ أيضاً علىٰ كَونِ الإمامِ عالِماً بجميعِ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وجوبِ الاقتداءِ به في جميعِ الدِّينِ‌، و لَيسَ يَصِحُّ‌</w:t>
      </w:r>
      <w:r>
        <w:rPr>
          <w:rStyle w:val="FootnoteAnchor"/>
          <w:rtl w:val="true"/>
        </w:rPr>
        <w:footnoteReference w:id="1965"/>
      </w:r>
      <w:r>
        <w:rPr>
          <w:rFonts w:ascii="Amiri" w:hAnsi="Amiri" w:eastAsia="Amiri" w:cs="Amiri"/>
          <w:color w:val="111111"/>
          <w:sz w:val="28"/>
          <w:sz w:val="28"/>
          <w:szCs w:val="28"/>
          <w:rtl w:val="true"/>
          <w:lang w:bidi="ar-SA"/>
        </w:rPr>
        <w:t>الاقتداءُ في الشيءِ بمَن لا يَعلَمُه</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و لَيسَ للمُخالِفِ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نَقتَدي به فيما يَعلَمُه، دونَ ما لا يَعلَمُه</w:t>
      </w:r>
      <w:r>
        <w:rPr>
          <w:rStyle w:val="FootnoteAnchor"/>
          <w:rtl w:val="true"/>
        </w:rPr>
        <w:footnoteReference w:id="1967"/>
      </w:r>
      <w:r>
        <w:rPr>
          <w:rFonts w:ascii="Amiri" w:hAnsi="Amiri" w:eastAsia="Amiri" w:cs="Amiri"/>
          <w:color w:val="111111"/>
          <w:sz w:val="28"/>
          <w:sz w:val="28"/>
          <w:szCs w:val="28"/>
          <w:rtl w:val="true"/>
          <w:lang w:bidi="ar-SA"/>
        </w:rPr>
        <w:t xml:space="preserve">لأنّا قد بيّنّا مِن قَبلُ أنّه إمامٌ في جميعِ الدِّينِ ، و أنّ ثُبوتَ كَونِه إماماً في جميعِه يَقتَضي كَونَه مُقتدىً به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بما ذَكرناه وجوبُ كَونِه عالِماً بكُلِّ الأحكامِ استَحالَ اختيارُه، و وَجَبَ النَّصُّ عليه؛ لأنّ مَن يَقومُ باختيارِه مِن الأُمّةِ لا يَعلَمُ جميعَ الأحكامِ ، فكَيفَ يَصِحُّ أن يَختارَ مَن هذه صفتُه ؟</w:t>
      </w:r>
    </w:p>
    <w:p>
      <w:pPr>
        <w:pStyle w:val="BookText"/>
        <w:rPr/>
      </w:pPr>
      <w:r>
        <w:rPr>
          <w:rFonts w:ascii="Amiri" w:hAnsi="Amiri" w:eastAsia="Amiri" w:cs="Amiri"/>
          <w:color w:val="111111"/>
          <w:sz w:val="28"/>
          <w:sz w:val="28"/>
          <w:szCs w:val="28"/>
          <w:rtl w:val="true"/>
          <w:lang w:bidi="ar-SA"/>
        </w:rPr>
        <w:t xml:space="preserve">فأمّا حَوالةُ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ما حكَيناه مِن كلامِه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سلَفَ له في إبطالِ كَونِ الإمامِ معصوماً، فما أحالَنا عَلَيه قد بيّنّا بُطلانَه، و استَقصَينا الكلامَ عَلَيه عندَ نُصرتِنا الأدلّةَ في وجوبِ عصمةِ الإمامِ </w:t>
      </w:r>
      <w:r>
        <w:rPr>
          <w:rFonts w:eastAsia="Amiri" w:cs="Amiri" w:ascii="Amiri" w:hAnsi="Amiri"/>
          <w:color w:val="111111"/>
          <w:sz w:val="28"/>
          <w:szCs w:val="28"/>
          <w:rtl w:val="true"/>
          <w:lang w:bidi="ar-SA"/>
        </w:rPr>
        <w:t>.</w:t>
      </w:r>
      <w:r>
        <w:rPr>
          <w:rStyle w:val="FootnoteAnchor"/>
          <w:rtl w:val="true"/>
        </w:rPr>
        <w:footnoteReference w:id="196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فيما حَكاه عنّا مِن الاستدلالِ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إلّاأدّىٰ ذلكَ إلىٰ أن يَكونَ قد كُلِّفَ القيامَ بما لا سَبيلَ له إليه، و يحُلُّ محَلَّ تكليفِ ما لا يُطاقُ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فإنّا لا نَعتَمِدُ علىٰ ما ظَنَّه، و لا نُلزِمُه</w:t>
      </w:r>
      <w:r>
        <w:rPr>
          <w:rStyle w:val="FootnoteAnchor"/>
          <w:rtl w:val="true"/>
        </w:rPr>
        <w:footnoteReference w:id="1969"/>
      </w:r>
      <w:r>
        <w:rPr>
          <w:rFonts w:ascii="Amiri" w:hAnsi="Amiri" w:eastAsia="Amiri" w:cs="Amiri"/>
          <w:color w:val="111111"/>
          <w:sz w:val="28"/>
          <w:sz w:val="28"/>
          <w:szCs w:val="28"/>
          <w:rtl w:val="true"/>
          <w:lang w:bidi="ar-SA"/>
        </w:rPr>
        <w:t>إيّاه أيضاً</w:t>
      </w:r>
      <w:r>
        <w:rPr>
          <w:rStyle w:val="FootnoteAnchor"/>
          <w:rtl w:val="true"/>
        </w:rPr>
        <w:footnoteReference w:id="1970"/>
      </w:r>
      <w:r>
        <w:rPr>
          <w:rFonts w:ascii="Amiri" w:hAnsi="Amiri" w:eastAsia="Amiri" w:cs="Amiri"/>
          <w:color w:val="111111"/>
          <w:sz w:val="28"/>
          <w:sz w:val="28"/>
          <w:szCs w:val="28"/>
          <w:rtl w:val="true"/>
          <w:lang w:bidi="ar-SA"/>
        </w:rPr>
        <w:t xml:space="preserve">بَل الذي يؤَدّي إلىٰ ذلكَ </w:t>
      </w:r>
      <w:r>
        <w:rPr>
          <w:rStyle w:val="FootnoteAnchor"/>
          <w:rtl w:val="true"/>
        </w:rPr>
        <w:footnoteReference w:id="1971"/>
      </w:r>
      <w:r>
        <w:rPr>
          <w:rFonts w:ascii="Amiri" w:hAnsi="Amiri" w:eastAsia="Amiri" w:cs="Amiri"/>
          <w:color w:val="111111"/>
          <w:sz w:val="28"/>
          <w:sz w:val="28"/>
          <w:szCs w:val="28"/>
          <w:rtl w:val="true"/>
          <w:lang w:bidi="ar-SA"/>
        </w:rPr>
        <w:t>مِن الفَسادِ و فِعلِ القَبيحِ هو ما ذَكرناه</w:t>
      </w:r>
      <w:r>
        <w:rPr>
          <w:rStyle w:val="FootnoteAnchor"/>
          <w:rtl w:val="true"/>
        </w:rPr>
        <w:footnoteReference w:id="1972"/>
      </w:r>
      <w:r>
        <w:rPr>
          <w:rFonts w:ascii="Amiri" w:hAnsi="Amiri" w:eastAsia="Amiri" w:cs="Amiri"/>
          <w:color w:val="111111"/>
          <w:sz w:val="28"/>
          <w:sz w:val="28"/>
          <w:szCs w:val="28"/>
          <w:rtl w:val="true"/>
          <w:lang w:bidi="ar-SA"/>
        </w:rPr>
        <w:t>في صَدرِ كلامِنا هذا و أشبَعناه</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و قد بيّنّا أنّ العُقَلاءَ يَستَقبِحونَ استكفاءَ الأمرِ مَن لا يَعلَمُه</w:t>
      </w:r>
      <w:r>
        <w:rPr>
          <w:rStyle w:val="FootnoteAnchor"/>
          <w:rtl w:val="true"/>
        </w:rPr>
        <w:footnoteReference w:id="1974"/>
      </w:r>
      <w:r>
        <w:rPr>
          <w:rFonts w:ascii="Amiri" w:hAnsi="Amiri" w:eastAsia="Amiri" w:cs="Amiri"/>
          <w:color w:val="111111"/>
          <w:sz w:val="28"/>
          <w:sz w:val="28"/>
          <w:szCs w:val="28"/>
          <w:rtl w:val="true"/>
          <w:lang w:bidi="ar-SA"/>
        </w:rPr>
        <w:t>و إن كانَ له إلىٰ عِلمِه سَبيلٌ ، و لَيسَ إذا لَم يَقبُحْ هذا</w:t>
      </w:r>
      <w:r>
        <w:rPr>
          <w:rStyle w:val="FootnoteAnchor"/>
          <w:rtl w:val="true"/>
        </w:rPr>
        <w:footnoteReference w:id="1975"/>
      </w:r>
      <w:r>
        <w:rPr>
          <w:rFonts w:ascii="Amiri" w:hAnsi="Amiri" w:eastAsia="Amiri" w:cs="Amiri"/>
          <w:color w:val="111111"/>
          <w:sz w:val="28"/>
          <w:sz w:val="28"/>
          <w:szCs w:val="28"/>
          <w:rtl w:val="true"/>
          <w:lang w:bidi="ar-SA"/>
        </w:rPr>
        <w:t>الفِعلُ مِن حَيثُ كانَ تكليفاً لِما لا يُطاقُ لا يَجِبُ قُبحُه؛ لأنّ جِهاتِ القُبحِ كثيرةٌ ، مِن جُملتِها تكليفُ ما لا يُطاقُ ، و قد يَجوزُ أن يَكونَ ما لَم يَقبُحْ لهذا</w:t>
      </w:r>
      <w:r>
        <w:rPr>
          <w:rStyle w:val="FootnoteAnchor"/>
          <w:rtl w:val="true"/>
        </w:rPr>
        <w:footnoteReference w:id="1976"/>
      </w:r>
      <w:r>
        <w:rPr>
          <w:rFonts w:ascii="Amiri" w:hAnsi="Amiri" w:eastAsia="Amiri" w:cs="Amiri"/>
          <w:color w:val="111111"/>
          <w:sz w:val="28"/>
          <w:sz w:val="28"/>
          <w:szCs w:val="28"/>
          <w:rtl w:val="true"/>
          <w:lang w:bidi="ar-SA"/>
        </w:rPr>
        <w:t>الوجهِ يَقبُحُ لغَيرِه</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جهةِ العقلِ عَلِمتم أنّ كَونَه</w:t>
      </w:r>
      <w:r>
        <w:rPr>
          <w:rStyle w:val="FootnoteAnchor"/>
          <w:rtl w:val="true"/>
        </w:rPr>
        <w:footnoteReference w:id="1978"/>
      </w:r>
      <w:r>
        <w:rPr>
          <w:rFonts w:ascii="Amiri" w:hAnsi="Amiri" w:eastAsia="Amiri" w:cs="Amiri"/>
          <w:color w:val="111111"/>
          <w:sz w:val="28"/>
          <w:sz w:val="28"/>
          <w:szCs w:val="28"/>
          <w:rtl w:val="true"/>
          <w:lang w:bidi="ar-SA"/>
        </w:rPr>
        <w:t>عالِماً بجميعِ الأحكامِ مِن شَرطِ كَونِه إماماً، أو بالسَّمعِ؟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بيّنّا في الفصلِ المتقدِّمِ أنّ كَونَ الإمامِ عالِماً بجميعِ الأحكامِ لَيسَ مِن صِفاتِه التي لا بُدَّ في العقلِ مِنها</w:t>
      </w:r>
      <w:r>
        <w:rPr>
          <w:rStyle w:val="FootnoteAnchor"/>
          <w:rtl w:val="true"/>
        </w:rPr>
        <w:footnoteReference w:id="1979"/>
      </w:r>
      <w:r>
        <w:rPr>
          <w:rStyle w:val="FootnoteAnchor"/>
          <w:rtl w:val="true"/>
        </w:rPr>
        <w:footnoteReference w:id="1980"/>
      </w:r>
      <w:r>
        <w:rPr>
          <w:rFonts w:ascii="Amiri" w:hAnsi="Amiri" w:eastAsia="Amiri" w:cs="Amiri"/>
          <w:color w:val="111111"/>
          <w:sz w:val="28"/>
          <w:sz w:val="28"/>
          <w:szCs w:val="28"/>
          <w:rtl w:val="true"/>
          <w:lang w:bidi="ar-SA"/>
        </w:rPr>
        <w:t xml:space="preserve">لأنّ العقلَ كان يجوِّزُ أن لا يقَعَ </w:t>
      </w:r>
      <w:r>
        <w:rPr>
          <w:rStyle w:val="FootnoteAnchor"/>
          <w:rtl w:val="true"/>
        </w:rPr>
        <w:footnoteReference w:id="1981"/>
      </w:r>
      <w:r>
        <w:rPr>
          <w:rFonts w:ascii="Amiri" w:hAnsi="Amiri" w:eastAsia="Amiri" w:cs="Amiri"/>
          <w:color w:val="111111"/>
          <w:sz w:val="28"/>
          <w:sz w:val="28"/>
          <w:szCs w:val="28"/>
          <w:rtl w:val="true"/>
          <w:lang w:bidi="ar-SA"/>
        </w:rPr>
        <w:t>العبادةُ بشيءٍ مِن الشرائعِ ، فكَيفَ يُجعَلُ مِن شُروطِ</w:t>
      </w:r>
      <w:r>
        <w:rPr>
          <w:rStyle w:val="FootnoteAnchor"/>
          <w:rtl w:val="true"/>
        </w:rPr>
        <w:footnoteReference w:id="1982"/>
      </w:r>
      <w:r>
        <w:rPr>
          <w:rFonts w:ascii="Amiri" w:hAnsi="Amiri" w:eastAsia="Amiri" w:cs="Amiri"/>
          <w:color w:val="111111"/>
          <w:sz w:val="28"/>
          <w:sz w:val="28"/>
          <w:szCs w:val="28"/>
          <w:rtl w:val="true"/>
          <w:lang w:bidi="ar-SA"/>
        </w:rPr>
        <w:t xml:space="preserve">كَونِه إماماً في العقلِ ما يَجوزُ في </w:t>
      </w:r>
      <w:bookmarkStart w:id="351" w:name="pg20015_284960"/>
    </w:p>
    <w:p>
      <w:pPr>
        <w:pStyle w:val="BookText"/>
        <w:rPr/>
      </w:pPr>
      <w:bookmarkEnd w:id="351"/>
      <w:r>
        <w:rPr>
          <w:rFonts w:ascii="Amiri" w:hAnsi="Amiri" w:eastAsia="Amiri" w:cs="Amiri"/>
          <w:color w:val="111111"/>
          <w:sz w:val="28"/>
          <w:sz w:val="28"/>
          <w:szCs w:val="28"/>
          <w:rtl w:val="true"/>
          <w:lang w:bidi="ar-SA"/>
        </w:rPr>
        <w:t>العقلِ ثُبوتُه و انتفاؤه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يَجري</w:t>
      </w:r>
      <w:r>
        <w:rPr>
          <w:rStyle w:val="FootnoteAnchor"/>
          <w:rtl w:val="true"/>
        </w:rPr>
        <w:footnoteReference w:id="1983"/>
      </w:r>
      <w:r>
        <w:rPr>
          <w:rFonts w:ascii="Amiri" w:hAnsi="Amiri" w:eastAsia="Amiri" w:cs="Amiri"/>
          <w:color w:val="111111"/>
          <w:sz w:val="28"/>
          <w:sz w:val="28"/>
          <w:szCs w:val="28"/>
          <w:rtl w:val="true"/>
          <w:lang w:bidi="ar-SA"/>
        </w:rPr>
        <w:t>هذه الصفةُ مَجرَى العصمةِ‌؛ لأنّ تلكَ يَجِبُ كَونُ الإمامِ عَلَيها في العقلِ و قَبلَ الشرعِ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و إن لَم نَجعَلْ كَونَه عالِماً بجميعِ الأحكامِ مِن الشُّروطِ العقليّةِ في الإمامةِ‌، فإنّا</w:t>
      </w:r>
      <w:r>
        <w:rPr>
          <w:rStyle w:val="FootnoteAnchor"/>
          <w:rtl w:val="true"/>
        </w:rPr>
        <w:footnoteReference w:id="1984"/>
      </w:r>
      <w:r>
        <w:rPr>
          <w:rFonts w:ascii="Amiri" w:hAnsi="Amiri" w:eastAsia="Amiri" w:cs="Amiri"/>
          <w:color w:val="111111"/>
          <w:sz w:val="28"/>
          <w:sz w:val="28"/>
          <w:szCs w:val="28"/>
          <w:rtl w:val="true"/>
          <w:lang w:bidi="ar-SA"/>
        </w:rPr>
        <w:t>بَعدَ العبادةِ بالشرائعِ‌</w:t>
      </w:r>
      <w:r>
        <w:rPr>
          <w:rStyle w:val="FootnoteAnchor"/>
          <w:rtl w:val="true"/>
        </w:rPr>
        <w:footnoteReference w:id="1985"/>
      </w:r>
      <w:r>
        <w:rPr>
          <w:rFonts w:ascii="Amiri" w:hAnsi="Amiri" w:eastAsia="Amiri" w:cs="Amiri"/>
          <w:color w:val="111111"/>
          <w:sz w:val="28"/>
          <w:sz w:val="28"/>
          <w:szCs w:val="28"/>
          <w:rtl w:val="true"/>
          <w:lang w:bidi="ar-SA"/>
        </w:rPr>
        <w:t>و ثُبوتِ كَونِ الإمامِ إماماً في جميع الدِّينِ نَعلَمُ‌</w:t>
      </w:r>
      <w:r>
        <w:rPr>
          <w:rStyle w:val="FootnoteAnchor"/>
          <w:rtl w:val="true"/>
        </w:rPr>
        <w:footnoteReference w:id="1986"/>
      </w:r>
      <w:r>
        <w:rPr>
          <w:rFonts w:ascii="Amiri" w:hAnsi="Amiri" w:eastAsia="Amiri" w:cs="Amiri"/>
          <w:color w:val="111111"/>
          <w:sz w:val="28"/>
          <w:sz w:val="28"/>
          <w:szCs w:val="28"/>
          <w:rtl w:val="true"/>
          <w:lang w:bidi="ar-SA"/>
        </w:rPr>
        <w:t>بدليلِ العقلِ و قياسِه أنّه لا بُدَّ مِن أن يَكونَ عالِماً بجميعِ الأحكامِ‌، مِن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صاحبُ الكتابِ بإضافةِ </w:t>
      </w:r>
      <w:r>
        <w:rPr>
          <w:rStyle w:val="FootnoteAnchor"/>
          <w:rtl w:val="true"/>
        </w:rPr>
        <w:footnoteReference w:id="1987"/>
      </w:r>
      <w:r>
        <w:rPr>
          <w:rFonts w:ascii="Amiri" w:hAnsi="Amiri" w:eastAsia="Amiri" w:cs="Amiri"/>
          <w:color w:val="111111"/>
          <w:sz w:val="28"/>
          <w:sz w:val="28"/>
          <w:szCs w:val="28"/>
          <w:rtl w:val="true"/>
          <w:lang w:bidi="ar-SA"/>
        </w:rPr>
        <w:t xml:space="preserve">ذلكَ إلَى العقلِ ما ذَكرناه أوّلاً، فقَد بيّنّا أنّا لا نَجعَلُ هذه الصفةَ مِن الشرائطِ العقليّةِ الواجبةِ ؛ لتجويزِ العقلِ ارتفاعَ العبادةِ بالشرائعِ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w:t>
      </w:r>
      <w:r>
        <w:rPr>
          <w:rStyle w:val="FootnoteAnchor"/>
          <w:rtl w:val="true"/>
        </w:rPr>
        <w:footnoteReference w:id="1988"/>
      </w:r>
      <w:r>
        <w:rPr>
          <w:rFonts w:ascii="Amiri" w:hAnsi="Amiri" w:eastAsia="Amiri" w:cs="Amiri"/>
          <w:color w:val="111111"/>
          <w:sz w:val="28"/>
          <w:sz w:val="28"/>
          <w:szCs w:val="28"/>
          <w:rtl w:val="true"/>
          <w:lang w:bidi="ar-SA"/>
        </w:rPr>
        <w:t>ما ذَكرناه ثانياً، فلَيسَ يُمنَعُ مِن إضافتِه إلَى العقلِ ؛ بمعنىٰ أنّا نَعلَمُ بالعقلِ و أدلّتِه بَعدَ استقرارِ الشرائعِ وجوبَ كَونِ الإمامِ عالِماً بجميعِها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94967_2320776876"/>
      <w:bookmarkStart w:id="353" w:name="_Toc125"/>
      <w:bookmarkEnd w:id="352"/>
      <w:r>
        <w:rPr>
          <w:rtl w:val="true"/>
        </w:rPr>
        <w:t>قبح الإمامة مع فَقْد العلم، سواء كان هناك سبيل لتحصيل العلم، أم لا</w:t>
      </w:r>
      <w:bookmarkEnd w:id="35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يَقومَ بذلكَ ، و القيامُ بالعملِ لا يَصِحُّ إلّامع العِلمِ؟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يَستَدِلَّ حالاً بَعدَ حالٍ و يَجتَهِدَ، فيَعرِفَ ما يَنزِلُ مِن النوازِلِ التي يَلزَمُه الحُكمُ فيها، و بأن يَرجِعَ في كَثيرٍ مِن ذلك</w:t>
      </w:r>
      <w:r>
        <w:rPr>
          <w:rStyle w:val="FootnoteAnchor"/>
          <w:rtl w:val="true"/>
        </w:rPr>
        <w:footnoteReference w:id="1989"/>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الرأيِ و الاجتهادِ؛ كالجهادِ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أيضاً أن يَقومَ بذلكَ علىٰ حقِّه، بأن يُراجِعَ العُلَماءَ و يَستَشيرَهم، فيَحكُمَ بما ثبَتَ‌</w:t>
      </w:r>
      <w:r>
        <w:rPr>
          <w:rStyle w:val="FootnoteAnchor"/>
          <w:rtl w:val="true"/>
        </w:rPr>
        <w:footnoteReference w:id="1990"/>
      </w:r>
      <w:r>
        <w:rPr>
          <w:rFonts w:ascii="Amiri" w:hAnsi="Amiri" w:eastAsia="Amiri" w:cs="Amiri"/>
          <w:color w:val="111111"/>
          <w:sz w:val="28"/>
          <w:sz w:val="28"/>
          <w:szCs w:val="28"/>
          <w:rtl w:val="true"/>
          <w:lang w:bidi="ar-SA"/>
        </w:rPr>
        <w:t>عندَه مِن أصَحِّ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أيضاً مِن جهةِ العقلِ أن يُكلَّفَ القَبولَ مِن العُلَماءِ و أن يَحكُمَ بذلكَ‌؛ كما يَقولُ كَثيرٌ مِن الناسِ في حُكمِ الحاكمِ‌، و كما نَقولُه</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p>
    <w:p>
      <w:pPr>
        <w:pStyle w:val="BookText"/>
        <w:rPr/>
      </w:pPr>
      <w:r>
        <w:rPr>
          <w:rFonts w:ascii="Amiri" w:hAnsi="Amiri" w:eastAsia="Amiri" w:cs="Amiri"/>
          <w:color w:val="111111"/>
          <w:sz w:val="28"/>
          <w:sz w:val="28"/>
          <w:szCs w:val="28"/>
          <w:rtl w:val="true"/>
          <w:lang w:bidi="ar-SA"/>
        </w:rPr>
        <w:t>كُلِّفَ به كَثيرٌ مِن الناسِ‌</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في بابِ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أيضاً أن يَستَدرِكَ‌</w:t>
      </w:r>
      <w:r>
        <w:rPr>
          <w:rStyle w:val="FootnoteAnchor"/>
          <w:rtl w:val="true"/>
        </w:rPr>
        <w:footnoteReference w:id="1993"/>
      </w:r>
      <w:r>
        <w:rPr>
          <w:rFonts w:ascii="Amiri" w:hAnsi="Amiri" w:eastAsia="Amiri" w:cs="Amiri"/>
          <w:color w:val="111111"/>
          <w:sz w:val="28"/>
          <w:sz w:val="28"/>
          <w:szCs w:val="28"/>
          <w:rtl w:val="true"/>
          <w:lang w:bidi="ar-SA"/>
        </w:rPr>
        <w:t xml:space="preserve">عِلمَ ما فُوِّضَ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أخبارِ الآحادِ، أو إلىٰ قَولِ الأُمّةِ التي قد ثبَتَ أنّها حُجّةٌ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يَجوزُ أن يُكلَّفَ فيما فُوِّضَ إليه أنّ ما عَلِمَه يَحكُمُ فيه، و ما لَم يَعلَمْه يَتوقَّفُ فيه</w:t>
      </w:r>
      <w:r>
        <w:rPr>
          <w:rStyle w:val="FootnoteAnchor"/>
          <w:rtl w:val="true"/>
        </w:rPr>
        <w:footnoteReference w:id="1995"/>
      </w:r>
      <w:r>
        <w:rPr>
          <w:rFonts w:ascii="Amiri" w:hAnsi="Amiri" w:eastAsia="Amiri" w:cs="Amiri"/>
          <w:color w:val="111111"/>
          <w:sz w:val="28"/>
          <w:sz w:val="28"/>
          <w:szCs w:val="28"/>
          <w:rtl w:val="true"/>
          <w:lang w:bidi="ar-SA"/>
        </w:rPr>
        <w:t>لأنّ جميعَ الذي ذَكرناه ممّا يَجوزُ في العقلِ ورودُ التعبُّدِ</w:t>
      </w:r>
      <w:r>
        <w:rPr>
          <w:rStyle w:val="FootnoteAnchor"/>
          <w:rtl w:val="true"/>
        </w:rPr>
        <w:footnoteReference w:id="199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الأمرُ علىٰ ما ذَكرناه، فمِن أينَ أنّه يَجِبُ أن يَكونَ عالِماً بجميعِ الأحكامِ ، علَى السبيلِ الذي تَعلَّقوا به ؟</w:t>
      </w:r>
      <w:r>
        <w:rPr>
          <w:rFonts w:eastAsia="Amiri" w:cs="Amiri" w:ascii="Amiri" w:hAnsi="Amiri"/>
          <w:color w:val="111111"/>
          <w:sz w:val="28"/>
          <w:szCs w:val="28"/>
          <w:rtl w:val="true"/>
          <w:lang w:bidi="ar-SA"/>
        </w:rPr>
        <w:t>]</w:t>
      </w:r>
      <w:r>
        <w:rPr>
          <w:rStyle w:val="FootnoteAnchor"/>
          <w:rtl w:val="true"/>
        </w:rPr>
        <w:footnoteReference w:id="19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مَن يَظُنُّ أنّا إنّما قَبَّحنا وِلايةَ الإمامِ و هو لا يَعلَمُ جميعَ </w:t>
      </w:r>
    </w:p>
    <w:p>
      <w:pPr>
        <w:pStyle w:val="BookText"/>
        <w:rPr/>
      </w:pPr>
      <w:r>
        <w:rPr>
          <w:rFonts w:ascii="Amiri" w:hAnsi="Amiri" w:eastAsia="Amiri" w:cs="Amiri"/>
          <w:color w:val="111111"/>
          <w:sz w:val="28"/>
          <w:sz w:val="28"/>
          <w:szCs w:val="28"/>
          <w:rtl w:val="true"/>
          <w:lang w:bidi="ar-SA"/>
        </w:rPr>
        <w:t>الأحكامِ مِن حَيثُ لَم يَكُن له إلَى العِلمِ بها</w:t>
      </w:r>
      <w:r>
        <w:rPr>
          <w:rStyle w:val="FootnoteAnchor"/>
          <w:rtl w:val="true"/>
        </w:rPr>
        <w:footnoteReference w:id="1998"/>
      </w:r>
      <w:r>
        <w:rPr>
          <w:rFonts w:ascii="Amiri" w:hAnsi="Amiri" w:eastAsia="Amiri" w:cs="Amiri"/>
          <w:color w:val="111111"/>
          <w:sz w:val="28"/>
          <w:sz w:val="28"/>
          <w:szCs w:val="28"/>
          <w:rtl w:val="true"/>
          <w:lang w:bidi="ar-SA"/>
        </w:rPr>
        <w:t>سَبيلٌ‌، و قد بيّنّا أنّ وجودَ السَّبيلِ في هذا المَوضِعِ كعدمِها إذا كانَ العِلمُ بما أُسنِدَ إلَى المَولىٰ مفقوداً</w:t>
      </w:r>
      <w:r>
        <w:rPr>
          <w:rStyle w:val="FootnoteAnchor"/>
          <w:rtl w:val="true"/>
        </w:rPr>
        <w:footnoteReference w:id="1999"/>
      </w:r>
      <w:r>
        <w:rPr>
          <w:rFonts w:ascii="Amiri" w:hAnsi="Amiri" w:eastAsia="Amiri" w:cs="Amiri"/>
          <w:color w:val="111111"/>
          <w:sz w:val="28"/>
          <w:sz w:val="28"/>
          <w:szCs w:val="28"/>
          <w:rtl w:val="true"/>
          <w:lang w:bidi="ar-SA"/>
        </w:rPr>
        <w:t>، و أنّه لا بُدَّ مِن قُبحِ هذه الوِلايةِ مع فَقدِ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بنا إلَى الكلامِ علىٰ ما عدَّدتَه مِن وجوهِ العِلمِ التي يَجوزُ أن يَرجِعَ الإمامُ إليها؛ لأنّه لَو</w:t>
      </w:r>
      <w:r>
        <w:rPr>
          <w:rStyle w:val="FootnoteAnchor"/>
          <w:rtl w:val="true"/>
        </w:rPr>
        <w:footnoteReference w:id="2000"/>
      </w:r>
      <w:r>
        <w:rPr>
          <w:rFonts w:ascii="Amiri" w:hAnsi="Amiri" w:eastAsia="Amiri" w:cs="Amiri"/>
          <w:color w:val="111111"/>
          <w:sz w:val="28"/>
          <w:sz w:val="28"/>
          <w:szCs w:val="28"/>
          <w:rtl w:val="true"/>
          <w:lang w:bidi="ar-SA"/>
        </w:rPr>
        <w:t xml:space="preserve">ثبَتَ في جميعِها أنّه طريقٌ إلَى العِلمِ‌، و موصِلٌ إلَى المعرفةِ بالأحكامِ ، لَم يُخِلَّ بما اعتَمَدناه؛ فكَيفَ و أكثَرُ ما أَورَدتَه لا يوصِلُ عندَنا إلىٰ عِلمٍ بِكُنهٍ </w:t>
      </w:r>
      <w:r>
        <w:rPr>
          <w:rStyle w:val="FootnoteAnchor"/>
          <w:rtl w:val="true"/>
        </w:rPr>
        <w:footnoteReference w:id="2001"/>
      </w:r>
      <w:r>
        <w:rPr>
          <w:rFonts w:ascii="Amiri" w:hAnsi="Amiri" w:eastAsia="Amiri" w:cs="Amiri"/>
          <w:color w:val="111111"/>
          <w:sz w:val="28"/>
          <w:sz w:val="28"/>
          <w:szCs w:val="28"/>
          <w:rtl w:val="true"/>
          <w:lang w:bidi="ar-SA"/>
        </w:rPr>
        <w:t xml:space="preserve">و لا إلىٰ ظَنٍّ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الفَرقَ بَينَ التكليفِ و الوِلايةِ </w:t>
      </w:r>
      <w:r>
        <w:rPr>
          <w:rStyle w:val="FootnoteAnchor"/>
          <w:rtl w:val="true"/>
        </w:rPr>
        <w:footnoteReference w:id="2002"/>
      </w:r>
      <w:r>
        <w:rPr>
          <w:rFonts w:ascii="Amiri" w:hAnsi="Amiri" w:eastAsia="Amiri" w:cs="Amiri"/>
          <w:color w:val="111111"/>
          <w:sz w:val="28"/>
          <w:sz w:val="28"/>
          <w:szCs w:val="28"/>
          <w:rtl w:val="true"/>
          <w:lang w:bidi="ar-SA"/>
        </w:rPr>
        <w:t>، فلَيسَ لمُتعلِّقٍ أن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w:t>
      </w:r>
      <w:r>
        <w:rPr>
          <w:rStyle w:val="FootnoteAnchor"/>
          <w:rtl w:val="true"/>
        </w:rPr>
        <w:footnoteReference w:id="2003"/>
      </w:r>
      <w:r>
        <w:rPr>
          <w:rFonts w:ascii="Amiri" w:hAnsi="Amiri" w:eastAsia="Amiri" w:cs="Amiri"/>
          <w:color w:val="111111"/>
          <w:sz w:val="28"/>
          <w:sz w:val="28"/>
          <w:szCs w:val="28"/>
          <w:rtl w:val="true"/>
          <w:lang w:bidi="ar-SA"/>
        </w:rPr>
        <w:t xml:space="preserve">علىٰ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يَستكفيَ بعضُ حُكَماءِ مُلوكِنا</w:t>
      </w:r>
      <w:r>
        <w:rPr>
          <w:rStyle w:val="FootnoteAnchor"/>
          <w:rtl w:val="true"/>
        </w:rPr>
        <w:footnoteReference w:id="2004"/>
      </w:r>
      <w:r>
        <w:rPr>
          <w:rFonts w:ascii="Amiri" w:hAnsi="Amiri" w:eastAsia="Amiri" w:cs="Amiri"/>
          <w:color w:val="111111"/>
          <w:sz w:val="28"/>
          <w:sz w:val="28"/>
          <w:szCs w:val="28"/>
          <w:rtl w:val="true"/>
          <w:lang w:bidi="ar-SA"/>
        </w:rPr>
        <w:t>أمرَ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وِزارتِه</w:t>
      </w:r>
      <w:r>
        <w:rPr>
          <w:rStyle w:val="FootnoteAnchor"/>
          <w:rtl w:val="true"/>
        </w:rPr>
        <w:footnoteReference w:id="2005"/>
      </w:r>
      <w:r>
        <w:rPr>
          <w:rFonts w:ascii="Amiri" w:hAnsi="Amiri" w:eastAsia="Amiri" w:cs="Amiri"/>
          <w:color w:val="111111"/>
          <w:sz w:val="28"/>
          <w:sz w:val="28"/>
          <w:szCs w:val="28"/>
          <w:rtl w:val="true"/>
          <w:lang w:bidi="ar-SA"/>
        </w:rPr>
        <w:t>و تدبيرَ مَملَكتِه مَن لا يَعلَمُ شيئاً مِن أحكامِ الوِزارةِ و شُروطِها، أو لا يَعلَمُ جُلَّها و جُمهورَها</w:t>
      </w:r>
      <w:r>
        <w:rPr>
          <w:rStyle w:val="FootnoteAnchor"/>
          <w:rtl w:val="true"/>
        </w:rPr>
        <w:footnoteReference w:id="2006"/>
      </w:r>
      <w:r>
        <w:rPr>
          <w:rFonts w:ascii="Amiri" w:hAnsi="Amiri" w:eastAsia="Amiri" w:cs="Amiri"/>
          <w:color w:val="111111"/>
          <w:sz w:val="28"/>
          <w:sz w:val="28"/>
          <w:szCs w:val="28"/>
          <w:rtl w:val="true"/>
          <w:lang w:bidi="ar-SA"/>
        </w:rPr>
        <w:t xml:space="preserve">، و يَحسُنَ ذلكَ مِنه؛ مِن حَيثُ كان الوَزيرُ مُتمكِّناً مِن أن يَسألَ عمّا يَحتاجُ إليه أهلَ المعرفةِ‌، و يَستَفيدَ مِنهم حالاً بَعدَ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يَعدِلَ عن أن يوَلّيَها مَن يَثِقُ مِنه بالمعرفةِ و الكفايةِ </w:t>
      </w:r>
      <w:r>
        <w:rPr>
          <w:rStyle w:val="FootnoteAnchor"/>
          <w:rtl w:val="true"/>
        </w:rPr>
        <w:footnoteReference w:id="2007"/>
      </w:r>
      <w:r>
        <w:rPr>
          <w:rFonts w:ascii="Amiri" w:hAnsi="Amiri" w:eastAsia="Amiri" w:cs="Amiri"/>
          <w:color w:val="111111"/>
          <w:sz w:val="28"/>
          <w:sz w:val="28"/>
          <w:szCs w:val="28"/>
          <w:rtl w:val="true"/>
          <w:lang w:bidi="ar-SA"/>
        </w:rPr>
        <w:t xml:space="preserve">، و لا يَحتاجُ </w:t>
      </w:r>
      <w:r>
        <w:rPr>
          <w:rStyle w:val="FootnoteAnchor"/>
          <w:rtl w:val="true"/>
        </w:rPr>
        <w:footnoteReference w:id="2008"/>
      </w:r>
      <w:r>
        <w:rPr>
          <w:rFonts w:ascii="Amiri" w:hAnsi="Amiri" w:eastAsia="Amiri" w:cs="Amiri"/>
          <w:color w:val="111111"/>
          <w:sz w:val="28"/>
          <w:sz w:val="28"/>
          <w:szCs w:val="28"/>
          <w:rtl w:val="true"/>
          <w:lang w:bidi="ar-SA"/>
        </w:rPr>
        <w:t xml:space="preserve">في العِلمِ بشُروطِ الوِزارةِ </w:t>
      </w:r>
    </w:p>
    <w:p>
      <w:pPr>
        <w:pStyle w:val="BookText"/>
        <w:rPr/>
      </w:pPr>
      <w:r>
        <w:rPr>
          <w:rFonts w:ascii="Amiri" w:hAnsi="Amiri" w:eastAsia="Amiri" w:cs="Amiri"/>
          <w:color w:val="111111"/>
          <w:sz w:val="28"/>
          <w:sz w:val="28"/>
          <w:szCs w:val="28"/>
          <w:rtl w:val="true"/>
          <w:lang w:bidi="ar-SA"/>
        </w:rPr>
        <w:t>و أحكامِها إلَى استِزادةٍ و استِفادةٍ ، مع أنّ أوصافَهما و أحوالَهما فيما يُظَنُّ بهما مُتَساويةٌ إلّافيما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2009"/>
      </w:r>
      <w:r>
        <w:rPr>
          <w:rFonts w:ascii="Amiri" w:hAnsi="Amiri" w:eastAsia="Amiri" w:cs="Amiri"/>
          <w:color w:val="111111"/>
          <w:sz w:val="28"/>
          <w:sz w:val="28"/>
          <w:szCs w:val="28"/>
          <w:rtl w:val="true"/>
          <w:lang w:bidi="ar-SA"/>
        </w:rPr>
        <w:t>أجازَ هذا وَقَفَ مَوقِفاً لا يَشُكُّ جميعُ العُقَلاءِ في قُبحِه، و طولِبَ بالفَرقِ بَينَ ما أجازَه</w:t>
      </w:r>
      <w:r>
        <w:rPr>
          <w:rStyle w:val="FootnoteAnchor"/>
          <w:rtl w:val="true"/>
        </w:rPr>
        <w:footnoteReference w:id="2010"/>
      </w:r>
      <w:r>
        <w:rPr>
          <w:rFonts w:ascii="Amiri" w:hAnsi="Amiri" w:eastAsia="Amiri" w:cs="Amiri"/>
          <w:color w:val="111111"/>
          <w:sz w:val="28"/>
          <w:sz w:val="28"/>
          <w:szCs w:val="28"/>
          <w:rtl w:val="true"/>
          <w:lang w:bidi="ar-SA"/>
        </w:rPr>
        <w:t>و بَينَ سائرِ ما يَرجِعُ في قُبحِه إلَى العُقَلاءِ ؛ فإنّه لا يَجِدُ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منَعَ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فَرقٍ بَينَ هذا و بَينَ ما أجَزتَه في الإمامِ ، و العِلّةُ التي تَطرَّقتَ بها</w:t>
      </w:r>
      <w:r>
        <w:rPr>
          <w:rStyle w:val="FootnoteAnchor"/>
          <w:rtl w:val="true"/>
        </w:rPr>
        <w:footnoteReference w:id="2011"/>
      </w:r>
      <w:r>
        <w:rPr>
          <w:rFonts w:ascii="Amiri" w:hAnsi="Amiri" w:eastAsia="Amiri" w:cs="Amiri"/>
          <w:color w:val="111111"/>
          <w:sz w:val="28"/>
          <w:sz w:val="28"/>
          <w:szCs w:val="28"/>
          <w:rtl w:val="true"/>
          <w:lang w:bidi="ar-SA"/>
        </w:rPr>
        <w:t>إلىٰ حُسنِ وِلايتِه مع فَقدِه للعِلمِ بالأحكامِ حاصلةٌ فيما عارَضناكَ به، و هي إمكانُ التعرُّفِ و التعلُّمِ؟</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يُشبِهُ ما أجزتُه في الإمامِ ما عارَضتم به؛ لأنّني لَم أُجِزْ أن يوَلَّى الإمامةَ مَن لا يَعلَمُ الأحكامَ ، و يُعدَلَ بها عمّن يَعلَمُها، و إلزامُكم تَضمَّنَ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جوازِ ذلكَ علىٰ مَذهبِكَ‌؛ لأنّه لَيسَ مِن شُروطِ الإمامةِ‌</w:t>
      </w:r>
      <w:r>
        <w:rPr>
          <w:rStyle w:val="FootnoteAnchor"/>
          <w:rtl w:val="true"/>
        </w:rPr>
        <w:footnoteReference w:id="2012"/>
      </w:r>
      <w:r>
        <w:rPr>
          <w:rFonts w:ascii="Amiri" w:hAnsi="Amiri" w:eastAsia="Amiri" w:cs="Amiri"/>
          <w:color w:val="111111"/>
          <w:sz w:val="28"/>
          <w:sz w:val="28"/>
          <w:szCs w:val="28"/>
          <w:rtl w:val="true"/>
          <w:lang w:bidi="ar-SA"/>
        </w:rPr>
        <w:t>عندَكَ كونُ الإمامِ‌</w:t>
      </w:r>
      <w:r>
        <w:rPr>
          <w:rStyle w:val="FootnoteAnchor"/>
          <w:rtl w:val="true"/>
        </w:rPr>
        <w:footnoteReference w:id="2013"/>
      </w:r>
      <w:r>
        <w:rPr>
          <w:rFonts w:ascii="Amiri" w:hAnsi="Amiri" w:eastAsia="Amiri" w:cs="Amiri"/>
          <w:color w:val="111111"/>
          <w:sz w:val="28"/>
          <w:sz w:val="28"/>
          <w:szCs w:val="28"/>
          <w:rtl w:val="true"/>
          <w:lang w:bidi="ar-SA"/>
        </w:rPr>
        <w:t>عالِماً بجميعِ الأحكامِ‌، كما أنّه لَيسَ مِن شُروطِها عندَكَ أن يَكونَ أفضَلَ الأُمّةِ و أكثَرَهم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ما ذَكرناه شَرطاً جازَ أن يُعدَلَ عمّن حصَلَ فيه إلىٰ غَيرِه بَعدَ أن يَكونَ ذلكَ الغَيرُ ممّن يَتمكَّنُ </w:t>
      </w:r>
      <w:r>
        <w:rPr>
          <w:rStyle w:val="FootnoteAnchor"/>
          <w:rtl w:val="true"/>
        </w:rPr>
        <w:footnoteReference w:id="2014"/>
      </w:r>
      <w:r>
        <w:rPr>
          <w:rFonts w:ascii="Amiri" w:hAnsi="Amiri" w:eastAsia="Amiri" w:cs="Amiri"/>
          <w:color w:val="111111"/>
          <w:sz w:val="28"/>
          <w:sz w:val="28"/>
          <w:szCs w:val="28"/>
          <w:rtl w:val="true"/>
          <w:lang w:bidi="ar-SA"/>
        </w:rPr>
        <w:t xml:space="preserve">مِن التعرُّفِ و التوصُّلِ ؛ لأنّ هذا هو الشرطُ عندَكَ ، دونَ الأوّلِ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قَبُحَ مِن المَلِكِ أن يُوَلّيَ وِزارتَه مَن لا يَعلَمُها و يُسنِدَ أمرَ كِتابتِه إلىٰ مَن لا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لهُما إلَى التعرُّفِ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في ذلكَ ضرَرٌ </w:t>
      </w:r>
    </w:p>
    <w:p>
      <w:pPr>
        <w:pStyle w:val="BookText"/>
        <w:rPr/>
      </w:pPr>
      <w:r>
        <w:rPr>
          <w:rFonts w:ascii="Amiri" w:hAnsi="Amiri" w:eastAsia="Amiri" w:cs="Amiri"/>
          <w:color w:val="111111"/>
          <w:sz w:val="28"/>
          <w:sz w:val="28"/>
          <w:szCs w:val="28"/>
          <w:rtl w:val="true"/>
          <w:lang w:bidi="ar-SA"/>
        </w:rPr>
        <w:t>عَلَيه و تفويتٌ لمَنافعِه؛ لأنّه لا بُدَّ أن يَستضِرَّ بما يَتأخَّرُ مِن تدبيرِ</w:t>
      </w:r>
      <w:r>
        <w:rPr>
          <w:rStyle w:val="FootnoteAnchor"/>
          <w:rtl w:val="true"/>
        </w:rPr>
        <w:footnoteReference w:id="2015"/>
      </w:r>
      <w:r>
        <w:rPr>
          <w:rFonts w:ascii="Amiri" w:hAnsi="Amiri" w:eastAsia="Amiri" w:cs="Amiri"/>
          <w:color w:val="111111"/>
          <w:sz w:val="28"/>
          <w:sz w:val="28"/>
          <w:szCs w:val="28"/>
          <w:rtl w:val="true"/>
          <w:lang w:bidi="ar-SA"/>
        </w:rPr>
        <w:t>أمرِ مَملَكتِه، و يَتَمادىٰ مِن تنفيذِ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حُكمَ الإمامةِ </w:t>
      </w:r>
      <w:r>
        <w:rPr>
          <w:rStyle w:val="FootnoteAnchor"/>
          <w:rtl w:val="true"/>
        </w:rPr>
        <w:footnoteReference w:id="2016"/>
      </w:r>
      <w:r>
        <w:rPr>
          <w:rFonts w:ascii="Amiri" w:hAnsi="Amiri" w:eastAsia="Amiri" w:cs="Amiri"/>
          <w:color w:val="111111"/>
          <w:sz w:val="28"/>
          <w:sz w:val="28"/>
          <w:szCs w:val="28"/>
          <w:rtl w:val="true"/>
          <w:lang w:bidi="ar-SA"/>
        </w:rPr>
        <w:t xml:space="preserve">لأنّ الأحكامَ التي يَتوَلّاها الإمامُ لا ضرَرَ علَى اللّٰهِ تَعالىٰ في تأخُّرِها و لا علىٰ أحَدٍ، و إذا كانَت العبادةُ بها في الأصلِ غَيرَ واجبةٍ بالعقلِ ، فتأخُّرُها أَولىٰ بأن يجوِّزَه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ظَنَنتَ‌؛ لأنّه لَو كانَ قُبحُ هذه الوِلايةِ‌</w:t>
      </w:r>
      <w:r>
        <w:rPr>
          <w:rStyle w:val="FootnoteAnchor"/>
          <w:rtl w:val="true"/>
        </w:rPr>
        <w:footnoteReference w:id="2017"/>
      </w:r>
      <w:r>
        <w:rPr>
          <w:rFonts w:ascii="Amiri" w:hAnsi="Amiri" w:eastAsia="Amiri" w:cs="Amiri"/>
          <w:color w:val="111111"/>
          <w:sz w:val="28"/>
          <w:sz w:val="28"/>
          <w:szCs w:val="28"/>
          <w:rtl w:val="true"/>
          <w:lang w:bidi="ar-SA"/>
        </w:rPr>
        <w:t>التي قَدَّرناها يَرجِعُ إلَى استضرارِ المَلِكِ و فَوتِ مَنافعِه، لَوَجَبَ أن يَحسُنَ مِنه وِلايةُ مَن ذَكَرنا حالَه علىٰ بعضِ مَن لا يَدخُلُ عَلَيه ضرَرٌ في تأخُّرِ أمرِ تدبيرِه، و لا يَلحَقُه معه شيءٌ مِن فَوتِ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التقديرُ بمُستَبعَدٍ؛ لأنّا نَعلَمُ أنّ رَعايا المَلِكِ قد يَختَلِفُ </w:t>
      </w:r>
      <w:r>
        <w:rPr>
          <w:rStyle w:val="FootnoteAnchor"/>
          <w:rtl w:val="true"/>
        </w:rPr>
        <w:footnoteReference w:id="2018"/>
      </w:r>
      <w:r>
        <w:rPr>
          <w:rFonts w:ascii="Amiri" w:hAnsi="Amiri" w:eastAsia="Amiri" w:cs="Amiri"/>
          <w:color w:val="111111"/>
          <w:sz w:val="28"/>
          <w:sz w:val="28"/>
          <w:szCs w:val="28"/>
          <w:rtl w:val="true"/>
          <w:lang w:bidi="ar-SA"/>
        </w:rPr>
        <w:t>أحوالُهم فيما يَمَسُّ المَلِكَ مِن أُمورِهم؛ فيَكونُ فيهم مَن يَستَضِرُّ بتأخُّرِ أمرِ تدبيرِهم و سياستِهم، و فيهم مَن لا يَكونُ هذا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جميعُ العُقَلاءِ يَستَقبِحونَ هذه الوِلايةَ و إن لَم يَعُدْ مِنها ضرَرٌ علَى المَلِكِ كاستقباحِهم الأُولىٰ </w:t>
      </w:r>
      <w:r>
        <w:rPr>
          <w:rStyle w:val="FootnoteAnchor"/>
          <w:rtl w:val="true"/>
        </w:rPr>
        <w:footnoteReference w:id="2019"/>
      </w:r>
      <w:r>
        <w:rPr>
          <w:rFonts w:ascii="Amiri" w:hAnsi="Amiri" w:eastAsia="Amiri" w:cs="Amiri"/>
          <w:color w:val="111111"/>
          <w:sz w:val="28"/>
          <w:sz w:val="28"/>
          <w:szCs w:val="28"/>
          <w:rtl w:val="true"/>
          <w:lang w:bidi="ar-SA"/>
        </w:rPr>
        <w:t>، عَلِمنا أنّه</w:t>
      </w:r>
      <w:r>
        <w:rPr>
          <w:rStyle w:val="FootnoteAnchor"/>
          <w:rtl w:val="true"/>
        </w:rPr>
        <w:footnoteReference w:id="2020"/>
      </w:r>
      <w:r>
        <w:rPr>
          <w:rFonts w:ascii="Amiri" w:hAnsi="Amiri" w:eastAsia="Amiri" w:cs="Amiri"/>
          <w:color w:val="111111"/>
          <w:sz w:val="28"/>
          <w:sz w:val="28"/>
          <w:szCs w:val="28"/>
          <w:rtl w:val="true"/>
          <w:lang w:bidi="ar-SA"/>
        </w:rPr>
        <w:t xml:space="preserve">لا مُعتبَرَ بالضرَرِ، و أنّ </w:t>
      </w:r>
      <w:r>
        <w:rPr>
          <w:rStyle w:val="FootnoteAnchor"/>
          <w:rtl w:val="true"/>
        </w:rPr>
        <w:footnoteReference w:id="2021"/>
      </w:r>
      <w:r>
        <w:rPr>
          <w:rFonts w:ascii="Amiri" w:hAnsi="Amiri" w:eastAsia="Amiri" w:cs="Amiri"/>
          <w:color w:val="111111"/>
          <w:sz w:val="28"/>
          <w:sz w:val="28"/>
          <w:szCs w:val="28"/>
          <w:rtl w:val="true"/>
          <w:lang w:bidi="ar-SA"/>
        </w:rPr>
        <w:t>عِلّةَ القُبحِ فَقدُ عِلمِ المُستَكفىٰ بما فُوِّضَ إليه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قَبُحَ ما ذَكرناه في الشاهدِ لِما يَعودُ به مِن الضَّرَرِ، لَوَجَبَ أن لا يَستَقبِحَه مِن العُقَلاءِ إلّامَن عَلِمَ بحُصولِ الضرَرِ فيه علَى المُوَلّي، و لَوَجَبَ أن </w:t>
      </w:r>
    </w:p>
    <w:p>
      <w:pPr>
        <w:pStyle w:val="BookText"/>
        <w:rPr/>
      </w:pPr>
      <w:r>
        <w:rPr>
          <w:rFonts w:ascii="Amiri" w:hAnsi="Amiri" w:eastAsia="Amiri" w:cs="Amiri"/>
          <w:color w:val="111111"/>
          <w:sz w:val="28"/>
          <w:sz w:val="28"/>
          <w:szCs w:val="28"/>
          <w:rtl w:val="true"/>
          <w:lang w:bidi="ar-SA"/>
        </w:rPr>
        <w:t>يَكونَ استقباحُهم له ممّن كَثُرَ</w:t>
      </w:r>
      <w:r>
        <w:rPr>
          <w:rStyle w:val="FootnoteAnchor"/>
          <w:rtl w:val="true"/>
        </w:rPr>
        <w:footnoteReference w:id="2022"/>
      </w:r>
      <w:r>
        <w:rPr>
          <w:rFonts w:ascii="Amiri" w:hAnsi="Amiri" w:eastAsia="Amiri" w:cs="Amiri"/>
          <w:color w:val="111111"/>
          <w:sz w:val="28"/>
          <w:sz w:val="28"/>
          <w:szCs w:val="28"/>
          <w:rtl w:val="true"/>
          <w:lang w:bidi="ar-SA"/>
        </w:rPr>
        <w:t>ما يَعودُ به مِن الضَررِ عَلَيه أكثَرَ، و لَومُهم له</w:t>
      </w:r>
      <w:r>
        <w:rPr>
          <w:rStyle w:val="FootnoteAnchor"/>
          <w:rtl w:val="true"/>
        </w:rPr>
        <w:footnoteReference w:id="2023"/>
      </w:r>
      <w:r>
        <w:rPr>
          <w:rFonts w:ascii="Amiri" w:hAnsi="Amiri" w:eastAsia="Amiri" w:cs="Amiri"/>
          <w:color w:val="111111"/>
          <w:sz w:val="28"/>
          <w:sz w:val="28"/>
          <w:szCs w:val="28"/>
          <w:rtl w:val="true"/>
          <w:lang w:bidi="ar-SA"/>
        </w:rPr>
        <w:t>أعظَمَ‌، حتّىٰ يَكونَ الاستقباحُ تابعاً للضرَرِ؛ يَزيدُ بزيادتِه، و يَنقُصُ بنُقصانِه؛ و كُلُّ هذا ممّا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فَرقَ بَينَ مَن جعَلَ قُبحَ استكفاءِ الأمرِ مَن لا يَعلَمُه و لا يَضطَلِعُ به راجعاً إلىٰ ما يَعودُ به مِن الضرَرِ، و بَينَ المُجبِرةِ إذا ادَّعَت أنّ جميعَ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 و الكَذِبِ و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استَقبَحَها العُقَلاءُ في الشاهِدِ لِما يَلحَقُ فاعليها</w:t>
      </w:r>
      <w:r>
        <w:rPr>
          <w:rStyle w:val="FootnoteAnchor"/>
          <w:rtl w:val="true"/>
        </w:rPr>
        <w:footnoteReference w:id="2024"/>
      </w:r>
      <w:r>
        <w:rPr>
          <w:rFonts w:ascii="Amiri" w:hAnsi="Amiri" w:eastAsia="Amiri" w:cs="Amiri"/>
          <w:color w:val="111111"/>
          <w:sz w:val="28"/>
          <w:sz w:val="28"/>
          <w:szCs w:val="28"/>
          <w:rtl w:val="true"/>
          <w:lang w:bidi="ar-SA"/>
        </w:rPr>
        <w:t xml:space="preserve">مِن الضَّرَرِ، إمّا بِاستحقاقِ العقابِ ، أو باللَّومِ و التهجينِ </w:t>
      </w:r>
      <w:r>
        <w:rPr>
          <w:rStyle w:val="FootnoteAnchor"/>
          <w:rtl w:val="true"/>
        </w:rPr>
        <w:footnoteReference w:id="2025"/>
      </w:r>
      <w:r>
        <w:rPr>
          <w:rFonts w:ascii="Amiri" w:hAnsi="Amiri" w:eastAsia="Amiri" w:cs="Amiri"/>
          <w:color w:val="111111"/>
          <w:sz w:val="28"/>
          <w:sz w:val="28"/>
          <w:szCs w:val="28"/>
          <w:rtl w:val="true"/>
          <w:lang w:bidi="ar-SA"/>
        </w:rPr>
        <w:t xml:space="preserve">مِن العُقَلاءِ ، و تَطرَّقَت بذلكَ إلىٰ حُسنِها مِن فِعلِ اللّٰهِ </w:t>
      </w:r>
      <w:r>
        <w:rPr>
          <w:rStyle w:val="FootnoteAnchor"/>
          <w:rtl w:val="true"/>
        </w:rPr>
        <w:footnoteReference w:id="2026"/>
      </w:r>
      <w:r>
        <w:rPr>
          <w:rFonts w:ascii="Amiri" w:hAnsi="Amiri" w:eastAsia="Amiri" w:cs="Amiri"/>
          <w:color w:val="111111"/>
          <w:sz w:val="28"/>
          <w:sz w:val="28"/>
          <w:szCs w:val="28"/>
          <w:rtl w:val="true"/>
          <w:lang w:bidi="ar-SA"/>
        </w:rPr>
        <w:t>تَعالىٰ مِن حَيثُ لَم يَجُز عَلَيه الاستضرارُ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Style w:val="FootnoteAnchor"/>
          <w:rtl w:val="true"/>
        </w:rPr>
        <w:footnoteReference w:id="2027"/>
      </w:r>
      <w:r>
        <w:rPr>
          <w:rFonts w:ascii="Amiri" w:hAnsi="Amiri" w:eastAsia="Amiri" w:cs="Amiri"/>
          <w:color w:val="111111"/>
          <w:sz w:val="28"/>
          <w:sz w:val="28"/>
          <w:szCs w:val="28"/>
          <w:rtl w:val="true"/>
          <w:lang w:bidi="ar-SA"/>
        </w:rPr>
        <w:t>أن يُكلَّفَ القَبولَ مِن العُلَماءِ كما يُقالُ في الفَتوىٰ‌، و يَقولُه كَثيرٌ مِن الناسِ في حُكِم الحاكمِ‌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العامّيَّ إنّما ساغَ </w:t>
      </w:r>
      <w:r>
        <w:rPr>
          <w:rStyle w:val="FootnoteAnchor"/>
          <w:rtl w:val="true"/>
        </w:rPr>
        <w:footnoteReference w:id="2028"/>
      </w:r>
      <w:r>
        <w:rPr>
          <w:rFonts w:ascii="Amiri" w:hAnsi="Amiri" w:eastAsia="Amiri" w:cs="Amiri"/>
          <w:color w:val="111111"/>
          <w:sz w:val="28"/>
          <w:sz w:val="28"/>
          <w:szCs w:val="28"/>
          <w:rtl w:val="true"/>
          <w:lang w:bidi="ar-SA"/>
        </w:rPr>
        <w:t xml:space="preserve">في العقلِ أن يُكلَّفَ </w:t>
      </w:r>
      <w:r>
        <w:rPr>
          <w:rStyle w:val="FootnoteAnchor"/>
          <w:rtl w:val="true"/>
        </w:rPr>
        <w:footnoteReference w:id="2029"/>
      </w:r>
      <w:r>
        <w:rPr>
          <w:rFonts w:ascii="Amiri" w:hAnsi="Amiri" w:eastAsia="Amiri" w:cs="Amiri"/>
          <w:color w:val="111111"/>
          <w:sz w:val="28"/>
          <w:sz w:val="28"/>
          <w:szCs w:val="28"/>
          <w:rtl w:val="true"/>
          <w:lang w:bidi="ar-SA"/>
        </w:rPr>
        <w:t>القَبولَ مِن غَيرِه؛ مِن حَيثُ لَم يَكُن</w:t>
      </w:r>
      <w:r>
        <w:rPr>
          <w:rStyle w:val="FootnoteAnchor"/>
          <w:rtl w:val="true"/>
        </w:rPr>
        <w:footnoteReference w:id="2030"/>
      </w:r>
      <w:r>
        <w:rPr>
          <w:rFonts w:ascii="Amiri" w:hAnsi="Amiri" w:eastAsia="Amiri" w:cs="Amiri"/>
          <w:color w:val="111111"/>
          <w:sz w:val="28"/>
          <w:sz w:val="28"/>
          <w:szCs w:val="28"/>
          <w:rtl w:val="true"/>
          <w:lang w:bidi="ar-SA"/>
        </w:rPr>
        <w:t>مُتَولّياً للحُكمِ فيما جَهِلَه و لا منصوباً للقَضاءِ فيه، فجازَ أن يَرجِعَ فيما لا يَعلَمُه إلىٰ غَيرِه؛ لأنّ ذلكَ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حُكمَ الإمامِ ؛ لأنّه الحاكمُ في سائرِ الدِّينِ ، </w:t>
      </w:r>
      <w:bookmarkStart w:id="354" w:name="pg20015_284966"/>
    </w:p>
    <w:p>
      <w:pPr>
        <w:pStyle w:val="BookText"/>
        <w:rPr/>
      </w:pPr>
      <w:bookmarkEnd w:id="354"/>
      <w:r>
        <w:rPr>
          <w:rFonts w:ascii="Amiri" w:hAnsi="Amiri" w:eastAsia="Amiri" w:cs="Amiri"/>
          <w:color w:val="111111"/>
          <w:sz w:val="28"/>
          <w:sz w:val="28"/>
          <w:szCs w:val="28"/>
          <w:rtl w:val="true"/>
          <w:lang w:bidi="ar-SA"/>
        </w:rPr>
        <w:t>و المنصوبُ للقَضاءِ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بمَنزِلةِ العامّيِّ </w:t>
      </w:r>
      <w:r>
        <w:rPr>
          <w:rStyle w:val="FootnoteAnchor"/>
          <w:rtl w:val="true"/>
        </w:rPr>
        <w:footnoteReference w:id="2031"/>
      </w:r>
      <w:r>
        <w:rPr>
          <w:rFonts w:ascii="Amiri" w:hAnsi="Amiri" w:eastAsia="Amiri" w:cs="Amiri"/>
          <w:color w:val="111111"/>
          <w:sz w:val="28"/>
          <w:sz w:val="28"/>
          <w:szCs w:val="28"/>
          <w:rtl w:val="true"/>
          <w:lang w:bidi="ar-SA"/>
        </w:rPr>
        <w:t xml:space="preserve">في سُقوطِ وِلايةِ الحُكمِ عنه، لَجازَ أن يَتَساوىٰ مَنزِلتُهما في التعبُّدِ بالرُّجوعِ إلِى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الحاكمُ فلَيسَ يَجوزُ</w:t>
      </w:r>
      <w:r>
        <w:rPr>
          <w:rStyle w:val="FootnoteAnchor"/>
          <w:rtl w:val="true"/>
        </w:rPr>
        <w:footnoteReference w:id="2032"/>
      </w:r>
      <w:r>
        <w:rPr>
          <w:rFonts w:ascii="Amiri" w:hAnsi="Amiri" w:eastAsia="Amiri" w:cs="Amiri"/>
          <w:color w:val="111111"/>
          <w:sz w:val="28"/>
          <w:sz w:val="28"/>
          <w:szCs w:val="28"/>
          <w:rtl w:val="true"/>
          <w:lang w:bidi="ar-SA"/>
        </w:rPr>
        <w:t>أن يَجهلَ شيئاً ممّا نُصِبَ للحُكمِ فيه، و مَن نصَبَ حاكماً لا معرفةَ عندَه بالحُكمِ كانَ سَفيهاً، و كُلُّ ما يَجهَلُه الحُكّامُ المُتَولّونَ مِن قِبَلِ الإمامِ فهو خارجٌ مِن وِلايتِهم، و</w:t>
      </w:r>
      <w:r>
        <w:rPr>
          <w:rStyle w:val="FootnoteAnchor"/>
          <w:rtl w:val="true"/>
        </w:rPr>
        <w:footnoteReference w:id="2033"/>
      </w:r>
      <w:r>
        <w:rPr>
          <w:rFonts w:ascii="Amiri" w:hAnsi="Amiri" w:eastAsia="Amiri" w:cs="Amiri"/>
          <w:color w:val="111111"/>
          <w:sz w:val="28"/>
          <w:sz w:val="28"/>
          <w:szCs w:val="28"/>
          <w:rtl w:val="true"/>
          <w:lang w:bidi="ar-SA"/>
        </w:rPr>
        <w:t>موقوفٌ علىٰ حُكمِ الإمامِ ، أو حُكمِ غَيرِه ممّن له معرفةٌ به</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94969_2320776876"/>
      <w:bookmarkStart w:id="356" w:name="_Toc126"/>
      <w:bookmarkEnd w:id="355"/>
      <w:r>
        <w:rPr>
          <w:rtl w:val="true"/>
        </w:rPr>
        <w:t>ضرورة كون الرسول عالماً بجميع الأحكام</w:t>
      </w:r>
      <w:bookmarkEnd w:id="35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في الإمامِ ما ذَكرتم، لَجازَ</w:t>
      </w:r>
      <w:r>
        <w:rPr>
          <w:rStyle w:val="FootnoteAnchor"/>
          <w:rtl w:val="true"/>
        </w:rPr>
        <w:footnoteReference w:id="2034"/>
      </w:r>
      <w:r>
        <w:rPr>
          <w:rFonts w:ascii="Amiri" w:hAnsi="Amiri" w:eastAsia="Amiri" w:cs="Amiri"/>
          <w:color w:val="111111"/>
          <w:sz w:val="28"/>
          <w:sz w:val="28"/>
          <w:szCs w:val="28"/>
          <w:rtl w:val="true"/>
          <w:lang w:bidi="ar-SA"/>
        </w:rPr>
        <w:t>في الرسولِ مِثلُه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نُجيزُ مِن جهةِ العقلِ كَثيراً ممّا ذَكرناه، بأن يَتعبَّدَه</w:t>
      </w:r>
      <w:r>
        <w:rPr>
          <w:rStyle w:val="FootnoteAnchor"/>
          <w:rtl w:val="true"/>
        </w:rPr>
        <w:footnoteReference w:id="2035"/>
      </w:r>
      <w:r>
        <w:rPr>
          <w:rFonts w:ascii="Amiri" w:hAnsi="Amiri" w:eastAsia="Amiri" w:cs="Amiri"/>
          <w:color w:val="111111"/>
          <w:sz w:val="28"/>
          <w:sz w:val="28"/>
          <w:szCs w:val="28"/>
          <w:rtl w:val="true"/>
          <w:lang w:bidi="ar-SA"/>
        </w:rPr>
        <w:t>اللّٰهُ تَعالىٰ في الأحكامِ بأن يَجتَهِدَ، أو بأن يَحكُمَ بما تَقرَّرَ عندَه في عقلِه، أو بأن يَتوقَّفَ في كَثيرٍ مِن ذلكَ إلىٰ ما شاكَلَه</w:t>
      </w:r>
      <w:r>
        <w:rPr>
          <w:rStyle w:val="FootnoteAnchor"/>
          <w:rtl w:val="true"/>
        </w:rPr>
        <w:footnoteReference w:id="2036"/>
      </w:r>
      <w:r>
        <w:rPr>
          <w:rFonts w:ascii="Amiri" w:hAnsi="Amiri" w:eastAsia="Amiri" w:cs="Amiri"/>
          <w:color w:val="111111"/>
          <w:sz w:val="28"/>
          <w:sz w:val="28"/>
          <w:szCs w:val="28"/>
          <w:rtl w:val="true"/>
          <w:lang w:bidi="ar-SA"/>
        </w:rPr>
        <w:t>، و إنّما نَمنَعُه الآنَ لا لأنّ في</w:t>
      </w:r>
      <w:r>
        <w:rPr>
          <w:rStyle w:val="FootnoteAnchor"/>
          <w:rtl w:val="true"/>
        </w:rPr>
        <w:footnoteReference w:id="2037"/>
      </w:r>
      <w:r>
        <w:rPr>
          <w:rFonts w:ascii="Amiri" w:hAnsi="Amiri" w:eastAsia="Amiri" w:cs="Amiri"/>
          <w:color w:val="111111"/>
          <w:sz w:val="28"/>
          <w:sz w:val="28"/>
          <w:szCs w:val="28"/>
          <w:rtl w:val="true"/>
          <w:lang w:bidi="ar-SA"/>
        </w:rPr>
        <w:t>العقلِ كانَ لا يَجوزُ التعبُّدُ به، بَل لأنّ الدَّلالةَ في الشرعِ دَلَّت علىٰ خِلافِه</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أجَزتَ ذلكَ في الرسولِ كإجازتِكَ إيّاه في الإمامِ‌، كانَ الكلامُ عَلَيكَ في الأمرَينِ </w:t>
      </w:r>
      <w:r>
        <w:rPr>
          <w:rStyle w:val="FootnoteAnchor"/>
          <w:rtl w:val="true"/>
        </w:rPr>
        <w:footnoteReference w:id="2039"/>
      </w:r>
      <w:r>
        <w:rPr>
          <w:rFonts w:ascii="Amiri" w:hAnsi="Amiri" w:eastAsia="Amiri" w:cs="Amiri"/>
          <w:color w:val="111111"/>
          <w:sz w:val="28"/>
          <w:sz w:val="28"/>
          <w:szCs w:val="28"/>
          <w:rtl w:val="true"/>
          <w:lang w:bidi="ar-SA"/>
        </w:rPr>
        <w:t>واحداً، و ما ذَكرناه</w:t>
      </w:r>
      <w:r>
        <w:rPr>
          <w:rStyle w:val="FootnoteAnchor"/>
          <w:rtl w:val="true"/>
        </w:rPr>
        <w:footnoteReference w:id="2040"/>
      </w:r>
      <w:r>
        <w:rPr>
          <w:rFonts w:ascii="Amiri" w:hAnsi="Amiri" w:eastAsia="Amiri" w:cs="Amiri"/>
          <w:color w:val="111111"/>
          <w:sz w:val="28"/>
          <w:sz w:val="28"/>
          <w:szCs w:val="28"/>
          <w:rtl w:val="true"/>
          <w:lang w:bidi="ar-SA"/>
        </w:rPr>
        <w:t xml:space="preserve">مِن الأدلّةِ المتقدِّمةِ يَتَناوَلُ الخِلافَ في المَوضِعَينِ ؛ لأنّ الرسولَ إذا كانَ حاكماً في سائرِ الدِّينِ ، و إماماً في جميعِه، وَجَبَ مِن كَونِه عالِماً بالأحكامِ ما أَوجَبناه في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بما تَقرَّرَ في عقلِه، و يَتوقَّفُ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أنّه يَفعَلُ ذلكَ فيما للّٰهِ تَعالىٰ فيه حُكمٌ مشروعٌ نصَبَه للحُكمِ به و جعَلَه الإمامَ فيه، فهذا ممّا لا يَجوزُ، و هو الذي بيّنّا فَسادَه بكُلِّ الذي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أنّه يَتوقَّفُ أو يَرجِعُ </w:t>
      </w:r>
      <w:r>
        <w:rPr>
          <w:rStyle w:val="FootnoteAnchor"/>
          <w:rtl w:val="true"/>
        </w:rPr>
        <w:footnoteReference w:id="2041"/>
      </w:r>
      <w:r>
        <w:rPr>
          <w:rFonts w:ascii="Amiri" w:hAnsi="Amiri" w:eastAsia="Amiri" w:cs="Amiri"/>
          <w:color w:val="111111"/>
          <w:sz w:val="28"/>
          <w:sz w:val="28"/>
          <w:szCs w:val="28"/>
          <w:rtl w:val="true"/>
          <w:lang w:bidi="ar-SA"/>
        </w:rPr>
        <w:t>إلَى العقلِ فيما لَيسَ فيه حُكمٌ مشروعٌ نُصِبَ حاكماً به و مُمضياً له، بَل العبادةُ فيه هي التوقُّفُ أو الرجوعُ إلَى العقلِ ، فهذا ممّا</w:t>
      </w:r>
      <w:r>
        <w:rPr>
          <w:rStyle w:val="FootnoteAnchor"/>
          <w:rtl w:val="true"/>
        </w:rPr>
        <w:footnoteReference w:id="2042"/>
      </w:r>
      <w:r>
        <w:rPr>
          <w:rFonts w:ascii="Amiri" w:hAnsi="Amiri" w:eastAsia="Amiri" w:cs="Amiri"/>
          <w:color w:val="111111"/>
          <w:sz w:val="28"/>
          <w:sz w:val="28"/>
          <w:szCs w:val="28"/>
          <w:rtl w:val="true"/>
          <w:lang w:bidi="ar-SA"/>
        </w:rPr>
        <w:t>لا نأباه؛ لأنّا إنّما نوجِبُ أن يَعلَمَ جميعَ الأحكامِ المشروعةِ التي جُعِلَ إماماً فيها و حاكماً بها؛ فما</w:t>
      </w:r>
      <w:r>
        <w:rPr>
          <w:rStyle w:val="FootnoteAnchor"/>
          <w:rtl w:val="true"/>
        </w:rPr>
        <w:footnoteReference w:id="2043"/>
      </w:r>
      <w:r>
        <w:rPr>
          <w:rFonts w:ascii="Amiri" w:hAnsi="Amiri" w:eastAsia="Amiri" w:cs="Amiri"/>
          <w:color w:val="111111"/>
          <w:sz w:val="28"/>
          <w:sz w:val="28"/>
          <w:szCs w:val="28"/>
          <w:rtl w:val="true"/>
          <w:lang w:bidi="ar-SA"/>
        </w:rPr>
        <w:t>لا حُكمَ فيه، أو فيه حُكمٌ لَيسَ مِن جُملةِ الشرعِ الذي هو إمامٌ فيه</w:t>
      </w:r>
      <w:r>
        <w:rPr>
          <w:rStyle w:val="FootnoteAnchor"/>
          <w:rtl w:val="true"/>
        </w:rPr>
        <w:footnoteReference w:id="2044"/>
      </w:r>
      <w:r>
        <w:rPr>
          <w:rFonts w:ascii="Amiri" w:hAnsi="Amiri" w:eastAsia="Amiri" w:cs="Amiri"/>
          <w:color w:val="111111"/>
          <w:sz w:val="28"/>
          <w:sz w:val="28"/>
          <w:szCs w:val="28"/>
          <w:rtl w:val="true"/>
          <w:lang w:bidi="ar-SA"/>
        </w:rPr>
        <w:t>لأهلِه خارجٌ عمّا أَوجَبناه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معنىٰ هذا الجوابِ نَرجِعُ إذا سُئلنا عن سببِ ما رُويَ مِن توقُّفِ النبيِّ صَلَّى اللّٰهُ عليه و آلِه في بعضِ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كقِصّةِ المُجادَلةِ و ما أشبَهَها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الذي تَوقَّفَ </w:t>
      </w:r>
      <w:r>
        <w:rPr>
          <w:rStyle w:val="FootnoteAnchor"/>
          <w:rtl w:val="true"/>
        </w:rPr>
        <w:footnoteReference w:id="2045"/>
      </w:r>
      <w:r>
        <w:rPr>
          <w:rFonts w:ascii="Amiri" w:hAnsi="Amiri" w:eastAsia="Amiri" w:cs="Amiri"/>
          <w:color w:val="111111"/>
          <w:sz w:val="28"/>
          <w:sz w:val="28"/>
          <w:szCs w:val="28"/>
          <w:rtl w:val="true"/>
          <w:lang w:bidi="ar-SA"/>
        </w:rPr>
        <w:t xml:space="preserve">صَلَّى اللّٰهُ عليه و آلِه فيه لَم يَكُن له حُكمٌ في شَرعِه فيَجِبَ عِلمُه به، </w:t>
      </w:r>
      <w:bookmarkStart w:id="357" w:name="pg20015_284968"/>
    </w:p>
    <w:p>
      <w:pPr>
        <w:pStyle w:val="BookText"/>
        <w:rPr/>
      </w:pPr>
      <w:bookmarkEnd w:id="357"/>
      <w:r>
        <w:rPr>
          <w:rFonts w:ascii="Amiri" w:hAnsi="Amiri" w:eastAsia="Amiri" w:cs="Amiri"/>
          <w:color w:val="111111"/>
          <w:sz w:val="28"/>
          <w:sz w:val="28"/>
          <w:szCs w:val="28"/>
          <w:rtl w:val="true"/>
          <w:lang w:bidi="ar-SA"/>
        </w:rPr>
        <w:t xml:space="preserve">و فَرضُه فيه هو ما صنَعَه عليه السلامُ </w:t>
      </w:r>
      <w:r>
        <w:rPr>
          <w:rStyle w:val="FootnoteAnchor"/>
          <w:rtl w:val="true"/>
        </w:rPr>
        <w:footnoteReference w:id="2046"/>
      </w:r>
      <w:r>
        <w:rPr>
          <w:rFonts w:ascii="Amiri" w:hAnsi="Amiri" w:eastAsia="Amiri" w:cs="Amiri"/>
          <w:color w:val="111111"/>
          <w:sz w:val="28"/>
          <w:sz w:val="28"/>
          <w:szCs w:val="28"/>
          <w:rtl w:val="true"/>
          <w:lang w:bidi="ar-SA"/>
        </w:rPr>
        <w:t xml:space="preserve">مِن التوقُّفِ و انتظارِ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w:t>
      </w:r>
    </w:p>
    <w:p>
      <w:pPr>
        <w:pStyle w:val="BookText"/>
        <w:rPr/>
      </w:pPr>
      <w:r>
        <w:rPr>
          <w:rFonts w:ascii="Amiri" w:hAnsi="Amiri" w:eastAsia="Amiri" w:cs="Amiri"/>
          <w:color w:val="111111"/>
          <w:sz w:val="28"/>
          <w:sz w:val="28"/>
          <w:szCs w:val="28"/>
          <w:rtl w:val="true"/>
          <w:lang w:bidi="ar-SA"/>
        </w:rPr>
        <w:t>حُكمَ ما أَنكرناه مِن فَقدِ عِلمِ الإمامِ بالأحكامِ المشروعةِ المُبَيَّنةِ التي هو إمامٌ فيها</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894971_2320776876"/>
      <w:bookmarkStart w:id="359" w:name="_Toc127"/>
      <w:bookmarkEnd w:id="358"/>
      <w:r>
        <w:rPr>
          <w:rtl w:val="true"/>
        </w:rPr>
        <w:t>ضرورة علم الإمام بالأحكام، دون بواطن الأُمور</w:t>
      </w:r>
      <w:bookmarkEnd w:id="35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أيَجِبُ في جملةِ‌</w:t>
      </w:r>
      <w:r>
        <w:rPr>
          <w:rStyle w:val="FootnoteAnchor"/>
          <w:rtl w:val="true"/>
        </w:rPr>
        <w:footnoteReference w:id="2048"/>
      </w:r>
      <w:r>
        <w:rPr>
          <w:rFonts w:ascii="Amiri" w:hAnsi="Amiri" w:eastAsia="Amiri" w:cs="Amiri"/>
          <w:color w:val="111111"/>
          <w:sz w:val="28"/>
          <w:sz w:val="28"/>
          <w:szCs w:val="28"/>
          <w:rtl w:val="true"/>
          <w:lang w:bidi="ar-SA"/>
        </w:rPr>
        <w:t>العقلِ أن لا يقَعَ مِن الإمامِ الخَطأُ فيما يَقومُ به‌؟</w:t>
      </w:r>
    </w:p>
    <w:p>
      <w:pPr>
        <w:pStyle w:val="BookText"/>
        <w:rPr/>
      </w:pPr>
      <w:r>
        <w:rPr>
          <w:rFonts w:ascii="Amiri" w:hAnsi="Amiri" w:eastAsia="Amiri" w:cs="Amiri"/>
          <w:color w:val="111111"/>
          <w:sz w:val="28"/>
          <w:sz w:val="28"/>
          <w:szCs w:val="28"/>
          <w:rtl w:val="true"/>
          <w:lang w:bidi="ar-SA"/>
        </w:rPr>
        <w:t>فإن قالوا بذلكَ لَزِمَهم أن يَكونَ عالِماً بالأُمورِ الباطنةِ‌</w:t>
      </w:r>
      <w:r>
        <w:rPr>
          <w:rStyle w:val="FootnoteAnchor"/>
          <w:rtl w:val="true"/>
        </w:rPr>
        <w:footnoteReference w:id="2049"/>
      </w:r>
      <w:r>
        <w:rPr>
          <w:rFonts w:ascii="Amiri" w:hAnsi="Amiri" w:eastAsia="Amiri" w:cs="Amiri"/>
          <w:color w:val="111111"/>
          <w:sz w:val="28"/>
          <w:sz w:val="28"/>
          <w:szCs w:val="28"/>
          <w:rtl w:val="true"/>
          <w:lang w:bidi="ar-SA"/>
        </w:rPr>
        <w:t>ممّا يُرفَعُ‌</w:t>
      </w:r>
      <w:r>
        <w:rPr>
          <w:rStyle w:val="FootnoteAnchor"/>
          <w:rtl w:val="true"/>
        </w:rPr>
        <w:footnoteReference w:id="2050"/>
      </w:r>
      <w:r>
        <w:rPr>
          <w:rFonts w:ascii="Amiri" w:hAnsi="Amiri" w:eastAsia="Amiri" w:cs="Amiri"/>
          <w:color w:val="111111"/>
          <w:sz w:val="28"/>
          <w:sz w:val="28"/>
          <w:szCs w:val="28"/>
          <w:rtl w:val="true"/>
          <w:lang w:bidi="ar-SA"/>
        </w:rPr>
        <w:t>إليه كما يَكونُ عالِماً بالأحكامِ‌؛ لأنّهم إن لَم يَقولوا بذلكَ فلا بُدَّ مِن تجويزِهم الغلطَ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إقامةَ الحَدِّ علىٰ مَن يَكذِبُ عَلَيه الشُّهودُ، و أَخْذَ المالِ مِن زَيدٍ و دَفعِه إلىٰ عَمرٍو و هو لا يَستَحِقُّه؛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يوجِبُ عَلَيهم أن يَكونَ عالِماً بالغَيبِ و سائرِ أحوالِ الناسِ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الوجهِ ألزَمَهم شُيوخُنا أن يَكونَ الإمامُ عارفاً بالصنائعِ و الحِرَفِ ، إلىٰ غَيرِ ذلكَ ممّا يَصِحُّ الترافُعُ فيه</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ظَنَنتَ أنّ العِلمَ ببَواطنِ الأُمورِ و مغيَّبِها</w:t>
      </w:r>
      <w:r>
        <w:rPr>
          <w:rStyle w:val="FootnoteAnchor"/>
          <w:rtl w:val="true"/>
        </w:rPr>
        <w:footnoteReference w:id="2052"/>
      </w:r>
      <w:r>
        <w:rPr>
          <w:rFonts w:ascii="Amiri" w:hAnsi="Amiri" w:eastAsia="Amiri" w:cs="Amiri"/>
          <w:color w:val="111111"/>
          <w:sz w:val="28"/>
          <w:sz w:val="28"/>
          <w:szCs w:val="28"/>
          <w:rtl w:val="true"/>
          <w:lang w:bidi="ar-SA"/>
        </w:rPr>
        <w:t>يَجري مَجرىٰ ما أَوجَبناه مِن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أنّا إنّما أَوجَبنا إحاطةَ الإمامِ بالأحكامِ مِن حَيثُ كانَ للّٰهِ تَعالىٰ حُكمٌ مشروعٌ في الحَوادثِ أَوجَبَ عَلَيه إمضاءَه، و جعَلَه حاكماً به و إماماً فيه‌؟ فهَل للّٰهِ تَعالىٰ في باطنِ الحَوادثِ حُكمٌ يخالِفُ الظاهرَ</w:t>
      </w:r>
      <w:r>
        <w:rPr>
          <w:rStyle w:val="FootnoteAnchor"/>
          <w:rtl w:val="true"/>
        </w:rPr>
        <w:footnoteReference w:id="2053"/>
      </w:r>
      <w:r>
        <w:rPr>
          <w:rFonts w:ascii="Amiri" w:hAnsi="Amiri" w:eastAsia="Amiri" w:cs="Amiri"/>
          <w:color w:val="111111"/>
          <w:sz w:val="28"/>
          <w:sz w:val="28"/>
          <w:szCs w:val="28"/>
          <w:rtl w:val="true"/>
          <w:lang w:bidi="ar-SA"/>
        </w:rPr>
        <w:t>شَرَعَه و</w:t>
      </w:r>
      <w:r>
        <w:rPr>
          <w:rStyle w:val="FootnoteAnchor"/>
          <w:rtl w:val="true"/>
        </w:rPr>
        <w:footnoteReference w:id="2054"/>
      </w:r>
      <w:r>
        <w:rPr>
          <w:rFonts w:ascii="Amiri" w:hAnsi="Amiri" w:eastAsia="Amiri" w:cs="Amiri"/>
          <w:color w:val="111111"/>
          <w:sz w:val="28"/>
          <w:sz w:val="28"/>
          <w:szCs w:val="28"/>
          <w:rtl w:val="true"/>
          <w:lang w:bidi="ar-SA"/>
        </w:rPr>
        <w:t>أَوجَبَ‌</w:t>
      </w:r>
      <w:r>
        <w:rPr>
          <w:rStyle w:val="FootnoteAnchor"/>
          <w:rtl w:val="true"/>
        </w:rPr>
        <w:footnoteReference w:id="2055"/>
      </w:r>
      <w:r>
        <w:rPr>
          <w:rFonts w:ascii="Amiri" w:hAnsi="Amiri" w:eastAsia="Amiri" w:cs="Amiri"/>
          <w:color w:val="111111"/>
          <w:sz w:val="28"/>
          <w:sz w:val="28"/>
          <w:szCs w:val="28"/>
          <w:rtl w:val="true"/>
          <w:lang w:bidi="ar-SA"/>
        </w:rPr>
        <w:t>علَى الإمامِ العملَ به‌؟</w:t>
      </w:r>
    </w:p>
    <w:p>
      <w:pPr>
        <w:pStyle w:val="BookText"/>
        <w:rPr/>
      </w:pPr>
      <w:r>
        <w:rPr>
          <w:rFonts w:ascii="Amiri" w:hAnsi="Amiri" w:eastAsia="Amiri" w:cs="Amiri"/>
          <w:color w:val="111111"/>
          <w:sz w:val="28"/>
          <w:sz w:val="28"/>
          <w:szCs w:val="28"/>
          <w:rtl w:val="true"/>
          <w:lang w:bidi="ar-SA"/>
        </w:rPr>
        <w:t>و كَيفَ عَدَدتَ مِن</w:t>
      </w:r>
      <w:r>
        <w:rPr>
          <w:rStyle w:val="FootnoteAnchor"/>
          <w:rtl w:val="true"/>
        </w:rPr>
        <w:footnoteReference w:id="2056"/>
      </w:r>
      <w:r>
        <w:rPr>
          <w:rFonts w:ascii="Amiri" w:hAnsi="Amiri" w:eastAsia="Amiri" w:cs="Amiri"/>
          <w:color w:val="111111"/>
          <w:sz w:val="28"/>
          <w:sz w:val="28"/>
          <w:szCs w:val="28"/>
          <w:rtl w:val="true"/>
          <w:lang w:bidi="ar-SA"/>
        </w:rPr>
        <w:t>جُملةِ الغلطِ في الحُكمِ إقامةَ الحدِّ علىٰ مَن لا يَستَحِقُّه و أخْذَ المالِ ممّن هو في الباطنِ بَريءُ الذِّمّةِ مِنه ؟ و أيُّ غلطٍ في ذلكَ و هو</w:t>
      </w:r>
    </w:p>
    <w:p>
      <w:pPr>
        <w:pStyle w:val="BookText"/>
        <w:rPr/>
      </w:pPr>
      <w:r>
        <w:rPr>
          <w:rFonts w:ascii="Amiri" w:hAnsi="Amiri" w:eastAsia="Amiri" w:cs="Amiri"/>
          <w:color w:val="111111"/>
          <w:sz w:val="28"/>
          <w:sz w:val="28"/>
          <w:szCs w:val="28"/>
          <w:rtl w:val="true"/>
          <w:lang w:bidi="ar-SA"/>
        </w:rPr>
        <w:t xml:space="preserve">حُكمُ اللّٰهِ تَعالىٰ </w:t>
      </w:r>
      <w:r>
        <w:rPr>
          <w:rStyle w:val="FootnoteAnchor"/>
          <w:rtl w:val="true"/>
        </w:rPr>
        <w:footnoteReference w:id="2057"/>
      </w:r>
      <w:r>
        <w:rPr>
          <w:rFonts w:ascii="Amiri" w:hAnsi="Amiri" w:eastAsia="Amiri" w:cs="Amiri"/>
          <w:color w:val="111111"/>
          <w:sz w:val="28"/>
          <w:sz w:val="28"/>
          <w:szCs w:val="28"/>
          <w:rtl w:val="true"/>
          <w:lang w:bidi="ar-SA"/>
        </w:rPr>
        <w:t>في هذه الحَوادثِ الذي أَوجَبَ علَى الإمامِ إقامتَه و إمضاءَه، دونَ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مع ذلك الشهود زوراً و كذباً، فيلزمه إقامة الحدّ، و يكون مقيماً له في غير موضعه، أو يكون آخذاً للمال من زيد، دافعاً إلى عمرو، و ليس هو في الباطن بحقّ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يجوّزوا عليه هذا الغلط و يقولوا بأنّه كما يعلم الأحكام يعلم ما يجري مجرى الغيب من الفصل بين الدعوى الصحيحة و الدعوى الفاسدة و بين من يشهد بالحقّ أو بالباطل، أو بأن يعرف أنّ ما تحاكموا فيه ثابت أو ليس بثابت، أو أنّه ممّا قصر أو لم يقصر، إلى غير ذلك من بواطن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عليهم أن يكون عالماً بالغيب و بسائر أحوال الناس؛ لأنّه لا شيء يُذكر في ذلك إلّاو قد يصحّ أن تقع فيه المنازعة و يحصل فيه الترافع؛ فإذا لم يجب ذلك فغير ممتنع أن يكون عالماً بالأحكام و يكلّف الاجتهاد فيه و إن جاز معه الغلط على غير تعمّد؛ لأنّه لو وجب من جهة العقل أن يكون محروماً من ذلك لوجب مثله في سائر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ألزمهم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عارفاً بالصنائع و الحِرَف، إلى غير ذلك ممّا يصحّ وقوع الترافع فيه، و شنّعوا عليهم بما لا يلتزمه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الباطنِ الذي لا عِبادةَ علَى الإمامِ فيه ؟</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جائزاً عندَكَ في العقلِ أن يَكونَ للّٰهِ تَعالىٰ حُكمٌ أو</w:t>
      </w:r>
      <w:r>
        <w:rPr>
          <w:rStyle w:val="FootnoteAnchor"/>
          <w:rtl w:val="true"/>
        </w:rPr>
        <w:footnoteReference w:id="2058"/>
      </w:r>
      <w:r>
        <w:rPr>
          <w:rFonts w:ascii="Amiri" w:hAnsi="Amiri" w:eastAsia="Amiri" w:cs="Amiri"/>
          <w:color w:val="111111"/>
          <w:sz w:val="28"/>
          <w:sz w:val="28"/>
          <w:szCs w:val="28"/>
          <w:rtl w:val="true"/>
          <w:lang w:bidi="ar-SA"/>
        </w:rPr>
        <w:t>أحكامٌ في الشريعةِ بيَّنَها و دَلَّ عَلَيها لا يَعلَمُها الإمامُ؟</w:t>
      </w:r>
    </w:p>
    <w:p>
      <w:pPr>
        <w:pStyle w:val="BookText"/>
        <w:rPr/>
      </w:pPr>
      <w:r>
        <w:rPr>
          <w:rFonts w:ascii="Amiri" w:hAnsi="Amiri" w:eastAsia="Amiri" w:cs="Amiri"/>
          <w:color w:val="111111"/>
          <w:sz w:val="28"/>
          <w:sz w:val="28"/>
          <w:szCs w:val="28"/>
          <w:rtl w:val="true"/>
          <w:lang w:bidi="ar-SA"/>
        </w:rPr>
        <w:t xml:space="preserve">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w:t>
      </w:r>
      <w:r>
        <w:rPr>
          <w:rStyle w:val="FootnoteAnchor"/>
          <w:rtl w:val="true"/>
        </w:rPr>
        <w:footnoteReference w:id="2059"/>
      </w:r>
      <w:r>
        <w:rPr>
          <w:rFonts w:ascii="Amiri" w:hAnsi="Amiri" w:eastAsia="Amiri" w:cs="Amiri"/>
          <w:color w:val="111111"/>
          <w:sz w:val="28"/>
          <w:sz w:val="28"/>
          <w:szCs w:val="28"/>
          <w:rtl w:val="true"/>
          <w:lang w:bidi="ar-SA"/>
        </w:rPr>
        <w:t>تَعاطي نُصرةِ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تَعالىٰ حُكمٌ في بَواطنِ‌</w:t>
      </w:r>
      <w:r>
        <w:rPr>
          <w:rStyle w:val="FootnoteAnchor"/>
          <w:rtl w:val="true"/>
        </w:rPr>
        <w:footnoteReference w:id="2060"/>
      </w:r>
      <w:r>
        <w:rPr>
          <w:rFonts w:ascii="Amiri" w:hAnsi="Amiri" w:eastAsia="Amiri" w:cs="Amiri"/>
          <w:color w:val="111111"/>
          <w:sz w:val="28"/>
          <w:sz w:val="28"/>
          <w:szCs w:val="28"/>
          <w:rtl w:val="true"/>
          <w:lang w:bidi="ar-SA"/>
        </w:rPr>
        <w:t>الحَوادثِ تَعبَّدَ الإمامَ به أو غَيرَه‌؟ كأنّه مثَلاً تعبَّدَ بمعرفةِ كَونِ المشهودِ عَلَيه مستحِقّاً للحَدِّ علَى الحقيقةِ‌، و أنّ الشُّهودَ صادقونَ في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2061"/>
      </w:r>
      <w:r>
        <w:rPr>
          <w:rFonts w:ascii="Amiri" w:hAnsi="Amiri" w:eastAsia="Amiri" w:cs="Amiri"/>
          <w:color w:val="111111"/>
          <w:sz w:val="28"/>
          <w:sz w:val="28"/>
          <w:szCs w:val="28"/>
          <w:rtl w:val="true"/>
          <w:lang w:bidi="ar-SA"/>
        </w:rPr>
        <w:t>أَلزَمتَ مَن أَوجَبَ عِلمَ الإمامِ بالأحكامِ المشروعةِ أن يَعلَمَ ما لا شَرعَ فيه و لا عِبادةَ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يَلزَمُ كلامُكَ علىٰ سَبيلِ المناقَضةِ أن لَو كانَ اللّٰهُ تَعالىٰ قد تعبَّدَ في الباطنِ بعباداتٍ و أحكامٍ و أَوجَبَ علَى الإمامِ العملَ بها، فأجَزنا</w:t>
      </w:r>
      <w:r>
        <w:rPr>
          <w:rStyle w:val="FootnoteAnchor"/>
          <w:rtl w:val="true"/>
        </w:rPr>
        <w:footnoteReference w:id="2062"/>
      </w:r>
      <w:r>
        <w:rPr>
          <w:rFonts w:ascii="Amiri" w:hAnsi="Amiri" w:eastAsia="Amiri" w:cs="Amiri"/>
          <w:color w:val="111111"/>
          <w:sz w:val="28"/>
          <w:sz w:val="28"/>
          <w:szCs w:val="28"/>
          <w:rtl w:val="true"/>
          <w:lang w:bidi="ar-SA"/>
        </w:rPr>
        <w:t>عَلَيه أن لا يَعلَمَها، و هذا</w:t>
      </w:r>
      <w:r>
        <w:rPr>
          <w:rStyle w:val="FootnoteAnchor"/>
          <w:rtl w:val="true"/>
        </w:rPr>
        <w:footnoteReference w:id="2063"/>
      </w:r>
      <w:r>
        <w:rPr>
          <w:rFonts w:ascii="Amiri" w:hAnsi="Amiri" w:eastAsia="Amiri" w:cs="Amiri"/>
          <w:color w:val="111111"/>
          <w:sz w:val="28"/>
          <w:sz w:val="28"/>
          <w:szCs w:val="28"/>
          <w:rtl w:val="true"/>
          <w:lang w:bidi="ar-SA"/>
        </w:rPr>
        <w:t xml:space="preserve">ممّا لم 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ما أَنكَرناه و أَجَزناه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اللّٰهِ تَعالىٰ فيما لا يَعلَمُه الإمامُ ، و فَرْضَه عَلَيه هو الاجتهادُ و الاستدلالُ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الاستدلالُ هو الحُكمَ المتعبَّدَ بإمضائِه، بَل الاستدلالُ هو الطريقُ </w:t>
      </w:r>
      <w:bookmarkStart w:id="360" w:name="pg20015_284971"/>
    </w:p>
    <w:p>
      <w:pPr>
        <w:pStyle w:val="BookText"/>
        <w:rPr/>
      </w:pPr>
      <w:bookmarkEnd w:id="360"/>
      <w:r>
        <w:rPr>
          <w:rFonts w:ascii="Amiri" w:hAnsi="Amiri" w:eastAsia="Amiri" w:cs="Amiri"/>
          <w:color w:val="111111"/>
          <w:sz w:val="28"/>
          <w:sz w:val="28"/>
          <w:szCs w:val="28"/>
          <w:rtl w:val="true"/>
          <w:lang w:bidi="ar-SA"/>
        </w:rPr>
        <w:t>إلَى الحُكمِ ، و الحُكمُ في نفسِه غَيرُ الطريقِ إليه؛ فإذا</w:t>
      </w:r>
      <w:r>
        <w:rPr>
          <w:rStyle w:val="FootnoteAnchor"/>
          <w:rtl w:val="true"/>
        </w:rPr>
        <w:footnoteReference w:id="2064"/>
      </w:r>
      <w:r>
        <w:rPr>
          <w:rFonts w:ascii="Amiri" w:hAnsi="Amiri" w:eastAsia="Amiri" w:cs="Amiri"/>
          <w:color w:val="111111"/>
          <w:sz w:val="28"/>
          <w:sz w:val="28"/>
          <w:szCs w:val="28"/>
          <w:rtl w:val="true"/>
          <w:lang w:bidi="ar-SA"/>
        </w:rPr>
        <w:t>كانَ حُكمُ اللّٰهِ تَعالىٰ في الحادثةِ التحريمَ أو</w:t>
      </w:r>
      <w:r>
        <w:rPr>
          <w:rStyle w:val="FootnoteAnchor"/>
          <w:rtl w:val="true"/>
        </w:rPr>
        <w:footnoteReference w:id="2065"/>
      </w:r>
      <w:r>
        <w:rPr>
          <w:rFonts w:ascii="Amiri" w:hAnsi="Amiri" w:eastAsia="Amiri" w:cs="Amiri"/>
          <w:color w:val="111111"/>
          <w:sz w:val="28"/>
          <w:sz w:val="28"/>
          <w:szCs w:val="28"/>
          <w:rtl w:val="true"/>
          <w:lang w:bidi="ar-SA"/>
        </w:rPr>
        <w:t xml:space="preserve">التحليلَ ، و الإمامُ حاكمٌ في جميعِ الدِّينِ ، فلا بُدَّ مِن أن يَكونَ عالِماً بالحُكمِ نفسِه لا بالطريقِ إليه، و إلّاأدّىٰ إلىٰ جوازِ ما ذَكرناه ممّا يَستَقبِحُه العُقَلاءُ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894973_2320776876"/>
      <w:bookmarkStart w:id="362" w:name="_Toc128"/>
      <w:bookmarkEnd w:id="361"/>
      <w:r>
        <w:rPr>
          <w:rtl w:val="true"/>
        </w:rPr>
        <w:t>بيان الفرق بين علم الإمام و علم الأُمراء</w:t>
      </w:r>
      <w:bookmarkEnd w:id="36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كُلَّ ذلكَ يَلزَمُهم في الأُمَراءِ ،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إذا كانوا يَقومونَ بهذه الأُمورِ أن يَكونوا عالِمينَ بكُلِّ الأحكامِ ؛ للوجهِ الذي ذَكرتم، و أن لا يَجوزَ أن يَرِدَ التعبُّدُ باختيارِ أميرٍ و حاكمٍ لا يَكونُ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ذلكَ يُبيِّنُ فَسادَ ما تَعلَّقوا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الوجهِ ألزَمَهم شُيوخُنا في أُمَراءِ الإمامِ أن يَكونوا عالِمينَ بكُلِّ ما يَعلَمُه الإمامُ </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أُمَراءُ الإمامِ و حُكّامُه بوُلاةٍ في جميعِ الدِّينِ‌، و لَيسَ إليهم الحُكمُ في جميعِ ما يَحكُمُ فيه الإمامُ‌، و لَو كانوا بهذه الصفةِ لَلَزِمَ فيهم ما أَوجَبناه في الإمامِ‌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يَكونونَ حُكّاماً في جميعِ‌</w:t>
      </w:r>
      <w:r>
        <w:rPr>
          <w:rStyle w:val="FootnoteAnchor"/>
          <w:rtl w:val="true"/>
        </w:rPr>
        <w:footnoteReference w:id="2067"/>
      </w:r>
      <w:r>
        <w:rPr>
          <w:rFonts w:ascii="Amiri" w:hAnsi="Amiri" w:eastAsia="Amiri" w:cs="Amiri"/>
          <w:color w:val="111111"/>
          <w:sz w:val="28"/>
          <w:sz w:val="28"/>
          <w:szCs w:val="28"/>
          <w:rtl w:val="true"/>
          <w:lang w:bidi="ar-SA"/>
        </w:rPr>
        <w:t xml:space="preserve">الدِّينِ ، و قد يَلزَمُهم في كَثيرٍ مِن الحَوادثِ و النوائبِ مُطالَعةُ </w:t>
      </w:r>
      <w:r>
        <w:rPr>
          <w:rStyle w:val="FootnoteAnchor"/>
          <w:rtl w:val="true"/>
        </w:rPr>
        <w:footnoteReference w:id="2068"/>
      </w:r>
      <w:r>
        <w:rPr>
          <w:rFonts w:ascii="Amiri" w:hAnsi="Amiri" w:eastAsia="Amiri" w:cs="Amiri"/>
          <w:color w:val="111111"/>
          <w:sz w:val="28"/>
          <w:sz w:val="28"/>
          <w:szCs w:val="28"/>
          <w:rtl w:val="true"/>
          <w:lang w:bidi="ar-SA"/>
        </w:rPr>
        <w:t xml:space="preserve">الإمامِ و الرُّجوعُ إلىٰ حُكمِه فيها، و يَكونُ محظوراً عَلَيهم الاستبدادُ بإمضائِها دونَه ؟ </w:t>
      </w:r>
    </w:p>
    <w:p>
      <w:pPr>
        <w:pStyle w:val="BookText"/>
        <w:rPr/>
      </w:pPr>
      <w:r>
        <w:rPr>
          <w:rFonts w:ascii="Amiri" w:hAnsi="Amiri" w:eastAsia="Amiri" w:cs="Amiri"/>
          <w:color w:val="111111"/>
          <w:sz w:val="28"/>
          <w:sz w:val="28"/>
          <w:szCs w:val="28"/>
          <w:rtl w:val="true"/>
          <w:lang w:bidi="ar-SA"/>
        </w:rPr>
        <w:t>و الذي يَجِبُ في الأميرِ و الحاكمِ أن يَكونَ كُلُّ واحدٍ</w:t>
      </w:r>
      <w:r>
        <w:rPr>
          <w:rStyle w:val="FootnoteAnchor"/>
          <w:rtl w:val="true"/>
        </w:rPr>
        <w:footnoteReference w:id="2069"/>
      </w:r>
      <w:r>
        <w:rPr>
          <w:rFonts w:ascii="Amiri" w:hAnsi="Amiri" w:eastAsia="Amiri" w:cs="Amiri"/>
          <w:color w:val="111111"/>
          <w:sz w:val="28"/>
          <w:sz w:val="28"/>
          <w:szCs w:val="28"/>
          <w:rtl w:val="true"/>
          <w:lang w:bidi="ar-SA"/>
        </w:rPr>
        <w:t>مِنهما عالِماً بما أُسنِدَ إليه، و قَصُرَت وِلايتُه</w:t>
      </w:r>
      <w:r>
        <w:rPr>
          <w:rStyle w:val="FootnoteAnchor"/>
          <w:rtl w:val="true"/>
        </w:rPr>
        <w:footnoteReference w:id="2070"/>
      </w:r>
      <w:r>
        <w:rPr>
          <w:rFonts w:ascii="Amiri" w:hAnsi="Amiri" w:eastAsia="Amiri" w:cs="Amiri"/>
          <w:color w:val="111111"/>
          <w:sz w:val="28"/>
          <w:sz w:val="28"/>
          <w:szCs w:val="28"/>
          <w:rtl w:val="true"/>
          <w:lang w:bidi="ar-SA"/>
        </w:rPr>
        <w:t>عَلَيه؛ و لهذا ما</w:t>
      </w:r>
      <w:r>
        <w:rPr>
          <w:rStyle w:val="FootnoteAnchor"/>
          <w:rtl w:val="true"/>
        </w:rPr>
        <w:footnoteReference w:id="2071"/>
      </w:r>
      <w:r>
        <w:rPr>
          <w:rFonts w:ascii="Amiri" w:hAnsi="Amiri" w:eastAsia="Amiri" w:cs="Amiri"/>
          <w:color w:val="111111"/>
          <w:sz w:val="28"/>
          <w:sz w:val="28"/>
          <w:szCs w:val="28"/>
          <w:rtl w:val="true"/>
          <w:lang w:bidi="ar-SA"/>
        </w:rPr>
        <w:t>يَكونُ للإمامِ في البَلَدِ الواحدِ خُلَفاءُ جَماعةٌ‌، فيَكونُ بعضُهم خَليفةً له علىٰ تدبيرِ الجَيشِ‌</w:t>
      </w:r>
      <w:r>
        <w:rPr>
          <w:rStyle w:val="FootnoteAnchor"/>
          <w:rtl w:val="true"/>
        </w:rPr>
        <w:footnoteReference w:id="2072"/>
      </w:r>
      <w:r>
        <w:rPr>
          <w:rFonts w:ascii="Amiri" w:hAnsi="Amiri" w:eastAsia="Amiri" w:cs="Amiri"/>
          <w:color w:val="111111"/>
          <w:sz w:val="28"/>
          <w:sz w:val="28"/>
          <w:szCs w:val="28"/>
          <w:rtl w:val="true"/>
          <w:lang w:bidi="ar-SA"/>
        </w:rPr>
        <w:t>و الحَربِ و سَدِّ الثُّغورِ، و بعضُهم علَى الخَراجِ و جِبايةِ الأموالِ‌، و بعضُهم علَى الأحكامِ و القَضاءِ‌</w:t>
      </w:r>
      <w:r>
        <w:rPr>
          <w:rStyle w:val="FootnoteAnchor"/>
          <w:rtl w:val="true"/>
        </w:rPr>
        <w:footnoteReference w:id="2073"/>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يَكونَ له علَى الأحكامِ الشرعيّةِ جَماعةٌ‌</w:t>
      </w:r>
      <w:r>
        <w:rPr>
          <w:rStyle w:val="FootnoteAnchor"/>
          <w:rtl w:val="true"/>
        </w:rPr>
        <w:footnoteReference w:id="2074"/>
      </w:r>
      <w:r>
        <w:rPr>
          <w:rFonts w:ascii="Amiri" w:hAnsi="Amiri" w:eastAsia="Amiri" w:cs="Amiri"/>
          <w:color w:val="111111"/>
          <w:sz w:val="28"/>
          <w:sz w:val="28"/>
          <w:szCs w:val="28"/>
          <w:rtl w:val="true"/>
          <w:lang w:bidi="ar-SA"/>
        </w:rPr>
        <w:t>مِن الخُلَفاءِ‌؛ يَختَصُّ كُلُّ‌</w:t>
      </w:r>
      <w:r>
        <w:rPr>
          <w:rStyle w:val="FootnoteAnchor"/>
          <w:rtl w:val="true"/>
        </w:rPr>
        <w:footnoteReference w:id="2075"/>
      </w:r>
      <w:r>
        <w:rPr>
          <w:rFonts w:ascii="Amiri" w:hAnsi="Amiri" w:eastAsia="Amiri" w:cs="Amiri"/>
          <w:color w:val="111111"/>
          <w:sz w:val="28"/>
          <w:sz w:val="28"/>
          <w:szCs w:val="28"/>
          <w:rtl w:val="true"/>
          <w:lang w:bidi="ar-SA"/>
        </w:rPr>
        <w:t>واحدٍ مِنهم</w:t>
      </w:r>
      <w:r>
        <w:rPr>
          <w:rStyle w:val="FootnoteAnchor"/>
          <w:rtl w:val="true"/>
        </w:rPr>
        <w:footnoteReference w:id="2076"/>
      </w:r>
      <w:r>
        <w:rPr>
          <w:rFonts w:ascii="Amiri" w:hAnsi="Amiri" w:eastAsia="Amiri" w:cs="Amiri"/>
          <w:color w:val="111111"/>
          <w:sz w:val="28"/>
          <w:sz w:val="28"/>
          <w:szCs w:val="28"/>
          <w:rtl w:val="true"/>
          <w:lang w:bidi="ar-SA"/>
        </w:rPr>
        <w:t>بِولايةِ الحُكمِ في الجُزءِ الذي يُحسِنُه مِن الشريعةِ و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ممّا لا يُمكِنُ أن يَكونَ في الإمامِ مِثلُه؛ لأنّ وِلايتَه عامّةٌ غَيرُ خاصّةٍ‌، و هو إمامٌ في الكُلِّ و حاكمٌ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Style w:val="FootnoteAnchor"/>
          <w:rtl w:val="true"/>
        </w:rPr>
        <w:footnoteReference w:id="2077"/>
      </w:r>
      <w:r>
        <w:rPr>
          <w:rFonts w:ascii="Amiri" w:hAnsi="Amiri" w:eastAsia="Amiri" w:cs="Amiri"/>
          <w:color w:val="111111"/>
          <w:sz w:val="28"/>
          <w:sz w:val="28"/>
          <w:szCs w:val="28"/>
          <w:rtl w:val="true"/>
          <w:lang w:bidi="ar-SA"/>
        </w:rPr>
        <w:t>فالذي يَجِبُ علىٰ قياسِ قَولِنا في الإمامِ أن يَكونَ الأميرُ أو الحاكمُ‌</w:t>
      </w:r>
      <w:r>
        <w:rPr>
          <w:rStyle w:val="FootnoteAnchor"/>
          <w:rtl w:val="true"/>
        </w:rPr>
        <w:footnoteReference w:id="2078"/>
      </w:r>
      <w:r>
        <w:rPr>
          <w:rFonts w:ascii="Amiri" w:hAnsi="Amiri" w:eastAsia="Amiri" w:cs="Amiri"/>
          <w:color w:val="111111"/>
          <w:sz w:val="28"/>
          <w:sz w:val="28"/>
          <w:szCs w:val="28"/>
          <w:rtl w:val="true"/>
          <w:lang w:bidi="ar-SA"/>
        </w:rPr>
        <w:t xml:space="preserve">عالِماً بما تَوَلّاه و فُوِّضَ إليه، و هكذا نَقولُ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الأُمَراءَ لَو وَجَبَ فيهم العِلمُ بسائرِ الأحكامِ مِثلُ الإمامِ ، لَم يَستَحِلْ حُصولُ وِلايتِهم بالاختيارِ، و لَم يَجِبِ </w:t>
      </w:r>
      <w:r>
        <w:rPr>
          <w:rStyle w:val="FootnoteAnchor"/>
          <w:rtl w:val="true"/>
        </w:rPr>
        <w:footnoteReference w:id="2079"/>
      </w:r>
      <w:r>
        <w:rPr>
          <w:rFonts w:ascii="Amiri" w:hAnsi="Amiri" w:eastAsia="Amiri" w:cs="Amiri"/>
          <w:color w:val="111111"/>
          <w:sz w:val="28"/>
          <w:sz w:val="28"/>
          <w:szCs w:val="28"/>
          <w:rtl w:val="true"/>
          <w:lang w:bidi="ar-SA"/>
        </w:rPr>
        <w:t xml:space="preserve">النَّصُّ عَلَيهم علَى الحَدِّ الذي ذَكرناه </w:t>
      </w:r>
    </w:p>
    <w:p>
      <w:pPr>
        <w:pStyle w:val="BookText"/>
        <w:rPr/>
      </w:pPr>
      <w:r>
        <w:rPr>
          <w:rFonts w:ascii="Amiri" w:hAnsi="Amiri" w:eastAsia="Amiri" w:cs="Amiri"/>
          <w:color w:val="111111"/>
          <w:sz w:val="28"/>
          <w:sz w:val="28"/>
          <w:szCs w:val="28"/>
          <w:rtl w:val="true"/>
          <w:lang w:bidi="ar-SA"/>
        </w:rPr>
        <w:t>في الإمامِ‌؛ لأنّا إنّما أحَلنا اختيارَ الإمامِ مع كَونِه عالِماً بكُلِّ الأحكامِ مِن جهةِ أنّ المُتَولّيَ لِاختيارِه مِن الأُمّةِ‌</w:t>
      </w:r>
      <w:r>
        <w:rPr>
          <w:rStyle w:val="FootnoteAnchor"/>
          <w:rtl w:val="true"/>
        </w:rPr>
        <w:footnoteReference w:id="2080"/>
      </w:r>
      <w:r>
        <w:rPr>
          <w:rFonts w:ascii="Amiri" w:hAnsi="Amiri" w:eastAsia="Amiri" w:cs="Amiri"/>
          <w:color w:val="111111"/>
          <w:sz w:val="28"/>
          <w:sz w:val="28"/>
          <w:szCs w:val="28"/>
          <w:rtl w:val="true"/>
          <w:lang w:bidi="ar-SA"/>
        </w:rPr>
        <w:t>لا يَعلَمُ جميعَ الأحكامِ‌، فلا يَصِحُّ مِنهم اختيارُ مَن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يَعلَمُ سائرَ الأحكامِ‌، فيَجوزُ أن يَختارَ مَن يَعلَمُها، و يُفرِّقَ بَينَ العالِمِ بها و بَينَ مَن لَيسَ بعالِمٍ بالامتحانِ‌؛ لأنّه عالِمٌ بها و بِوَجهِ‌</w:t>
      </w:r>
      <w:r>
        <w:rPr>
          <w:rStyle w:val="FootnoteAnchor"/>
          <w:rtl w:val="true"/>
        </w:rPr>
        <w:footnoteReference w:id="2081"/>
      </w:r>
      <w:r>
        <w:rPr>
          <w:rFonts w:ascii="Amiri" w:hAnsi="Amiri" w:eastAsia="Amiri" w:cs="Amiri"/>
          <w:color w:val="111111"/>
          <w:sz w:val="28"/>
          <w:sz w:val="28"/>
          <w:szCs w:val="28"/>
          <w:rtl w:val="true"/>
          <w:lang w:bidi="ar-SA"/>
        </w:rPr>
        <w:t>المِحنةِ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يُمكِنُ أن يُقالَ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مَن يَعلَمُ كُلَّ الأحكامِ يَطولُ و يَتَمادىٰ أو</w:t>
      </w:r>
      <w:r>
        <w:rPr>
          <w:rStyle w:val="FootnoteAnchor"/>
          <w:rtl w:val="true"/>
        </w:rPr>
        <w:footnoteReference w:id="2082"/>
      </w:r>
      <w:r>
        <w:rPr>
          <w:rFonts w:ascii="Amiri" w:hAnsi="Amiri" w:eastAsia="Amiri" w:cs="Amiri"/>
          <w:color w:val="111111"/>
          <w:sz w:val="28"/>
          <w:sz w:val="28"/>
          <w:szCs w:val="28"/>
          <w:rtl w:val="true"/>
          <w:lang w:bidi="ar-SA"/>
        </w:rPr>
        <w:t>لا يُضبَطُ؛ لِاتّساعِ الأحكامِ و تفرُّعِها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 يَنصُرُ هذه الطريقةَ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و إن كثُرَت فقَد ثبَتَ بالدليلِ أنّ للّٰهِ تَعالىٰ في كُلِّ شيءٍ مِنها حُكماً مبيَّناً؛ إمّا بنَصٍّ مُجمَلٍ أو مُفصَّلٍ‌، و قد يَجوزُ أن يُحيطَ بذلكَ عالِمٌ واحدٌ</w:t>
      </w:r>
      <w:r>
        <w:rPr>
          <w:rStyle w:val="FootnoteAnchor"/>
          <w:rtl w:val="true"/>
        </w:rPr>
        <w:footnoteReference w:id="2083"/>
      </w:r>
      <w:r>
        <w:rPr>
          <w:rFonts w:ascii="Amiri" w:hAnsi="Amiri" w:eastAsia="Amiri" w:cs="Amiri"/>
          <w:color w:val="111111"/>
          <w:sz w:val="28"/>
          <w:sz w:val="28"/>
          <w:szCs w:val="28"/>
          <w:rtl w:val="true"/>
          <w:lang w:bidi="ar-SA"/>
        </w:rPr>
        <w:t>، و كما يَجوزُ أن يُحيطَ به فيَجوزُ أن يَمتَحِنَ فيه بالمسألةِ عن جُملةٍ جُملةٍ‌،</w:t>
      </w:r>
      <w:r>
        <w:rPr>
          <w:rStyle w:val="FootnoteAnchor"/>
          <w:rtl w:val="true"/>
        </w:rPr>
        <w:footnoteReference w:id="2084"/>
      </w:r>
      <w:r>
        <w:rPr>
          <w:rFonts w:ascii="Amiri" w:hAnsi="Amiri" w:eastAsia="Amiri" w:cs="Amiri"/>
          <w:color w:val="111111"/>
          <w:sz w:val="28"/>
          <w:sz w:val="28"/>
          <w:szCs w:val="28"/>
          <w:rtl w:val="true"/>
          <w:lang w:bidi="ar-SA"/>
        </w:rPr>
        <w:t>و إن كانَت مُشتمِلةً علىٰ فُروعٍ كثيرةٍ‌</w:t>
      </w:r>
      <w:r>
        <w:rPr>
          <w:rStyle w:val="FootnoteAnchor"/>
          <w:rtl w:val="true"/>
        </w:rPr>
        <w:footnoteReference w:id="2085"/>
      </w:r>
      <w:r>
        <w:rPr>
          <w:rFonts w:ascii="Amiri" w:hAnsi="Amiri" w:eastAsia="Amiri" w:cs="Amiri"/>
          <w:color w:val="111111"/>
          <w:sz w:val="28"/>
          <w:sz w:val="28"/>
          <w:szCs w:val="28"/>
          <w:rtl w:val="true"/>
          <w:lang w:bidi="ar-SA"/>
        </w:rPr>
        <w:t>و أحكامٍ في أعيانٍ لا تُحصىٰ‌؛ فإنّ‌</w:t>
      </w:r>
      <w:r>
        <w:rPr>
          <w:rStyle w:val="FootnoteAnchor"/>
          <w:rtl w:val="true"/>
        </w:rPr>
        <w:footnoteReference w:id="2086"/>
      </w:r>
      <w:r>
        <w:rPr>
          <w:rFonts w:ascii="Amiri" w:hAnsi="Amiri" w:eastAsia="Amiri" w:cs="Amiri"/>
          <w:color w:val="111111"/>
          <w:sz w:val="28"/>
          <w:sz w:val="28"/>
          <w:szCs w:val="28"/>
          <w:rtl w:val="true"/>
          <w:lang w:bidi="ar-SA"/>
        </w:rPr>
        <w:t>ذلكَ لا يبعُدُ علَى العالِمِ بما يَمتَحِنُ فيه، لا سِيَّما إذا كانَ معصوماً مُوَفَّقاً و إن بَعُدَ علىٰ غَيرِه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المِحنةَ لَو تَطاوَلَت و تَمادىٰ زَمانُها و استُبعِدَت لهذا الوجهِ ، لَم يُخِلَّ بما أرَدناه بالكلامِ </w:t>
      </w:r>
      <w:r>
        <w:rPr>
          <w:rStyle w:val="FootnoteAnchor"/>
          <w:rtl w:val="true"/>
        </w:rPr>
        <w:footnoteReference w:id="2087"/>
      </w:r>
      <w:r>
        <w:rPr>
          <w:rFonts w:ascii="Amiri" w:hAnsi="Amiri" w:eastAsia="Amiri" w:cs="Amiri"/>
          <w:color w:val="111111"/>
          <w:sz w:val="28"/>
          <w:sz w:val="28"/>
          <w:szCs w:val="28"/>
          <w:rtl w:val="true"/>
          <w:lang w:bidi="ar-SA"/>
        </w:rPr>
        <w:t xml:space="preserve">لأنّ غرضَنا بيانُ أنّ الوجهَ الذي مِنه يَستَحيلُ اختيارُ الإمامِ و يَجِبُ </w:t>
      </w:r>
      <w:bookmarkStart w:id="363" w:name="pg20015_284974"/>
    </w:p>
    <w:p>
      <w:pPr>
        <w:pStyle w:val="BookText"/>
        <w:rPr/>
      </w:pPr>
      <w:bookmarkEnd w:id="363"/>
      <w:r>
        <w:rPr>
          <w:rFonts w:ascii="Amiri" w:hAnsi="Amiri" w:eastAsia="Amiri" w:cs="Amiri"/>
          <w:color w:val="111111"/>
          <w:sz w:val="28"/>
          <w:sz w:val="28"/>
          <w:szCs w:val="28"/>
          <w:rtl w:val="true"/>
          <w:lang w:bidi="ar-SA"/>
        </w:rPr>
        <w:t xml:space="preserve">النَّصُّ عَلَيه غَيرُ حاصلٍ في الأُمَراءِ‌؛ ليَبطُلَ بذلكَ قَولُ صاحبِ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أن يَكونَ الأُمَراءُ </w:t>
      </w:r>
      <w:r>
        <w:rPr>
          <w:rStyle w:val="FootnoteAnchor"/>
          <w:rtl w:val="true"/>
        </w:rPr>
        <w:footnoteReference w:id="2088"/>
      </w:r>
      <w:r>
        <w:rPr>
          <w:rFonts w:ascii="Amiri" w:hAnsi="Amiri" w:eastAsia="Amiri" w:cs="Amiri"/>
          <w:color w:val="111111"/>
          <w:sz w:val="28"/>
          <w:sz w:val="28"/>
          <w:szCs w:val="28"/>
          <w:rtl w:val="true"/>
          <w:lang w:bidi="ar-SA"/>
        </w:rPr>
        <w:t>عالِمينَ بكُلِّ الأحكامِ ، و أن لا يَجوزَ أن يَرِدَ التعبُّدُ</w:t>
      </w:r>
      <w:r>
        <w:rPr>
          <w:rStyle w:val="FootnoteAnchor"/>
          <w:rtl w:val="true"/>
        </w:rPr>
        <w:footnoteReference w:id="2089"/>
      </w:r>
      <w:r>
        <w:rPr>
          <w:rFonts w:ascii="Amiri" w:hAnsi="Amiri" w:eastAsia="Amiri" w:cs="Amiri"/>
          <w:color w:val="111111"/>
          <w:sz w:val="28"/>
          <w:sz w:val="28"/>
          <w:szCs w:val="28"/>
          <w:rtl w:val="true"/>
          <w:lang w:bidi="ar-SA"/>
        </w:rPr>
        <w:t>باختيارِ أميرٍ و حاكمٍ ؛ للوجهِ الذي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أوّلاً أقوىٰ و أَولىٰ بأن يَعتَمِدَه</w:t>
      </w:r>
      <w:r>
        <w:rPr>
          <w:rFonts w:eastAsia="Amiri" w:cs="Amiri" w:ascii="Amiri" w:hAnsi="Amiri"/>
          <w:color w:val="111111"/>
          <w:sz w:val="28"/>
          <w:szCs w:val="28"/>
          <w:rtl w:val="true"/>
          <w:lang w:bidi="ar-SA"/>
        </w:rPr>
        <w:t>.</w:t>
      </w:r>
      <w:r>
        <w:rPr>
          <w:rStyle w:val="FootnoteAnchor"/>
          <w:rtl w:val="true"/>
        </w:rPr>
        <w:footnoteReference w:id="2090"/>
      </w:r>
    </w:p>
    <w:p>
      <w:pPr>
        <w:pStyle w:val="Heading4"/>
        <w:numPr>
          <w:ilvl w:val="3"/>
          <w:numId w:val="1"/>
        </w:numPr>
        <w:rPr/>
      </w:pPr>
      <w:bookmarkStart w:id="364" w:name="__RefHeading___Toc894975_2320776876"/>
      <w:bookmarkStart w:id="365" w:name="_Toc129"/>
      <w:bookmarkEnd w:id="364"/>
      <w:r>
        <w:rPr>
          <w:rtl w:val="true"/>
        </w:rPr>
        <w:t>نفي أفضلية الإمام على الرسول في العلم</w:t>
      </w:r>
      <w:bookmarkEnd w:id="36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علىٰ هذا الوجهِ أن يَكونَ الإمامُ أفضَلَ حالاً في العِلمِ مِن الرسولِ‌؛ لأنّه لا شَكَّ في أنّه</w:t>
      </w:r>
      <w:r>
        <w:rPr>
          <w:rStyle w:val="FootnoteAnchor"/>
          <w:rtl w:val="true"/>
        </w:rPr>
        <w:footnoteReference w:id="2091"/>
      </w:r>
      <w:r>
        <w:rPr>
          <w:rFonts w:ascii="Amiri" w:hAnsi="Amiri" w:eastAsia="Amiri" w:cs="Amiri"/>
          <w:color w:val="111111"/>
          <w:sz w:val="28"/>
          <w:sz w:val="28"/>
          <w:szCs w:val="28"/>
          <w:rtl w:val="true"/>
          <w:lang w:bidi="ar-SA"/>
        </w:rPr>
        <w:t xml:space="preserve">عليه السلامُ لَم يَكُن يَعرِفُ كُلَّ الأحكامِ‌، بَل كانَ الوحيُ يَنزِلُ عَلَيه حالاً بَعدَ حالٍ‌، و أنّه لَم يَكُن يَعرِفُ بَواطِنَ الأُمورِ؛ فقَد ثبَتَ عنه عليه السلامُ </w:t>
      </w:r>
      <w:r>
        <w:rPr>
          <w:rStyle w:val="FootnoteAnchor"/>
          <w:rtl w:val="true"/>
        </w:rPr>
        <w:footnoteReference w:id="2092"/>
      </w:r>
      <w:r>
        <w:rPr>
          <w:rFonts w:ascii="Amiri" w:hAnsi="Amiri" w:eastAsia="Amiri" w:cs="Amiri"/>
          <w:color w:val="111111"/>
          <w:sz w:val="28"/>
          <w:sz w:val="28"/>
          <w:szCs w:val="28"/>
          <w:rtl w:val="true"/>
          <w:lang w:bidi="ar-SA"/>
        </w:rPr>
        <w:t>أنّه كانَ يَحكُمُ بالظاهرِ و يَتوَلَّى اللّٰهُ تَعالَى السَّرائرَ، و أنّه يَقضي بنَحوِ ما يَسمَعُ ، و أنّه إذا</w:t>
      </w:r>
      <w:r>
        <w:rPr>
          <w:rStyle w:val="FootnoteAnchor"/>
          <w:rtl w:val="true"/>
        </w:rPr>
        <w:footnoteReference w:id="2093"/>
      </w:r>
      <w:r>
        <w:rPr>
          <w:rFonts w:ascii="Amiri" w:hAnsi="Amiri" w:eastAsia="Amiri" w:cs="Amiri"/>
          <w:color w:val="111111"/>
          <w:sz w:val="28"/>
          <w:sz w:val="28"/>
          <w:szCs w:val="28"/>
          <w:rtl w:val="true"/>
          <w:lang w:bidi="ar-SA"/>
        </w:rPr>
        <w:t>قَضىٰ بشيءٍ لِواحدٍ لَم يَحِلَّ له أن يأخُذَه إذا عَلِمَ خِلافَه، إلىٰ غَيرِ ذلكَ ممّا رُويَ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094"/>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قَولٍ يؤَدّي إلىٰ أنّ الإمامَ أعلىٰ رُتبةً مِن الرسولِ وَجَبَ فَسادُه</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يَلزَمُ أن يَزيدَ الإمامُ في العِلمِ علَى الرسولِ و الإمامُ مُستَمِدٌّ</w:t>
      </w:r>
      <w:r>
        <w:rPr>
          <w:rStyle w:val="FootnoteAnchor"/>
          <w:rtl w:val="true"/>
        </w:rPr>
        <w:footnoteReference w:id="2096"/>
      </w:r>
      <w:r>
        <w:rPr>
          <w:rFonts w:ascii="Amiri" w:hAnsi="Amiri" w:eastAsia="Amiri" w:cs="Amiri"/>
          <w:color w:val="111111"/>
          <w:sz w:val="28"/>
          <w:sz w:val="28"/>
          <w:szCs w:val="28"/>
          <w:rtl w:val="true"/>
          <w:lang w:bidi="ar-SA"/>
        </w:rPr>
        <w:t>مِن الرسولِ‌، و ما حَصَلَ له عِلمُه مِن أحكامِ الدِّينِ فعَنه أخَذَه، و مِن جهتِه استَفادَه‌؟</w:t>
      </w:r>
    </w:p>
    <w:p>
      <w:pPr>
        <w:pStyle w:val="BookText"/>
        <w:rPr/>
      </w:pPr>
      <w:r>
        <w:rPr>
          <w:rFonts w:ascii="Amiri" w:hAnsi="Amiri" w:eastAsia="Amiri" w:cs="Amiri"/>
          <w:color w:val="111111"/>
          <w:sz w:val="28"/>
          <w:sz w:val="28"/>
          <w:szCs w:val="28"/>
          <w:rtl w:val="true"/>
          <w:lang w:bidi="ar-SA"/>
        </w:rPr>
        <w:t>فأمّا معرفةُ الرسولِ بالشيءِ إذا نزَلَ به الوحيُ بَعدَ أن لَم يَكُن عارفاً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ذلكَ قَبلَ نُزولِ الوحيِ لَم يَكُن مِن شَرعِه و لا مِن جُملةِ ما هو إمامٌ فيه، علىٰ ما تَقدَّمَ في كلامِنا</w:t>
      </w:r>
      <w:r>
        <w:rPr>
          <w:rStyle w:val="FootnoteAnchor"/>
          <w:rtl w:val="true"/>
        </w:rPr>
        <w:footnoteReference w:id="2097"/>
      </w:r>
      <w:r>
        <w:rPr>
          <w:rStyle w:val="FootnoteAnchor"/>
          <w:rtl w:val="true"/>
        </w:rPr>
        <w:footnoteReference w:id="2098"/>
      </w:r>
      <w:r>
        <w:rPr>
          <w:rFonts w:ascii="Amiri" w:hAnsi="Amiri" w:eastAsia="Amiri" w:cs="Amiri"/>
          <w:color w:val="111111"/>
          <w:sz w:val="28"/>
          <w:sz w:val="28"/>
          <w:szCs w:val="28"/>
          <w:rtl w:val="true"/>
          <w:lang w:bidi="ar-SA"/>
        </w:rPr>
        <w:t>غَيرَ أنّه بَعدَ تكامُلِ الشرعِ و نُزولِ الوحيِ بجميعِ الأحكامِ لا يَجوزُ أن يَكونَ غَيرَ عارفٍ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الرسولَ قَبلَ تكامُلِ الشرعِ لَم يَكُن عندَه العِلمُ بسائرِ الأحكامِ‌، كذلكَ الإمامُ قَبلَ حالِ إمامتِه لَم يَكُن عالِماً بالأحكامِ‌، و إنّما يَجِبُ في النبيِّ و الإمامِ معاً العِلمُ بما كانا إمامَينِ فيه، و متعبَّدَينِ بالحُكمِ به؛ فما لَم يَكُن مشروعاً خارجٌ عن هذا، و كذلكَ‌</w:t>
      </w:r>
      <w:r>
        <w:rPr>
          <w:rStyle w:val="FootnoteAnchor"/>
          <w:rtl w:val="true"/>
        </w:rPr>
        <w:footnoteReference w:id="2099"/>
      </w:r>
      <w:r>
        <w:rPr>
          <w:rFonts w:ascii="Amiri" w:hAnsi="Amiri" w:eastAsia="Amiri" w:cs="Amiri"/>
          <w:color w:val="111111"/>
          <w:sz w:val="28"/>
          <w:sz w:val="28"/>
          <w:szCs w:val="28"/>
          <w:rtl w:val="true"/>
          <w:lang w:bidi="ar-SA"/>
        </w:rPr>
        <w:t xml:space="preserve">الأحوالُ التي تَتقدَّمُ حالَ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العِلمُ بالبَواطِنِ فممّا لا يَجِبُ </w:t>
      </w:r>
      <w:r>
        <w:rPr>
          <w:rStyle w:val="FootnoteAnchor"/>
          <w:rtl w:val="true"/>
        </w:rPr>
        <w:footnoteReference w:id="2100"/>
      </w:r>
      <w:r>
        <w:rPr>
          <w:rFonts w:ascii="Amiri" w:hAnsi="Amiri" w:eastAsia="Amiri" w:cs="Amiri"/>
          <w:color w:val="111111"/>
          <w:sz w:val="28"/>
          <w:sz w:val="28"/>
          <w:szCs w:val="28"/>
          <w:rtl w:val="true"/>
          <w:lang w:bidi="ar-SA"/>
        </w:rPr>
        <w:t>في النبيِّ و لا في</w:t>
      </w:r>
      <w:r>
        <w:rPr>
          <w:rStyle w:val="FootnoteAnchor"/>
          <w:rtl w:val="true"/>
        </w:rPr>
        <w:footnoteReference w:id="2101"/>
      </w:r>
      <w:r>
        <w:rPr>
          <w:rFonts w:ascii="Amiri" w:hAnsi="Amiri" w:eastAsia="Amiri" w:cs="Amiri"/>
          <w:color w:val="111111"/>
          <w:sz w:val="28"/>
          <w:sz w:val="28"/>
          <w:szCs w:val="28"/>
          <w:rtl w:val="true"/>
          <w:lang w:bidi="ar-SA"/>
        </w:rPr>
        <w:t>الإمامِ ، علىٰ ما قَدَّمناه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فَرَّقنا بَينَه و بَينَ العِلمِ بأحكامِ الحَوادثِ الظاهرةِ بما لا يَخفىٰ علىٰ مُتأمِّلٍ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في الرسولِ أن يَعلَمَ ذلكَ حالاً بَعدَ حالٍ لأمرٍ يَرجِعُ </w:t>
      </w:r>
    </w:p>
    <w:p>
      <w:pPr>
        <w:pStyle w:val="BookText"/>
        <w:rPr/>
      </w:pPr>
      <w:r>
        <w:rPr>
          <w:rFonts w:ascii="Amiri" w:hAnsi="Amiri" w:eastAsia="Amiri" w:cs="Amiri"/>
          <w:color w:val="111111"/>
          <w:sz w:val="28"/>
          <w:sz w:val="28"/>
          <w:szCs w:val="28"/>
          <w:rtl w:val="true"/>
          <w:lang w:bidi="ar-SA"/>
        </w:rPr>
        <w:t>إلىٰ تَمكُّنِه مِن الوحيِ و توقُّعِه</w:t>
      </w:r>
      <w:r>
        <w:rPr>
          <w:rStyle w:val="FootnoteAnchor"/>
          <w:rtl w:val="true"/>
        </w:rPr>
        <w:footnoteReference w:id="2104"/>
      </w:r>
      <w:r>
        <w:rPr>
          <w:rFonts w:ascii="Amiri" w:hAnsi="Amiri" w:eastAsia="Amiri" w:cs="Amiri"/>
          <w:color w:val="111111"/>
          <w:sz w:val="28"/>
          <w:sz w:val="28"/>
          <w:szCs w:val="28"/>
          <w:rtl w:val="true"/>
          <w:lang w:bidi="ar-SA"/>
        </w:rPr>
        <w:t xml:space="preserve">له، و لَيسَ كذلكَ حالُ الإمامِ ؛ لأنّ الوحيَ عنه منقَطِعٌ ، فلا بُدَّ مِن أن يَكونَ في ابتداءِ أمرِه مستغرِقاً للعُلومِ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يَكونَ أوّلُ أمرِه كأمرِ الرسولِ </w:t>
      </w:r>
      <w:r>
        <w:rPr>
          <w:rFonts w:eastAsia="Amiri" w:cs="Amiri" w:ascii="Amiri" w:hAnsi="Amiri"/>
          <w:color w:val="111111"/>
          <w:sz w:val="28"/>
          <w:szCs w:val="28"/>
          <w:rtl w:val="true"/>
          <w:lang w:bidi="ar-SA"/>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2106"/>
      </w:r>
      <w:r>
        <w:rPr>
          <w:rFonts w:ascii="Amiri" w:hAnsi="Amiri" w:eastAsia="Amiri" w:cs="Amiri"/>
          <w:color w:val="111111"/>
          <w:sz w:val="28"/>
          <w:sz w:val="28"/>
          <w:szCs w:val="28"/>
          <w:rtl w:val="true"/>
          <w:lang w:bidi="ar-SA"/>
        </w:rPr>
        <w:t>الذي يَمنَعُ‌</w:t>
      </w:r>
      <w:r>
        <w:rPr>
          <w:rStyle w:val="FootnoteAnchor"/>
          <w:rtl w:val="true"/>
        </w:rPr>
        <w:footnoteReference w:id="2107"/>
      </w:r>
      <w:r>
        <w:rPr>
          <w:rFonts w:ascii="Amiri" w:hAnsi="Amiri" w:eastAsia="Amiri" w:cs="Amiri"/>
          <w:color w:val="111111"/>
          <w:sz w:val="28"/>
          <w:sz w:val="28"/>
          <w:szCs w:val="28"/>
          <w:rtl w:val="true"/>
          <w:lang w:bidi="ar-SA"/>
        </w:rPr>
        <w:t>في الإمامِ أن يَرجِعَ في الأحكامِ التي تَعرِضُ‌</w:t>
      </w:r>
      <w:r>
        <w:rPr>
          <w:rStyle w:val="FootnoteAnchor"/>
          <w:rtl w:val="true"/>
        </w:rPr>
        <w:footnoteReference w:id="2108"/>
      </w:r>
      <w:r>
        <w:rPr>
          <w:rFonts w:ascii="Amiri" w:hAnsi="Amiri" w:eastAsia="Amiri" w:cs="Amiri"/>
          <w:color w:val="111111"/>
          <w:sz w:val="28"/>
          <w:sz w:val="28"/>
          <w:szCs w:val="28"/>
          <w:rtl w:val="true"/>
          <w:lang w:bidi="ar-SA"/>
        </w:rPr>
        <w:t>حالاً بَعدَ حالٍ إلىٰ ما ذَكرناه</w:t>
      </w:r>
      <w:r>
        <w:rPr>
          <w:rStyle w:val="FootnoteAnchor"/>
          <w:rtl w:val="true"/>
        </w:rPr>
        <w:footnoteReference w:id="2109"/>
      </w:r>
      <w:r>
        <w:rPr>
          <w:rFonts w:ascii="Amiri" w:hAnsi="Amiri" w:eastAsia="Amiri" w:cs="Amiri"/>
          <w:color w:val="111111"/>
          <w:sz w:val="28"/>
          <w:sz w:val="28"/>
          <w:szCs w:val="28"/>
          <w:rtl w:val="true"/>
          <w:lang w:bidi="ar-SA"/>
        </w:rPr>
        <w:t>مِن تعرُّفِ الأخبارِ</w:t>
      </w:r>
      <w:r>
        <w:rPr>
          <w:rStyle w:val="FootnoteAnchor"/>
          <w:rtl w:val="true"/>
        </w:rPr>
        <w:footnoteReference w:id="2110"/>
      </w:r>
      <w:r>
        <w:rPr>
          <w:rFonts w:ascii="Amiri" w:hAnsi="Amiri" w:eastAsia="Amiri" w:cs="Amiri"/>
          <w:color w:val="111111"/>
          <w:sz w:val="28"/>
          <w:sz w:val="28"/>
          <w:szCs w:val="28"/>
          <w:rtl w:val="true"/>
          <w:lang w:bidi="ar-SA"/>
        </w:rPr>
        <w:t xml:space="preserve">، أو إلىٰ قَولِ الأُمّةِ‌، أو إلىٰ طريقةِ الاجتهادِ؟ لأنّ كُلَّ ذلكَ ممّا يَجوزُ التعبُّدُ به عقلاً، فسَبيلُها سَبيلُ انتظارِ الوحيِ ؛ فجَوِّزوا ذلكَ ، بَل جَوِّزوا أن يَلزَمَه الرجوعُ فيما لا يَعلَمُ إلىٰ طريقةِ العقلِ ، أو يَلزَمَه التوقُّفُ عندَ الشُّبهةِ </w:t>
      </w:r>
      <w:r>
        <w:rPr>
          <w:rFonts w:eastAsia="Amiri" w:cs="Amiri" w:ascii="Amiri" w:hAnsi="Amiri"/>
          <w:color w:val="111111"/>
          <w:sz w:val="28"/>
          <w:szCs w:val="28"/>
          <w:rtl w:val="true"/>
          <w:lang w:bidi="ar-SA"/>
        </w:rPr>
        <w:t>.</w:t>
      </w:r>
      <w:r>
        <w:rPr>
          <w:rStyle w:val="FootnoteAnchor"/>
          <w:rtl w:val="true"/>
        </w:rPr>
        <w:footnoteReference w:id="211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نَرتَضي السؤالَ الذي حكَيتَه، و لا نَسألُكَ عن مِثلِه؛ فقَد تَقدَّمَ القَولُ في النبيِّ صَلَّى اللّٰهُ عليه و آلِه و السببِ </w:t>
      </w:r>
      <w:r>
        <w:rPr>
          <w:rStyle w:val="FootnoteAnchor"/>
          <w:rtl w:val="true"/>
        </w:rPr>
        <w:footnoteReference w:id="2112"/>
      </w:r>
      <w:r>
        <w:rPr>
          <w:rFonts w:ascii="Amiri" w:hAnsi="Amiri" w:eastAsia="Amiri" w:cs="Amiri"/>
          <w:color w:val="111111"/>
          <w:sz w:val="28"/>
          <w:sz w:val="28"/>
          <w:szCs w:val="28"/>
          <w:rtl w:val="true"/>
          <w:lang w:bidi="ar-SA"/>
        </w:rPr>
        <w:t>الذي مِن أجلِه جازَ أن يَتوقَّفَ في بعضِ الأحكامِ ، و بيّنّا أنّه بَعدَ تكامُلِ شرعِه لا يَصِحُّ أن يَذهبَ عنه العِلمُ بشيءٍ مِن الأحكامِ ، كما لا يَصِحُّ ذلكَ في الإمامِ إذا</w:t>
      </w:r>
      <w:r>
        <w:rPr>
          <w:rStyle w:val="FootnoteAnchor"/>
          <w:rtl w:val="true"/>
        </w:rPr>
        <w:footnoteReference w:id="2113"/>
      </w:r>
      <w:r>
        <w:rPr>
          <w:rFonts w:ascii="Amiri" w:hAnsi="Amiri" w:eastAsia="Amiri" w:cs="Amiri"/>
          <w:color w:val="111111"/>
          <w:sz w:val="28"/>
          <w:sz w:val="28"/>
          <w:szCs w:val="28"/>
          <w:rtl w:val="true"/>
          <w:lang w:bidi="ar-SA"/>
        </w:rPr>
        <w:t>استقَرَّت إمامتُه</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 لَم يُمنَعْ مِن أن يَكونَ الإمامُ غَيرَ عارفٍ ببعضِ الأحكامِ ، مِن جهةِ أنّه إذا لَم يَعلَمْها لَم يَكُن له سَبيلٌ إلىٰ عِلمِها، بَل مِن حَيثُ دَلَّلنا علىٰ أنّه لا يَحسُنُ أن يَكونَ والياً للحُكمِ في جميعِ الدِّينِ و هو لا يَعلَمُ بعضَه، و ضَرَبنا له الأمثالَ الواضحةَ </w:t>
      </w:r>
      <w:r>
        <w:rPr>
          <w:rStyle w:val="FootnoteAnchor"/>
          <w:rtl w:val="true"/>
        </w:rPr>
        <w:footnoteReference w:id="2115"/>
      </w:r>
      <w:r>
        <w:rPr>
          <w:rFonts w:ascii="Amiri" w:hAnsi="Amiri" w:eastAsia="Amiri" w:cs="Amiri"/>
          <w:color w:val="111111"/>
          <w:sz w:val="28"/>
          <w:sz w:val="28"/>
          <w:szCs w:val="28"/>
          <w:rtl w:val="true"/>
          <w:lang w:bidi="ar-SA"/>
        </w:rPr>
        <w:t>فلَو ثبَتَ في جميعِ ما ذَكرتَه</w:t>
      </w:r>
      <w:r>
        <w:rPr>
          <w:rStyle w:val="FootnoteAnchor"/>
          <w:rtl w:val="true"/>
        </w:rPr>
        <w:footnoteReference w:id="2116"/>
      </w:r>
      <w:r>
        <w:rPr>
          <w:rFonts w:ascii="Amiri" w:hAnsi="Amiri" w:eastAsia="Amiri" w:cs="Amiri"/>
          <w:color w:val="111111"/>
          <w:sz w:val="28"/>
          <w:sz w:val="28"/>
          <w:szCs w:val="28"/>
          <w:rtl w:val="true"/>
          <w:lang w:bidi="ar-SA"/>
        </w:rPr>
        <w:t xml:space="preserve">أنّه طريقٌ إلَى العِلمِ </w:t>
      </w:r>
      <w:r>
        <w:rPr>
          <w:rStyle w:val="FootnoteAnchor"/>
          <w:rtl w:val="true"/>
        </w:rPr>
        <w:footnoteReference w:id="2117"/>
      </w:r>
      <w:r>
        <w:rPr>
          <w:rFonts w:ascii="Amiri" w:hAnsi="Amiri" w:eastAsia="Amiri" w:cs="Amiri"/>
          <w:color w:val="111111"/>
          <w:sz w:val="28"/>
          <w:sz w:val="28"/>
          <w:szCs w:val="28"/>
          <w:rtl w:val="true"/>
          <w:lang w:bidi="ar-SA"/>
        </w:rPr>
        <w:t xml:space="preserve">و وُصلةٌ </w:t>
      </w:r>
      <w:r>
        <w:rPr>
          <w:rStyle w:val="FootnoteAnchor"/>
          <w:rtl w:val="true"/>
        </w:rPr>
        <w:footnoteReference w:id="2118"/>
      </w:r>
      <w:r>
        <w:rPr>
          <w:rFonts w:ascii="Amiri" w:hAnsi="Amiri" w:eastAsia="Amiri" w:cs="Amiri"/>
          <w:color w:val="111111"/>
          <w:sz w:val="28"/>
          <w:sz w:val="28"/>
          <w:szCs w:val="28"/>
          <w:rtl w:val="true"/>
          <w:lang w:bidi="ar-SA"/>
        </w:rPr>
        <w:t>إليه</w:t>
      </w:r>
      <w:r>
        <w:rPr>
          <w:rStyle w:val="FootnoteAnchor"/>
          <w:rtl w:val="true"/>
        </w:rPr>
        <w:footnoteReference w:id="2119"/>
      </w:r>
      <w:r>
        <w:rPr>
          <w:rFonts w:ascii="Amiri" w:hAnsi="Amiri" w:eastAsia="Amiri" w:cs="Amiri"/>
          <w:color w:val="111111"/>
          <w:sz w:val="28"/>
          <w:sz w:val="28"/>
          <w:szCs w:val="28"/>
          <w:rtl w:val="true"/>
          <w:lang w:bidi="ar-SA"/>
        </w:rPr>
        <w:t>لَم يُخِلَّ بصِحّةِ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جَوِّزوا أن يَلزَمَه الرجوعُ فيما لا يَعلَمُه</w:t>
      </w:r>
      <w:r>
        <w:rPr>
          <w:rStyle w:val="FootnoteAnchor"/>
          <w:rtl w:val="true"/>
        </w:rPr>
        <w:footnoteReference w:id="2120"/>
      </w:r>
      <w:r>
        <w:rPr>
          <w:rFonts w:ascii="Amiri" w:hAnsi="Amiri" w:eastAsia="Amiri" w:cs="Amiri"/>
          <w:color w:val="111111"/>
          <w:sz w:val="28"/>
          <w:sz w:val="28"/>
          <w:szCs w:val="28"/>
          <w:rtl w:val="true"/>
          <w:lang w:bidi="ar-SA"/>
        </w:rPr>
        <w:t>إلىٰ طريقةِ العقلِ‌</w:t>
      </w:r>
      <w:r>
        <w:rPr>
          <w:rStyle w:val="FootnoteAnchor"/>
          <w:rtl w:val="true"/>
        </w:rPr>
        <w:footnoteReference w:id="2121"/>
      </w:r>
      <w:r>
        <w:rPr>
          <w:rFonts w:ascii="Amiri" w:hAnsi="Amiri" w:eastAsia="Amiri" w:cs="Amiri"/>
          <w:color w:val="111111"/>
          <w:sz w:val="28"/>
          <w:sz w:val="28"/>
          <w:szCs w:val="28"/>
          <w:rtl w:val="true"/>
          <w:lang w:bidi="ar-SA"/>
        </w:rPr>
        <w:t>، أو يَلزَمَه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تقسيمُنا له</w:t>
      </w:r>
      <w:r>
        <w:rPr>
          <w:rStyle w:val="FootnoteAnchor"/>
          <w:rtl w:val="true"/>
        </w:rPr>
        <w:footnoteReference w:id="2122"/>
      </w:r>
      <w:r>
        <w:rPr>
          <w:rFonts w:ascii="Amiri" w:hAnsi="Amiri" w:eastAsia="Amiri" w:cs="Amiri"/>
          <w:color w:val="111111"/>
          <w:sz w:val="28"/>
          <w:sz w:val="28"/>
          <w:szCs w:val="28"/>
          <w:rtl w:val="true"/>
          <w:lang w:bidi="ar-SA"/>
        </w:rPr>
        <w:t xml:space="preserve">، و أنّكَ إن أرَدتَ به رجوعَه إلَى العقلِ‌، أو توقُّفَه فيما للّٰهِ تَعالىٰ فيه حُكمٌ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القيامُ به مِن حَيثُ كانَ إماماً فيه و حاكماً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2123"/>
      </w:r>
      <w:r>
        <w:rPr>
          <w:rFonts w:ascii="Amiri" w:hAnsi="Amiri" w:eastAsia="Amiri" w:cs="Amiri"/>
          <w:color w:val="111111"/>
          <w:sz w:val="28"/>
          <w:sz w:val="28"/>
          <w:szCs w:val="28"/>
          <w:rtl w:val="true"/>
          <w:lang w:bidi="ar-SA"/>
        </w:rPr>
        <w:t>هو التوقُّفَ و لا</w:t>
      </w:r>
      <w:r>
        <w:rPr>
          <w:rStyle w:val="FootnoteAnchor"/>
          <w:rtl w:val="true"/>
        </w:rPr>
        <w:footnoteReference w:id="2124"/>
      </w:r>
      <w:r>
        <w:rPr>
          <w:rFonts w:ascii="Amiri" w:hAnsi="Amiri" w:eastAsia="Amiri" w:cs="Amiri"/>
          <w:color w:val="111111"/>
          <w:sz w:val="28"/>
          <w:sz w:val="28"/>
          <w:szCs w:val="28"/>
          <w:rtl w:val="true"/>
          <w:lang w:bidi="ar-SA"/>
        </w:rPr>
        <w:t xml:space="preserve">الرجوعَ إلَى العقلِ‌، فذلكَ غَيرُ جائزٍ؛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بما ألزَمتَه</w:t>
      </w:r>
      <w:r>
        <w:rPr>
          <w:rStyle w:val="FootnoteAnchor"/>
          <w:rtl w:val="true"/>
        </w:rPr>
        <w:footnoteReference w:id="2125"/>
      </w:r>
      <w:r>
        <w:rPr>
          <w:rFonts w:ascii="Amiri" w:hAnsi="Amiri" w:eastAsia="Amiri" w:cs="Amiri"/>
          <w:color w:val="111111"/>
          <w:sz w:val="28"/>
          <w:sz w:val="28"/>
          <w:szCs w:val="28"/>
          <w:rtl w:val="true"/>
          <w:lang w:bidi="ar-SA"/>
        </w:rPr>
        <w:t xml:space="preserve">مِن التوَقُّفِ أو الرجوعِ </w:t>
      </w:r>
      <w:r>
        <w:rPr>
          <w:rStyle w:val="FootnoteAnchor"/>
          <w:rtl w:val="true"/>
        </w:rPr>
        <w:footnoteReference w:id="2126"/>
      </w:r>
      <w:r>
        <w:rPr>
          <w:rFonts w:ascii="Amiri" w:hAnsi="Amiri" w:eastAsia="Amiri" w:cs="Amiri"/>
          <w:color w:val="111111"/>
          <w:sz w:val="28"/>
          <w:sz w:val="28"/>
          <w:szCs w:val="28"/>
          <w:rtl w:val="true"/>
          <w:lang w:bidi="ar-SA"/>
        </w:rPr>
        <w:t xml:space="preserve">إلَى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يَستَعمِلَهما</w:t>
      </w:r>
      <w:r>
        <w:rPr>
          <w:rStyle w:val="FootnoteAnchor"/>
          <w:rtl w:val="true"/>
        </w:rPr>
        <w:footnoteReference w:id="212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Style w:val="FootnoteAnchor"/>
          <w:rtl w:val="true"/>
        </w:rPr>
        <w:footnoteReference w:id="2128"/>
      </w:r>
      <w:r>
        <w:rPr>
          <w:rFonts w:ascii="Amiri" w:hAnsi="Amiri" w:eastAsia="Amiri" w:cs="Amiri"/>
          <w:color w:val="111111"/>
          <w:sz w:val="28"/>
          <w:sz w:val="28"/>
          <w:szCs w:val="28"/>
          <w:rtl w:val="true"/>
          <w:lang w:bidi="ar-SA"/>
        </w:rPr>
        <w:t xml:space="preserve">فيما لا حُكمَ للّٰهِ تَعالىٰ فيه، و لا فَرْضَ علَى الإمامِ سِوَى التوَقُّفِ أو </w:t>
      </w:r>
      <w:bookmarkStart w:id="366" w:name="pg20015_284978"/>
    </w:p>
    <w:p>
      <w:pPr>
        <w:pStyle w:val="BookText"/>
        <w:rPr/>
      </w:pPr>
      <w:bookmarkEnd w:id="366"/>
      <w:r>
        <w:rPr>
          <w:rFonts w:ascii="Amiri" w:hAnsi="Amiri" w:eastAsia="Amiri" w:cs="Amiri"/>
          <w:color w:val="111111"/>
          <w:sz w:val="28"/>
          <w:sz w:val="28"/>
          <w:szCs w:val="28"/>
          <w:rtl w:val="true"/>
          <w:lang w:bidi="ar-SA"/>
        </w:rPr>
        <w:t>الرجوعِ إلَى العقلِ ، فقَد أجَبناكَ إلىٰ جوازِ ذلكَ ، و بيّنّا أنّه خارجٌ عمّا أنكَرناه</w:t>
      </w:r>
      <w:r>
        <w:rPr>
          <w:rFonts w:eastAsia="Amiri" w:cs="Amiri" w:ascii="Amiri" w:hAnsi="Amiri"/>
          <w:color w:val="111111"/>
          <w:sz w:val="28"/>
          <w:szCs w:val="28"/>
          <w:rtl w:val="true"/>
          <w:lang w:bidi="ar-SA"/>
        </w:rPr>
        <w:t>.</w:t>
      </w:r>
      <w:r>
        <w:rPr>
          <w:rStyle w:val="FootnoteAnchor"/>
          <w:rtl w:val="true"/>
        </w:rPr>
        <w:footnoteReference w:id="2129"/>
      </w:r>
    </w:p>
    <w:p>
      <w:pPr>
        <w:pStyle w:val="Heading4"/>
        <w:numPr>
          <w:ilvl w:val="3"/>
          <w:numId w:val="1"/>
        </w:numPr>
        <w:rPr/>
      </w:pPr>
      <w:bookmarkStart w:id="367" w:name="__RefHeading___Toc894977_2320776876"/>
      <w:bookmarkStart w:id="368" w:name="_Toc130"/>
      <w:bookmarkEnd w:id="367"/>
      <w:r>
        <w:rPr>
          <w:rtl w:val="true"/>
        </w:rPr>
        <w:t>الفرق بين ولاية الإمام مع جهله بالأحكام، و بين ولايته مع منعه من إقامة الأحكام</w:t>
      </w:r>
      <w:bookmarkEnd w:id="36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جازَ</w:t>
      </w:r>
      <w:r>
        <w:rPr>
          <w:rStyle w:val="FootnoteAnchor"/>
          <w:rtl w:val="true"/>
        </w:rPr>
        <w:footnoteReference w:id="2130"/>
      </w:r>
      <w:r>
        <w:rPr>
          <w:rFonts w:ascii="Amiri" w:hAnsi="Amiri" w:eastAsia="Amiri" w:cs="Amiri"/>
          <w:color w:val="111111"/>
          <w:sz w:val="28"/>
          <w:sz w:val="28"/>
          <w:szCs w:val="28"/>
          <w:rtl w:val="true"/>
          <w:lang w:bidi="ar-SA"/>
        </w:rPr>
        <w:t>عندَكم أن يَكونَ الإمامُ قائماً</w:t>
      </w:r>
      <w:r>
        <w:rPr>
          <w:rStyle w:val="FootnoteAnchor"/>
          <w:rtl w:val="true"/>
        </w:rPr>
        <w:footnoteReference w:id="2131"/>
      </w:r>
      <w:r>
        <w:rPr>
          <w:rFonts w:ascii="Amiri" w:hAnsi="Amiri" w:eastAsia="Amiri" w:cs="Amiri"/>
          <w:color w:val="111111"/>
          <w:sz w:val="28"/>
          <w:sz w:val="28"/>
          <w:szCs w:val="28"/>
          <w:rtl w:val="true"/>
          <w:lang w:bidi="ar-SA"/>
        </w:rPr>
        <w:t xml:space="preserve">في الزمانِ ، و يَصيرَ ممنوعاً مِن إقامةِ الحُدودِ و الأحكامِ و سائرِ ما فُوِّضَ </w:t>
      </w:r>
      <w:r>
        <w:rPr>
          <w:rStyle w:val="FootnoteAnchor"/>
          <w:rtl w:val="true"/>
        </w:rPr>
        <w:footnoteReference w:id="2132"/>
      </w:r>
      <w:r>
        <w:rPr>
          <w:rFonts w:ascii="Amiri" w:hAnsi="Amiri" w:eastAsia="Amiri" w:cs="Amiri"/>
          <w:color w:val="111111"/>
          <w:sz w:val="28"/>
          <w:sz w:val="28"/>
          <w:szCs w:val="28"/>
          <w:rtl w:val="true"/>
          <w:lang w:bidi="ar-SA"/>
        </w:rPr>
        <w:t>إليه، فما الذي يَمنَعُ مع تَمكُّنِه مِن أن يَتوقَّفَ في بعضِ ذلكَ؟ و إنّما نَذكُرُ هذه الأُمورَ مِن جهةِ العقلِ ؛ فلَيسَ لأحَدٍ أن يَعتَرِضَ عَلَينا بورودِ السَّمعِ بخِلافِه</w:t>
      </w:r>
      <w:r>
        <w:rPr>
          <w:rFonts w:eastAsia="Amiri" w:cs="Amiri" w:ascii="Amiri" w:hAnsi="Amiri"/>
          <w:color w:val="111111"/>
          <w:sz w:val="28"/>
          <w:szCs w:val="28"/>
          <w:rtl w:val="true"/>
          <w:lang w:bidi="ar-SA"/>
        </w:rPr>
        <w:t>.</w:t>
      </w:r>
      <w:r>
        <w:rPr>
          <w:rStyle w:val="FootnoteAnchor"/>
          <w:rtl w:val="true"/>
        </w:rPr>
        <w:footnoteReference w:id="213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وِلايةِ الإمامِ و هو لا يَعرِفُ الأحكامَ التي تَولّاها و جُعِلَ حاكماً بها</w:t>
      </w:r>
      <w:r>
        <w:rPr>
          <w:rStyle w:val="FootnoteAnchor"/>
          <w:rtl w:val="true"/>
        </w:rPr>
        <w:footnoteReference w:id="2134"/>
      </w:r>
      <w:r>
        <w:rPr>
          <w:rFonts w:ascii="Amiri" w:hAnsi="Amiri" w:eastAsia="Amiri" w:cs="Amiri"/>
          <w:color w:val="111111"/>
          <w:sz w:val="28"/>
          <w:sz w:val="28"/>
          <w:szCs w:val="28"/>
          <w:rtl w:val="true"/>
          <w:lang w:bidi="ar-SA"/>
        </w:rPr>
        <w:t>، و بَينَ وِلايتِه و هو عالِمٌ بها مع تجويزِ أن يُمنَعَ‌</w:t>
      </w:r>
      <w:r>
        <w:rPr>
          <w:rStyle w:val="FootnoteAnchor"/>
          <w:rtl w:val="true"/>
        </w:rPr>
        <w:footnoteReference w:id="2135"/>
      </w:r>
      <w:r>
        <w:rPr>
          <w:rFonts w:ascii="Amiri" w:hAnsi="Amiri" w:eastAsia="Amiri" w:cs="Amiri"/>
          <w:color w:val="111111"/>
          <w:sz w:val="28"/>
          <w:sz w:val="28"/>
          <w:szCs w:val="28"/>
          <w:rtl w:val="true"/>
          <w:lang w:bidi="ar-SA"/>
        </w:rPr>
        <w:t xml:space="preserve">مِن إمضائها و يُحالَ بَينَه و بَينَ إقامتِها، فَرقٌ واضحٌ لا يَذهَبُ علَى المُتأمِّلِ ؛ لأنّ وِلايتَه مع الجَهلِ بما تَولّاه تُلحِقُ بمُوَلّيهِ غايةَ الذَّمِّ ؛ لِما دَلَّلنا عَلَيه مِن قَبلُ </w:t>
      </w:r>
      <w:r>
        <w:rPr>
          <w:rStyle w:val="FootnoteAnchor"/>
          <w:rtl w:val="true"/>
        </w:rPr>
        <w:footnoteReference w:id="2136"/>
      </w:r>
      <w:r>
        <w:rPr>
          <w:rFonts w:ascii="Amiri" w:hAnsi="Amiri" w:eastAsia="Amiri" w:cs="Amiri"/>
          <w:color w:val="111111"/>
          <w:sz w:val="28"/>
          <w:sz w:val="28"/>
          <w:szCs w:val="28"/>
          <w:rtl w:val="true"/>
          <w:lang w:bidi="ar-SA"/>
        </w:rPr>
        <w:t>، و لَيسَ هذا حُكمَ وِلايتِه مع معرفتِه بما أُسنِدَ</w:t>
      </w:r>
      <w:r>
        <w:rPr>
          <w:rStyle w:val="FootnoteAnchor"/>
          <w:rtl w:val="true"/>
        </w:rPr>
        <w:footnoteReference w:id="2137"/>
      </w:r>
      <w:r>
        <w:rPr>
          <w:rFonts w:ascii="Amiri" w:hAnsi="Amiri" w:eastAsia="Amiri" w:cs="Amiri"/>
          <w:color w:val="111111"/>
          <w:sz w:val="28"/>
          <w:sz w:val="28"/>
          <w:szCs w:val="28"/>
          <w:rtl w:val="true"/>
          <w:lang w:bidi="ar-SA"/>
        </w:rPr>
        <w:t xml:space="preserve">إليه و اضطلاعِه به و إن مُنِعَ مِن تنفيذِ الأحكامِ و إقامتِها؛ لأنّ الذَّمَّ </w:t>
      </w:r>
      <w:bookmarkStart w:id="369" w:name="pg20015_284979"/>
    </w:p>
    <w:p>
      <w:pPr>
        <w:pStyle w:val="BookText"/>
        <w:rPr/>
      </w:pPr>
      <w:bookmarkEnd w:id="369"/>
      <w:r>
        <w:rPr>
          <w:rFonts w:ascii="Amiri" w:hAnsi="Amiri" w:eastAsia="Amiri" w:cs="Amiri"/>
          <w:color w:val="111111"/>
          <w:sz w:val="28"/>
          <w:sz w:val="28"/>
          <w:szCs w:val="28"/>
          <w:rtl w:val="true"/>
          <w:lang w:bidi="ar-SA"/>
        </w:rPr>
        <w:t>في هذه الحالِ راجعٌ إلى</w:t>
      </w:r>
      <w:r>
        <w:rPr>
          <w:rStyle w:val="FootnoteAnchor"/>
          <w:rtl w:val="true"/>
        </w:rPr>
        <w:footnoteReference w:id="2138"/>
      </w:r>
      <w:r>
        <w:rPr>
          <w:rFonts w:ascii="Amiri" w:hAnsi="Amiri" w:eastAsia="Amiri" w:cs="Amiri"/>
          <w:color w:val="111111"/>
          <w:sz w:val="28"/>
          <w:sz w:val="28"/>
          <w:szCs w:val="28"/>
          <w:rtl w:val="true"/>
          <w:lang w:bidi="ar-SA"/>
        </w:rPr>
        <w:t>المانعِ للإمامِ ممّا</w:t>
      </w:r>
      <w:r>
        <w:rPr>
          <w:rStyle w:val="FootnoteAnchor"/>
          <w:rtl w:val="true"/>
        </w:rPr>
        <w:footnoteReference w:id="2139"/>
      </w:r>
      <w:r>
        <w:rPr>
          <w:rFonts w:ascii="Amiri" w:hAnsi="Amiri" w:eastAsia="Amiri" w:cs="Amiri"/>
          <w:color w:val="111111"/>
          <w:sz w:val="28"/>
          <w:sz w:val="28"/>
          <w:szCs w:val="28"/>
          <w:rtl w:val="true"/>
          <w:lang w:bidi="ar-SA"/>
        </w:rPr>
        <w:t xml:space="preserve">تَعبَّدَه اللّٰهُ تَعالىٰ بإقامتِه، و لا لَومَ علىٰ مُوَلّيهِ </w:t>
      </w:r>
      <w:r>
        <w:rPr>
          <w:rStyle w:val="FootnoteAnchor"/>
          <w:rtl w:val="true"/>
        </w:rPr>
        <w:footnoteReference w:id="2140"/>
      </w:r>
      <w:r>
        <w:rPr>
          <w:rFonts w:ascii="Amiri" w:hAnsi="Amiri" w:eastAsia="Amiri" w:cs="Amiri"/>
          <w:color w:val="111111"/>
          <w:sz w:val="28"/>
          <w:sz w:val="28"/>
          <w:szCs w:val="28"/>
          <w:rtl w:val="true"/>
          <w:lang w:bidi="ar-SA"/>
        </w:rPr>
        <w:t>و جاعِلِه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المثالُ الذي ضَرَبناه فيما تقدَّمَ </w:t>
      </w:r>
      <w:r>
        <w:rPr>
          <w:rStyle w:val="FootnoteAnchor"/>
          <w:rtl w:val="true"/>
        </w:rPr>
        <w:footnoteReference w:id="2141"/>
      </w:r>
      <w:r>
        <w:rPr>
          <w:rFonts w:ascii="Amiri" w:hAnsi="Amiri" w:eastAsia="Amiri" w:cs="Amiri"/>
          <w:color w:val="111111"/>
          <w:sz w:val="28"/>
          <w:sz w:val="28"/>
          <w:szCs w:val="28"/>
          <w:rtl w:val="true"/>
          <w:lang w:bidi="ar-SA"/>
        </w:rPr>
        <w:t xml:space="preserve">يُفرِّقُ أيضاً بَينَ الأمرَينِ ؛ لأنّه لا يَقبُحُ مِن الحكيمِ مِن المُلوكِ أن يَرُدَّ أمرَ وِزارتِه إلىٰ مَن يَثِقُ مِنه بالمعرفةِ و الغَناءِ </w:t>
      </w:r>
      <w:r>
        <w:rPr>
          <w:rStyle w:val="FootnoteAnchor"/>
          <w:rtl w:val="true"/>
        </w:rPr>
        <w:footnoteReference w:id="2142"/>
      </w:r>
      <w:r>
        <w:rPr>
          <w:rFonts w:ascii="Amiri" w:hAnsi="Amiri" w:eastAsia="Amiri" w:cs="Amiri"/>
          <w:color w:val="111111"/>
          <w:sz w:val="28"/>
          <w:sz w:val="28"/>
          <w:szCs w:val="28"/>
          <w:rtl w:val="true"/>
          <w:lang w:bidi="ar-SA"/>
        </w:rPr>
        <w:t>و إن جَوَّزَ أن يَحولَ بعضُ رَعاياه بَينَ وزيرِه و بَينَ كَثيرٍ مِن تدبيرِه و تَصرُّفِه، و يَقبُحُ مِنه أن يوَلّيَه و هو لا يَعلَمُ أحكامَ الوِزارةِ و لا يُحسِنُها</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894979_2320776876"/>
      <w:bookmarkStart w:id="371" w:name="_Toc131"/>
      <w:bookmarkEnd w:id="370"/>
      <w:r>
        <w:rPr>
          <w:rtl w:val="true"/>
        </w:rPr>
        <w:t>في بيان أنّ خطأ الولاة المنصوبين من قِبَل المعصومين كان عمديّاً</w:t>
      </w:r>
      <w:bookmarkEnd w:id="37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ثبَتَ عنه عليه السلامُ و عن أميرِ المؤمِنينَ عليه السلامُ </w:t>
      </w:r>
      <w:r>
        <w:rPr>
          <w:rStyle w:val="FootnoteAnchor"/>
          <w:rtl w:val="true"/>
        </w:rPr>
        <w:footnoteReference w:id="2144"/>
      </w:r>
      <w:r>
        <w:rPr>
          <w:rFonts w:ascii="Amiri" w:hAnsi="Amiri" w:eastAsia="Amiri" w:cs="Amiri"/>
          <w:color w:val="111111"/>
          <w:sz w:val="28"/>
          <w:sz w:val="28"/>
          <w:szCs w:val="28"/>
          <w:rtl w:val="true"/>
          <w:lang w:bidi="ar-SA"/>
        </w:rPr>
        <w:t xml:space="preserve">أنّهما وَلَّيا مَن أَخطأَ و زَلَّ </w:t>
      </w:r>
      <w:r>
        <w:rPr>
          <w:rStyle w:val="FootnoteAnchor"/>
          <w:rtl w:val="true"/>
        </w:rPr>
        <w:footnoteReference w:id="2145"/>
      </w:r>
      <w:r>
        <w:rPr>
          <w:rFonts w:ascii="Amiri" w:hAnsi="Amiri" w:eastAsia="Amiri" w:cs="Amiri"/>
          <w:color w:val="111111"/>
          <w:sz w:val="28"/>
          <w:sz w:val="28"/>
          <w:szCs w:val="28"/>
          <w:rtl w:val="true"/>
          <w:lang w:bidi="ar-SA"/>
        </w:rPr>
        <w:t>عن الطريقِ؟ فلا بُدَّ</w:t>
      </w:r>
      <w:r>
        <w:rPr>
          <w:rStyle w:val="FootnoteAnchor"/>
          <w:rtl w:val="true"/>
        </w:rPr>
        <w:footnoteReference w:id="2146"/>
      </w:r>
      <w:r>
        <w:rPr>
          <w:rFonts w:ascii="Amiri" w:hAnsi="Amiri" w:eastAsia="Amiri" w:cs="Amiri"/>
          <w:color w:val="111111"/>
          <w:sz w:val="28"/>
          <w:sz w:val="28"/>
          <w:szCs w:val="28"/>
          <w:rtl w:val="true"/>
          <w:lang w:bidi="ar-SA"/>
        </w:rPr>
        <w:t>مِن الإقرارِ بذلكَ ؛ لتَواتُرِ الخبرِ به</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148"/>
      </w:r>
      <w:r>
        <w:rPr>
          <w:rFonts w:ascii="Amiri" w:hAnsi="Amiri" w:eastAsia="Amiri" w:cs="Amiri"/>
          <w:color w:val="111111"/>
          <w:sz w:val="28"/>
          <w:sz w:val="28"/>
          <w:szCs w:val="28"/>
          <w:rtl w:val="true"/>
          <w:lang w:bidi="ar-SA"/>
        </w:rPr>
        <w:t xml:space="preserve">جازَ ذلكَ و لم يوجِبْ </w:t>
      </w:r>
      <w:r>
        <w:rPr>
          <w:rStyle w:val="FootnoteAnchor"/>
          <w:rtl w:val="true"/>
        </w:rPr>
        <w:footnoteReference w:id="2149"/>
      </w:r>
      <w:r>
        <w:rPr>
          <w:rFonts w:ascii="Amiri" w:hAnsi="Amiri" w:eastAsia="Amiri" w:cs="Amiri"/>
          <w:color w:val="111111"/>
          <w:sz w:val="28"/>
          <w:sz w:val="28"/>
          <w:szCs w:val="28"/>
          <w:rtl w:val="true"/>
          <w:lang w:bidi="ar-SA"/>
        </w:rPr>
        <w:t xml:space="preserve">فَساداً، فما الذي يَمنَعُ مِن أن </w:t>
      </w:r>
    </w:p>
    <w:p>
      <w:pPr>
        <w:pStyle w:val="BookText"/>
        <w:rPr/>
      </w:pPr>
      <w:r>
        <w:rPr>
          <w:rFonts w:ascii="Amiri" w:hAnsi="Amiri" w:eastAsia="Amiri" w:cs="Amiri"/>
          <w:color w:val="111111"/>
          <w:sz w:val="28"/>
          <w:sz w:val="28"/>
          <w:szCs w:val="28"/>
          <w:rtl w:val="true"/>
          <w:lang w:bidi="ar-SA"/>
        </w:rPr>
        <w:t xml:space="preserve">لا يَكونَ </w:t>
      </w:r>
      <w:r>
        <w:rPr>
          <w:rStyle w:val="FootnoteAnchor"/>
          <w:rtl w:val="true"/>
        </w:rPr>
        <w:footnoteReference w:id="2150"/>
      </w:r>
      <w:r>
        <w:rPr>
          <w:rFonts w:ascii="Amiri" w:hAnsi="Amiri" w:eastAsia="Amiri" w:cs="Amiri"/>
          <w:color w:val="111111"/>
          <w:sz w:val="28"/>
          <w:sz w:val="28"/>
          <w:szCs w:val="28"/>
          <w:rtl w:val="true"/>
          <w:lang w:bidi="ar-SA"/>
        </w:rPr>
        <w:t>الإمامُ عالِماً بالأحكامِ و يَجتهدَ</w:t>
      </w:r>
      <w:r>
        <w:rPr>
          <w:rStyle w:val="FootnoteAnchor"/>
          <w:rtl w:val="true"/>
        </w:rPr>
        <w:footnoteReference w:id="2151"/>
      </w:r>
      <w:r>
        <w:rPr>
          <w:rFonts w:ascii="Amiri" w:hAnsi="Amiri" w:eastAsia="Amiri" w:cs="Amiri"/>
          <w:color w:val="111111"/>
          <w:sz w:val="28"/>
          <w:sz w:val="28"/>
          <w:szCs w:val="28"/>
          <w:rtl w:val="true"/>
          <w:lang w:bidi="ar-SA"/>
        </w:rPr>
        <w:t>فيما يَتوَلّاه ؟</w:t>
      </w:r>
      <w:r>
        <w:rPr>
          <w:rStyle w:val="FootnoteAnchor"/>
          <w:rtl w:val="true"/>
        </w:rPr>
        <w:footnoteReference w:id="2152"/>
      </w:r>
      <w:r>
        <w:rPr>
          <w:rFonts w:ascii="Amiri" w:hAnsi="Amiri" w:eastAsia="Amiri" w:cs="Amiri"/>
          <w:color w:val="111111"/>
          <w:sz w:val="28"/>
          <w:sz w:val="28"/>
          <w:szCs w:val="28"/>
          <w:rtl w:val="true"/>
          <w:lang w:bidi="ar-SA"/>
        </w:rPr>
        <w:t>لأنّه إذا جازَ أن يَجتَهِدَ فيمَن</w:t>
      </w:r>
      <w:r>
        <w:rPr>
          <w:rStyle w:val="FootnoteAnchor"/>
          <w:rtl w:val="true"/>
        </w:rPr>
        <w:footnoteReference w:id="2153"/>
      </w:r>
      <w:r>
        <w:rPr>
          <w:rFonts w:ascii="Amiri" w:hAnsi="Amiri" w:eastAsia="Amiri" w:cs="Amiri"/>
          <w:color w:val="111111"/>
          <w:sz w:val="28"/>
          <w:sz w:val="28"/>
          <w:szCs w:val="28"/>
          <w:rtl w:val="true"/>
          <w:lang w:bidi="ar-SA"/>
        </w:rPr>
        <w:t>يُوَلّيهِ و يَجوزَ</w:t>
      </w:r>
      <w:r>
        <w:rPr>
          <w:rStyle w:val="FootnoteAnchor"/>
          <w:rtl w:val="true"/>
        </w:rPr>
        <w:footnoteReference w:id="2154"/>
      </w:r>
      <w:r>
        <w:rPr>
          <w:rFonts w:ascii="Amiri" w:hAnsi="Amiri" w:eastAsia="Amiri" w:cs="Amiri"/>
          <w:color w:val="111111"/>
          <w:sz w:val="28"/>
          <w:sz w:val="28"/>
          <w:szCs w:val="28"/>
          <w:rtl w:val="true"/>
          <w:lang w:bidi="ar-SA"/>
        </w:rPr>
        <w:t>الغلطُ فيه، جازَ</w:t>
      </w:r>
      <w:r>
        <w:rPr>
          <w:rStyle w:val="FootnoteAnchor"/>
          <w:rtl w:val="true"/>
        </w:rPr>
        <w:footnoteReference w:id="2155"/>
      </w:r>
      <w:r>
        <w:rPr>
          <w:rFonts w:ascii="Amiri" w:hAnsi="Amiri" w:eastAsia="Amiri" w:cs="Amiri"/>
          <w:color w:val="111111"/>
          <w:sz w:val="28"/>
          <w:sz w:val="28"/>
          <w:szCs w:val="28"/>
          <w:rtl w:val="true"/>
          <w:lang w:bidi="ar-SA"/>
        </w:rPr>
        <w:t>أن يَجتهدَ فيما</w:t>
      </w:r>
      <w:r>
        <w:rPr>
          <w:rStyle w:val="FootnoteAnchor"/>
          <w:rtl w:val="true"/>
        </w:rPr>
        <w:footnoteReference w:id="2156"/>
      </w:r>
      <w:r>
        <w:rPr>
          <w:rFonts w:ascii="Amiri" w:hAnsi="Amiri" w:eastAsia="Amiri" w:cs="Amiri"/>
          <w:color w:val="111111"/>
          <w:sz w:val="28"/>
          <w:sz w:val="28"/>
          <w:szCs w:val="28"/>
          <w:rtl w:val="true"/>
          <w:lang w:bidi="ar-SA"/>
        </w:rPr>
        <w:t>يَتوَلّاه و إن جازَ مع ذلكَ الغلطُ</w:t>
      </w:r>
      <w:r>
        <w:rPr>
          <w:rStyle w:val="FootnoteAnchor"/>
          <w:rtl w:val="true"/>
        </w:rPr>
        <w:footnoteReference w:id="2157"/>
      </w:r>
      <w:r>
        <w:rPr>
          <w:rFonts w:ascii="Amiri" w:hAnsi="Amiri" w:eastAsia="Amiri" w:cs="Amiri"/>
          <w:color w:val="111111"/>
          <w:sz w:val="28"/>
          <w:sz w:val="28"/>
          <w:szCs w:val="28"/>
          <w:rtl w:val="true"/>
          <w:lang w:bidi="ar-SA"/>
        </w:rPr>
        <w:t>، و لَو منَعَ العقلُ مِن أحَدِهما لَوجَبَ أن يَمنَعَ مِن الآخَرِ</w:t>
      </w:r>
      <w:r>
        <w:rPr>
          <w:rFonts w:eastAsia="Amiri" w:cs="Amiri" w:ascii="Amiri" w:hAnsi="Amiri"/>
          <w:color w:val="111111"/>
          <w:sz w:val="28"/>
          <w:szCs w:val="28"/>
          <w:rtl w:val="true"/>
          <w:lang w:bidi="ar-SA"/>
        </w:rPr>
        <w:t>.</w:t>
      </w:r>
      <w:r>
        <w:rPr>
          <w:rStyle w:val="FootnoteAnchor"/>
          <w:rtl w:val="true"/>
        </w:rPr>
        <w:footnoteReference w:id="215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خطأُ مَن تَولّىٰ مِن قِبَلِ الرسولِ صَلَّى اللّٰهُ عليه و آلِه و مِن قِبَلِ الإمامِ بَعدَه فظاهرٌ في الروايةِ ، و لَو لَم يَكُن أيضاً ثابتاً بالروايةِ لكُنّا نجوِّزُه و لا نَمنَعُ مِنه، غَيرَ أنّه لَم يَثبُتْ أنّ خطأَهم كانَ عن جَهلٍ بما تَولَّوه، بَل جائزٌ أن يَكونوا تَعمَّدوا</w:t>
      </w:r>
      <w:r>
        <w:rPr>
          <w:rStyle w:val="FootnoteAnchor"/>
          <w:rtl w:val="true"/>
        </w:rPr>
        <w:footnoteReference w:id="2160"/>
      </w:r>
      <w:r>
        <w:rPr>
          <w:rFonts w:ascii="Amiri" w:hAnsi="Amiri" w:eastAsia="Amiri" w:cs="Amiri"/>
          <w:color w:val="111111"/>
          <w:sz w:val="28"/>
          <w:sz w:val="28"/>
          <w:szCs w:val="28"/>
          <w:rtl w:val="true"/>
          <w:lang w:bidi="ar-SA"/>
        </w:rPr>
        <w:t>ما فَعَلوه مِن الخطإ، و ذلكَ هو الصحيحُ المقطوعُ عليه</w:t>
      </w:r>
      <w:r>
        <w:rPr>
          <w:rStyle w:val="FootnoteAnchor"/>
          <w:rtl w:val="true"/>
        </w:rPr>
        <w:footnoteReference w:id="2161"/>
      </w:r>
      <w:r>
        <w:rPr>
          <w:rFonts w:ascii="Amiri" w:hAnsi="Amiri" w:eastAsia="Amiri" w:cs="Amiri"/>
          <w:color w:val="111111"/>
          <w:sz w:val="28"/>
          <w:sz w:val="28"/>
          <w:szCs w:val="28"/>
          <w:rtl w:val="true"/>
          <w:lang w:bidi="ar-SA"/>
        </w:rPr>
        <w:t>عندَنا؛ لأنّ الإمامَ لا يَجوزُ أن يوَلّيَ الأمرَ مَن لا يَعرِفُه</w:t>
      </w:r>
      <w:r>
        <w:rPr>
          <w:rStyle w:val="FootnoteAnchor"/>
          <w:rtl w:val="true"/>
        </w:rPr>
        <w:footnoteReference w:id="2162"/>
      </w:r>
      <w:r>
        <w:rPr>
          <w:rFonts w:ascii="Amiri" w:hAnsi="Amiri" w:eastAsia="Amiri" w:cs="Amiri"/>
          <w:color w:val="111111"/>
          <w:sz w:val="28"/>
          <w:sz w:val="28"/>
          <w:szCs w:val="28"/>
          <w:rtl w:val="true"/>
          <w:lang w:bidi="ar-SA"/>
        </w:rPr>
        <w:t>و يَعلَمُ أحكامَه، و إن جازَ أن يوَلّيَه فتَعمَّد</w:t>
      </w:r>
      <w:r>
        <w:rPr>
          <w:rStyle w:val="FootnoteAnchor"/>
          <w:rtl w:val="true"/>
        </w:rPr>
        <w:footnoteReference w:id="2163"/>
      </w:r>
      <w:r>
        <w:rPr>
          <w:rFonts w:ascii="Amiri" w:hAnsi="Amiri" w:eastAsia="Amiri" w:cs="Amiri"/>
          <w:color w:val="111111"/>
          <w:sz w:val="28"/>
          <w:sz w:val="28"/>
          <w:szCs w:val="28"/>
          <w:rtl w:val="true"/>
          <w:lang w:bidi="ar-SA"/>
        </w:rPr>
        <w:t>الخطأَ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يَمنَعُ مِن أن لا يَكونَ الإمامُ عالِماً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ممّا ألزَمتَه قد تقدَّمَ و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خطأُ الوُلاةِ مِن قِبَلِه تعمُّداً جائزٌ؛ لِما بيّنّاه مِن قَبلُ مِن أنّ عصمتَهم غَيرُ واجبةٍ </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جازَ أن يَجتَهِدَ فيمن يوَلّيهِ و يَجوزَ الغلطُ فيه، جازَ أن يَجتَهِدَ</w:t>
      </w:r>
    </w:p>
    <w:p>
      <w:pPr>
        <w:pStyle w:val="BookText"/>
        <w:rPr/>
      </w:pPr>
      <w:r>
        <w:rPr>
          <w:rFonts w:ascii="Amiri" w:hAnsi="Amiri" w:eastAsia="Amiri" w:cs="Amiri"/>
          <w:color w:val="111111"/>
          <w:sz w:val="28"/>
          <w:sz w:val="28"/>
          <w:szCs w:val="28"/>
          <w:rtl w:val="true"/>
          <w:lang w:bidi="ar-SA"/>
        </w:rPr>
        <w:t>فيما يَتوَلّاه و إن جازَ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ظَنِّكَ أنّ الإمامَ اجتَهدَ، فظَنَّ أنّ الذي وَلّاه عالِمٌ بما أسنَدَه</w:t>
      </w:r>
      <w:r>
        <w:rPr>
          <w:rStyle w:val="FootnoteAnchor"/>
          <w:rtl w:val="true"/>
        </w:rPr>
        <w:footnoteReference w:id="2165"/>
      </w:r>
      <w:r>
        <w:rPr>
          <w:rFonts w:ascii="Amiri" w:hAnsi="Amiri" w:eastAsia="Amiri" w:cs="Amiri"/>
          <w:color w:val="111111"/>
          <w:sz w:val="28"/>
          <w:sz w:val="28"/>
          <w:szCs w:val="28"/>
          <w:rtl w:val="true"/>
          <w:lang w:bidi="ar-SA"/>
        </w:rPr>
        <w:t>إليه، و لَم يَكُن كذلكَ‌؛ لوُقوعِ الخطإ مِنه، و أنّ الغلطَ جَرىٰ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ظَنٌّ بَعيدٌ لا يَرجِعُ إلىٰ حُجّةٍ و لا إلىٰ شُبهةٍ‌؛ لأنّا قد بيّنّا أنّ الذينَ أخطأوا مِن الوُلاةِ كانوا عالِمينَ‌، و إنّما تَعمَّدوا الخطأَ، و لَم يَقُمْ‌</w:t>
      </w:r>
      <w:r>
        <w:rPr>
          <w:rStyle w:val="FootnoteAnchor"/>
          <w:rtl w:val="true"/>
        </w:rPr>
        <w:footnoteReference w:id="2166"/>
      </w:r>
      <w:r>
        <w:rPr>
          <w:rFonts w:ascii="Amiri" w:hAnsi="Amiri" w:eastAsia="Amiri" w:cs="Amiri"/>
          <w:color w:val="111111"/>
          <w:sz w:val="28"/>
          <w:sz w:val="28"/>
          <w:szCs w:val="28"/>
          <w:rtl w:val="true"/>
          <w:lang w:bidi="ar-SA"/>
        </w:rPr>
        <w:t>علَى الإمامِ غلطٌ في أمرِهم؛ فلَيسَ يَجِبُ ما ألزَمتَنا عَلَيه مِن جوازِ الغلطِ علَى الإمامِ في اجتهادِه فيما يَتوَلّاه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إلزامَكَ مُبايِنٌ في الظاهرِ لتقريرِكَ‌</w:t>
      </w:r>
      <w:r>
        <w:rPr>
          <w:rStyle w:val="FootnoteAnchor"/>
          <w:rtl w:val="true"/>
        </w:rPr>
        <w:footnoteReference w:id="2167"/>
      </w:r>
      <w:r>
        <w:rPr>
          <w:rFonts w:ascii="Amiri" w:hAnsi="Amiri" w:eastAsia="Amiri" w:cs="Amiri"/>
          <w:color w:val="111111"/>
          <w:sz w:val="28"/>
          <w:sz w:val="28"/>
          <w:szCs w:val="28"/>
          <w:rtl w:val="true"/>
          <w:lang w:bidi="ar-SA"/>
        </w:rPr>
        <w:t xml:space="preserve">لأنّه لَيسَ يَجِبُ إذا وَلَّى الإمامُ مَن وَقَعَ مِنه الخطأُ أن يَكونَ هو نفسُه غَيرَ عالِمٍ بالأحكامِ‌، و إنّما يَجِبُ أن يَتبَعَ هذا الإلزامُ ذلكَ التقريرَ إذا ثَبَتَ أنّ الذين وَقَعَ مِنهم الخطأُ مِن وُلاتِه لَم يَتعمَّدوا الخطأَ، بَل كانَ مِنهم عن جَهلٍ أو ارتفاعِ عِلمٍ‌، و لَم نَرَكَ </w:t>
      </w:r>
      <w:r>
        <w:rPr>
          <w:rStyle w:val="FootnoteAnchor"/>
          <w:rtl w:val="true"/>
        </w:rPr>
        <w:footnoteReference w:id="2168"/>
      </w:r>
      <w:r>
        <w:rPr>
          <w:rFonts w:ascii="Amiri" w:hAnsi="Amiri" w:eastAsia="Amiri" w:cs="Amiri"/>
          <w:color w:val="111111"/>
          <w:sz w:val="28"/>
          <w:sz w:val="28"/>
          <w:szCs w:val="28"/>
          <w:rtl w:val="true"/>
          <w:lang w:bidi="ar-SA"/>
        </w:rPr>
        <w:t xml:space="preserve">قرَّرتَ </w:t>
      </w:r>
      <w:r>
        <w:rPr>
          <w:rStyle w:val="FootnoteAnchor"/>
          <w:rtl w:val="true"/>
        </w:rPr>
        <w:footnoteReference w:id="2169"/>
      </w:r>
      <w:r>
        <w:rPr>
          <w:rFonts w:ascii="Amiri" w:hAnsi="Amiri" w:eastAsia="Amiri" w:cs="Amiri"/>
          <w:color w:val="111111"/>
          <w:sz w:val="28"/>
          <w:sz w:val="28"/>
          <w:szCs w:val="28"/>
          <w:rtl w:val="true"/>
          <w:lang w:bidi="ar-SA"/>
        </w:rPr>
        <w:t>ذلكَ ، و لَو قرَّرتَه لَما أجَبناكَ إليه، و لَطالَبناكَ بتصحيحِ دَعواكَ فيه</w:t>
      </w:r>
      <w:r>
        <w:rPr>
          <w:rFonts w:eastAsia="Amiri" w:cs="Amiri" w:ascii="Amiri" w:hAnsi="Amiri"/>
          <w:color w:val="111111"/>
          <w:sz w:val="28"/>
          <w:szCs w:val="28"/>
          <w:rtl w:val="true"/>
          <w:lang w:bidi="ar-SA"/>
        </w:rPr>
        <w:t xml:space="preserve">. </w:t>
      </w:r>
      <w:bookmarkStart w:id="372" w:name="pg20015_284982"/>
    </w:p>
    <w:p>
      <w:pPr>
        <w:pStyle w:val="Heading4"/>
        <w:numPr>
          <w:ilvl w:val="3"/>
          <w:numId w:val="1"/>
        </w:numPr>
        <w:rPr/>
      </w:pPr>
      <w:bookmarkStart w:id="373" w:name="__RefHeading___Toc894981_2320776876"/>
      <w:bookmarkStart w:id="374" w:name="_Toc132"/>
      <w:bookmarkEnd w:id="372"/>
      <w:bookmarkEnd w:id="373"/>
      <w:r>
        <w:rPr>
          <w:rtl w:val="true"/>
        </w:rPr>
        <w:t>تأويل ما دلّ بظاهره علىٰ جهل أمير المؤمِنين عليه السلام ببعض الأحكام</w:t>
      </w:r>
      <w:bookmarkEnd w:id="37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ثبَتَ أنّ أميرَ المؤمِنينَ عليه السلامُ كانَ يَرجِعُ في تعرُّفِ الأحكامِ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ما ثبَتَ عنه في المَذيِ‌</w:t>
      </w:r>
      <w:r>
        <w:rPr>
          <w:rFonts w:eastAsia="Amiri" w:cs="Amiri" w:ascii="Amiri" w:hAnsi="Amiri"/>
          <w:color w:val="111111"/>
          <w:sz w:val="28"/>
          <w:szCs w:val="28"/>
          <w:rtl w:val="true"/>
          <w:lang w:bidi="ar-SA"/>
        </w:rPr>
        <w:t>.</w:t>
      </w:r>
      <w:r>
        <w:rPr>
          <w:rStyle w:val="FootnoteAnchor"/>
          <w:rtl w:val="true"/>
        </w:rPr>
        <w:footnoteReference w:id="217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ما ثبَتَ عنه مِن رُجوعِه في مَوالي صَفيّةَ </w:t>
      </w:r>
      <w:r>
        <w:rPr>
          <w:rStyle w:val="FootnoteAnchor"/>
          <w:rtl w:val="true"/>
        </w:rPr>
        <w:footnoteReference w:id="2171"/>
      </w:r>
      <w:r>
        <w:rPr>
          <w:rFonts w:ascii="Amiri" w:hAnsi="Amiri" w:eastAsia="Amiri" w:cs="Amiri"/>
          <w:color w:val="111111"/>
          <w:sz w:val="28"/>
          <w:sz w:val="28"/>
          <w:szCs w:val="28"/>
          <w:rtl w:val="true"/>
          <w:lang w:bidi="ar-SA"/>
        </w:rPr>
        <w:t xml:space="preserve">عندَ اختصامِه مع </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نَعقِلُهم و نَرِثُهم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أرِثُهم</w:t>
      </w:r>
      <w:r>
        <w:rPr>
          <w:rFonts w:eastAsia="Amiri" w:cs="Amiri" w:ascii="Amiri" w:hAnsi="Amiri"/>
          <w:color w:val="111111"/>
          <w:sz w:val="28"/>
          <w:szCs w:val="28"/>
          <w:rtl w:val="true"/>
          <w:lang w:bidi="ar-SA"/>
        </w:rPr>
        <w:t>»</w:t>
      </w:r>
      <w:r>
        <w:rPr>
          <w:rStyle w:val="FootnoteAnchor"/>
          <w:rtl w:val="true"/>
        </w:rPr>
        <w:footnoteReference w:id="2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لأنّه قالَ‌</w:t>
      </w:r>
      <w:r>
        <w:rPr>
          <w:rFonts w:eastAsia="Amiri" w:cs="Amiri" w:ascii="Amiri" w:hAnsi="Amiri"/>
          <w:color w:val="111111"/>
          <w:sz w:val="28"/>
          <w:szCs w:val="28"/>
          <w:rtl w:val="true"/>
          <w:lang w:bidi="ar-SA"/>
        </w:rPr>
        <w:t>:</w:t>
      </w:r>
      <w:r>
        <w:rPr>
          <w:rStyle w:val="FootnoteAnchor"/>
          <w:rtl w:val="true"/>
        </w:rPr>
        <w:footnoteReference w:id="2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Style w:val="FootnoteAnchor"/>
          <w:rtl w:val="true"/>
        </w:rPr>
        <w:footnoteReference w:id="2174"/>
      </w: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2175"/>
      </w:r>
      <w:r>
        <w:rPr>
          <w:rFonts w:ascii="Amiri" w:hAnsi="Amiri" w:eastAsia="Amiri" w:cs="Amiri"/>
          <w:color w:val="111111"/>
          <w:sz w:val="28"/>
          <w:sz w:val="28"/>
          <w:szCs w:val="28"/>
          <w:rtl w:val="true"/>
          <w:lang w:bidi="ar-SA"/>
        </w:rPr>
        <w:t>أنّ الميراثَ للِابنِ و العقلَ‌</w:t>
      </w:r>
      <w:r>
        <w:rPr>
          <w:rStyle w:val="FootnoteAnchor"/>
          <w:rtl w:val="true"/>
        </w:rPr>
        <w:footnoteReference w:id="2176"/>
      </w:r>
      <w:r>
        <w:rPr>
          <w:rFonts w:ascii="Amiri" w:hAnsi="Amiri" w:eastAsia="Amiri" w:cs="Amiri"/>
          <w:color w:val="111111"/>
          <w:sz w:val="28"/>
          <w:sz w:val="28"/>
          <w:szCs w:val="28"/>
          <w:rtl w:val="true"/>
          <w:lang w:bidi="ar-SA"/>
        </w:rPr>
        <w:t>علَى العَصَبةِ‌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 وراء الحصن بعد أن جبن عنه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النساء المثريات في الجاهلية و الإسلام، حتّى كان لها من المماليك الذين يتاجرون لها ما لا يحصى عددهم، و لكنّها كانت تعتقهم و تشغلهم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تجيء مسألة النزاع بين أمير المؤمنين عليه السلام و الزبير في إرث مواليها المعتقين من قبلها و ذلك أنّها أعتقت عبيداً لها فمات العبيد و لم يخلّفوا، فطلب الزبير ميراثهم؛ لأنّ أُمّه أعتقتهم، فولاؤهم لها و هو وارثها، و طلب أمير المؤمنين عليه السلام ميراثهم؛ لأنّ المعتق إذا كان امرأة فولاء مولاها لعصبتها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الرأي منقول عن أمير المؤمنين عليه السلام في كتب الفريقين، يقول ابن رشد في بداية المجتهد، باب الولاء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الباب مسألة مشهورة، و هي إذا ماتت امرأة و لها ولاء و ولد و عصبة لمن ينتقل الولاء؟ فقالت طائفة لعصبتها؛ لأنّهم الذين يعقلون عنها، و لا ولاء للولد، و هو قول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لابنها، و هو قول عمر بن الخطّاب، و عليه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صفية في خلافة عمر بن الخطّاب، و دفنت في البقيع بفناء دار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3935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4008</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7059</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11411</w:t>
      </w:r>
      <w:r>
        <w:rPr>
          <w:rFonts w:ascii="Amiri" w:hAnsi="Amiri" w:eastAsia="Amiri" w:cs="Amiri"/>
          <w:color w:val="111111"/>
          <w:sz w:val="28"/>
          <w:sz w:val="28"/>
          <w:szCs w:val="28"/>
          <w:rtl w:val="true"/>
          <w:lang w:bidi="ar-SA"/>
        </w:rPr>
        <w:t xml:space="preserve">؛ بداية المجتهد،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ثَبَتَ عنه أيضاً</w:t>
      </w:r>
      <w:r>
        <w:rPr>
          <w:rStyle w:val="FootnoteAnchor"/>
          <w:rtl w:val="true"/>
        </w:rPr>
        <w:footnoteReference w:id="2177"/>
      </w:r>
      <w:r>
        <w:rPr>
          <w:rFonts w:ascii="Amiri" w:hAnsi="Amiri" w:eastAsia="Amiri" w:cs="Amiri"/>
          <w:color w:val="111111"/>
          <w:sz w:val="28"/>
          <w:sz w:val="28"/>
          <w:szCs w:val="28"/>
          <w:rtl w:val="true"/>
          <w:lang w:bidi="ar-SA"/>
        </w:rPr>
        <w:t>أنّه كانَ يَرجِعُ في السُّننِ التي لَم يَسمَعْها إلىٰ خبرِ غَيرِه،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سَمِعتُ مِن النبيِّ صَلَّى اللّٰهُ عَلَيه و سلَّم حَديثاً، نَفَعَنيَ اللّٰهُ بما شاءَ مِنه</w:t>
      </w:r>
      <w:r>
        <w:rPr>
          <w:rStyle w:val="FootnoteAnchor"/>
          <w:rtl w:val="true"/>
        </w:rPr>
        <w:footnoteReference w:id="2178"/>
      </w:r>
      <w:r>
        <w:rPr>
          <w:rFonts w:ascii="Amiri" w:hAnsi="Amiri" w:eastAsia="Amiri" w:cs="Amiri"/>
          <w:color w:val="111111"/>
          <w:sz w:val="28"/>
          <w:sz w:val="28"/>
          <w:szCs w:val="28"/>
          <w:rtl w:val="true"/>
          <w:lang w:bidi="ar-SA"/>
        </w:rPr>
        <w:t>، و إذا حَدَّثَني</w:t>
      </w:r>
      <w:r>
        <w:rPr>
          <w:rStyle w:val="FootnoteAnchor"/>
          <w:rtl w:val="true"/>
        </w:rPr>
        <w:footnoteReference w:id="2179"/>
      </w:r>
      <w:r>
        <w:rPr>
          <w:rFonts w:ascii="Amiri" w:hAnsi="Amiri" w:eastAsia="Amiri" w:cs="Amiri"/>
          <w:color w:val="111111"/>
          <w:sz w:val="28"/>
          <w:sz w:val="28"/>
          <w:szCs w:val="28"/>
          <w:rtl w:val="true"/>
          <w:lang w:bidi="ar-SA"/>
        </w:rPr>
        <w:t>غَيرُه استَحلَفتُه</w:t>
      </w:r>
      <w:r>
        <w:rPr>
          <w:rStyle w:val="FootnoteAnchor"/>
          <w:rtl w:val="true"/>
        </w:rPr>
        <w:footnoteReference w:id="2180"/>
      </w:r>
      <w:r>
        <w:rPr>
          <w:rFonts w:ascii="IRNazanin" w:hAnsi="IRNazanin" w:eastAsia="IRNazanin"/>
          <w:color w:val="111111"/>
          <w:sz w:val="28"/>
          <w:sz w:val="28"/>
          <w:szCs w:val="28"/>
          <w:rtl w:val="true"/>
          <w:lang w:bidi="fa-IR"/>
        </w:rPr>
        <w:t>، فإذا</w:t>
      </w:r>
      <w:r>
        <w:rPr>
          <w:rStyle w:val="FootnoteAnchor"/>
          <w:rtl w:val="true"/>
        </w:rPr>
        <w:footnoteReference w:id="2181"/>
      </w:r>
      <w:r>
        <w:rPr>
          <w:rFonts w:ascii="Amiri" w:hAnsi="Amiri" w:eastAsia="Amiri" w:cs="Amiri"/>
          <w:color w:val="111111"/>
          <w:sz w:val="28"/>
          <w:sz w:val="28"/>
          <w:szCs w:val="28"/>
          <w:rtl w:val="true"/>
          <w:lang w:bidi="ar-SA"/>
        </w:rPr>
        <w:t>حَلَفَ لي</w:t>
      </w:r>
      <w:r>
        <w:rPr>
          <w:rStyle w:val="FootnoteAnchor"/>
          <w:rtl w:val="true"/>
        </w:rPr>
        <w:footnoteReference w:id="2182"/>
      </w:r>
      <w:r>
        <w:rPr>
          <w:rFonts w:ascii="Amiri" w:hAnsi="Amiri" w:eastAsia="Amiri" w:cs="Amiri"/>
          <w:color w:val="111111"/>
          <w:sz w:val="28"/>
          <w:sz w:val="28"/>
          <w:szCs w:val="28"/>
          <w:rtl w:val="true"/>
          <w:lang w:bidi="ar-SA"/>
        </w:rPr>
        <w:t>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و صَدَقَ أبو بَكرٍ</w:t>
      </w:r>
      <w:r>
        <w:rPr>
          <w:rFonts w:eastAsia="Amiri" w:cs="Amiri" w:ascii="Amiri" w:hAnsi="Amiri"/>
          <w:color w:val="111111"/>
          <w:sz w:val="28"/>
          <w:szCs w:val="28"/>
          <w:rtl w:val="true"/>
          <w:lang w:bidi="ar-SA"/>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يُقالُ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يَجِبُ أن يَكونَ </w:t>
      </w:r>
      <w:r>
        <w:rPr>
          <w:rStyle w:val="FootnoteAnchor"/>
          <w:rtl w:val="true"/>
        </w:rPr>
        <w:footnoteReference w:id="2184"/>
      </w:r>
      <w:r>
        <w:rPr>
          <w:rFonts w:ascii="Amiri" w:hAnsi="Amiri" w:eastAsia="Amiri" w:cs="Amiri"/>
          <w:color w:val="111111"/>
          <w:sz w:val="28"/>
          <w:sz w:val="28"/>
          <w:szCs w:val="28"/>
          <w:rtl w:val="true"/>
          <w:lang w:bidi="ar-SA"/>
        </w:rPr>
        <w:t xml:space="preserve">عالِماً بجميعِ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الأوّلُ الذي هو غايةُ القَومِ و</w:t>
      </w:r>
      <w:r>
        <w:rPr>
          <w:rStyle w:val="FootnoteAnchor"/>
          <w:rtl w:val="true"/>
        </w:rPr>
        <w:footnoteReference w:id="2185"/>
      </w:r>
      <w:r>
        <w:rPr>
          <w:rFonts w:ascii="Amiri" w:hAnsi="Amiri" w:eastAsia="Amiri" w:cs="Amiri"/>
          <w:color w:val="111111"/>
          <w:sz w:val="28"/>
          <w:sz w:val="28"/>
          <w:szCs w:val="28"/>
          <w:rtl w:val="true"/>
          <w:lang w:bidi="ar-SA"/>
        </w:rPr>
        <w:t>أعلاهم رُتبةً حالُه ما ذَكرناه</w:t>
      </w:r>
      <w:r>
        <w:rPr>
          <w:rStyle w:val="FootnoteAnchor"/>
          <w:rtl w:val="true"/>
        </w:rPr>
        <w:footnoteReference w:id="2186"/>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 على بطلان التعصيب،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الميراث في موضع من المواضع، و إنّما يورث بالفرض المسمّى أو القربى أو الأسباب التي يورث بها من زوجيّة أو ولاء، و استثنوا من ذلك إذا كان المعتق امرأةً ، فولاء مولاها لعصبتها دون ولدها، سواء كانوا ذكوراً أو إناثاً؛ عملاً برواية موالي صفيّة و روايات أُخرى، مضافاً إلى أدلّة أُخرى تطلب في مظانّها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الخلاف،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ثبَتَ عنه عليه السلامُ أنّه كانَ يَجتَهِدُ فيَرجِعُ </w:t>
      </w:r>
      <w:r>
        <w:rPr>
          <w:rStyle w:val="FootnoteAnchor"/>
          <w:rtl w:val="true"/>
        </w:rPr>
        <w:footnoteReference w:id="2187"/>
      </w:r>
      <w:r>
        <w:rPr>
          <w:rFonts w:ascii="Amiri" w:hAnsi="Amiri" w:eastAsia="Amiri" w:cs="Amiri"/>
          <w:color w:val="111111"/>
          <w:sz w:val="28"/>
          <w:sz w:val="28"/>
          <w:szCs w:val="28"/>
          <w:rtl w:val="true"/>
          <w:lang w:bidi="ar-SA"/>
        </w:rPr>
        <w:t xml:space="preserve">مِن رأيٍ إلىٰ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يُبطِلُ تَعلُّقَهم بما ذَكروه</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بَينَ أشياءَ ما كُنّا نظُنُّ أنّ مِثلَكَ يَجعَلُها شُبهةً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المَذيِ‌ و رجوعِ أميرِ المؤمِنينَ عليه السلامُ في الحُكمِ فيه</w:t>
      </w:r>
      <w:r>
        <w:rPr>
          <w:rStyle w:val="FootnoteAnchor"/>
          <w:rtl w:val="true"/>
        </w:rPr>
        <w:footnoteReference w:id="2190"/>
      </w:r>
      <w:r>
        <w:rPr>
          <w:rFonts w:ascii="Amiri" w:hAnsi="Amiri" w:eastAsia="Amiri" w:cs="Amiri"/>
          <w:color w:val="111111"/>
          <w:sz w:val="28"/>
          <w:sz w:val="28"/>
          <w:szCs w:val="28"/>
          <w:rtl w:val="true"/>
          <w:lang w:bidi="ar-SA"/>
        </w:rPr>
        <w:t>إلىٰ مُراسَلِة النبيِّ صَلَّى اللّٰهُ عليه و آلِه بالمِقدادِ علىٰ ما ثبَتَت</w:t>
      </w:r>
      <w:r>
        <w:rPr>
          <w:rStyle w:val="FootnoteAnchor"/>
          <w:rtl w:val="true"/>
        </w:rPr>
        <w:footnoteReference w:id="2191"/>
      </w:r>
      <w:r>
        <w:rPr>
          <w:rFonts w:ascii="Amiri" w:hAnsi="Amiri" w:eastAsia="Amiri" w:cs="Amiri"/>
          <w:color w:val="111111"/>
          <w:sz w:val="28"/>
          <w:sz w:val="28"/>
          <w:szCs w:val="28"/>
          <w:rtl w:val="true"/>
          <w:lang w:bidi="ar-SA"/>
        </w:rPr>
        <w:t>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أنّه لَيسَ بقادحٍ فيما ذَهَبنا إليه مِن كَونِه عالِماً بجميعِ الأحكامِ ؛ لأنّا لا نوجِبُ ذلكَ في الإمامِ مِن لَدُن خَلقِه و كمالِ عقلِه، و إنّما نوجِبُه في الحالِ التي يَكونُ فيها إماماً، و سؤالُ أميرِ المؤمِنينَ عليه السلامُ في المَذيِ إنّما كانَ في زمانِ الرسولِ صَلَّى اللّٰهُ عليه و آلِه، و في تلكَ الحالِ لَم يَكُن إماماً فيَجِبَ أن يَكونَ مُحيطاً بجميعِ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حُكمِ المَذيِ الذي لَم يَعرِفْه ثُمّ عَرَفَه، و بَينَ غَيرِه مِن الأحكامِ التي استَفادَها مِن جهةِ النبيِّ صَلَّى اللّٰهُ عليه و آلِه</w:t>
      </w:r>
      <w:r>
        <w:rPr>
          <w:rStyle w:val="FootnoteAnchor"/>
          <w:rtl w:val="true"/>
        </w:rPr>
        <w:footnoteReference w:id="2192"/>
      </w:r>
      <w:r>
        <w:rPr>
          <w:rFonts w:ascii="Amiri" w:hAnsi="Amiri" w:eastAsia="Amiri" w:cs="Amiri"/>
          <w:color w:val="111111"/>
          <w:sz w:val="28"/>
          <w:sz w:val="28"/>
          <w:szCs w:val="28"/>
          <w:rtl w:val="true"/>
          <w:lang w:bidi="ar-SA"/>
        </w:rPr>
        <w:t xml:space="preserve">عَلِمها بَعدَ أن لَم يَكُن عالِماً بها؛ فالاقتصارُ علىٰ ذِكرِ المَذيِ </w:t>
      </w:r>
      <w:r>
        <w:rPr>
          <w:rStyle w:val="FootnoteAnchor"/>
          <w:rtl w:val="true"/>
        </w:rPr>
        <w:footnoteReference w:id="2193"/>
      </w:r>
      <w:r>
        <w:rPr>
          <w:rFonts w:ascii="Amiri" w:hAnsi="Amiri" w:eastAsia="Amiri" w:cs="Amiri"/>
          <w:color w:val="111111"/>
          <w:sz w:val="28"/>
          <w:sz w:val="28"/>
          <w:szCs w:val="28"/>
          <w:rtl w:val="true"/>
          <w:lang w:bidi="ar-SA"/>
        </w:rPr>
        <w:t xml:space="preserve">و حُكمُ سائرِ الدِّينِ حُكمُه لَيسَ له معنىً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القَولُ في مَوالي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ما وَرَدَت به الروايةُ أنّه نازَعَ الزُّبَيرَ في ميراثِهم، </w:t>
      </w:r>
    </w:p>
    <w:p>
      <w:pPr>
        <w:pStyle w:val="BookText"/>
        <w:rPr/>
      </w:pPr>
      <w:r>
        <w:rPr>
          <w:rFonts w:ascii="Amiri" w:hAnsi="Amiri" w:eastAsia="Amiri" w:cs="Amiri"/>
          <w:color w:val="111111"/>
          <w:sz w:val="28"/>
          <w:sz w:val="28"/>
          <w:szCs w:val="28"/>
          <w:rtl w:val="true"/>
          <w:lang w:bidi="ar-SA"/>
        </w:rPr>
        <w:t>و اختَصَما إلىٰ عُمَرَ في استحقاقِ الميراثِ‌، فقَضىٰ بَينَهما بما هو مذكورٌ،</w:t>
      </w:r>
    </w:p>
    <w:p>
      <w:pPr>
        <w:pStyle w:val="BookText"/>
        <w:rPr/>
      </w:pPr>
      <w:r>
        <w:rPr>
          <w:rFonts w:ascii="Amiri" w:hAnsi="Amiri" w:eastAsia="Amiri" w:cs="Amiri"/>
          <w:color w:val="111111"/>
          <w:sz w:val="28"/>
          <w:sz w:val="28"/>
          <w:szCs w:val="28"/>
          <w:rtl w:val="true"/>
          <w:lang w:bidi="ar-SA"/>
        </w:rPr>
        <w:t>و الاختصامُ في الشيءِ لا يدُلُّ علىٰ فَقدِ عِلمِ المُخاصِمِ فيه</w:t>
      </w:r>
      <w:r>
        <w:rPr>
          <w:rStyle w:val="FootnoteAnchor"/>
          <w:rtl w:val="true"/>
        </w:rPr>
        <w:footnoteReference w:id="2195"/>
      </w:r>
      <w:r>
        <w:rPr>
          <w:rFonts w:ascii="Amiri" w:hAnsi="Amiri" w:eastAsia="Amiri" w:cs="Amiri"/>
          <w:color w:val="111111"/>
          <w:sz w:val="28"/>
          <w:sz w:val="28"/>
          <w:szCs w:val="28"/>
          <w:rtl w:val="true"/>
          <w:lang w:bidi="ar-SA"/>
        </w:rPr>
        <w:t>، و كذلكَ الترافُعُ إلَى الحُكّامِ لا يدُلُّ أيضاً علَى ارتفاعِ العِلمِ بحُكمِ ما وَقَعَ الترافُعُ فيه، و قد تَخاصَمَ إلَى</w:t>
      </w:r>
      <w:r>
        <w:rPr>
          <w:rStyle w:val="FootnoteAnchor"/>
          <w:rtl w:val="true"/>
        </w:rPr>
        <w:footnoteReference w:id="2196"/>
      </w:r>
      <w:r>
        <w:rPr>
          <w:rFonts w:ascii="Amiri" w:hAnsi="Amiri" w:eastAsia="Amiri" w:cs="Amiri"/>
          <w:color w:val="111111"/>
          <w:sz w:val="28"/>
          <w:sz w:val="28"/>
          <w:szCs w:val="28"/>
          <w:rtl w:val="true"/>
          <w:lang w:bidi="ar-SA"/>
        </w:rPr>
        <w:t>الحُكّامِ و تَرافَعَ‌</w:t>
      </w:r>
      <w:r>
        <w:rPr>
          <w:rStyle w:val="FootnoteAnchor"/>
          <w:rtl w:val="true"/>
        </w:rPr>
        <w:footnoteReference w:id="2197"/>
      </w:r>
      <w:r>
        <w:rPr>
          <w:rFonts w:ascii="Amiri" w:hAnsi="Amiri" w:eastAsia="Amiri" w:cs="Amiri"/>
          <w:color w:val="111111"/>
          <w:sz w:val="28"/>
          <w:sz w:val="28"/>
          <w:szCs w:val="28"/>
          <w:rtl w:val="true"/>
          <w:lang w:bidi="ar-SA"/>
        </w:rPr>
        <w:t>إلىٰ حُكمِهم مَن هو أعلَمُ مِنهم بالحُكمِ‌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يدُلُّ أيضاً قَضاءُ عُمَرَ بَينَهما بما قَضىٰ به علىٰ أنّ أميرَ المؤمِنينَ عليه السلامُ لَم يَكُن مُحِقّاً فيما ادَّعاه، و لا يدُلُّ صَبرُه تَحتَ القَضيّةِ و إظهارُه الرضا بها</w:t>
      </w:r>
      <w:r>
        <w:rPr>
          <w:rStyle w:val="FootnoteAnchor"/>
          <w:rtl w:val="true"/>
        </w:rPr>
        <w:footnoteReference w:id="2198"/>
      </w:r>
      <w:r>
        <w:rPr>
          <w:rFonts w:ascii="Amiri" w:hAnsi="Amiri" w:eastAsia="Amiri" w:cs="Amiri"/>
          <w:color w:val="111111"/>
          <w:sz w:val="28"/>
          <w:sz w:val="28"/>
          <w:szCs w:val="28"/>
          <w:rtl w:val="true"/>
          <w:lang w:bidi="ar-SA"/>
        </w:rPr>
        <w:t>علَى الرجوعِ عن اعتقادِه الأوّلِ‌؛ لأنّه لا شُبهةَ في أنّ أحَدَنا يَلتَزِمُ مِن حُكمِ الحاكمِ عَلَيه ما لا يَعتَقِدُه، و لا يَدينُ اللّٰهَ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يَرجِعْ أميرُ المؤمِنينَ عليه السلامُ إلىٰ عُمَرَ علىٰ سَبيلِ الاستفادةِ و التعلُّمِ‌، بَل علىٰ طريقِ‌</w:t>
      </w:r>
      <w:r>
        <w:rPr>
          <w:rStyle w:val="FootnoteAnchor"/>
          <w:rtl w:val="true"/>
        </w:rPr>
        <w:footnoteReference w:id="2199"/>
      </w:r>
      <w:r>
        <w:rPr>
          <w:rFonts w:ascii="Amiri" w:hAnsi="Amiri" w:eastAsia="Amiri" w:cs="Amiri"/>
          <w:color w:val="111111"/>
          <w:sz w:val="28"/>
          <w:sz w:val="28"/>
          <w:szCs w:val="28"/>
          <w:rtl w:val="true"/>
          <w:lang w:bidi="ar-SA"/>
        </w:rPr>
        <w:t>الحُكومةِ‌؛ فمِن أينَ يُظَنُّ‌</w:t>
      </w:r>
      <w:r>
        <w:rPr>
          <w:rStyle w:val="FootnoteAnchor"/>
          <w:rtl w:val="true"/>
        </w:rPr>
        <w:footnoteReference w:id="2200"/>
      </w:r>
      <w:r>
        <w:rPr>
          <w:rFonts w:ascii="Amiri" w:hAnsi="Amiri" w:eastAsia="Amiri" w:cs="Amiri"/>
          <w:color w:val="111111"/>
          <w:sz w:val="28"/>
          <w:sz w:val="28"/>
          <w:szCs w:val="28"/>
          <w:rtl w:val="true"/>
          <w:lang w:bidi="ar-SA"/>
        </w:rPr>
        <w:t xml:space="preserve">أنّه عليه السلامُ </w:t>
      </w:r>
      <w:r>
        <w:rPr>
          <w:rStyle w:val="FootnoteAnchor"/>
          <w:rtl w:val="true"/>
        </w:rPr>
        <w:footnoteReference w:id="2201"/>
      </w:r>
      <w:r>
        <w:rPr>
          <w:rFonts w:ascii="Amiri" w:hAnsi="Amiri" w:eastAsia="Amiri" w:cs="Amiri"/>
          <w:color w:val="111111"/>
          <w:sz w:val="28"/>
          <w:sz w:val="28"/>
          <w:szCs w:val="28"/>
          <w:rtl w:val="true"/>
          <w:lang w:bidi="ar-SA"/>
        </w:rPr>
        <w:t xml:space="preserve">لَم يَكُن عالِماً بالحُكمِ في تلكَ الحالِ الحادثةِ </w:t>
      </w:r>
      <w:r>
        <w:rPr>
          <w:rStyle w:val="FootnoteAnchor"/>
          <w:rtl w:val="true"/>
        </w:rPr>
        <w:footnoteReference w:id="2202"/>
      </w:r>
      <w:r>
        <w:rPr>
          <w:rFonts w:ascii="Amiri" w:hAnsi="Amiri" w:eastAsia="Amiri" w:cs="Amiri"/>
          <w:color w:val="111111"/>
          <w:sz w:val="28"/>
          <w:sz w:val="28"/>
          <w:szCs w:val="28"/>
          <w:rtl w:val="true"/>
          <w:lang w:bidi="ar-SA"/>
        </w:rPr>
        <w:t xml:space="preserve">؟ و الظاهرُ مِن مَذهَبِه عليه السلامُ أنّ عَصَبةَ المرأةِ المُعتِقةِ مِن قِبَلِ أبيها أحَقُّ بالوَلاءِ و الميراثِ مِن وَلَدِها، ذُكوراً كانوا أو إناثاً، و قد رُويَ أنّه مَذهَبُ عُثمانَ </w:t>
      </w:r>
      <w:r>
        <w:rPr>
          <w:rStyle w:val="FootnoteAnchor"/>
          <w:rtl w:val="true"/>
        </w:rPr>
        <w:footnoteReference w:id="220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رَواه مِن الخبرِ في الاستحلافِ‌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مِن أن يَكونَ شُبهةً فيما نحنُ فيه ممّا تقدَّمَ‌</w:t>
      </w:r>
      <w:r>
        <w:rPr>
          <w:rStyle w:val="FootnoteAnchor"/>
          <w:rtl w:val="true"/>
        </w:rPr>
        <w:footnoteReference w:id="2204"/>
      </w:r>
      <w:r>
        <w:rPr>
          <w:rFonts w:ascii="Amiri" w:hAnsi="Amiri" w:eastAsia="Amiri" w:cs="Amiri"/>
          <w:color w:val="111111"/>
          <w:sz w:val="28"/>
          <w:sz w:val="28"/>
          <w:szCs w:val="28"/>
          <w:rtl w:val="true"/>
          <w:lang w:bidi="ar-SA"/>
        </w:rPr>
        <w:t>لأنّ استحلافَه عليه السلامُ لِمَن يُخبِرُه عن النبيِّ صَلَّى اللّٰهُ عليه و آلِه بالأخبارِ في الأحكامِ لا يدُلُّ علىٰ أنّه غَيرُ عالِمٍ بها، بَل جائزٌ أن يَكونَ سببُ استحلافِه ليَعلَمَ عليه السلامُ أو</w:t>
      </w:r>
      <w:r>
        <w:rPr>
          <w:rStyle w:val="FootnoteAnchor"/>
          <w:rtl w:val="true"/>
        </w:rPr>
        <w:footnoteReference w:id="2205"/>
      </w:r>
      <w:r>
        <w:rPr>
          <w:rFonts w:ascii="Amiri" w:hAnsi="Amiri" w:eastAsia="Amiri" w:cs="Amiri"/>
          <w:color w:val="111111"/>
          <w:sz w:val="28"/>
          <w:sz w:val="28"/>
          <w:szCs w:val="28"/>
          <w:rtl w:val="true"/>
          <w:lang w:bidi="ar-SA"/>
        </w:rPr>
        <w:t>ليَغلِبَ علىٰ ظَنِّه</w:t>
      </w:r>
      <w:r>
        <w:rPr>
          <w:rStyle w:val="FootnoteAnchor"/>
          <w:rtl w:val="true"/>
        </w:rPr>
        <w:footnoteReference w:id="2206"/>
      </w:r>
      <w:r>
        <w:rPr>
          <w:rFonts w:ascii="Amiri" w:hAnsi="Amiri" w:eastAsia="Amiri" w:cs="Amiri"/>
          <w:color w:val="111111"/>
          <w:sz w:val="28"/>
          <w:sz w:val="28"/>
          <w:szCs w:val="28"/>
          <w:rtl w:val="true"/>
          <w:lang w:bidi="ar-SA"/>
        </w:rPr>
        <w:t>أنّ المُخبِرَ صادقٌ عن النبيِّ صَلَّى اللّٰهُ عليه و آلِه فيما رَواه</w:t>
      </w:r>
      <w:r>
        <w:rPr>
          <w:rStyle w:val="FootnoteAnchor"/>
          <w:rtl w:val="true"/>
        </w:rPr>
        <w:footnoteReference w:id="2207"/>
      </w:r>
      <w:r>
        <w:rPr>
          <w:rFonts w:ascii="Amiri" w:hAnsi="Amiri" w:eastAsia="Amiri" w:cs="Amiri"/>
          <w:color w:val="111111"/>
          <w:sz w:val="28"/>
          <w:sz w:val="28"/>
          <w:szCs w:val="28"/>
          <w:rtl w:val="true"/>
          <w:lang w:bidi="ar-SA"/>
        </w:rPr>
        <w:t>و إن كانَ الحُكمُ بعَينِه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2208"/>
      </w:r>
      <w:r>
        <w:rPr>
          <w:rFonts w:ascii="Amiri" w:hAnsi="Amiri" w:eastAsia="Amiri" w:cs="Amiri"/>
          <w:color w:val="111111"/>
          <w:sz w:val="28"/>
          <w:sz w:val="28"/>
          <w:szCs w:val="28"/>
          <w:rtl w:val="true"/>
          <w:lang w:bidi="ar-SA"/>
        </w:rPr>
        <w:t xml:space="preserve">يُمكِنُ الشكُّ في الخبرِ المرويِّ و صِدقِ راويهِ </w:t>
      </w:r>
      <w:r>
        <w:rPr>
          <w:rStyle w:val="FootnoteAnchor"/>
          <w:rtl w:val="true"/>
        </w:rPr>
        <w:footnoteReference w:id="2209"/>
      </w:r>
      <w:r>
        <w:rPr>
          <w:rFonts w:ascii="Amiri" w:hAnsi="Amiri" w:eastAsia="Amiri" w:cs="Amiri"/>
          <w:color w:val="111111"/>
          <w:sz w:val="28"/>
          <w:sz w:val="28"/>
          <w:szCs w:val="28"/>
          <w:rtl w:val="true"/>
          <w:lang w:bidi="ar-SA"/>
        </w:rPr>
        <w:t>مع العِلمِ بصِحّةِ الحُكمِ الذي تَضمَّنَه</w:t>
      </w:r>
      <w:r>
        <w:rPr>
          <w:rStyle w:val="FootnoteAnchor"/>
          <w:rtl w:val="true"/>
        </w:rPr>
        <w:footnoteReference w:id="2210"/>
      </w:r>
      <w:r>
        <w:rPr>
          <w:rFonts w:ascii="Amiri" w:hAnsi="Amiri" w:eastAsia="Amiri" w:cs="Amiri"/>
          <w:color w:val="111111"/>
          <w:sz w:val="28"/>
          <w:sz w:val="28"/>
          <w:szCs w:val="28"/>
          <w:rtl w:val="true"/>
          <w:lang w:bidi="ar-SA"/>
        </w:rPr>
        <w:t>الخبرُ؛ لأنّ الحُكمَ و إن كانَ علىٰ ما تضمَّنَه</w:t>
      </w:r>
      <w:r>
        <w:rPr>
          <w:rStyle w:val="FootnoteAnchor"/>
          <w:rtl w:val="true"/>
        </w:rPr>
        <w:footnoteReference w:id="2211"/>
      </w:r>
      <w:r>
        <w:rPr>
          <w:rFonts w:ascii="Amiri" w:hAnsi="Amiri" w:eastAsia="Amiri" w:cs="Amiri"/>
          <w:color w:val="111111"/>
          <w:sz w:val="28"/>
          <w:sz w:val="28"/>
          <w:szCs w:val="28"/>
          <w:rtl w:val="true"/>
          <w:lang w:bidi="ar-SA"/>
        </w:rPr>
        <w:t>الخبرُ فجائزٌ أن يَكونَ المُخبِرُ لَم يَسمَعْ</w:t>
      </w:r>
    </w:p>
    <w:p>
      <w:pPr>
        <w:pStyle w:val="BookText"/>
        <w:rPr/>
      </w:pPr>
      <w:r>
        <w:rPr>
          <w:rFonts w:ascii="Amiri" w:hAnsi="Amiri" w:eastAsia="Amiri" w:cs="Amiri"/>
          <w:color w:val="111111"/>
          <w:sz w:val="28"/>
          <w:sz w:val="28"/>
          <w:szCs w:val="28"/>
          <w:rtl w:val="true"/>
          <w:lang w:bidi="ar-SA"/>
        </w:rPr>
        <w:t xml:space="preserve">ذلكَ الحُكمَ مِن النبيِّ صَلَّى اللّٰهُ عليه و آلِه، و لَيسَ </w:t>
      </w:r>
      <w:r>
        <w:rPr>
          <w:rStyle w:val="FootnoteAnchor"/>
          <w:rtl w:val="true"/>
        </w:rPr>
        <w:footnoteReference w:id="2212"/>
      </w:r>
      <w:r>
        <w:rPr>
          <w:rFonts w:ascii="Amiri" w:hAnsi="Amiri" w:eastAsia="Amiri" w:cs="Amiri"/>
          <w:color w:val="111111"/>
          <w:sz w:val="28"/>
          <w:sz w:val="28"/>
          <w:szCs w:val="28"/>
          <w:rtl w:val="true"/>
          <w:lang w:bidi="ar-SA"/>
        </w:rPr>
        <w:t>المعرفةُ بالحُكمِ تابِعةً لتصديقِ الراوي</w:t>
      </w:r>
      <w:r>
        <w:rPr>
          <w:rStyle w:val="FootnoteAnchor"/>
          <w:rtl w:val="true"/>
        </w:rPr>
        <w:footnoteReference w:id="2213"/>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في الخبرِ تأريخُ و بيانُ الوقتِ الذي كانَ يَستَحلِفُ عليه السلامُ المُخبِرينَ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214"/>
      </w:r>
      <w:r>
        <w:rPr>
          <w:rFonts w:ascii="Amiri" w:hAnsi="Amiri" w:eastAsia="Amiri" w:cs="Amiri"/>
          <w:color w:val="111111"/>
          <w:sz w:val="28"/>
          <w:sz w:val="28"/>
          <w:szCs w:val="28"/>
          <w:rtl w:val="true"/>
          <w:lang w:bidi="ar-SA"/>
        </w:rPr>
        <w:t xml:space="preserve">لَم يَكُن فيه بيانٌ للوقتِ </w:t>
      </w:r>
      <w:r>
        <w:rPr>
          <w:rStyle w:val="FootnoteAnchor"/>
          <w:rtl w:val="true"/>
        </w:rPr>
        <w:footnoteReference w:id="2215"/>
      </w:r>
      <w:r>
        <w:rPr>
          <w:rFonts w:ascii="Amiri" w:hAnsi="Amiri" w:eastAsia="Amiri" w:cs="Amiri"/>
          <w:color w:val="111111"/>
          <w:sz w:val="28"/>
          <w:sz w:val="28"/>
          <w:szCs w:val="28"/>
          <w:rtl w:val="true"/>
          <w:lang w:bidi="ar-SA"/>
        </w:rPr>
        <w:t xml:space="preserve">أمكَنَ أن يَكونَ استحلافُه إنّما </w:t>
      </w:r>
    </w:p>
    <w:p>
      <w:pPr>
        <w:pStyle w:val="BookText"/>
        <w:rPr/>
      </w:pPr>
      <w:r>
        <w:rPr>
          <w:rFonts w:ascii="Amiri" w:hAnsi="Amiri" w:eastAsia="Amiri" w:cs="Amiri"/>
          <w:color w:val="111111"/>
          <w:sz w:val="28"/>
          <w:sz w:val="28"/>
          <w:szCs w:val="28"/>
          <w:rtl w:val="true"/>
          <w:lang w:bidi="ar-SA"/>
        </w:rPr>
        <w:t>وَقَعَ في أيّامِ الرسولِ صَلَّى اللّٰهُ عليه و آلِه</w:t>
      </w:r>
      <w:r>
        <w:rPr>
          <w:rStyle w:val="FootnoteAnchor"/>
          <w:rtl w:val="true"/>
        </w:rPr>
        <w:footnoteReference w:id="2216"/>
      </w:r>
      <w:r>
        <w:rPr>
          <w:rFonts w:ascii="Amiri" w:hAnsi="Amiri" w:eastAsia="Amiri" w:cs="Amiri"/>
          <w:color w:val="111111"/>
          <w:sz w:val="28"/>
          <w:sz w:val="28"/>
          <w:szCs w:val="28"/>
          <w:rtl w:val="true"/>
          <w:lang w:bidi="ar-SA"/>
        </w:rPr>
        <w:t xml:space="preserve">، و في تلكَ </w:t>
      </w:r>
      <w:r>
        <w:rPr>
          <w:rStyle w:val="FootnoteAnchor"/>
          <w:rtl w:val="true"/>
        </w:rPr>
        <w:footnoteReference w:id="2217"/>
      </w:r>
      <w:r>
        <w:rPr>
          <w:rFonts w:ascii="Amiri" w:hAnsi="Amiri" w:eastAsia="Amiri" w:cs="Amiri"/>
          <w:color w:val="111111"/>
          <w:sz w:val="28"/>
          <w:sz w:val="28"/>
          <w:szCs w:val="28"/>
          <w:rtl w:val="true"/>
          <w:lang w:bidi="ar-SA"/>
        </w:rPr>
        <w:t xml:space="preserve">الحالِ لَم يَكُن مُحيطاً بجميعِ الأحكامِ ، علىٰ ما تقدَّمَ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بمُنكَرٍ أن يُحدَّثَ عن النبيِّ صَلَّى اللّٰهُ عليه و آلِه</w:t>
      </w:r>
      <w:r>
        <w:rPr>
          <w:rStyle w:val="FootnoteAnchor"/>
          <w:rtl w:val="true"/>
        </w:rPr>
        <w:footnoteReference w:id="2219"/>
      </w:r>
      <w:r>
        <w:rPr>
          <w:rFonts w:ascii="Amiri" w:hAnsi="Amiri" w:eastAsia="Amiri" w:cs="Amiri"/>
          <w:color w:val="111111"/>
          <w:sz w:val="28"/>
          <w:sz w:val="28"/>
          <w:szCs w:val="28"/>
          <w:rtl w:val="true"/>
          <w:lang w:bidi="ar-SA"/>
        </w:rPr>
        <w:t xml:space="preserve">في حَياتِه؛ لأنّ ذلكَ مُتَعارَفٌ بَينَ </w:t>
      </w:r>
      <w:r>
        <w:rPr>
          <w:rStyle w:val="FootnoteAnchor"/>
          <w:rtl w:val="true"/>
        </w:rPr>
        <w:footnoteReference w:id="2220"/>
      </w:r>
      <w:r>
        <w:rPr>
          <w:rFonts w:ascii="Amiri" w:hAnsi="Amiri" w:eastAsia="Amiri" w:cs="Amiri"/>
          <w:color w:val="111111"/>
          <w:sz w:val="28"/>
          <w:sz w:val="28"/>
          <w:szCs w:val="28"/>
          <w:rtl w:val="true"/>
          <w:lang w:bidi="ar-SA"/>
        </w:rPr>
        <w:t>الصَّحابةِ و غَيرُ 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السلامُ عالِماً بالحُكمِ ، فأيُّ فائدةٍ في أن يَعلَمَ أو يَغلِبَ علىٰ ظَنِّه صِدقُ الراوي، و هو إذا صَدَقَ لَم يَزِدْه معرفةً؟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و إن لَم يَزِدْه</w:t>
      </w:r>
      <w:r>
        <w:rPr>
          <w:rStyle w:val="FootnoteAnchor"/>
          <w:rtl w:val="true"/>
        </w:rPr>
        <w:footnoteReference w:id="2221"/>
      </w:r>
      <w:r>
        <w:rPr>
          <w:rFonts w:ascii="Amiri" w:hAnsi="Amiri" w:eastAsia="Amiri" w:cs="Amiri"/>
          <w:color w:val="111111"/>
          <w:sz w:val="28"/>
          <w:sz w:val="28"/>
          <w:szCs w:val="28"/>
          <w:rtl w:val="true"/>
          <w:lang w:bidi="ar-SA"/>
        </w:rPr>
        <w:t xml:space="preserve">معرفةً بنفسِ الحُكمِ‌، و أنّه مِن دِينِ الرسولِ عليه السلامُ </w:t>
      </w:r>
      <w:r>
        <w:rPr>
          <w:rStyle w:val="FootnoteAnchor"/>
          <w:rtl w:val="true"/>
        </w:rPr>
        <w:footnoteReference w:id="2222"/>
      </w:r>
      <w:r>
        <w:rPr>
          <w:rFonts w:ascii="Amiri" w:hAnsi="Amiri" w:eastAsia="Amiri" w:cs="Amiri"/>
          <w:color w:val="111111"/>
          <w:sz w:val="28"/>
          <w:sz w:val="28"/>
          <w:szCs w:val="28"/>
          <w:rtl w:val="true"/>
          <w:lang w:bidi="ar-SA"/>
        </w:rPr>
        <w:t>، فإنّه يَعرِفُ أو يَغلِبُ على ظَنِّه</w:t>
      </w:r>
      <w:r>
        <w:rPr>
          <w:rStyle w:val="FootnoteAnchor"/>
          <w:rtl w:val="true"/>
        </w:rPr>
        <w:footnoteReference w:id="2223"/>
      </w:r>
      <w:r>
        <w:rPr>
          <w:rFonts w:ascii="Amiri" w:hAnsi="Amiri" w:eastAsia="Amiri" w:cs="Amiri"/>
          <w:color w:val="111111"/>
          <w:sz w:val="28"/>
          <w:sz w:val="28"/>
          <w:szCs w:val="28"/>
          <w:rtl w:val="true"/>
          <w:lang w:bidi="ar-SA"/>
        </w:rPr>
        <w:t xml:space="preserve">أنّ الرسولَ عليه السلامُ </w:t>
      </w:r>
      <w:r>
        <w:rPr>
          <w:rStyle w:val="FootnoteAnchor"/>
          <w:rtl w:val="true"/>
        </w:rPr>
        <w:footnoteReference w:id="2224"/>
      </w:r>
      <w:r>
        <w:rPr>
          <w:rFonts w:ascii="Amiri" w:hAnsi="Amiri" w:eastAsia="Amiri" w:cs="Amiri"/>
          <w:color w:val="111111"/>
          <w:sz w:val="28"/>
          <w:sz w:val="28"/>
          <w:szCs w:val="28"/>
          <w:rtl w:val="true"/>
          <w:lang w:bidi="ar-SA"/>
        </w:rPr>
        <w:t>نَصَّ عَلَيه في مَقامٍ لَم يَكُن يَعلَمُ بنَصِّه عليه السلامُ فيه</w:t>
      </w:r>
      <w:r>
        <w:rPr>
          <w:rStyle w:val="FootnoteAnchor"/>
          <w:rtl w:val="true"/>
        </w:rPr>
        <w:footnoteReference w:id="2225"/>
      </w:r>
      <w:r>
        <w:rPr>
          <w:rFonts w:ascii="Amiri" w:hAnsi="Amiri" w:eastAsia="Amiri" w:cs="Amiri"/>
          <w:color w:val="111111"/>
          <w:sz w:val="28"/>
          <w:sz w:val="28"/>
          <w:szCs w:val="28"/>
          <w:rtl w:val="true"/>
          <w:lang w:bidi="ar-SA"/>
        </w:rPr>
        <w:t>، و يَجري ذلكَ مَجرىٰ تَكرارِ الأدلّةِ و تأكُّدِها؛ لأنّه غَيرُ مُمتَنِعٍ أن نَنظُرَ</w:t>
      </w:r>
      <w:r>
        <w:rPr>
          <w:rStyle w:val="FootnoteAnchor"/>
          <w:rtl w:val="true"/>
        </w:rPr>
        <w:footnoteReference w:id="2226"/>
      </w:r>
      <w:r>
        <w:rPr>
          <w:rFonts w:ascii="Amiri" w:hAnsi="Amiri" w:eastAsia="Amiri" w:cs="Amiri"/>
          <w:color w:val="111111"/>
          <w:sz w:val="28"/>
          <w:sz w:val="28"/>
          <w:szCs w:val="28"/>
          <w:rtl w:val="true"/>
          <w:lang w:bidi="ar-SA"/>
        </w:rPr>
        <w:t>في دليلٍ بَعدَ تقدُّمِ العِلمِ لنا بمدلولِه مِن جهةِ دَلالةٍ أُخرىٰ ، و أن نَنظُرَ</w:t>
      </w:r>
      <w:r>
        <w:rPr>
          <w:rStyle w:val="FootnoteAnchor"/>
          <w:rtl w:val="true"/>
        </w:rPr>
        <w:footnoteReference w:id="2227"/>
      </w:r>
      <w:r>
        <w:rPr>
          <w:rFonts w:ascii="Amiri" w:hAnsi="Amiri" w:eastAsia="Amiri" w:cs="Amiri"/>
          <w:color w:val="111111"/>
          <w:sz w:val="28"/>
          <w:sz w:val="28"/>
          <w:szCs w:val="28"/>
          <w:rtl w:val="true"/>
          <w:lang w:bidi="ar-SA"/>
        </w:rPr>
        <w:t>في الخبرِ هَل</w:t>
      </w:r>
      <w:r>
        <w:rPr>
          <w:rStyle w:val="FootnoteAnchor"/>
          <w:rtl w:val="true"/>
        </w:rPr>
        <w:footnoteReference w:id="2228"/>
      </w:r>
      <w:r>
        <w:rPr>
          <w:rFonts w:ascii="Amiri" w:hAnsi="Amiri" w:eastAsia="Amiri" w:cs="Amiri"/>
          <w:color w:val="111111"/>
          <w:sz w:val="28"/>
          <w:sz w:val="28"/>
          <w:szCs w:val="28"/>
          <w:rtl w:val="true"/>
          <w:lang w:bidi="ar-SA"/>
        </w:rPr>
        <w:t xml:space="preserve">هو صحيحٌ أو فاسدٌ و إن تَقدَّمَ لنا العِلمُ بمُخبَرِه مِن جهةٍ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أبو بَكرٍ، و صَدَق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الوجهِ الذي كلامُنا الآنَ‌</w:t>
      </w:r>
      <w:r>
        <w:rPr>
          <w:rStyle w:val="FootnoteAnchor"/>
          <w:rtl w:val="true"/>
        </w:rPr>
        <w:footnoteReference w:id="2229"/>
      </w:r>
      <w:r>
        <w:rPr>
          <w:rFonts w:ascii="Amiri" w:hAnsi="Amiri" w:eastAsia="Amiri" w:cs="Amiri"/>
          <w:color w:val="111111"/>
          <w:sz w:val="28"/>
          <w:sz w:val="28"/>
          <w:szCs w:val="28"/>
          <w:rtl w:val="true"/>
          <w:lang w:bidi="ar-SA"/>
        </w:rPr>
        <w:t>عَلَيه</w:t>
      </w:r>
      <w:r>
        <w:rPr>
          <w:rStyle w:val="FootnoteAnchor"/>
          <w:rtl w:val="true"/>
        </w:rPr>
        <w:footnoteReference w:id="2230"/>
      </w:r>
      <w:r>
        <w:rPr>
          <w:rFonts w:ascii="Amiri" w:hAnsi="Amiri" w:eastAsia="Amiri" w:cs="Amiri"/>
          <w:color w:val="111111"/>
          <w:sz w:val="28"/>
          <w:sz w:val="28"/>
          <w:szCs w:val="28"/>
          <w:rtl w:val="true"/>
          <w:lang w:bidi="ar-SA"/>
        </w:rPr>
        <w:t>، فيُمكِنُ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تصديقَه له مِن حَيثُ سَمِعَ ما سَمِعَه علَى الوجهِ الذي سَمِعَه عَلَيه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يُحدِّثَه بما قد اشتَرَكا في سَماعِه‌؟</w:t>
      </w:r>
    </w:p>
    <w:p>
      <w:pPr>
        <w:pStyle w:val="BookText"/>
        <w:rPr/>
      </w:pPr>
      <w:r>
        <w:rPr>
          <w:rFonts w:ascii="Amiri" w:hAnsi="Amiri" w:eastAsia="Amiri" w:cs="Amiri"/>
          <w:color w:val="111111"/>
          <w:sz w:val="28"/>
          <w:sz w:val="28"/>
          <w:szCs w:val="28"/>
          <w:rtl w:val="true"/>
          <w:lang w:bidi="ar-SA"/>
        </w:rPr>
        <w:t>لأنّ ذلكَ جائزٌ؛ بأن يَكونَ أبو بَكرٍ أُنسيَ مُشارَكتَه</w:t>
      </w:r>
      <w:r>
        <w:rPr>
          <w:rStyle w:val="FootnoteAnchor"/>
          <w:rtl w:val="true"/>
        </w:rPr>
        <w:footnoteReference w:id="2232"/>
      </w:r>
      <w:r>
        <w:rPr>
          <w:rFonts w:ascii="Amiri" w:hAnsi="Amiri" w:eastAsia="Amiri" w:cs="Amiri"/>
          <w:color w:val="111111"/>
          <w:sz w:val="28"/>
          <w:sz w:val="28"/>
          <w:szCs w:val="28"/>
          <w:rtl w:val="true"/>
          <w:lang w:bidi="ar-SA"/>
        </w:rPr>
        <w:t>له في السَّماعِ‌، أو لَم يَكُن عالِماً في الأصلِ بسَماعِه عليه السلامُ‌</w:t>
      </w:r>
      <w:r>
        <w:rPr>
          <w:rStyle w:val="FootnoteAnchor"/>
          <w:rtl w:val="true"/>
        </w:rPr>
        <w:footnoteReference w:id="2233"/>
      </w:r>
      <w:r>
        <w:rPr>
          <w:rFonts w:ascii="Amiri" w:hAnsi="Amiri" w:eastAsia="Amiri" w:cs="Amiri"/>
          <w:color w:val="111111"/>
          <w:sz w:val="28"/>
          <w:sz w:val="28"/>
          <w:szCs w:val="28"/>
          <w:rtl w:val="true"/>
          <w:lang w:bidi="ar-SA"/>
        </w:rPr>
        <w:t xml:space="preserve">له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يُمكِنُ أن يَسمَعَ الحاضِرونَ في مَجلِسٍ واحدٍ خبراً و لا يَكونَ كُلُّ واحدٍ عالِماً بمُشارَكةِ الآخَرِ له في سَماعِه؛ إمّا بأن يَكونَ بَعيداً مِنه، أو في غَيرِ جهةٍ مُقابِلةٍ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لغَيرِ ما ذَكرناه مِن الأسبابِ </w:t>
      </w:r>
      <w:r>
        <w:rPr>
          <w:rStyle w:val="FootnoteAnchor"/>
          <w:rtl w:val="true"/>
        </w:rPr>
        <w:footnoteReference w:id="2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الخبرَ الذي حَكاه، عندَنا باطلٌ لا يَرجِعُ في نَقلِه إلّاإلىٰ آحادٍ متَّهَمينَ في الروايةِ و الاعتقادِ، و مَذهَبُنا في أخبارِ الآحادِ إذا كانوا مِن ذَوي الثقةِ و العَدالةِ معروفٌ ، فكَيفَ إذا لَم يَكونوا بهذه الصفةِ؟ و بمِثلِ هذا الخبرِ لا يُعترَضُ علىٰ ما هو معلومٌ بالأدلّةِ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2235"/>
      </w:r>
      <w:r>
        <w:rPr>
          <w:rFonts w:ascii="Amiri" w:hAnsi="Amiri" w:eastAsia="Amiri" w:cs="Amiri"/>
          <w:color w:val="111111"/>
          <w:sz w:val="28"/>
          <w:sz w:val="28"/>
          <w:szCs w:val="28"/>
          <w:rtl w:val="true"/>
          <w:lang w:bidi="ar-SA"/>
        </w:rPr>
        <w:t>لَم نُقدِّمْ ما عندَنا في بُطلانِ الخبرِ و سُقوطِه، و بَدَأنا بتأويلِه و تخريجِه</w:t>
      </w:r>
      <w:r>
        <w:rPr>
          <w:rStyle w:val="FootnoteAnchor"/>
          <w:rtl w:val="true"/>
        </w:rPr>
        <w:footnoteReference w:id="2236"/>
      </w:r>
      <w:bookmarkStart w:id="375" w:name="pg20015_284990"/>
    </w:p>
    <w:p>
      <w:pPr>
        <w:pStyle w:val="BookText"/>
        <w:rPr/>
      </w:pPr>
      <w:bookmarkEnd w:id="375"/>
      <w:r>
        <w:rPr>
          <w:rFonts w:ascii="Amiri" w:hAnsi="Amiri" w:eastAsia="Amiri" w:cs="Amiri"/>
          <w:color w:val="111111"/>
          <w:sz w:val="28"/>
          <w:sz w:val="28"/>
          <w:szCs w:val="28"/>
          <w:rtl w:val="true"/>
          <w:lang w:bidi="ar-SA"/>
        </w:rPr>
        <w:t xml:space="preserve">علىٰ ما يَصِحُّ ؛ لأنّ طريقَ دَفعِه معلومٌ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w:t>
      </w:r>
      <w:r>
        <w:rPr>
          <w:rStyle w:val="FootnoteAnchor"/>
          <w:rtl w:val="true"/>
        </w:rPr>
        <w:footnoteReference w:id="2238"/>
      </w:r>
      <w:r>
        <w:rPr>
          <w:rFonts w:ascii="Amiri" w:hAnsi="Amiri" w:eastAsia="Amiri" w:cs="Amiri"/>
          <w:color w:val="111111"/>
          <w:sz w:val="28"/>
          <w:sz w:val="28"/>
          <w:szCs w:val="28"/>
          <w:rtl w:val="true"/>
          <w:lang w:bidi="ar-SA"/>
        </w:rPr>
        <w:t>في إقامةِ الحُجّةِ و حَسمِ الشُّبهةِ ما فَعَلناه، مِن التأويلِ الذي أَوضَحناه</w:t>
      </w:r>
      <w:r>
        <w:rPr>
          <w:rStyle w:val="FootnoteAnchor"/>
          <w:rtl w:val="true"/>
        </w:rPr>
        <w:footnoteReference w:id="2239"/>
      </w:r>
      <w:r>
        <w:rPr>
          <w:rFonts w:ascii="Amiri" w:hAnsi="Amiri" w:eastAsia="Amiri" w:cs="Amiri"/>
          <w:color w:val="111111"/>
          <w:sz w:val="28"/>
          <w:sz w:val="28"/>
          <w:szCs w:val="28"/>
          <w:rtl w:val="true"/>
          <w:lang w:bidi="ar-SA"/>
        </w:rPr>
        <w:t>أنّ الخبرَ لَو كانَ صحيحاً لَم يَكُن مُنافياً لمَذهَبِنا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ادَّعاه</w:t>
      </w:r>
      <w:r>
        <w:rPr>
          <w:rStyle w:val="FootnoteAnchor"/>
          <w:rtl w:val="true"/>
        </w:rPr>
        <w:footnoteReference w:id="2240"/>
      </w:r>
      <w:r>
        <w:rPr>
          <w:rFonts w:ascii="Amiri" w:hAnsi="Amiri" w:eastAsia="Amiri" w:cs="Amiri"/>
          <w:color w:val="111111"/>
          <w:sz w:val="28"/>
          <w:sz w:val="28"/>
          <w:szCs w:val="28"/>
          <w:rtl w:val="true"/>
          <w:lang w:bidi="ar-SA"/>
        </w:rPr>
        <w:t>علىٰ أميرِ المؤمِنينَ عليه السلامُ مِن الاجتهادِ</w:t>
      </w:r>
      <w:r>
        <w:rPr>
          <w:rStyle w:val="FootnoteAnchor"/>
          <w:rtl w:val="true"/>
        </w:rPr>
        <w:footnoteReference w:id="2241"/>
      </w:r>
      <w:r>
        <w:rPr>
          <w:rFonts w:ascii="Amiri" w:hAnsi="Amiri" w:eastAsia="Amiri" w:cs="Amiri"/>
          <w:color w:val="111111"/>
          <w:sz w:val="28"/>
          <w:sz w:val="28"/>
          <w:szCs w:val="28"/>
          <w:rtl w:val="true"/>
          <w:lang w:bidi="ar-SA"/>
        </w:rPr>
        <w:t>و الرجوعِ مِن رأيٍ إلىٰ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Style w:val="FootnoteAnchor"/>
          <w:rtl w:val="true"/>
        </w:rPr>
        <w:footnoteReference w:id="2242"/>
      </w:r>
      <w:r>
        <w:rPr>
          <w:rFonts w:ascii="Amiri" w:hAnsi="Amiri" w:eastAsia="Amiri" w:cs="Amiri"/>
          <w:color w:val="111111"/>
          <w:sz w:val="28"/>
          <w:sz w:val="28"/>
          <w:szCs w:val="28"/>
          <w:rtl w:val="true"/>
          <w:lang w:bidi="ar-SA"/>
        </w:rPr>
        <w:t xml:space="preserve">فَسادُه فيما مضىٰ </w:t>
      </w:r>
      <w:r>
        <w:rPr>
          <w:rStyle w:val="FootnoteAnchor"/>
          <w:rtl w:val="true"/>
        </w:rPr>
        <w:footnoteReference w:id="2243"/>
      </w:r>
      <w:r>
        <w:rPr>
          <w:rFonts w:ascii="Amiri" w:hAnsi="Amiri" w:eastAsia="Amiri" w:cs="Amiri"/>
          <w:color w:val="111111"/>
          <w:sz w:val="28"/>
          <w:sz w:val="28"/>
          <w:szCs w:val="28"/>
          <w:rtl w:val="true"/>
          <w:lang w:bidi="ar-SA"/>
        </w:rPr>
        <w:t>مِن الكلامِ ، و بيّنّا أنّ الذي تَعلَّقَ به عَلَيه صَلَواتُ اللّٰه عَلَيه</w:t>
      </w:r>
      <w:r>
        <w:rPr>
          <w:rStyle w:val="FootnoteAnchor"/>
          <w:rtl w:val="true"/>
        </w:rPr>
        <w:footnoteReference w:id="2244"/>
      </w:r>
      <w:r>
        <w:rPr>
          <w:rFonts w:ascii="Amiri" w:hAnsi="Amiri" w:eastAsia="Amiri" w:cs="Amiri"/>
          <w:color w:val="111111"/>
          <w:sz w:val="28"/>
          <w:sz w:val="28"/>
          <w:szCs w:val="28"/>
          <w:rtl w:val="true"/>
          <w:lang w:bidi="ar-SA"/>
        </w:rPr>
        <w:t xml:space="preserve">مِن تَوهُّمِ </w:t>
      </w:r>
      <w:r>
        <w:rPr>
          <w:rStyle w:val="FootnoteAnchor"/>
          <w:rtl w:val="true"/>
        </w:rPr>
        <w:footnoteReference w:id="2245"/>
      </w:r>
      <w:r>
        <w:rPr>
          <w:rFonts w:ascii="Amiri" w:hAnsi="Amiri" w:eastAsia="Amiri" w:cs="Amiri"/>
          <w:color w:val="111111"/>
          <w:sz w:val="28"/>
          <w:sz w:val="28"/>
          <w:szCs w:val="28"/>
          <w:rtl w:val="true"/>
          <w:lang w:bidi="ar-SA"/>
        </w:rPr>
        <w:t>رجوعِه عن</w:t>
      </w:r>
      <w:r>
        <w:rPr>
          <w:rStyle w:val="FootnoteAnchor"/>
          <w:rtl w:val="true"/>
        </w:rPr>
        <w:footnoteReference w:id="2246"/>
      </w:r>
      <w:r>
        <w:rPr>
          <w:rFonts w:ascii="Amiri" w:hAnsi="Amiri" w:eastAsia="Amiri" w:cs="Amiri"/>
          <w:color w:val="111111"/>
          <w:sz w:val="28"/>
          <w:sz w:val="28"/>
          <w:szCs w:val="28"/>
          <w:rtl w:val="true"/>
          <w:lang w:bidi="ar-SA"/>
        </w:rPr>
        <w:t>رأيٍ إلىٰ رأيٍ لا يَقتَضي ما تَوهَّمَه، فلا حاجةَ بِنا إلىٰ إعادتِه</w:t>
      </w:r>
      <w:r>
        <w:rPr>
          <w:rFonts w:eastAsia="Amiri" w:cs="Amiri" w:ascii="Amiri" w:hAnsi="Amiri"/>
          <w:color w:val="111111"/>
          <w:sz w:val="28"/>
          <w:szCs w:val="28"/>
          <w:rtl w:val="true"/>
          <w:lang w:bidi="ar-SA"/>
        </w:rPr>
        <w:t>.</w:t>
      </w:r>
      <w:r>
        <w:rPr>
          <w:rStyle w:val="FootnoteAnchor"/>
          <w:rtl w:val="true"/>
        </w:rPr>
        <w:footnoteReference w:id="2247"/>
      </w:r>
    </w:p>
    <w:p>
      <w:pPr>
        <w:pStyle w:val="Heading4"/>
        <w:numPr>
          <w:ilvl w:val="3"/>
          <w:numId w:val="1"/>
        </w:numPr>
        <w:rPr/>
      </w:pPr>
      <w:bookmarkStart w:id="376" w:name="__RefHeading___Toc894983_2320776876"/>
      <w:bookmarkStart w:id="377" w:name="_Toc133"/>
      <w:bookmarkEnd w:id="376"/>
      <w:r>
        <w:rPr>
          <w:rtl w:val="true"/>
        </w:rPr>
        <w:t>لزوم علم الأوصياء و الوكلاء بما فُوّض إليهم</w:t>
      </w:r>
      <w:bookmarkEnd w:id="37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جهةِ العقلِ يَجِبُ في الإمامِ أن يَكونَ عالِماً بكُلِّ‌</w:t>
      </w:r>
      <w:r>
        <w:rPr>
          <w:rStyle w:val="FootnoteAnchor"/>
          <w:rtl w:val="true"/>
        </w:rPr>
        <w:footnoteReference w:id="2248"/>
      </w:r>
      <w:r>
        <w:rPr>
          <w:rFonts w:ascii="Amiri" w:hAnsi="Amiri" w:eastAsia="Amiri" w:cs="Amiri"/>
          <w:color w:val="111111"/>
          <w:sz w:val="28"/>
          <w:sz w:val="28"/>
          <w:szCs w:val="28"/>
          <w:rtl w:val="true"/>
          <w:lang w:bidi="ar-SA"/>
        </w:rPr>
        <w:t xml:space="preserve">الأحكامِ‌، و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w:t>
      </w:r>
      <w:r>
        <w:rPr>
          <w:rStyle w:val="FootnoteAnchor"/>
          <w:rtl w:val="true"/>
        </w:rPr>
        <w:footnoteReference w:id="2249"/>
      </w:r>
      <w:r>
        <w:rPr>
          <w:rFonts w:ascii="Amiri" w:hAnsi="Amiri" w:eastAsia="Amiri" w:cs="Amiri"/>
          <w:color w:val="111111"/>
          <w:sz w:val="28"/>
          <w:sz w:val="28"/>
          <w:szCs w:val="28"/>
          <w:rtl w:val="true"/>
          <w:lang w:bidi="ar-SA"/>
        </w:rPr>
        <w:t>مِن جهةِ العقلِ في</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كُلِّ مَن يَقومُ بأمرٍ يتَّصِلُ بمَصالحِ الدِّينِ و الدنيا ذاكَ‌</w:t>
      </w:r>
      <w:r>
        <w:rPr>
          <w:rStyle w:val="FootnoteAnchor"/>
          <w:rtl w:val="true"/>
        </w:rPr>
        <w:footnoteReference w:id="2251"/>
      </w:r>
      <w:r>
        <w:rPr>
          <w:rFonts w:ascii="Amiri" w:hAnsi="Amiri" w:eastAsia="Amiri" w:cs="Amiri"/>
          <w:color w:val="111111"/>
          <w:sz w:val="28"/>
          <w:sz w:val="28"/>
          <w:szCs w:val="28"/>
          <w:rtl w:val="true"/>
          <w:lang w:bidi="ar-SA"/>
        </w:rPr>
        <w:t>، حتّىٰ يَقولُه</w:t>
      </w:r>
      <w:r>
        <w:rPr>
          <w:rStyle w:val="FootnoteAnchor"/>
          <w:rtl w:val="true"/>
        </w:rPr>
        <w:footnoteReference w:id="2252"/>
      </w:r>
      <w:r>
        <w:rPr>
          <w:rFonts w:ascii="Amiri" w:hAnsi="Amiri" w:eastAsia="Amiri" w:cs="Amiri"/>
          <w:color w:val="111111"/>
          <w:sz w:val="28"/>
          <w:sz w:val="28"/>
          <w:szCs w:val="28"/>
          <w:rtl w:val="true"/>
          <w:lang w:bidi="ar-SA"/>
        </w:rPr>
        <w:t>في الأُمَراءِ و العُمّالِ و الأوصياءِ و الوُكَلاءِ‌</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علىٰ أنّه إذا جازَ أن يَرِدَ التعبُّدُ برجوعِ العامّيِّ إلَى العالِمِ في الفتوىٰ مع تجويزِ</w:t>
      </w:r>
      <w:r>
        <w:rPr>
          <w:rStyle w:val="FootnoteAnchor"/>
          <w:rtl w:val="true"/>
        </w:rPr>
        <w:footnoteReference w:id="2254"/>
      </w:r>
      <w:r>
        <w:rPr>
          <w:rFonts w:ascii="Amiri" w:hAnsi="Amiri" w:eastAsia="Amiri" w:cs="Amiri"/>
          <w:color w:val="111111"/>
          <w:sz w:val="28"/>
          <w:sz w:val="28"/>
          <w:szCs w:val="28"/>
          <w:rtl w:val="true"/>
          <w:lang w:bidi="ar-SA"/>
        </w:rPr>
        <w:t>الغلطِ عَلَيه</w:t>
      </w:r>
      <w:r>
        <w:rPr>
          <w:rStyle w:val="FootnoteAnchor"/>
          <w:rtl w:val="true"/>
        </w:rPr>
        <w:footnoteReference w:id="2255"/>
      </w:r>
      <w:r>
        <w:rPr>
          <w:rFonts w:ascii="Amiri" w:hAnsi="Amiri" w:eastAsia="Amiri" w:cs="Amiri"/>
          <w:color w:val="111111"/>
          <w:sz w:val="28"/>
          <w:sz w:val="28"/>
          <w:szCs w:val="28"/>
          <w:rtl w:val="true"/>
          <w:lang w:bidi="ar-SA"/>
        </w:rPr>
        <w:t xml:space="preserve">، فما الذي يَمنَعُ مِثلَه في الإمامِ و الحاكمِ؟ و إنّما نَمنَعُ نحنُ الآنَ مِن ذلكَ سَمعاً، لا لأنّ </w:t>
      </w:r>
      <w:r>
        <w:rPr>
          <w:rStyle w:val="FootnoteAnchor"/>
          <w:rtl w:val="true"/>
        </w:rPr>
        <w:footnoteReference w:id="2256"/>
      </w:r>
      <w:r>
        <w:rPr>
          <w:rFonts w:ascii="Amiri" w:hAnsi="Amiri" w:eastAsia="Amiri" w:cs="Amiri"/>
          <w:color w:val="111111"/>
          <w:sz w:val="28"/>
          <w:sz w:val="28"/>
          <w:szCs w:val="28"/>
          <w:rtl w:val="true"/>
          <w:lang w:bidi="ar-SA"/>
        </w:rPr>
        <w:t>العقلَ كانَ يَمنَعُ مِنه</w:t>
      </w:r>
      <w:r>
        <w:rPr>
          <w:rFonts w:eastAsia="Amiri" w:cs="Amiri" w:ascii="Amiri" w:hAnsi="Amiri"/>
          <w:color w:val="111111"/>
          <w:sz w:val="28"/>
          <w:szCs w:val="28"/>
          <w:rtl w:val="true"/>
          <w:lang w:bidi="ar-SA"/>
        </w:rPr>
        <w:t>.</w:t>
      </w:r>
      <w:r>
        <w:rPr>
          <w:rStyle w:val="FootnoteAnchor"/>
          <w:rtl w:val="true"/>
        </w:rPr>
        <w:footnoteReference w:id="225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في الأميرِ و الحاكمِ فقَد مضىٰ‌</w:t>
      </w:r>
      <w:r>
        <w:rPr>
          <w:rStyle w:val="FootnoteAnchor"/>
          <w:rtl w:val="true"/>
        </w:rPr>
        <w:footnoteReference w:id="2259"/>
      </w:r>
      <w:r>
        <w:rPr>
          <w:rFonts w:ascii="Amiri" w:hAnsi="Amiri" w:eastAsia="Amiri" w:cs="Amiri"/>
          <w:color w:val="111111"/>
          <w:sz w:val="28"/>
          <w:sz w:val="28"/>
          <w:szCs w:val="28"/>
          <w:rtl w:val="true"/>
          <w:lang w:bidi="ar-SA"/>
        </w:rPr>
        <w:t>، و أمّا الأوصياءُ و الوُكَلاءُ فيَجرونَ عندَنا مَجرَى الأُمَراءِ و الحُكّامِ في أنّهم يَجِبُ أن يكونوا عالِمينَ بما فُوِّضَ إليهم و مُضطَلِعينَ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عاقلٍ يَخفىٰ عَلَيه أنّ أحَدَنا متىٰ أرادَ أن يوكِّلَ وكيلاً يُسنِدُ إليه تدبيرَ ضَيعتِه و أموالِه، فإنّه لا يَختارُ إلّامَن يَثِقُ مِنه بالكفايةِ و حُسنِ البصيرةِ و الاضطلاعِ ؛ و أنّه</w:t>
      </w:r>
      <w:r>
        <w:rPr>
          <w:rStyle w:val="FootnoteAnchor"/>
          <w:rtl w:val="true"/>
        </w:rPr>
        <w:footnoteReference w:id="2260"/>
      </w:r>
      <w:r>
        <w:rPr>
          <w:rFonts w:ascii="Amiri" w:hAnsi="Amiri" w:eastAsia="Amiri" w:cs="Amiri"/>
          <w:color w:val="111111"/>
          <w:sz w:val="28"/>
          <w:sz w:val="28"/>
          <w:szCs w:val="28"/>
          <w:rtl w:val="true"/>
          <w:lang w:bidi="ar-SA"/>
        </w:rPr>
        <w:t>متَى استَكفىٰ أمرَ وَكالتِه مَن لا معرفةَ عندَه بها أو بأكثرِها، و مَن يَحتاجُ إلىٰ أن يَتعرَّفَها و يَتعلَّمَها</w:t>
      </w:r>
      <w:r>
        <w:rPr>
          <w:rStyle w:val="FootnoteAnchor"/>
          <w:rtl w:val="true"/>
        </w:rPr>
        <w:footnoteReference w:id="2261"/>
      </w:r>
      <w:r>
        <w:rPr>
          <w:rFonts w:ascii="Amiri" w:hAnsi="Amiri" w:eastAsia="Amiri" w:cs="Amiri"/>
          <w:color w:val="111111"/>
          <w:sz w:val="28"/>
          <w:sz w:val="28"/>
          <w:szCs w:val="28"/>
          <w:rtl w:val="true"/>
          <w:lang w:bidi="ar-SA"/>
        </w:rPr>
        <w:t>، كانَ سَفيهاً مُهمِلاً لأموالِه، معرِّضاً</w:t>
      </w:r>
      <w:r>
        <w:rPr>
          <w:rStyle w:val="FootnoteAnchor"/>
          <w:rtl w:val="true"/>
        </w:rPr>
        <w:footnoteReference w:id="2262"/>
      </w:r>
      <w:r>
        <w:rPr>
          <w:rFonts w:ascii="Amiri" w:hAnsi="Amiri" w:eastAsia="Amiri" w:cs="Amiri"/>
          <w:color w:val="111111"/>
          <w:sz w:val="28"/>
          <w:sz w:val="28"/>
          <w:szCs w:val="28"/>
          <w:rtl w:val="true"/>
          <w:lang w:bidi="ar-SA"/>
        </w:rPr>
        <w:t>لها للضَّياعِ و التلَفِ؟</w:t>
      </w:r>
      <w:r>
        <w:rPr>
          <w:rFonts w:eastAsia="Amiri" w:cs="Amiri" w:ascii="Amiri" w:hAnsi="Amiri"/>
          <w:color w:val="111111"/>
          <w:sz w:val="28"/>
          <w:szCs w:val="28"/>
          <w:rtl w:val="true"/>
          <w:lang w:bidi="ar-SA"/>
        </w:rPr>
        <w:t xml:space="preserve">! </w:t>
      </w:r>
      <w:bookmarkStart w:id="378" w:name="pg20015_284992"/>
    </w:p>
    <w:p>
      <w:pPr>
        <w:pStyle w:val="Heading4"/>
        <w:numPr>
          <w:ilvl w:val="3"/>
          <w:numId w:val="1"/>
        </w:numPr>
        <w:rPr/>
      </w:pPr>
      <w:bookmarkStart w:id="379" w:name="__RefHeading___Toc894985_2320776876"/>
      <w:bookmarkStart w:id="380" w:name="_Toc134"/>
      <w:bookmarkEnd w:id="378"/>
      <w:bookmarkEnd w:id="379"/>
      <w:r>
        <w:rPr>
          <w:rtl w:val="true"/>
        </w:rPr>
        <w:t>وجه جواز رجوع العامّي إلى العالِم في الفتوىٰ ، مع تجويز الغلط عليه</w:t>
      </w:r>
      <w:bookmarkEnd w:id="380"/>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2263"/>
      </w:r>
      <w:r>
        <w:rPr>
          <w:rFonts w:ascii="Amiri" w:hAnsi="Amiri" w:eastAsia="Amiri" w:cs="Amiri"/>
          <w:color w:val="111111"/>
          <w:sz w:val="28"/>
          <w:sz w:val="28"/>
          <w:szCs w:val="28"/>
          <w:rtl w:val="true"/>
          <w:lang w:bidi="ar-SA"/>
        </w:rPr>
        <w:t>العامّيُّ و رجوعُه إلَى العالِمِ في الفتوىٰ‌، فإنّما ساغَ مِن حَيثُ لَم يَكُنِ العالِمُ مُتَولّياً للحُكمِ فيما استُفتيَ فيه، و لا له رئاسةٌ و إمامةٌ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هذه حالَ </w:t>
      </w:r>
      <w:r>
        <w:rPr>
          <w:rStyle w:val="FootnoteAnchor"/>
          <w:rtl w:val="true"/>
        </w:rPr>
        <w:footnoteReference w:id="2264"/>
      </w:r>
      <w:r>
        <w:rPr>
          <w:rFonts w:ascii="Amiri" w:hAnsi="Amiri" w:eastAsia="Amiri" w:cs="Amiri"/>
          <w:color w:val="111111"/>
          <w:sz w:val="28"/>
          <w:sz w:val="28"/>
          <w:szCs w:val="28"/>
          <w:rtl w:val="true"/>
          <w:lang w:bidi="ar-SA"/>
        </w:rPr>
        <w:t>الإمامِ ؛ لأنّهُ المنصوبُ للحُكمِ في جميعِ الدِّينِ ، فلا بُدَّ مِن</w:t>
      </w:r>
      <w:r>
        <w:rPr>
          <w:rStyle w:val="FootnoteAnchor"/>
          <w:rtl w:val="true"/>
        </w:rPr>
        <w:footnoteReference w:id="2265"/>
      </w:r>
      <w:r>
        <w:rPr>
          <w:rFonts w:ascii="Amiri" w:hAnsi="Amiri" w:eastAsia="Amiri" w:cs="Amiri"/>
          <w:color w:val="111111"/>
          <w:sz w:val="28"/>
          <w:sz w:val="28"/>
          <w:szCs w:val="28"/>
          <w:rtl w:val="true"/>
          <w:lang w:bidi="ar-SA"/>
        </w:rPr>
        <w:t>أن يَكونَ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ممّا قد مضىٰ </w:t>
      </w:r>
      <w:r>
        <w:rPr>
          <w:rFonts w:eastAsia="Amiri" w:cs="Amiri" w:ascii="Amiri" w:hAnsi="Amiri"/>
          <w:color w:val="111111"/>
          <w:sz w:val="28"/>
          <w:szCs w:val="28"/>
          <w:rtl w:val="true"/>
          <w:lang w:bidi="ar-SA"/>
        </w:rPr>
        <w:t>.</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علىٰ أنّا لَم نَمنَعْ في الإمامِ مِن الرجوعِ إلَى العُلَماءِ في الأحكامِ لأجلِ جوازِ الغلطِ عَلَيهم، و إنّما مَنَعناه لِما تَقدَّمَ ذِكرُنا له</w:t>
      </w:r>
      <w:r>
        <w:rPr>
          <w:rStyle w:val="FootnoteAnchor"/>
          <w:rtl w:val="true"/>
        </w:rPr>
        <w:footnoteReference w:id="2267"/>
      </w:r>
      <w:r>
        <w:rPr>
          <w:rFonts w:ascii="Amiri" w:hAnsi="Amiri" w:eastAsia="Amiri" w:cs="Amiri"/>
          <w:color w:val="111111"/>
          <w:sz w:val="28"/>
          <w:sz w:val="28"/>
          <w:szCs w:val="28"/>
          <w:rtl w:val="true"/>
          <w:lang w:bidi="ar-SA"/>
        </w:rPr>
        <w:t>، فلا معنىٰ للاعتراضِ عَلَينا بأنّ العامّيَّ يَرجِعُ إلَى العالِمِ في الفتوىٰ مع جوازِ الغلطِ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 للقيامِ بهذه الأُمورِ كُلِّها</w:t>
      </w:r>
      <w:r>
        <w:rPr>
          <w:rStyle w:val="FootnoteAnchor"/>
          <w:rtl w:val="true"/>
        </w:rPr>
        <w:footnoteReference w:id="2268"/>
      </w:r>
      <w:r>
        <w:rPr>
          <w:rFonts w:ascii="Amiri" w:hAnsi="Amiri" w:eastAsia="Amiri" w:cs="Amiri"/>
          <w:color w:val="111111"/>
          <w:sz w:val="28"/>
          <w:sz w:val="28"/>
          <w:szCs w:val="28"/>
          <w:rtl w:val="true"/>
          <w:lang w:bidi="ar-SA"/>
        </w:rPr>
        <w:t xml:space="preserve">، فيَجِبُ في الحكيمِ </w:t>
      </w:r>
      <w:r>
        <w:rPr>
          <w:rStyle w:val="FootnoteAnchor"/>
          <w:rtl w:val="true"/>
        </w:rPr>
        <w:footnoteReference w:id="2269"/>
      </w:r>
      <w:r>
        <w:rPr>
          <w:rFonts w:ascii="Amiri" w:hAnsi="Amiri" w:eastAsia="Amiri" w:cs="Amiri"/>
          <w:color w:val="111111"/>
          <w:sz w:val="28"/>
          <w:sz w:val="28"/>
          <w:szCs w:val="28"/>
          <w:rtl w:val="true"/>
          <w:lang w:bidi="ar-SA"/>
        </w:rPr>
        <w:t>أن يَنصِبَه</w:t>
      </w:r>
      <w:r>
        <w:rPr>
          <w:rStyle w:val="FootnoteAnchor"/>
          <w:rtl w:val="true"/>
        </w:rPr>
        <w:footnoteReference w:id="2270"/>
      </w:r>
      <w:r>
        <w:rPr>
          <w:rFonts w:ascii="Amiri" w:hAnsi="Amiri" w:eastAsia="Amiri" w:cs="Amiri"/>
          <w:color w:val="111111"/>
          <w:sz w:val="28"/>
          <w:sz w:val="28"/>
          <w:szCs w:val="28"/>
          <w:rtl w:val="true"/>
          <w:lang w:bidi="ar-SA"/>
        </w:rPr>
        <w:t>علىٰ أقوَى الوجوهِ و أقرَبِها إلىٰ أن لا يَغلَطَ و يَقومَ بذلكَ علىٰ حقِّه، و ذلكَ لا يَكونُ إلّامع العِلمِ بالأحكامِ كُلِّها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2271"/>
      </w:r>
      <w:r>
        <w:rPr>
          <w:rFonts w:ascii="Amiri" w:hAnsi="Amiri" w:eastAsia="Amiri" w:cs="Amiri"/>
          <w:color w:val="111111"/>
          <w:sz w:val="28"/>
          <w:sz w:val="28"/>
          <w:szCs w:val="28"/>
          <w:rtl w:val="true"/>
          <w:lang w:bidi="ar-SA"/>
        </w:rPr>
        <w:t xml:space="preserve">يَكونُ ذلكَ إلّامع العِلمِ ببَواطِن الأحكامِ ، و بأحوالِ مَن </w:t>
      </w:r>
    </w:p>
    <w:p>
      <w:pPr>
        <w:pStyle w:val="BookText"/>
        <w:rPr/>
      </w:pPr>
      <w:r>
        <w:rPr>
          <w:rFonts w:ascii="Amiri" w:hAnsi="Amiri" w:eastAsia="Amiri" w:cs="Amiri"/>
          <w:color w:val="111111"/>
          <w:sz w:val="28"/>
          <w:sz w:val="28"/>
          <w:szCs w:val="28"/>
          <w:rtl w:val="true"/>
          <w:lang w:bidi="ar-SA"/>
        </w:rPr>
        <w:t xml:space="preserve">يَحكُمُ له و عَلَيه، و بأحوالِ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فَيَلزَمُكم أن يَعلَمَ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يَلزَمُكم مِثلُه في الأُمَراءِ و الحُكّامِ و العُمّالِ ؛ لأنّ العِلّةَ قائمةٌ </w:t>
      </w:r>
      <w:r>
        <w:rPr>
          <w:rFonts w:eastAsia="Amiri" w:cs="Amiri" w:ascii="Amiri" w:hAnsi="Amiri"/>
          <w:color w:val="111111"/>
          <w:sz w:val="28"/>
          <w:szCs w:val="28"/>
          <w:rtl w:val="true"/>
          <w:lang w:bidi="ar-SA"/>
        </w:rPr>
        <w:t>...].</w:t>
      </w:r>
      <w:r>
        <w:rPr>
          <w:rStyle w:val="FootnoteAnchor"/>
          <w:rtl w:val="true"/>
        </w:rPr>
        <w:footnoteReference w:id="227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w:t>
      </w:r>
      <w:r>
        <w:rPr>
          <w:rStyle w:val="FootnoteAnchor"/>
          <w:rtl w:val="true"/>
        </w:rPr>
        <w:footnoteReference w:id="2274"/>
      </w:r>
      <w:r>
        <w:rPr>
          <w:rFonts w:ascii="Amiri" w:hAnsi="Amiri" w:eastAsia="Amiri" w:cs="Amiri"/>
          <w:color w:val="111111"/>
          <w:sz w:val="28"/>
          <w:sz w:val="28"/>
          <w:szCs w:val="28"/>
          <w:rtl w:val="true"/>
          <w:lang w:bidi="ar-SA"/>
        </w:rPr>
        <w:t>نَرتَضي ما حَكَيتَه عنّا مِن السؤالِ‌، و لا نَعتَلُّ‌</w:t>
      </w:r>
      <w:r>
        <w:rPr>
          <w:rStyle w:val="FootnoteAnchor"/>
          <w:rtl w:val="true"/>
        </w:rPr>
        <w:footnoteReference w:id="2275"/>
      </w:r>
      <w:r>
        <w:rPr>
          <w:rFonts w:ascii="Amiri" w:hAnsi="Amiri" w:eastAsia="Amiri" w:cs="Amiri"/>
          <w:color w:val="111111"/>
          <w:sz w:val="28"/>
          <w:sz w:val="28"/>
          <w:szCs w:val="28"/>
          <w:rtl w:val="true"/>
          <w:lang w:bidi="ar-SA"/>
        </w:rPr>
        <w:t>بما تضَمَّنه مِن الاعتلالِ ، و عِلّتُنا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أيضاً فَرقُنا بَينَ العِلمِ بالظاهرِ و</w:t>
      </w:r>
      <w:r>
        <w:rPr>
          <w:rStyle w:val="FootnoteAnchor"/>
          <w:rtl w:val="true"/>
        </w:rPr>
        <w:footnoteReference w:id="2276"/>
      </w:r>
      <w:r>
        <w:rPr>
          <w:rFonts w:ascii="Amiri" w:hAnsi="Amiri" w:eastAsia="Amiri" w:cs="Amiri"/>
          <w:color w:val="111111"/>
          <w:sz w:val="28"/>
          <w:sz w:val="28"/>
          <w:szCs w:val="28"/>
          <w:rtl w:val="true"/>
          <w:lang w:bidi="ar-SA"/>
        </w:rPr>
        <w:t xml:space="preserve">العِلمِ بالباطِنِ </w:t>
      </w:r>
      <w:r>
        <w:rPr>
          <w:rStyle w:val="FootnoteAnchor"/>
          <w:rtl w:val="true"/>
        </w:rPr>
        <w:footnoteReference w:id="2277"/>
      </w:r>
      <w:r>
        <w:rPr>
          <w:rFonts w:ascii="Amiri" w:hAnsi="Amiri" w:eastAsia="Amiri" w:cs="Amiri"/>
          <w:color w:val="111111"/>
          <w:sz w:val="28"/>
          <w:sz w:val="28"/>
          <w:szCs w:val="28"/>
          <w:rtl w:val="true"/>
          <w:lang w:bidi="ar-SA"/>
        </w:rPr>
        <w:t xml:space="preserve">، و بيّنّا أنّ الإمامَ إذا جَهِلَ بعضَ الأحكامِ المدلولِ عَلَيها المُتعبَّدِ بإقامتِها، فلا بُدَّ مِن أن يَكونَ غالِطاً، و لَيسَ كذلكَ إذا لَم يَعلَمْ بَواطِنَ الأُمورِ و مُغيَّبَ الشُّهودِ؛ فبَطَلَ قَولُكَ في جوابِ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ذلكَ إلّامع العِلمِ ببَواطِنِ الأحكامِ ، و مع العِلمِ بأحوالِ مَن يَحكُمُ له و عَلَيه</w:t>
      </w:r>
      <w:r>
        <w:rPr>
          <w:rFonts w:eastAsia="Amiri" w:cs="Amiri" w:ascii="Amiri" w:hAnsi="Amiri"/>
          <w:color w:val="111111"/>
          <w:sz w:val="28"/>
          <w:szCs w:val="28"/>
          <w:rtl w:val="true"/>
          <w:lang w:bidi="ar-SA"/>
        </w:rPr>
        <w:t xml:space="preserve">». </w:t>
      </w:r>
      <w:bookmarkStart w:id="381" w:name="pg20015_284994"/>
    </w:p>
    <w:p>
      <w:pPr>
        <w:pStyle w:val="Heading3"/>
        <w:numPr>
          <w:ilvl w:val="2"/>
          <w:numId w:val="1"/>
        </w:numPr>
        <w:rPr/>
      </w:pPr>
      <w:bookmarkStart w:id="382" w:name="__RefHeading___Toc894987_2320776876"/>
      <w:bookmarkStart w:id="383" w:name="_Toc135"/>
      <w:bookmarkEnd w:id="381"/>
      <w:bookmarkEnd w:id="382"/>
      <w:r>
        <w:rPr>
          <w:rtl w:val="true"/>
        </w:rPr>
        <w:t>الدليل الثالث أفضليّة الإمام</w:t>
      </w:r>
      <w:bookmarkEnd w:id="383"/>
    </w:p>
    <w:p>
      <w:pPr>
        <w:pStyle w:val="Heading4"/>
        <w:numPr>
          <w:ilvl w:val="3"/>
          <w:numId w:val="1"/>
        </w:numPr>
        <w:rPr/>
      </w:pPr>
      <w:bookmarkStart w:id="384" w:name="__RefHeading___Toc894989_2320776876"/>
      <w:bookmarkStart w:id="385" w:name="_Toc13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w:t>
      </w:r>
      <w:r>
        <w:rPr>
          <w:rStyle w:val="FootnoteAnchor"/>
          <w:rtl w:val="true"/>
        </w:rPr>
        <w:footnoteReference w:id="2278"/>
      </w:r>
      <w:r>
        <w:rPr>
          <w:rFonts w:ascii="Amiri" w:hAnsi="Amiri" w:eastAsia="Amiri" w:cs="Amiri"/>
          <w:color w:val="111111"/>
          <w:sz w:val="28"/>
          <w:sz w:val="28"/>
          <w:szCs w:val="28"/>
          <w:rtl w:val="true"/>
          <w:lang w:bidi="ar-SA"/>
        </w:rPr>
        <w:t>مِن حقِّ الإمامِ أن يَكونَ أفضَلَ مَن</w:t>
      </w:r>
      <w:r>
        <w:rPr>
          <w:rStyle w:val="FootnoteAnchor"/>
          <w:rtl w:val="true"/>
        </w:rPr>
        <w:footnoteReference w:id="2279"/>
      </w:r>
      <w:r>
        <w:rPr>
          <w:rFonts w:ascii="Amiri" w:hAnsi="Amiri" w:eastAsia="Amiri" w:cs="Amiri"/>
          <w:color w:val="111111"/>
          <w:sz w:val="28"/>
          <w:sz w:val="28"/>
          <w:szCs w:val="28"/>
          <w:rtl w:val="true"/>
          <w:lang w:bidi="ar-SA"/>
        </w:rPr>
        <w:t>في الزمانِ‌، و ذلكَ لا يُستَدرَكُ إلّابالنَّصِّ عَلَيه</w:t>
      </w:r>
      <w:r>
        <w:rPr>
          <w:rStyle w:val="FootnoteAnchor"/>
          <w:rtl w:val="true"/>
        </w:rPr>
        <w:footnoteReference w:id="2280"/>
      </w:r>
      <w:r>
        <w:rPr>
          <w:rFonts w:ascii="Amiri" w:hAnsi="Amiri" w:eastAsia="Amiri" w:cs="Amiri"/>
          <w:color w:val="111111"/>
          <w:sz w:val="28"/>
          <w:sz w:val="28"/>
          <w:szCs w:val="28"/>
          <w:rtl w:val="true"/>
          <w:lang w:bidi="ar-SA"/>
        </w:rPr>
        <w:t>لأنّه لا يُعلَمُ أنّه أفضَلُ إلّابأن يُعلَمَ سلامةُ طاعتِه</w:t>
      </w:r>
      <w:r>
        <w:rPr>
          <w:rStyle w:val="FootnoteAnchor"/>
          <w:rtl w:val="true"/>
        </w:rPr>
        <w:footnoteReference w:id="2281"/>
      </w:r>
      <w:r>
        <w:rPr>
          <w:rFonts w:ascii="Amiri" w:hAnsi="Amiri" w:eastAsia="Amiri" w:cs="Amiri"/>
          <w:color w:val="111111"/>
          <w:sz w:val="28"/>
          <w:sz w:val="28"/>
          <w:szCs w:val="28"/>
          <w:rtl w:val="true"/>
          <w:lang w:bidi="ar-SA"/>
        </w:rPr>
        <w:t>و ثَوابُها و أنّه أكثَرُ</w:t>
      </w:r>
      <w:r>
        <w:rPr>
          <w:rStyle w:val="FootnoteAnchor"/>
          <w:rtl w:val="true"/>
        </w:rPr>
        <w:footnoteReference w:id="2282"/>
      </w:r>
      <w:r>
        <w:rPr>
          <w:rFonts w:ascii="Amiri" w:hAnsi="Amiri" w:eastAsia="Amiri" w:cs="Amiri"/>
          <w:color w:val="111111"/>
          <w:sz w:val="28"/>
          <w:sz w:val="28"/>
          <w:szCs w:val="28"/>
          <w:rtl w:val="true"/>
          <w:lang w:bidi="ar-SA"/>
        </w:rPr>
        <w:t>ثَواباً مِن غَيرِه</w:t>
      </w:r>
      <w:r>
        <w:rPr>
          <w:rStyle w:val="FootnoteAnchor"/>
          <w:rtl w:val="true"/>
        </w:rPr>
        <w:footnoteReference w:id="2283"/>
      </w:r>
      <w:r>
        <w:rPr>
          <w:rFonts w:ascii="Amiri" w:hAnsi="Amiri" w:eastAsia="Amiri" w:cs="Amiri"/>
          <w:color w:val="111111"/>
          <w:sz w:val="28"/>
          <w:sz w:val="28"/>
          <w:szCs w:val="28"/>
          <w:rtl w:val="true"/>
          <w:lang w:bidi="ar-SA"/>
        </w:rPr>
        <w:t>، و لا مَدخَلَ للِاجتهادِ في ذلكَ‌؛ فيَجِبُ أن يَكونَ الإمامُ منصوصاً عَلَيه مِن جهةِ العقلِ‌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أَوجَبوه سَمعاً، فللكلامِ عَلَيهم مَوضعٌ سِوىٰ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 به</w:t>
      </w:r>
      <w:r>
        <w:rPr>
          <w:rStyle w:val="FootnoteAnchor"/>
          <w:rtl w:val="true"/>
        </w:rPr>
        <w:footnoteReference w:id="2284"/>
      </w:r>
      <w:r>
        <w:rPr>
          <w:rFonts w:ascii="Amiri" w:hAnsi="Amiri" w:eastAsia="Amiri" w:cs="Amiri"/>
          <w:color w:val="111111"/>
          <w:sz w:val="28"/>
          <w:sz w:val="28"/>
          <w:szCs w:val="28"/>
          <w:rtl w:val="true"/>
          <w:lang w:bidi="ar-SA"/>
        </w:rPr>
        <w:t>مِن جهةِ العقلِ ،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دليلٍ في العقلِ يَقتَضي ما ذَكرتُموه ؟</w:t>
      </w:r>
      <w:r>
        <w:rPr>
          <w:rStyle w:val="FootnoteAnchor"/>
          <w:rtl w:val="true"/>
        </w:rPr>
        <w:footnoteReference w:id="2285"/>
      </w:r>
      <w:bookmarkStart w:id="386" w:name="pg20015_284995"/>
    </w:p>
    <w:p>
      <w:pPr>
        <w:pStyle w:val="Heading4"/>
        <w:numPr>
          <w:ilvl w:val="3"/>
          <w:numId w:val="1"/>
        </w:numPr>
        <w:rPr/>
      </w:pPr>
      <w:bookmarkStart w:id="387" w:name="__RefHeading___Toc894991_2320776876"/>
      <w:bookmarkStart w:id="388" w:name="_Toc137"/>
      <w:bookmarkEnd w:id="386"/>
      <w:bookmarkEnd w:id="387"/>
      <w:r>
        <w:rPr>
          <w:rtl w:val="true"/>
        </w:rPr>
        <w:t>الأدلّة علىٰ أفضليّة الإمام</w:t>
      </w:r>
      <w:bookmarkEnd w:id="388"/>
    </w:p>
    <w:p>
      <w:pPr>
        <w:pStyle w:val="Heading5"/>
        <w:numPr>
          <w:ilvl w:val="4"/>
          <w:numId w:val="1"/>
        </w:numPr>
        <w:rPr/>
      </w:pPr>
      <w:bookmarkStart w:id="389" w:name="__RefHeading___Toc894993_2320776876"/>
      <w:bookmarkStart w:id="390" w:name="_Toc138"/>
      <w:bookmarkEnd w:id="389"/>
      <w:r>
        <w:rPr>
          <w:rtl w:val="true"/>
        </w:rPr>
        <w:t>الدليل الأوّل</w:t>
      </w:r>
      <w:bookmarkEnd w:id="390"/>
    </w:p>
    <w:p>
      <w:pPr>
        <w:pStyle w:val="Heading6"/>
        <w:numPr>
          <w:ilvl w:val="5"/>
          <w:numId w:val="1"/>
        </w:numPr>
        <w:rPr/>
      </w:pPr>
      <w:bookmarkStart w:id="391" w:name="__RefHeading___Toc894995_2320776876"/>
      <w:bookmarkStart w:id="392" w:name="_Toc13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أنّ الإمامَ يَجِبُ أن يَكونَ أفضَلَ مِن رَعيّتِه في الثوابِ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ضُروبِ الفَضلِ المُتعلِّقةِ بالدِّينِ ، الداخلةِ تَحتَ ما كانَ رئيساً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w:t>
      </w:r>
      <w:r>
        <w:rPr>
          <w:rStyle w:val="FootnoteAnchor"/>
          <w:rtl w:val="true"/>
        </w:rPr>
        <w:footnoteReference w:id="2287"/>
      </w:r>
      <w:r>
        <w:rPr>
          <w:rFonts w:ascii="Amiri" w:hAnsi="Amiri" w:eastAsia="Amiri" w:cs="Amiri"/>
          <w:color w:val="111111"/>
          <w:sz w:val="28"/>
          <w:sz w:val="28"/>
          <w:szCs w:val="28"/>
          <w:rtl w:val="true"/>
          <w:lang w:bidi="ar-SA"/>
        </w:rPr>
        <w:t>و كُلُّ العُقَلاءِ مِن قُبحِ جَعلِ المفضولِ في شيءٍ بعَينِه إماماً و رئيساً للفاضِلِ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يَحسُنُ مِنّا أن نَعقِدَ</w:t>
      </w:r>
      <w:r>
        <w:rPr>
          <w:rStyle w:val="FootnoteAnchor"/>
          <w:rtl w:val="true"/>
        </w:rPr>
        <w:footnoteReference w:id="2288"/>
      </w:r>
      <w:r>
        <w:rPr>
          <w:rFonts w:ascii="Amiri" w:hAnsi="Amiri" w:eastAsia="Amiri" w:cs="Amiri"/>
          <w:color w:val="111111"/>
          <w:sz w:val="28"/>
          <w:sz w:val="28"/>
          <w:szCs w:val="28"/>
          <w:rtl w:val="true"/>
          <w:lang w:bidi="ar-SA"/>
        </w:rPr>
        <w:t>لِمَن</w:t>
      </w:r>
      <w:r>
        <w:rPr>
          <w:rStyle w:val="FootnoteAnchor"/>
          <w:rtl w:val="true"/>
        </w:rPr>
        <w:footnoteReference w:id="2289"/>
      </w:r>
      <w:r>
        <w:rPr>
          <w:rFonts w:ascii="Amiri" w:hAnsi="Amiri" w:eastAsia="Amiri" w:cs="Amiri"/>
          <w:color w:val="111111"/>
          <w:sz w:val="28"/>
          <w:sz w:val="28"/>
          <w:szCs w:val="28"/>
          <w:rtl w:val="true"/>
          <w:lang w:bidi="ar-SA"/>
        </w:rPr>
        <w:t>لا يُحسِنُ مِن الكتابةِ إلّاما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يُحسِنُه المُبتدئُ المُتعلِّمُ رئاسةً في الكتابةِ علىٰ مَن هو في الحِذقِ بها و القيامِ بحُدودِها بمَنزلةِ ابنِ مُقلةَ </w:t>
      </w:r>
      <w:r>
        <w:rPr>
          <w:rStyle w:val="FootnoteAnchor"/>
          <w:rtl w:val="true"/>
        </w:rPr>
        <w:footnoteReference w:id="2290"/>
      </w:r>
      <w:r>
        <w:rPr>
          <w:rFonts w:ascii="Amiri" w:hAnsi="Amiri" w:eastAsia="Amiri" w:cs="Amiri"/>
          <w:color w:val="111111"/>
          <w:sz w:val="28"/>
          <w:sz w:val="28"/>
          <w:szCs w:val="28"/>
          <w:rtl w:val="true"/>
          <w:lang w:bidi="ar-SA"/>
        </w:rPr>
        <w:t>حتّىٰ نَجعَلَه</w:t>
      </w:r>
      <w:r>
        <w:rPr>
          <w:rStyle w:val="FootnoteAnchor"/>
          <w:rtl w:val="true"/>
        </w:rPr>
        <w:footnoteReference w:id="2291"/>
      </w:r>
      <w:r>
        <w:rPr>
          <w:rFonts w:ascii="Amiri" w:hAnsi="Amiri" w:eastAsia="Amiri" w:cs="Amiri"/>
          <w:color w:val="111111"/>
          <w:sz w:val="28"/>
          <w:sz w:val="28"/>
          <w:szCs w:val="28"/>
          <w:rtl w:val="true"/>
          <w:lang w:bidi="ar-SA"/>
        </w:rPr>
        <w:t>حاكماً عَلَيه فيها و إماماً له في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لا يَحسُنُ أن نُقدِّمَ رئيساً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يَقومُ مِن علومِ الفِقهِ إلّابما يَتضمَّنُه بعضُ المُختصَراتِ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هو في الفِقهِ بمَنزلةِ أبي حَنيفةَ‌</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لَيسَ ممّا يَدخُلُ علىٰ أحَدٍ فيه</w:t>
      </w:r>
      <w:r>
        <w:rPr>
          <w:rStyle w:val="FootnoteAnchor"/>
          <w:rtl w:val="true"/>
        </w:rPr>
        <w:footnoteReference w:id="2293"/>
      </w:r>
      <w:r>
        <w:rPr>
          <w:rFonts w:ascii="Amiri" w:hAnsi="Amiri" w:eastAsia="Amiri" w:cs="Amiri"/>
          <w:color w:val="111111"/>
          <w:sz w:val="28"/>
          <w:sz w:val="28"/>
          <w:szCs w:val="28"/>
          <w:rtl w:val="true"/>
          <w:lang w:bidi="ar-SA"/>
        </w:rPr>
        <w:t>شُبهةٌ‌، و إن جازَ أن يَدخُلَ‌</w:t>
      </w:r>
      <w:r>
        <w:rPr>
          <w:rStyle w:val="FootnoteAnchor"/>
          <w:rtl w:val="true"/>
        </w:rPr>
        <w:footnoteReference w:id="2294"/>
      </w:r>
      <w:r>
        <w:rPr>
          <w:rFonts w:ascii="Amiri" w:hAnsi="Amiri" w:eastAsia="Amiri" w:cs="Amiri"/>
          <w:color w:val="111111"/>
          <w:sz w:val="28"/>
          <w:sz w:val="28"/>
          <w:szCs w:val="28"/>
          <w:rtl w:val="true"/>
          <w:lang w:bidi="ar-SA"/>
        </w:rPr>
        <w:t>في ضُروبٍ مِن تفصيلِها و إلحاقِ غَيرِها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نَعلَمُ عاقلاً يَتمكَّنُ مِن دَفعِ العِلمِ‌</w:t>
      </w:r>
      <w:r>
        <w:rPr>
          <w:rStyle w:val="FootnoteAnchor"/>
          <w:rtl w:val="true"/>
        </w:rPr>
        <w:footnoteReference w:id="2295"/>
      </w:r>
      <w:r>
        <w:rPr>
          <w:rFonts w:ascii="Amiri" w:hAnsi="Amiri" w:eastAsia="Amiri" w:cs="Amiri"/>
          <w:color w:val="111111"/>
          <w:sz w:val="28"/>
          <w:sz w:val="28"/>
          <w:szCs w:val="28"/>
          <w:rtl w:val="true"/>
          <w:lang w:bidi="ar-SA"/>
        </w:rPr>
        <w:t xml:space="preserve">بقُبحِ تقديمِ مَن ذَكرناه في الكتابةِ‌، و مَن وَصَفنا حالَه في الفِقهِ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ما ادَّعَيناه معلوماً مُتقرِّراً في العُقولِ ، و لَم نَجِدْ لقُبحِه</w:t>
      </w:r>
      <w:r>
        <w:rPr>
          <w:rStyle w:val="FootnoteAnchor"/>
          <w:rtl w:val="true"/>
        </w:rPr>
        <w:footnoteReference w:id="2296"/>
      </w:r>
      <w:r>
        <w:rPr>
          <w:rFonts w:ascii="Amiri" w:hAnsi="Amiri" w:eastAsia="Amiri" w:cs="Amiri"/>
          <w:color w:val="111111"/>
          <w:sz w:val="28"/>
          <w:sz w:val="28"/>
          <w:szCs w:val="28"/>
          <w:rtl w:val="true"/>
          <w:lang w:bidi="ar-SA"/>
        </w:rPr>
        <w:t xml:space="preserve">عِلّةً إلّاكَونَ المَرؤوسِ أفضَلَ مِن الرئيسِ في الشيءِ الذي كانَ رئيساً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القُبحِ </w:t>
      </w:r>
      <w:bookmarkStart w:id="393" w:name="pg20015_284997"/>
    </w:p>
    <w:p>
      <w:pPr>
        <w:pStyle w:val="BookText"/>
        <w:rPr/>
      </w:pPr>
      <w:bookmarkEnd w:id="393"/>
      <w:r>
        <w:rPr>
          <w:rFonts w:ascii="Amiri" w:hAnsi="Amiri" w:eastAsia="Amiri" w:cs="Amiri"/>
          <w:color w:val="111111"/>
          <w:sz w:val="28"/>
          <w:sz w:val="28"/>
          <w:szCs w:val="28"/>
          <w:rtl w:val="true"/>
          <w:lang w:bidi="ar-SA"/>
        </w:rPr>
        <w:t>عندَ ارتفاعِ العِلّةِ‌؛ بأن يَكونَ المُقدَّمُ هو الفاضِلَ‌</w:t>
      </w:r>
      <w:r>
        <w:rPr>
          <w:rStyle w:val="FootnoteAnchor"/>
          <w:rtl w:val="true"/>
        </w:rPr>
        <w:footnoteReference w:id="2297"/>
      </w:r>
      <w:r>
        <w:rPr>
          <w:rFonts w:ascii="Amiri" w:hAnsi="Amiri" w:eastAsia="Amiri" w:cs="Amiri"/>
          <w:color w:val="111111"/>
          <w:sz w:val="28"/>
          <w:sz w:val="28"/>
          <w:szCs w:val="28"/>
          <w:rtl w:val="true"/>
          <w:lang w:bidi="ar-SA"/>
        </w:rPr>
        <w:t xml:space="preserve">و المؤَخَّرُ هو المفضولَ ، و ثُبوتِه عندَ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قُبحُ كُلِّ وِلايةٍ كانَ المُتَولّي لها</w:t>
      </w:r>
      <w:r>
        <w:rPr>
          <w:rStyle w:val="FootnoteAnchor"/>
          <w:rtl w:val="true"/>
        </w:rPr>
        <w:footnoteReference w:id="2298"/>
      </w:r>
      <w:r>
        <w:rPr>
          <w:rFonts w:ascii="Amiri" w:hAnsi="Amiri" w:eastAsia="Amiri" w:cs="Amiri"/>
          <w:color w:val="111111"/>
          <w:sz w:val="28"/>
          <w:sz w:val="28"/>
          <w:szCs w:val="28"/>
          <w:rtl w:val="true"/>
          <w:lang w:bidi="ar-SA"/>
        </w:rPr>
        <w:t>أنقَصَ مَنزلةً في الشيءِ الذي تَولّاه مِن المُتَولّىٰ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أنّ الإمامَ إمامٌ </w:t>
      </w:r>
      <w:r>
        <w:rPr>
          <w:rStyle w:val="FootnoteAnchor"/>
          <w:rtl w:val="true"/>
        </w:rPr>
        <w:footnoteReference w:id="2299"/>
      </w:r>
      <w:r>
        <w:rPr>
          <w:rFonts w:ascii="Amiri" w:hAnsi="Amiri" w:eastAsia="Amiri" w:cs="Amiri"/>
          <w:color w:val="111111"/>
          <w:sz w:val="28"/>
          <w:sz w:val="28"/>
          <w:szCs w:val="28"/>
          <w:rtl w:val="true"/>
          <w:lang w:bidi="ar-SA"/>
        </w:rPr>
        <w:t xml:space="preserve">لنا في جميعِ الدِّينِ و عُلومِه و أحكامِه، وَجَبَ </w:t>
      </w:r>
      <w:r>
        <w:rPr>
          <w:rStyle w:val="FootnoteAnchor"/>
          <w:rtl w:val="true"/>
        </w:rPr>
        <w:footnoteReference w:id="2300"/>
      </w:r>
      <w:r>
        <w:rPr>
          <w:rFonts w:ascii="Amiri" w:hAnsi="Amiri" w:eastAsia="Amiri" w:cs="Amiri"/>
          <w:color w:val="111111"/>
          <w:sz w:val="28"/>
          <w:sz w:val="28"/>
          <w:szCs w:val="28"/>
          <w:rtl w:val="true"/>
          <w:lang w:bidi="ar-SA"/>
        </w:rPr>
        <w:t xml:space="preserve">أن يَكونَ أفضَلَ مِنّا في 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كَونِه أفضَلَ و أكثَرَ ثَواباً وجوبُ النَّصِّ عَلَيه؛ لأنّ ذلكَ ممّا لا طريقَ إلىٰ معرفتِه</w:t>
      </w:r>
      <w:r>
        <w:rPr>
          <w:rStyle w:val="FootnoteAnchor"/>
          <w:rtl w:val="true"/>
        </w:rPr>
        <w:footnoteReference w:id="2301"/>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94997_2320776876"/>
      <w:bookmarkStart w:id="395" w:name="_Toc140"/>
      <w:bookmarkEnd w:id="394"/>
      <w:r>
        <w:rPr>
          <w:rtl w:val="true"/>
        </w:rPr>
        <w:t>دلالة العصمة علىٰ أفضليّة الإمام</w:t>
      </w:r>
      <w:bookmarkEnd w:id="3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w:t>
      </w:r>
      <w:r>
        <w:rPr>
          <w:rStyle w:val="FootnoteAnchor"/>
          <w:rtl w:val="true"/>
        </w:rPr>
        <w:footnoteReference w:id="2302"/>
      </w:r>
      <w:r>
        <w:rPr>
          <w:rFonts w:ascii="Amiri" w:hAnsi="Amiri" w:eastAsia="Amiri" w:cs="Amiri"/>
          <w:color w:val="111111"/>
          <w:sz w:val="28"/>
          <w:sz w:val="28"/>
          <w:szCs w:val="28"/>
          <w:rtl w:val="true"/>
          <w:lang w:bidi="ar-SA"/>
        </w:rPr>
        <w:t xml:space="preserve">ممّا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Style w:val="FootnoteAnchor"/>
          <w:rtl w:val="true"/>
        </w:rPr>
        <w:footnoteReference w:id="2303"/>
      </w:r>
      <w:r>
        <w:rPr>
          <w:rFonts w:ascii="Amiri" w:hAnsi="Amiri" w:eastAsia="Amiri" w:cs="Amiri"/>
          <w:color w:val="111111"/>
          <w:sz w:val="28"/>
          <w:sz w:val="28"/>
          <w:szCs w:val="28"/>
          <w:rtl w:val="true"/>
          <w:lang w:bidi="ar-SA"/>
        </w:rPr>
        <w:t>الإمامِ أكثَرَ ثَواباً مِن رَعيّتِه</w:t>
      </w:r>
      <w:r>
        <w:rPr>
          <w:rStyle w:val="FootnoteAnchor"/>
          <w:rtl w:val="true"/>
        </w:rPr>
        <w:footnoteReference w:id="2304"/>
      </w:r>
      <w:r>
        <w:rPr>
          <w:rFonts w:ascii="Amiri" w:hAnsi="Amiri" w:eastAsia="Amiri" w:cs="Amiri"/>
          <w:color w:val="111111"/>
          <w:sz w:val="28"/>
          <w:sz w:val="28"/>
          <w:szCs w:val="28"/>
          <w:rtl w:val="true"/>
          <w:lang w:bidi="ar-SA"/>
        </w:rPr>
        <w:t xml:space="preserve">، و أكثَرُ ما يَجِبُ إذا كانَ إماماً لهُم في العِباداتِ أن يَكونَ أفضَلَ مِنهم فيها؛ بمعنىٰ أنّه أحسَنُ ظاهراً و أفضَلُ حالاً فيما يَظهَرُ مِن طاعاتِه و عِباداتِه، و كَونُ تلكَ العِباداتِ ممّا يُستَحَقُّ عَلَيه أكثَرُ مِن ثَوابِنا أو ممّا عَلَيه ثَوابٌ في الجُملةِ لَيسَ بمعلومٍ و لا دليلَ عَلَيه؛ فمِن أينَ لكُم أنّ الإمامَ يَجِبُ أن يَكونَ أكثَرَ ثَواباً مِن رَعيّتِه ؟ </w:t>
      </w:r>
      <w:bookmarkStart w:id="396" w:name="pg20015_284998"/>
    </w:p>
    <w:p>
      <w:pPr>
        <w:pStyle w:val="BookText"/>
        <w:rPr/>
      </w:pPr>
      <w:bookmarkEnd w:id="396"/>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بما ذَكرناه أن يَكونَ الإمامُ أفضَلَ مِن رَعيّتِه في العِباداتِ التي كان إماماً لهُم فيها، و أن يَكونَ ظاهرُه أفضَلَ مِن ظاهرِهم، وَجَبَ أن يَكونَ أكثَرَهم ثَواباً؛ لأنّه لا يَخرُجُ عن أن يَكونَ أكثَرَهم ثَواباً مع فَضلِ </w:t>
      </w:r>
      <w:r>
        <w:rPr>
          <w:rStyle w:val="FootnoteAnchor"/>
          <w:rtl w:val="true"/>
        </w:rPr>
        <w:footnoteReference w:id="2305"/>
      </w:r>
      <w:r>
        <w:rPr>
          <w:rFonts w:ascii="Amiri" w:hAnsi="Amiri" w:eastAsia="Amiri" w:cs="Amiri"/>
          <w:color w:val="111111"/>
          <w:sz w:val="28"/>
          <w:sz w:val="28"/>
          <w:szCs w:val="28"/>
          <w:rtl w:val="true"/>
          <w:lang w:bidi="ar-SA"/>
        </w:rPr>
        <w:t>طاعاتِه و عباداتِه و كَثرَتِها</w:t>
      </w:r>
      <w:r>
        <w:rPr>
          <w:rStyle w:val="FootnoteAnchor"/>
          <w:rtl w:val="true"/>
        </w:rPr>
        <w:footnoteReference w:id="2306"/>
      </w:r>
      <w:r>
        <w:rPr>
          <w:rFonts w:ascii="Amiri" w:hAnsi="Amiri" w:eastAsia="Amiri" w:cs="Amiri"/>
          <w:color w:val="111111"/>
          <w:sz w:val="28"/>
          <w:sz w:val="28"/>
          <w:szCs w:val="28"/>
          <w:rtl w:val="true"/>
          <w:lang w:bidi="ar-SA"/>
        </w:rPr>
        <w:t xml:space="preserve">إلّالأنّ باطنَه يُخالِفُ ظاهرَه، و الدَّلالةُ علىٰ عصمتِه تَمنَعُ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307"/>
      </w:r>
      <w:r>
        <w:rPr>
          <w:rFonts w:ascii="Amiri" w:hAnsi="Amiri" w:eastAsia="Amiri" w:cs="Amiri"/>
          <w:color w:val="111111"/>
          <w:sz w:val="28"/>
          <w:sz w:val="28"/>
          <w:szCs w:val="28"/>
          <w:rtl w:val="true"/>
          <w:lang w:bidi="ar-SA"/>
        </w:rPr>
        <w:t>وَجَبَ بدليلِ عصمتِه أن يَكونَ ظاهرُه كباطنِه، و كان أفضَلَ ظاهراً في العِباداتِ مِن رَعيّتِه، وَجَبَ أن يَكونَ أكثَرَهم ثَواباً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894999_2320776876"/>
      <w:bookmarkStart w:id="398" w:name="_Toc141"/>
      <w:bookmarkEnd w:id="397"/>
      <w:r>
        <w:rPr>
          <w:rtl w:val="true"/>
        </w:rPr>
        <w:t>عدم الاستغناء بدليل العصمة عن دليل كثرة الثواب علىٰ وجوب النصّ</w:t>
      </w:r>
      <w:bookmarkEnd w:id="398"/>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2308"/>
      </w:r>
      <w:r>
        <w:rPr>
          <w:rFonts w:ascii="Amiri" w:hAnsi="Amiri" w:eastAsia="Amiri" w:cs="Amiri"/>
          <w:color w:val="111111"/>
          <w:sz w:val="28"/>
          <w:sz w:val="28"/>
          <w:szCs w:val="28"/>
          <w:rtl w:val="true"/>
          <w:lang w:bidi="ar-SA"/>
        </w:rPr>
        <w:t>كنتُم تَرجِعونَ في العِلمِ بأنّ الإمامَ أكثَرُ ثَواباً مِن رَعيّتِه إلىٰ عصمتِه، و كانَ هذا العِلمُ الذي هو عِلمٌ‌</w:t>
      </w:r>
      <w:r>
        <w:rPr>
          <w:rStyle w:val="FootnoteAnchor"/>
          <w:rtl w:val="true"/>
        </w:rPr>
        <w:footnoteReference w:id="2309"/>
      </w:r>
      <w:r>
        <w:rPr>
          <w:rFonts w:ascii="Amiri" w:hAnsi="Amiri" w:eastAsia="Amiri" w:cs="Amiri"/>
          <w:color w:val="111111"/>
          <w:sz w:val="28"/>
          <w:sz w:val="28"/>
          <w:szCs w:val="28"/>
          <w:rtl w:val="true"/>
          <w:lang w:bidi="ar-SA"/>
        </w:rPr>
        <w:t>بأنّه أكثَرُ ثَواباً لا يَثبُتُ إلّابَعدَ ثُبوتِ العصمةِ‌، و العصمةُ إن ثبَتَت دَلَّت بنَفسِها علىٰ وجوبِ النَّصِّ‌</w:t>
      </w:r>
      <w:r>
        <w:rPr>
          <w:rStyle w:val="FootnoteAnchor"/>
          <w:rtl w:val="true"/>
        </w:rPr>
        <w:footnoteReference w:id="2310"/>
      </w:r>
      <w:r>
        <w:rPr>
          <w:rFonts w:ascii="Amiri" w:hAnsi="Amiri" w:eastAsia="Amiri" w:cs="Amiri"/>
          <w:color w:val="111111"/>
          <w:sz w:val="28"/>
          <w:sz w:val="28"/>
          <w:szCs w:val="28"/>
          <w:rtl w:val="true"/>
          <w:lang w:bidi="ar-SA"/>
        </w:rPr>
        <w:t xml:space="preserve">فأيُّ حاجةٍ بكُم إلَى الاستدلالِ بكَونِ الإمامِ أكثَرَ ثَواباً علىٰ وجوبِ النَّصِّ ، و ذلكَ لا يُعلَمُ إلّابَعدَ العِلمِ بما يَقتَضي وجوبَ النَّصِّ ، و هو العصمةُ؟ و هذا يوجِبُ أنّ الطريقةَ الصحيحةَ هي طريقةُ العصمةِ ، و أنّ طريقةَ الفَضلِ </w:t>
      </w:r>
      <w:r>
        <w:rPr>
          <w:rStyle w:val="FootnoteAnchor"/>
          <w:rtl w:val="true"/>
        </w:rPr>
        <w:footnoteReference w:id="2311"/>
      </w:r>
      <w:r>
        <w:rPr>
          <w:rFonts w:ascii="Amiri" w:hAnsi="Amiri" w:eastAsia="Amiri" w:cs="Amiri"/>
          <w:color w:val="111111"/>
          <w:sz w:val="28"/>
          <w:sz w:val="28"/>
          <w:szCs w:val="28"/>
          <w:rtl w:val="true"/>
          <w:lang w:bidi="ar-SA"/>
        </w:rPr>
        <w:t>و كَثرةِ الثوابِ لا فائدةَ فيها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الطريقةُ و إن كانَت مَبنيّةً علىٰ دليلِ العصمةِ ، فقد يُمكِنُ أن يَعلَمَ بها </w:t>
      </w:r>
    </w:p>
    <w:p>
      <w:pPr>
        <w:pStyle w:val="BookText"/>
        <w:rPr/>
      </w:pPr>
      <w:r>
        <w:rPr>
          <w:rFonts w:ascii="Amiri" w:hAnsi="Amiri" w:eastAsia="Amiri" w:cs="Amiri"/>
          <w:color w:val="111111"/>
          <w:sz w:val="28"/>
          <w:sz w:val="28"/>
          <w:szCs w:val="28"/>
          <w:rtl w:val="true"/>
          <w:lang w:bidi="ar-SA"/>
        </w:rPr>
        <w:t>المُستدِلُّ في الأصلِ وجوبَ النَّصِّ‌؛ لأنّه إذا عَلِمَ أنّ الإمامَ لا بُدَّ أن يَكونَ أفضَلَ مِن رَعيّتِه في العِباداتِ و الطاعاتِ‌، و أنّه لا بُدَّ أن يَكونَ سَليمَ الباطِنِ بدليلِ عصمتِه، عَلِمَ أنّه أكثَرُ ثَواباً، و هو إذا عَلِمَ أنّ الإمامَ لا بُدَّ أن يَكونَ معصوماً فلَيسَ بواجبٍ أن يَعلَمَ أنّ العصمةَ لا يُمكِنُ المعرفةُ بها مِن طريقِ الاختيارِ، و أنّه لا بُدَّ فيها مِن النَّصِّ‌؛ لأنّ هذا ممّا لا يُعلَمُ إلّابنظَرٍ مُستأنَفٍ‌، و ضَربٍ مِن الاستدلالِ مُفرَدٍ، فلَيسَ‌</w:t>
      </w:r>
      <w:r>
        <w:rPr>
          <w:rStyle w:val="FootnoteAnchor"/>
          <w:rtl w:val="true"/>
        </w:rPr>
        <w:footnoteReference w:id="2312"/>
      </w:r>
      <w:r>
        <w:rPr>
          <w:rFonts w:ascii="Amiri" w:hAnsi="Amiri" w:eastAsia="Amiri" w:cs="Amiri"/>
          <w:color w:val="111111"/>
          <w:sz w:val="28"/>
          <w:sz w:val="28"/>
          <w:szCs w:val="28"/>
          <w:rtl w:val="true"/>
          <w:lang w:bidi="ar-SA"/>
        </w:rPr>
        <w:t>يَمتَنِعُ أن يَعلَمَه معصوماً و أكثَرَ ثَواباً ثُمّ يَنظُرَ في كَونِه أكثَرَ ثَواباً؛ و هَل هو ممّا يَصِحُّ أن يُعرَفَ بالاستنباطِ، أم لا يُعرَفُ إلّابالنَّصِّ؟</w:t>
      </w:r>
    </w:p>
    <w:p>
      <w:pPr>
        <w:pStyle w:val="BookText"/>
        <w:rPr/>
      </w:pPr>
      <w:r>
        <w:rPr>
          <w:rFonts w:ascii="Amiri" w:hAnsi="Amiri" w:eastAsia="Amiri" w:cs="Amiri"/>
          <w:color w:val="111111"/>
          <w:sz w:val="28"/>
          <w:sz w:val="28"/>
          <w:szCs w:val="28"/>
          <w:rtl w:val="true"/>
          <w:lang w:bidi="ar-SA"/>
        </w:rPr>
        <w:t>فإذا عَرَفَ أنّه ممّا لا يُعلَمُ إلّابالنَّصِّ‌، خَلَصَ له بهذا الطريقِ العِلمُ بوجوبِ النَّصِّ‌، و إن كانَ لا يَعلَمُ أنّ كَثرةَ الثوابِ لا تُعلَمُ بالاختيارِ و أنّها لا تُعلَمُ إلّابالنَّصِّ إلّا بما يَعلَمُ به أنّ العصمةَ بهذه المَنزلةِ‌، و هذا لا يُخرِجُه مِن أن يَكونَ في الأصلِ إنّما عَلِمَ وجوبَ النَّصِّ بطريقةِ‌</w:t>
      </w:r>
      <w:r>
        <w:rPr>
          <w:rStyle w:val="FootnoteAnchor"/>
          <w:rtl w:val="true"/>
        </w:rPr>
        <w:footnoteReference w:id="2313"/>
      </w:r>
      <w:r>
        <w:rPr>
          <w:rFonts w:ascii="Amiri" w:hAnsi="Amiri" w:eastAsia="Amiri" w:cs="Amiri"/>
          <w:color w:val="111111"/>
          <w:sz w:val="28"/>
          <w:sz w:val="28"/>
          <w:szCs w:val="28"/>
          <w:rtl w:val="true"/>
          <w:lang w:bidi="ar-SA"/>
        </w:rPr>
        <w:t>كَثرةِ الثوابِ‌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حُصولِ العِلمِ هو مُخيَّرٌ بَينَ أن يَستَدِلَّ علَى المُخالِفِ في وجوبِ النَّصِّ بطريقةِ‌</w:t>
      </w:r>
      <w:r>
        <w:rPr>
          <w:rStyle w:val="FootnoteAnchor"/>
          <w:rtl w:val="true"/>
        </w:rPr>
        <w:footnoteReference w:id="2314"/>
      </w:r>
      <w:r>
        <w:rPr>
          <w:rFonts w:ascii="Amiri" w:hAnsi="Amiri" w:eastAsia="Amiri" w:cs="Amiri"/>
          <w:color w:val="111111"/>
          <w:sz w:val="28"/>
          <w:sz w:val="28"/>
          <w:szCs w:val="28"/>
          <w:rtl w:val="true"/>
          <w:lang w:bidi="ar-SA"/>
        </w:rPr>
        <w:t>كَثرةِ الثوابِ‌، و بَينَ أن يَستَدِلَّ بطريقةِ‌</w:t>
      </w:r>
      <w:r>
        <w:rPr>
          <w:rStyle w:val="FootnoteAnchor"/>
          <w:rtl w:val="true"/>
        </w:rPr>
        <w:footnoteReference w:id="2315"/>
      </w:r>
      <w:r>
        <w:rPr>
          <w:rFonts w:ascii="Amiri" w:hAnsi="Amiri" w:eastAsia="Amiri" w:cs="Amiri"/>
          <w:color w:val="111111"/>
          <w:sz w:val="28"/>
          <w:sz w:val="28"/>
          <w:szCs w:val="28"/>
          <w:rtl w:val="true"/>
          <w:lang w:bidi="ar-SA"/>
        </w:rPr>
        <w:t xml:space="preserve">العصمةِ ؛ لِاشتراكِهما في امتناعِ دُخولِ الاستنباطِ فيهما، و إن كانَ الاستدلالُ بالعصمةِ مع تَقدُّمِ العِلمِ الذي ذَكرناه أخَصَّ و أَولىٰ ؛ لأنّه يُزيحُ في الاعتمادِ عَلَيها رُتبةً مِن الكلامِ ثانيةً </w:t>
      </w:r>
      <w:r>
        <w:rPr>
          <w:rStyle w:val="FootnoteAnchor"/>
          <w:rtl w:val="true"/>
        </w:rPr>
        <w:footnoteReference w:id="2316"/>
      </w:r>
      <w:r>
        <w:rPr>
          <w:rFonts w:ascii="Amiri" w:hAnsi="Amiri" w:eastAsia="Amiri" w:cs="Amiri"/>
          <w:color w:val="111111"/>
          <w:sz w:val="28"/>
          <w:sz w:val="28"/>
          <w:szCs w:val="28"/>
          <w:rtl w:val="true"/>
          <w:lang w:bidi="ar-SA"/>
        </w:rPr>
        <w:t xml:space="preserve">يُحتاجُ في تصحيحِها إلىٰ ضَربٍ مِن الكُلفةِ </w:t>
      </w:r>
      <w:r>
        <w:rPr>
          <w:rFonts w:eastAsia="Amiri" w:cs="Amiri" w:ascii="Amiri" w:hAnsi="Amiri"/>
          <w:color w:val="111111"/>
          <w:sz w:val="28"/>
          <w:szCs w:val="28"/>
          <w:rtl w:val="true"/>
          <w:lang w:bidi="ar-SA"/>
        </w:rPr>
        <w:t xml:space="preserve">. </w:t>
      </w:r>
      <w:bookmarkStart w:id="399" w:name="pg20015_285000"/>
    </w:p>
    <w:p>
      <w:pPr>
        <w:pStyle w:val="BookText"/>
        <w:rPr/>
      </w:pPr>
      <w:bookmarkEnd w:id="399"/>
      <w:r>
        <w:rPr>
          <w:rFonts w:ascii="Amiri" w:hAnsi="Amiri" w:eastAsia="Amiri" w:cs="Amiri"/>
          <w:color w:val="111111"/>
          <w:sz w:val="28"/>
          <w:sz w:val="28"/>
          <w:szCs w:val="28"/>
          <w:rtl w:val="true"/>
          <w:lang w:bidi="ar-SA"/>
        </w:rPr>
        <w:t>و لهذا المَوضِعِ مِثالٌ في الأُصولِ صحيحٌ‌</w:t>
      </w:r>
      <w:r>
        <w:rPr>
          <w:rStyle w:val="FootnoteAnchor"/>
          <w:rtl w:val="true"/>
        </w:rPr>
        <w:footnoteReference w:id="2317"/>
      </w:r>
      <w:r>
        <w:rPr>
          <w:rFonts w:ascii="Amiri" w:hAnsi="Amiri" w:eastAsia="Amiri" w:cs="Amiri"/>
          <w:color w:val="111111"/>
          <w:sz w:val="28"/>
          <w:sz w:val="28"/>
          <w:szCs w:val="28"/>
          <w:rtl w:val="true"/>
          <w:lang w:bidi="ar-SA"/>
        </w:rPr>
        <w:t>، و هو أنّا قد</w:t>
      </w:r>
      <w:r>
        <w:rPr>
          <w:rStyle w:val="FootnoteAnchor"/>
          <w:rtl w:val="true"/>
        </w:rPr>
        <w:footnoteReference w:id="2318"/>
      </w:r>
      <w:r>
        <w:rPr>
          <w:rFonts w:ascii="Amiri" w:hAnsi="Amiri" w:eastAsia="Amiri" w:cs="Amiri"/>
          <w:color w:val="111111"/>
          <w:sz w:val="28"/>
          <w:sz w:val="28"/>
          <w:szCs w:val="28"/>
          <w:rtl w:val="true"/>
          <w:lang w:bidi="ar-SA"/>
        </w:rPr>
        <w:t xml:space="preserve">نَستَدِلُّ علىٰ وجودِ الفاعلِ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بكَونِه قادراً، و تارةً بكَونِه عالِماً؛ لأنّ الطريقتَينِ </w:t>
      </w:r>
      <w:r>
        <w:rPr>
          <w:rStyle w:val="FootnoteAnchor"/>
          <w:rtl w:val="true"/>
        </w:rPr>
        <w:footnoteReference w:id="2320"/>
      </w:r>
      <w:r>
        <w:rPr>
          <w:rFonts w:ascii="Amiri" w:hAnsi="Amiri" w:eastAsia="Amiri" w:cs="Amiri"/>
          <w:color w:val="111111"/>
          <w:sz w:val="28"/>
          <w:sz w:val="28"/>
          <w:szCs w:val="28"/>
          <w:rtl w:val="true"/>
          <w:lang w:bidi="ar-SA"/>
        </w:rPr>
        <w:t xml:space="preserve">جميعاً مُشتَرِكتانِ </w:t>
      </w:r>
      <w:r>
        <w:rPr>
          <w:rStyle w:val="FootnoteAnchor"/>
          <w:rtl w:val="true"/>
        </w:rPr>
        <w:footnoteReference w:id="2321"/>
      </w:r>
      <w:r>
        <w:rPr>
          <w:rFonts w:ascii="Amiri" w:hAnsi="Amiri" w:eastAsia="Amiri" w:cs="Amiri"/>
          <w:color w:val="111111"/>
          <w:sz w:val="28"/>
          <w:sz w:val="28"/>
          <w:szCs w:val="28"/>
          <w:rtl w:val="true"/>
          <w:lang w:bidi="ar-SA"/>
        </w:rPr>
        <w:t>فيما يَقتَضي كَونَه موجوداً، و نحنُ نَعلَمُ أنّا لا نَعلَمُه عالِماً إلّابَعدَ أن نَعلَمَه قادراً، و مَنزلةُ كَونِه عالِماً في الرتبةِ تاليةٌ لكَونِه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يَصِحُّ أن يُقدَحَ في الاستدلالِ علىٰ وجودِه بكَونِه عالِماً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لا تَعلَمونَه عالِماً إلّابَعدَ أن تَعلَموه</w:t>
      </w:r>
      <w:r>
        <w:rPr>
          <w:rStyle w:val="FootnoteAnchor"/>
          <w:rtl w:val="true"/>
        </w:rPr>
        <w:footnoteReference w:id="2322"/>
      </w:r>
      <w:r>
        <w:rPr>
          <w:rFonts w:ascii="Amiri" w:hAnsi="Amiri" w:eastAsia="Amiri" w:cs="Amiri"/>
          <w:color w:val="111111"/>
          <w:sz w:val="28"/>
          <w:sz w:val="28"/>
          <w:szCs w:val="28"/>
          <w:rtl w:val="true"/>
          <w:lang w:bidi="ar-SA"/>
        </w:rPr>
        <w:t>قادراً، و كانَ كَونُه قادراً يدُلُّ بنفسِه علىٰ وجودِه، فلا فائدةَ في</w:t>
      </w:r>
      <w:r>
        <w:rPr>
          <w:rStyle w:val="FootnoteAnchor"/>
          <w:rtl w:val="true"/>
        </w:rPr>
        <w:footnoteReference w:id="2323"/>
      </w:r>
      <w:r>
        <w:rPr>
          <w:rFonts w:ascii="Amiri" w:hAnsi="Amiri" w:eastAsia="Amiri" w:cs="Amiri"/>
          <w:color w:val="111111"/>
          <w:sz w:val="28"/>
          <w:sz w:val="28"/>
          <w:szCs w:val="28"/>
          <w:rtl w:val="true"/>
          <w:lang w:bidi="ar-SA"/>
        </w:rPr>
        <w:t>الاستدلالِ بكَونِه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الذي يَبطُلُ به هذا</w:t>
      </w:r>
      <w:r>
        <w:rPr>
          <w:rStyle w:val="FootnoteAnchor"/>
          <w:rtl w:val="true"/>
        </w:rPr>
        <w:footnoteReference w:id="2324"/>
      </w:r>
      <w:r>
        <w:rPr>
          <w:rFonts w:ascii="Amiri" w:hAnsi="Amiri" w:eastAsia="Amiri" w:cs="Amiri"/>
          <w:color w:val="111111"/>
          <w:sz w:val="28"/>
          <w:sz w:val="28"/>
          <w:szCs w:val="28"/>
          <w:rtl w:val="true"/>
          <w:lang w:bidi="ar-SA"/>
        </w:rPr>
        <w:t>القَدحُ هو ما ذَكرناه في جوابِ السؤالِ ، أو قَريبٌ مِنه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895001_2320776876"/>
      <w:bookmarkStart w:id="401" w:name="_Toc142"/>
      <w:bookmarkEnd w:id="400"/>
      <w:r>
        <w:rPr>
          <w:rtl w:val="true"/>
        </w:rPr>
        <w:t>عدم لزوم أن يكون الأُمراء و الحكّام أكثر ثواباً</w:t>
      </w:r>
      <w:bookmarkEnd w:id="4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ما أصَّلتُموه</w:t>
      </w:r>
      <w:r>
        <w:rPr>
          <w:rStyle w:val="FootnoteAnchor"/>
          <w:rtl w:val="true"/>
        </w:rPr>
        <w:footnoteReference w:id="2325"/>
      </w:r>
      <w:r>
        <w:rPr>
          <w:rFonts w:ascii="Amiri" w:hAnsi="Amiri" w:eastAsia="Amiri" w:cs="Amiri"/>
          <w:color w:val="111111"/>
          <w:sz w:val="28"/>
          <w:sz w:val="28"/>
          <w:szCs w:val="28"/>
          <w:rtl w:val="true"/>
          <w:lang w:bidi="ar-SA"/>
        </w:rPr>
        <w:t>أن يَكونَ الأُمَراءُ و الحُكّامُ و القُضاةُ و جميعُ خُلَفاءِ الإمامِ منصوصاً عَلَيهم بمِثلِ طريقتِكم</w:t>
      </w:r>
      <w:r>
        <w:rPr>
          <w:rStyle w:val="FootnoteAnchor"/>
          <w:rtl w:val="true"/>
        </w:rPr>
        <w:footnoteReference w:id="2326"/>
      </w:r>
      <w:r>
        <w:rPr>
          <w:rFonts w:ascii="Amiri" w:hAnsi="Amiri" w:eastAsia="Amiri" w:cs="Amiri"/>
          <w:color w:val="111111"/>
          <w:sz w:val="28"/>
          <w:sz w:val="28"/>
          <w:szCs w:val="28"/>
          <w:rtl w:val="true"/>
          <w:lang w:bidi="ar-SA"/>
        </w:rPr>
        <w:t xml:space="preserve">لأنّهُم إذا كانوا رؤَساءَ في كَثيرٍ مِن أُمورِ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يَكونوا رؤَساءَ في جميعِه، علىٰ حَسَبِ ما تَدَّعونَه و تُفرِّقونَ </w:t>
      </w:r>
      <w:bookmarkStart w:id="402" w:name="pg20015_285001"/>
    </w:p>
    <w:p>
      <w:pPr>
        <w:pStyle w:val="BookText"/>
        <w:rPr/>
      </w:pPr>
      <w:bookmarkEnd w:id="402"/>
      <w:r>
        <w:rPr>
          <w:rFonts w:ascii="Amiri" w:hAnsi="Amiri" w:eastAsia="Amiri" w:cs="Amiri"/>
          <w:color w:val="111111"/>
          <w:sz w:val="28"/>
          <w:sz w:val="28"/>
          <w:szCs w:val="28"/>
          <w:rtl w:val="true"/>
          <w:lang w:bidi="ar-SA"/>
        </w:rPr>
        <w:t xml:space="preserve">به بَينَهم و بَينَ الأئمّةِ </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يَكونوا أكثَرَ ثَواباً مِن رَعاياهم، و يَجِبُ النَّصُّ عَلَيهم؛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فيمَن ذَكرتَ مِن الأُمَراءِ و الحُكّامِ أن يَكونوا أفضَلَ مِن رَعيّتِهم فيما كانوا رؤَساءَ فيه، و ما كانوا رؤَساءَ فيه</w:t>
      </w:r>
      <w:r>
        <w:rPr>
          <w:rStyle w:val="FootnoteAnchor"/>
          <w:rtl w:val="true"/>
        </w:rPr>
        <w:footnoteReference w:id="2328"/>
      </w:r>
      <w:r>
        <w:rPr>
          <w:rFonts w:ascii="Amiri" w:hAnsi="Amiri" w:eastAsia="Amiri" w:cs="Amiri"/>
          <w:color w:val="111111"/>
          <w:sz w:val="28"/>
          <w:sz w:val="28"/>
          <w:szCs w:val="28"/>
          <w:rtl w:val="true"/>
          <w:lang w:bidi="ar-SA"/>
        </w:rPr>
        <w:t>مِن جُملةِ الدِّينِ لا بُدَّ</w:t>
      </w:r>
      <w:r>
        <w:rPr>
          <w:rStyle w:val="FootnoteAnchor"/>
          <w:rtl w:val="true"/>
        </w:rPr>
        <w:footnoteReference w:id="2329"/>
      </w:r>
      <w:r>
        <w:rPr>
          <w:rFonts w:ascii="Amiri" w:hAnsi="Amiri" w:eastAsia="Amiri" w:cs="Amiri"/>
          <w:color w:val="111111"/>
          <w:sz w:val="28"/>
          <w:sz w:val="28"/>
          <w:szCs w:val="28"/>
          <w:rtl w:val="true"/>
          <w:lang w:bidi="ar-SA"/>
        </w:rPr>
        <w:t>مِن</w:t>
      </w:r>
      <w:r>
        <w:rPr>
          <w:rStyle w:val="FootnoteAnchor"/>
          <w:rtl w:val="true"/>
        </w:rPr>
        <w:footnoteReference w:id="2330"/>
      </w:r>
      <w:r>
        <w:rPr>
          <w:rFonts w:ascii="Amiri" w:hAnsi="Amiri" w:eastAsia="Amiri" w:cs="Amiri"/>
          <w:color w:val="111111"/>
          <w:sz w:val="28"/>
          <w:sz w:val="28"/>
          <w:szCs w:val="28"/>
          <w:rtl w:val="true"/>
          <w:lang w:bidi="ar-SA"/>
        </w:rPr>
        <w:t>أن يَكونوا أفضَلَ ظاهراً مِن رَعيّتِهم فيه، و كَثرةُ الثوابِ لَيسَ يدُلُّ عَلَيه</w:t>
      </w:r>
      <w:r>
        <w:rPr>
          <w:rStyle w:val="FootnoteAnchor"/>
          <w:rtl w:val="true"/>
        </w:rPr>
        <w:footnoteReference w:id="2331"/>
      </w:r>
      <w:r>
        <w:rPr>
          <w:rFonts w:ascii="Amiri" w:hAnsi="Amiri" w:eastAsia="Amiri" w:cs="Amiri"/>
          <w:color w:val="111111"/>
          <w:sz w:val="28"/>
          <w:sz w:val="28"/>
          <w:szCs w:val="28"/>
          <w:rtl w:val="true"/>
          <w:lang w:bidi="ar-SA"/>
        </w:rPr>
        <w:t>الفَضلُ في الظاهرِ، و لمّا</w:t>
      </w:r>
      <w:r>
        <w:rPr>
          <w:rStyle w:val="FootnoteAnchor"/>
          <w:rtl w:val="true"/>
        </w:rPr>
        <w:footnoteReference w:id="2332"/>
      </w:r>
      <w:r>
        <w:rPr>
          <w:rFonts w:ascii="Amiri" w:hAnsi="Amiri" w:eastAsia="Amiri" w:cs="Amiri"/>
          <w:color w:val="111111"/>
          <w:sz w:val="28"/>
          <w:sz w:val="28"/>
          <w:szCs w:val="28"/>
          <w:rtl w:val="true"/>
          <w:lang w:bidi="ar-SA"/>
        </w:rPr>
        <w:t xml:space="preserve">كانَت عصمتُهم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كلامِنا</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أن يَكونوا أكثَرَ ثَواباً؛ لأنّ ذلكَ إنّما وَجَبَ في الأئمّةِ مِن حَيثُ عُلِمَ أنّ بَواطِنَهم كظواهرِهم، و استنادُه</w:t>
      </w:r>
      <w:r>
        <w:rPr>
          <w:rStyle w:val="FootnoteAnchor"/>
          <w:rtl w:val="true"/>
        </w:rPr>
        <w:footnoteReference w:id="2334"/>
      </w:r>
      <w:r>
        <w:rPr>
          <w:rFonts w:ascii="Amiri" w:hAnsi="Amiri" w:eastAsia="Amiri" w:cs="Amiri"/>
          <w:color w:val="111111"/>
          <w:sz w:val="28"/>
          <w:sz w:val="28"/>
          <w:szCs w:val="28"/>
          <w:rtl w:val="true"/>
          <w:lang w:bidi="ar-SA"/>
        </w:rPr>
        <w:t xml:space="preserve">إلَى العصمةِ التي لا تَجِبُ في الأُمَراءِ </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895003_2320776876"/>
      <w:bookmarkStart w:id="404" w:name="_Toc143"/>
      <w:bookmarkEnd w:id="403"/>
      <w:r>
        <w:rPr>
          <w:rtl w:val="true"/>
        </w:rPr>
        <w:t>بيان الطريق لمعرفة أفضليّة الأُمراء و الحكّام</w:t>
      </w:r>
      <w:bookmarkEnd w:id="404"/>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السبيلُ للإمامِ الذي يَختارُ الأُمَراءَ و الحُكّامَ إلىٰ أن يَعلَمَ أنّهم أفضَلَ مِن رَعاياهم في ظاهرِ العِباداتِ ، و في العِلمِ بسائرِ ما كانوا رؤَساءَ فيه ؟ فإنّه متىٰ لَم يُثبِتوا أنّ للأئمّةِ إلَى العِلمِ بذلكَ سَبيلاً يُتوصَّلُ إليه بالاختيارِ، وَجَبَ النَّصُّ فيهم كوُجوبِه في الأئمّةِ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الأفضَلَ في الظاهرِ فيما يَتعلَّقُ بالعِباداتِ يُمكِنُ العِلمُ </w:t>
      </w:r>
    </w:p>
    <w:p>
      <w:pPr>
        <w:pStyle w:val="BookText"/>
        <w:rPr/>
      </w:pPr>
      <w:r>
        <w:rPr>
          <w:rFonts w:ascii="Amiri" w:hAnsi="Amiri" w:eastAsia="Amiri" w:cs="Amiri"/>
          <w:color w:val="111111"/>
          <w:sz w:val="28"/>
          <w:sz w:val="28"/>
          <w:szCs w:val="28"/>
          <w:rtl w:val="true"/>
          <w:lang w:bidi="ar-SA"/>
        </w:rPr>
        <w:t>به مِن غَيرِ نَصٍّ واردٍ مِن جهةِ اللّٰهِ تَعالىٰ علىٰ عَينِه؛ لأنّا نَعلَمُ مِن أحَدِنا أنّه أفضَلُ‌</w:t>
      </w:r>
    </w:p>
    <w:p>
      <w:pPr>
        <w:pStyle w:val="BookText"/>
        <w:rPr/>
      </w:pPr>
      <w:r>
        <w:rPr>
          <w:rFonts w:ascii="Amiri" w:hAnsi="Amiri" w:eastAsia="Amiri" w:cs="Amiri"/>
          <w:color w:val="111111"/>
          <w:sz w:val="28"/>
          <w:sz w:val="28"/>
          <w:szCs w:val="28"/>
          <w:rtl w:val="true"/>
          <w:lang w:bidi="ar-SA"/>
        </w:rPr>
        <w:t>أهلِ زمانِه في بَلَدِه</w:t>
      </w:r>
      <w:r>
        <w:rPr>
          <w:rStyle w:val="FootnoteAnchor"/>
          <w:rtl w:val="true"/>
        </w:rPr>
        <w:footnoteReference w:id="2336"/>
      </w:r>
      <w:r>
        <w:rPr>
          <w:rFonts w:ascii="Amiri" w:hAnsi="Amiri" w:eastAsia="Amiri" w:cs="Amiri"/>
          <w:color w:val="111111"/>
          <w:sz w:val="28"/>
          <w:sz w:val="28"/>
          <w:szCs w:val="28"/>
          <w:rtl w:val="true"/>
          <w:lang w:bidi="ar-SA"/>
        </w:rPr>
        <w:t>عِبادةً‌، و أحسَنُهم ظاهراً، و أظهَرُهم زُهداً، حتّىٰ أنّا نُشيرُ إليه بعَينِه، و نُميِّزُه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المُستَحيلُ أن يُعلَمَ باطنُه و استحقاقُه للثوابِ علىٰ أفعالِه، فأمّا ما يَرجِعُ إلَى الظاهرِ فلا شَكَّ في أنّه معلومٌ لِمَن هو أَدوَنُ مَرتَبةً في المعرفةِ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الأفضَلُ‌</w:t>
      </w:r>
      <w:r>
        <w:rPr>
          <w:rStyle w:val="FootnoteAnchor"/>
          <w:rtl w:val="true"/>
        </w:rPr>
        <w:footnoteReference w:id="2337"/>
      </w:r>
      <w:r>
        <w:rPr>
          <w:rFonts w:ascii="Amiri" w:hAnsi="Amiri" w:eastAsia="Amiri" w:cs="Amiri"/>
          <w:color w:val="111111"/>
          <w:sz w:val="28"/>
          <w:sz w:val="28"/>
          <w:szCs w:val="28"/>
          <w:rtl w:val="true"/>
          <w:lang w:bidi="ar-SA"/>
        </w:rPr>
        <w:t>في العُلومِ و ما يَجري مَجراها، فجارٍ مَجرىٰ ما ذَكرناه في أنّه معلومٌ أيضاً بالاستنباطِ و الاختبارِ</w:t>
      </w:r>
      <w:r>
        <w:rPr>
          <w:rStyle w:val="FootnoteAnchor"/>
          <w:rtl w:val="true"/>
        </w:rPr>
        <w:footnoteReference w:id="2338"/>
      </w:r>
      <w:r>
        <w:rPr>
          <w:rFonts w:ascii="Amiri" w:hAnsi="Amiri" w:eastAsia="Amiri" w:cs="Amiri"/>
          <w:color w:val="111111"/>
          <w:sz w:val="28"/>
          <w:sz w:val="28"/>
          <w:szCs w:val="28"/>
          <w:rtl w:val="true"/>
          <w:lang w:bidi="ar-SA"/>
        </w:rPr>
        <w:t>لأنّا نَعلَمُ حالَ مَن هو أفضَلُ أهلِ بَلَدِنا في العِلمِ بالفِقهِ و النحوِ و اللُّغةِ و ما جَرىٰ مَجرىٰ ما ذَكرناه مِن العُلومِ‌، و رُبَّما اتَّضَحَ ذلكَ حتّىٰ لا يُشكِلُ علىٰ أحَدٍ، و رُبَّما التَبَسَ‌؛ و في الجُملةِ‌</w:t>
      </w:r>
      <w:r>
        <w:rPr>
          <w:rStyle w:val="FootnoteAnchor"/>
          <w:rtl w:val="true"/>
        </w:rPr>
        <w:footnoteReference w:id="2339"/>
      </w:r>
      <w:r>
        <w:rPr>
          <w:rFonts w:ascii="Amiri" w:hAnsi="Amiri" w:eastAsia="Amiri" w:cs="Amiri"/>
          <w:color w:val="111111"/>
          <w:sz w:val="28"/>
          <w:sz w:val="28"/>
          <w:szCs w:val="28"/>
          <w:rtl w:val="true"/>
          <w:lang w:bidi="ar-SA"/>
        </w:rPr>
        <w:t>فحالُ المُتقدِّمينَ في ضُروبِ الفَضلِ و العُلومِ معروفةٌ عندَ مَن خالَطَهم و جاوَرَهم، و تَميُّزُهم ممّن لا يُدانيهِم في فَضلِهم و عُلومِهم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عَرَفنا</w:t>
      </w:r>
      <w:r>
        <w:rPr>
          <w:rStyle w:val="FootnoteAnchor"/>
          <w:rtl w:val="true"/>
        </w:rPr>
        <w:footnoteReference w:id="2340"/>
      </w:r>
      <w:r>
        <w:rPr>
          <w:rFonts w:ascii="Amiri" w:hAnsi="Amiri" w:eastAsia="Amiri" w:cs="Amiri"/>
          <w:color w:val="111111"/>
          <w:sz w:val="28"/>
          <w:sz w:val="28"/>
          <w:szCs w:val="28"/>
          <w:rtl w:val="true"/>
          <w:lang w:bidi="ar-SA"/>
        </w:rPr>
        <w:t xml:space="preserve">أيضاً مِن طريقِ الخبرِ حالَ الأفضَلِ في فَنٍّ مِن العِلمِ </w:t>
      </w:r>
      <w:r>
        <w:rPr>
          <w:rStyle w:val="FootnoteAnchor"/>
          <w:rtl w:val="true"/>
        </w:rPr>
        <w:footnoteReference w:id="2341"/>
      </w:r>
      <w:r>
        <w:rPr>
          <w:rFonts w:ascii="Amiri" w:hAnsi="Amiri" w:eastAsia="Amiri" w:cs="Amiri"/>
          <w:color w:val="111111"/>
          <w:sz w:val="28"/>
          <w:sz w:val="28"/>
          <w:szCs w:val="28"/>
          <w:rtl w:val="true"/>
          <w:lang w:bidi="ar-SA"/>
        </w:rPr>
        <w:t>و إن نأىٰ بَلَدُه عن بَلَدِنا حتّىٰ لا نَشُكُّ في فَضلِه و</w:t>
      </w:r>
      <w:r>
        <w:rPr>
          <w:rStyle w:val="FootnoteAnchor"/>
          <w:rtl w:val="true"/>
        </w:rPr>
        <w:footnoteReference w:id="2342"/>
      </w:r>
      <w:r>
        <w:rPr>
          <w:rFonts w:ascii="Amiri" w:hAnsi="Amiri" w:eastAsia="Amiri" w:cs="Amiri"/>
          <w:color w:val="111111"/>
          <w:sz w:val="28"/>
          <w:sz w:val="28"/>
          <w:szCs w:val="28"/>
          <w:rtl w:val="true"/>
          <w:lang w:bidi="ar-SA"/>
        </w:rPr>
        <w:t>تَميُّزِه مِن غَيرِه و تَقدُّمِه لأهلِ بلدِه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w:t>
      </w:r>
      <w:r>
        <w:rPr>
          <w:rStyle w:val="FootnoteAnchor"/>
          <w:rtl w:val="true"/>
        </w:rPr>
        <w:footnoteReference w:id="2343"/>
      </w:r>
      <w:r>
        <w:rPr>
          <w:rFonts w:ascii="Amiri" w:hAnsi="Amiri" w:eastAsia="Amiri" w:cs="Amiri"/>
          <w:color w:val="111111"/>
          <w:sz w:val="28"/>
          <w:sz w:val="28"/>
          <w:szCs w:val="28"/>
          <w:rtl w:val="true"/>
          <w:lang w:bidi="ar-SA"/>
        </w:rPr>
        <w:t xml:space="preserve">طريقُ المعرفةِ بذَوي الفَضلِ علىٰ هذا الحَدِّ مِن الوُضوحِ ، فأيُّ حاجةٍ </w:t>
      </w:r>
    </w:p>
    <w:p>
      <w:pPr>
        <w:pStyle w:val="BookText"/>
        <w:rPr/>
      </w:pPr>
      <w:r>
        <w:rPr>
          <w:rFonts w:ascii="Amiri" w:hAnsi="Amiri" w:eastAsia="Amiri" w:cs="Amiri"/>
          <w:color w:val="111111"/>
          <w:sz w:val="28"/>
          <w:sz w:val="28"/>
          <w:szCs w:val="28"/>
          <w:rtl w:val="true"/>
          <w:lang w:bidi="ar-SA"/>
        </w:rPr>
        <w:t xml:space="preserve">بالإمامِ </w:t>
      </w:r>
      <w:r>
        <w:rPr>
          <w:rStyle w:val="FootnoteAnchor"/>
          <w:rtl w:val="true"/>
        </w:rPr>
        <w:footnoteReference w:id="2344"/>
      </w:r>
      <w:r>
        <w:rPr>
          <w:rFonts w:ascii="Amiri" w:hAnsi="Amiri" w:eastAsia="Amiri" w:cs="Amiri"/>
          <w:color w:val="111111"/>
          <w:sz w:val="28"/>
          <w:sz w:val="28"/>
          <w:szCs w:val="28"/>
          <w:rtl w:val="true"/>
          <w:lang w:bidi="ar-SA"/>
        </w:rPr>
        <w:t xml:space="preserve">في اختيارِ الأُمَراءِ و الحُكّامِ إلىٰ نَصٍّ مِن قِبَلِ اللّٰهِ تَعالىٰ و هو المعصومُ الموفَّقُ في كُلِّ </w:t>
      </w:r>
      <w:r>
        <w:rPr>
          <w:rStyle w:val="FootnoteAnchor"/>
          <w:rtl w:val="true"/>
        </w:rPr>
        <w:footnoteReference w:id="2345"/>
      </w:r>
      <w:r>
        <w:rPr>
          <w:rFonts w:ascii="Amiri" w:hAnsi="Amiri" w:eastAsia="Amiri" w:cs="Amiri"/>
          <w:color w:val="111111"/>
          <w:sz w:val="28"/>
          <w:sz w:val="28"/>
          <w:szCs w:val="28"/>
          <w:rtl w:val="true"/>
          <w:lang w:bidi="ar-SA"/>
        </w:rPr>
        <w:t>ما يأتي و يَذَرُ؟</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أَوجَبتم الإمامةَ لِمَن كانَ أفضَلَ في الشيءِ الذي كانَ إماماً فيه مِن رَعيّتِه، و ضَرَبتم لإبطالِ ما خالَفَ ذلكَ الأمثالَ التي تَقَدَّمَت، فهذا دُخولٌ في مَذهَبِ مَن قالَ في الإمامةِ بالاستحقاقِ الذي أَنكَرتموه</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2347"/>
      </w:r>
      <w:r>
        <w:rPr>
          <w:rFonts w:ascii="Amiri" w:hAnsi="Amiri" w:eastAsia="Amiri" w:cs="Amiri"/>
          <w:color w:val="111111"/>
          <w:sz w:val="28"/>
          <w:sz w:val="28"/>
          <w:szCs w:val="28"/>
          <w:rtl w:val="true"/>
          <w:lang w:bidi="ar-SA"/>
        </w:rPr>
        <w:t>الإمامةُ إذا أُريدَ بها التكليفُ و إلزامُ الإمامِ القيامَ بالأُمورِ التي يَقومُ بها الأئمّةُ فلَيسَت مُستَحَقّةً‌؛ لأنّ المَشاقَّ و الكُلَفَ لا يَجوزُ أن يَكونَ‌</w:t>
      </w:r>
      <w:r>
        <w:rPr>
          <w:rStyle w:val="FootnoteAnchor"/>
          <w:rtl w:val="true"/>
        </w:rPr>
        <w:footnoteReference w:id="2348"/>
      </w:r>
      <w:r>
        <w:rPr>
          <w:rFonts w:ascii="Amiri" w:hAnsi="Amiri" w:eastAsia="Amiri" w:cs="Amiri"/>
          <w:color w:val="111111"/>
          <w:sz w:val="28"/>
          <w:sz w:val="28"/>
          <w:szCs w:val="28"/>
          <w:rtl w:val="true"/>
          <w:lang w:bidi="ar-SA"/>
        </w:rPr>
        <w:t xml:space="preserve">ثَواباً و لا جاريةً مَجرَى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في الإمامةِ علىٰ هذا الوجهِ كالقَولِ في الرسالةِ و أنّها غَيرُ مُستَحَقّةٍ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أُشيرَ بالإمامةِ إلَى الحالِ التي يَحصُلُ عَلَيها الإمامُ بَعدَ ثُبوتِ رئاستِه و إمامتِه، و تَكَفُّلِه</w:t>
      </w:r>
      <w:r>
        <w:rPr>
          <w:rStyle w:val="FootnoteAnchor"/>
          <w:rtl w:val="true"/>
        </w:rPr>
        <w:footnoteReference w:id="2349"/>
      </w:r>
      <w:r>
        <w:rPr>
          <w:rFonts w:ascii="Amiri" w:hAnsi="Amiri" w:eastAsia="Amiri" w:cs="Amiri"/>
          <w:color w:val="111111"/>
          <w:sz w:val="28"/>
          <w:sz w:val="28"/>
          <w:szCs w:val="28"/>
          <w:rtl w:val="true"/>
          <w:lang w:bidi="ar-SA"/>
        </w:rPr>
        <w:t>بالقيامِ بما أُسنِدَ إليه، و إلىٰ ما يَجِبُ له مِن التعظيمِ و التبجيلِ ، فذلكَ مُستَحَقٌّ ، و لا بُدَّ أن يَكونَ أفضَلَ فيه مِن رَعيّتِه؛ لِما</w:t>
      </w:r>
      <w:r>
        <w:rPr>
          <w:rStyle w:val="FootnoteAnchor"/>
          <w:rtl w:val="true"/>
        </w:rPr>
        <w:footnoteReference w:id="2350"/>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مِن هذا الوجهِ تَجري مَجرَى النُّبوّةِ إذا أُشيرَ بها إلىٰ ما يَستَحِقُّه النبيُّ صَلَّى اللّٰهُ عليه و آلِه مِن الرِّفعةِ و التبجيلِ في أنّ ذلكَ لا يَكونُ إلّامُستَحَقّاً</w:t>
      </w:r>
      <w:r>
        <w:rPr>
          <w:rFonts w:eastAsia="Amiri" w:cs="Amiri" w:ascii="Amiri" w:hAnsi="Amiri"/>
          <w:color w:val="111111"/>
          <w:sz w:val="28"/>
          <w:szCs w:val="28"/>
          <w:rtl w:val="true"/>
          <w:lang w:bidi="ar-SA"/>
        </w:rPr>
        <w:t xml:space="preserve">. </w:t>
      </w:r>
      <w:bookmarkStart w:id="405" w:name="pg20015_285004"/>
    </w:p>
    <w:p>
      <w:pPr>
        <w:pStyle w:val="BookText"/>
        <w:rPr/>
      </w:pPr>
      <w:bookmarkEnd w:id="405"/>
      <w:r>
        <w:rPr>
          <w:rFonts w:ascii="IRNazanin" w:hAnsi="IRNazanin" w:eastAsia="IRNazanin"/>
          <w:color w:val="111111"/>
          <w:sz w:val="28"/>
          <w:sz w:val="28"/>
          <w:szCs w:val="28"/>
          <w:rtl w:val="true"/>
          <w:lang w:bidi="fa-IR"/>
        </w:rPr>
        <w:t>و هذه</w:t>
      </w:r>
      <w:r>
        <w:rPr>
          <w:rStyle w:val="FootnoteAnchor"/>
          <w:rtl w:val="true"/>
        </w:rPr>
        <w:footnoteReference w:id="2351"/>
      </w:r>
      <w:r>
        <w:rPr>
          <w:rFonts w:ascii="Amiri" w:hAnsi="Amiri" w:eastAsia="Amiri" w:cs="Amiri"/>
          <w:color w:val="111111"/>
          <w:sz w:val="28"/>
          <w:sz w:val="28"/>
          <w:szCs w:val="28"/>
          <w:rtl w:val="true"/>
          <w:lang w:bidi="ar-SA"/>
        </w:rPr>
        <w:t xml:space="preserve">الطريقةُ التي سَلَكناها في الدَّلالةِ علىٰ أنّ الإمامَ يَجِبُ أن يَكونَ أفضَلَ مِن رَعيّتِه أقوىٰ ما يُعتَمَدُ في هذا البابِ‌، و إن كانَ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معروفةٌ إلّاأنّ جميعَها مُعتَرَضٌ‌، و أكثَرُها يَلزَمُ‌</w:t>
      </w:r>
      <w:r>
        <w:rPr>
          <w:rStyle w:val="FootnoteAnchor"/>
          <w:rtl w:val="true"/>
        </w:rPr>
        <w:footnoteReference w:id="2352"/>
      </w:r>
      <w:r>
        <w:rPr>
          <w:rFonts w:ascii="Amiri" w:hAnsi="Amiri" w:eastAsia="Amiri" w:cs="Amiri"/>
          <w:color w:val="111111"/>
          <w:sz w:val="28"/>
          <w:sz w:val="28"/>
          <w:szCs w:val="28"/>
          <w:rtl w:val="true"/>
          <w:lang w:bidi="ar-SA"/>
        </w:rPr>
        <w:t xml:space="preserve">عَلَيه أن يَكونَ الأُمَراءُ و جميعُ خُلَفاءِ الإمامِ أفضَلَ مِن رَعيّتِهم علَى الحَدِّ الذي يوجِبونَه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كتابَنا هذا موضوعٌ للنقضِ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الاعتراضِ علَى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لَأَورَدنا جُملَةً </w:t>
      </w:r>
      <w:r>
        <w:rPr>
          <w:rStyle w:val="FootnoteAnchor"/>
          <w:rtl w:val="true"/>
        </w:rPr>
        <w:footnoteReference w:id="2353"/>
      </w:r>
      <w:r>
        <w:rPr>
          <w:rFonts w:ascii="Amiri" w:hAnsi="Amiri" w:eastAsia="Amiri" w:cs="Amiri"/>
          <w:color w:val="111111"/>
          <w:sz w:val="28"/>
          <w:sz w:val="28"/>
          <w:szCs w:val="28"/>
          <w:rtl w:val="true"/>
          <w:lang w:bidi="ar-SA"/>
        </w:rPr>
        <w:t>مِن الطُّرُقِ المسلوكةِ فيما ذَكرناه، و أَشَرنا إلىٰ جهةِ الاعتراضِ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لَعلَّنا أن نُفرِدَ للكلامِ في أنّ الإمامَ يَجِبُ أن يَكونَ أكثَرَ ثَواباً مِن رَعيّتِه مَوضِعاً نَستَوفيهِ إن شاءَ اللّٰهُ تَعالىٰ </w:t>
      </w:r>
      <w:r>
        <w:rPr>
          <w:rStyle w:val="FootnoteAnchor"/>
          <w:rtl w:val="true"/>
        </w:rPr>
        <w:footnoteReference w:id="2354"/>
      </w:r>
      <w:r>
        <w:rPr>
          <w:rFonts w:ascii="Amiri" w:hAnsi="Amiri" w:eastAsia="Amiri" w:cs="Amiri"/>
          <w:color w:val="111111"/>
          <w:sz w:val="28"/>
          <w:sz w:val="28"/>
          <w:szCs w:val="28"/>
          <w:rtl w:val="true"/>
          <w:lang w:bidi="ar-SA"/>
        </w:rPr>
        <w:t>، فلنا في تلخيصِ الدَّلالةِ علىٰ هذا المَوضِعِ نظَرٌ</w:t>
      </w:r>
      <w:r>
        <w:rPr>
          <w:rFonts w:eastAsia="Amiri" w:cs="Amiri" w:ascii="Amiri" w:hAnsi="Amiri"/>
          <w:color w:val="111111"/>
          <w:sz w:val="28"/>
          <w:szCs w:val="28"/>
          <w:rtl w:val="true"/>
          <w:lang w:bidi="ar-SA"/>
        </w:rPr>
        <w:t>.</w:t>
      </w:r>
      <w:r>
        <w:rPr>
          <w:rStyle w:val="FootnoteAnchor"/>
          <w:rtl w:val="true"/>
        </w:rPr>
        <w:footnoteReference w:id="2355"/>
      </w:r>
    </w:p>
    <w:p>
      <w:pPr>
        <w:pStyle w:val="Heading5"/>
        <w:numPr>
          <w:ilvl w:val="4"/>
          <w:numId w:val="1"/>
        </w:numPr>
        <w:rPr/>
      </w:pPr>
      <w:bookmarkStart w:id="406" w:name="__RefHeading___Toc895005_2320776876"/>
      <w:bookmarkStart w:id="407" w:name="_Toc144"/>
      <w:bookmarkEnd w:id="406"/>
      <w:r>
        <w:rPr>
          <w:rtl w:val="true"/>
        </w:rPr>
        <w:t>الدليل الثاني</w:t>
      </w:r>
      <w:bookmarkEnd w:id="407"/>
    </w:p>
    <w:p>
      <w:pPr>
        <w:pStyle w:val="Heading6"/>
        <w:numPr>
          <w:ilvl w:val="5"/>
          <w:numId w:val="1"/>
        </w:numPr>
        <w:rPr/>
      </w:pPr>
      <w:bookmarkStart w:id="408" w:name="__RefHeading___Toc895007_2320776876"/>
      <w:bookmarkStart w:id="409" w:name="_Toc14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 يُمكِنُ أن يُعتَمَدَ في الاستدلالِ علىٰ أنّ الإمامَ أكثَرُ ثَواباً مِن رَعيّتِه علىٰ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الإمامَ حُجّةٌ في الشرعِ بالأدلّةِ المُتقدِّمةِ‌، و مَن كانَ حُجّةً فيما يَجِبُ قَبولُه مِنه و الانتهاءُ إلىٰ أمرِه فيه، فالواجبُ أن يَجتَنِبَ </w:t>
      </w:r>
      <w:r>
        <w:rPr>
          <w:rStyle w:val="FootnoteAnchor"/>
          <w:rtl w:val="true"/>
        </w:rPr>
        <w:footnoteReference w:id="2356"/>
      </w:r>
      <w:r>
        <w:rPr>
          <w:rFonts w:ascii="Amiri" w:hAnsi="Amiri" w:eastAsia="Amiri" w:cs="Amiri"/>
          <w:color w:val="111111"/>
          <w:sz w:val="28"/>
          <w:sz w:val="28"/>
          <w:szCs w:val="28"/>
          <w:rtl w:val="true"/>
          <w:lang w:bidi="ar-SA"/>
        </w:rPr>
        <w:t xml:space="preserve">كُلَّ ما يَكونُ معه المُكلَّفونَ مِن القَبولِ مِنه أنفَرَ، و يَكونَ علَى الأحوالِ التي يَكونونَ عندَها إليه أسكَنَ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أنّ المُكلَّفينَ لا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جَوَّزوا في إمامِهم أن يَكونَ </w:t>
      </w:r>
      <w:r>
        <w:rPr>
          <w:rStyle w:val="FootnoteAnchor"/>
          <w:rtl w:val="true"/>
        </w:rPr>
        <w:footnoteReference w:id="2358"/>
      </w:r>
      <w:r>
        <w:rPr>
          <w:rFonts w:ascii="Amiri" w:hAnsi="Amiri" w:eastAsia="Amiri" w:cs="Amiri"/>
          <w:color w:val="111111"/>
          <w:sz w:val="28"/>
          <w:sz w:val="28"/>
          <w:szCs w:val="28"/>
          <w:rtl w:val="true"/>
          <w:lang w:bidi="ar-SA"/>
        </w:rPr>
        <w:t xml:space="preserve">كُلُّ واحدٍ </w:t>
      </w:r>
    </w:p>
    <w:p>
      <w:pPr>
        <w:pStyle w:val="BookText"/>
        <w:rPr/>
      </w:pPr>
      <w:r>
        <w:rPr>
          <w:rFonts w:ascii="Amiri" w:hAnsi="Amiri" w:eastAsia="Amiri" w:cs="Amiri"/>
          <w:color w:val="111111"/>
          <w:sz w:val="28"/>
          <w:sz w:val="28"/>
          <w:szCs w:val="28"/>
          <w:rtl w:val="true"/>
          <w:lang w:bidi="ar-SA"/>
        </w:rPr>
        <w:t xml:space="preserve">مِنهم أكثَرَ ثَواباً عندَ اللّٰهِ مِنه، و أعلىٰ رُتبةً‌، و أرفَعَ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إلَى السُّكونِ و النُّفورِ، علىٰ ما يَكونونَ عَلَيه إذا لَم يُجوِّزوا ذلكَ‌، و قَطَعوا علىٰ أنّه أكثَرُهم ثَواباً و أَولاهُم بكُلِّ تعظيمٍ و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نَعني</w:t>
      </w:r>
      <w:r>
        <w:rPr>
          <w:rStyle w:val="FootnoteAnchor"/>
          <w:rtl w:val="true"/>
        </w:rPr>
        <w:footnoteReference w:id="2359"/>
      </w:r>
      <w:r>
        <w:rPr>
          <w:rFonts w:ascii="Amiri" w:hAnsi="Amiri" w:eastAsia="Amiri" w:cs="Amiri"/>
          <w:color w:val="111111"/>
          <w:sz w:val="28"/>
          <w:sz w:val="28"/>
          <w:szCs w:val="28"/>
          <w:rtl w:val="true"/>
          <w:lang w:bidi="ar-SA"/>
        </w:rPr>
        <w:t>بالتنفيرِ</w:t>
      </w:r>
      <w:r>
        <w:rPr>
          <w:rStyle w:val="FootnoteAnchor"/>
          <w:rtl w:val="true"/>
        </w:rPr>
        <w:footnoteReference w:id="2360"/>
      </w:r>
      <w:r>
        <w:rPr>
          <w:rFonts w:ascii="Amiri" w:hAnsi="Amiri" w:eastAsia="Amiri" w:cs="Amiri"/>
          <w:color w:val="111111"/>
          <w:sz w:val="28"/>
          <w:sz w:val="28"/>
          <w:szCs w:val="28"/>
          <w:rtl w:val="true"/>
          <w:lang w:bidi="ar-SA"/>
        </w:rPr>
        <w:t>هاهُنا ما يَمنَعُ مِن قَبولِ القَولِ و لا يَصِحُّ معه امتثالُ الأمرِ؛ فيُعتَرَضَ عَلَينا بمَن امتَثَلَ و انقادَ مع تجويزِه في الإمامِ أن يَكونَ أنقَصَ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أرَدناه أنّ حالَهم في السُّكونِ و القُربِ إلىٰ قَبولِ القَولِ لا يَكونُ كحالِهم إذا لَم يُجوِّزوا ذلكَ‌، و أكثَرُ ما يَجِبُ فيما يُقضىٰ‌</w:t>
      </w:r>
      <w:r>
        <w:rPr>
          <w:rStyle w:val="FootnoteAnchor"/>
          <w:rtl w:val="true"/>
        </w:rPr>
        <w:footnoteReference w:id="2361"/>
      </w:r>
      <w:r>
        <w:rPr>
          <w:rFonts w:ascii="Amiri" w:hAnsi="Amiri" w:eastAsia="Amiri" w:cs="Amiri"/>
          <w:color w:val="111111"/>
          <w:sz w:val="28"/>
          <w:sz w:val="28"/>
          <w:szCs w:val="28"/>
          <w:rtl w:val="true"/>
          <w:lang w:bidi="ar-SA"/>
        </w:rPr>
        <w:t>عَلَيه بالتنفيرِ أن يَكونَ له حُكمُ الصارِفِ‌، و لَيسَ يَمتَنِعُ‌</w:t>
      </w:r>
      <w:r>
        <w:rPr>
          <w:rStyle w:val="FootnoteAnchor"/>
          <w:rtl w:val="true"/>
        </w:rPr>
        <w:footnoteReference w:id="2362"/>
      </w:r>
      <w:r>
        <w:rPr>
          <w:rFonts w:ascii="Amiri" w:hAnsi="Amiri" w:eastAsia="Amiri" w:cs="Amiri"/>
          <w:color w:val="111111"/>
          <w:sz w:val="28"/>
          <w:sz w:val="28"/>
          <w:szCs w:val="28"/>
          <w:rtl w:val="true"/>
          <w:lang w:bidi="ar-SA"/>
        </w:rPr>
        <w:t xml:space="preserve">أن يَقَعَ الفِعلُ مع ثُبوتِ بعضِ الصوارِفِ إذا غلَبَت الدَّواعي و قَوِيَت، و 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الصارفُ عن حُكمِه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مُثِّلَ ما ذَكرناه بما هو معلومٌ‌؛ مِن أنّ قُطوبَ‌</w:t>
      </w:r>
      <w:r>
        <w:rPr>
          <w:rStyle w:val="FootnoteAnchor"/>
          <w:rtl w:val="true"/>
        </w:rPr>
        <w:footnoteReference w:id="2363"/>
      </w:r>
      <w:r>
        <w:rPr>
          <w:rFonts w:ascii="Amiri" w:hAnsi="Amiri" w:eastAsia="Amiri" w:cs="Amiri"/>
          <w:color w:val="111111"/>
          <w:sz w:val="28"/>
          <w:sz w:val="28"/>
          <w:szCs w:val="28"/>
          <w:rtl w:val="true"/>
          <w:lang w:bidi="ar-SA"/>
        </w:rPr>
        <w:t xml:space="preserve">مَن استَدعىٰ </w:t>
      </w:r>
      <w:r>
        <w:rPr>
          <w:rStyle w:val="FootnoteAnchor"/>
          <w:rtl w:val="true"/>
        </w:rPr>
        <w:footnoteReference w:id="2364"/>
      </w:r>
      <w:r>
        <w:rPr>
          <w:rFonts w:ascii="Amiri" w:hAnsi="Amiri" w:eastAsia="Amiri" w:cs="Amiri"/>
          <w:color w:val="111111"/>
          <w:sz w:val="28"/>
          <w:sz w:val="28"/>
          <w:szCs w:val="28"/>
          <w:rtl w:val="true"/>
          <w:lang w:bidi="ar-SA"/>
        </w:rPr>
        <w:t>قَوماً إلىٰ دَعوتِه، و عُبوسَه، لهُما</w:t>
      </w:r>
      <w:r>
        <w:rPr>
          <w:rStyle w:val="FootnoteAnchor"/>
          <w:rtl w:val="true"/>
        </w:rPr>
        <w:footnoteReference w:id="2365"/>
      </w:r>
      <w:r>
        <w:rPr>
          <w:rFonts w:ascii="Amiri" w:hAnsi="Amiri" w:eastAsia="Amiri" w:cs="Amiri"/>
          <w:color w:val="111111"/>
          <w:sz w:val="28"/>
          <w:sz w:val="28"/>
          <w:szCs w:val="28"/>
          <w:rtl w:val="true"/>
          <w:lang w:bidi="ar-SA"/>
        </w:rPr>
        <w:t>حُكمُ الصارفِ عن حُضورِ دَعوتِه، كما أنّ للبِشرِ</w:t>
      </w:r>
      <w:r>
        <w:rPr>
          <w:rStyle w:val="FootnoteAnchor"/>
          <w:rtl w:val="true"/>
        </w:rPr>
        <w:footnoteReference w:id="2366"/>
      </w:r>
      <w:r>
        <w:rPr>
          <w:rFonts w:ascii="Amiri" w:hAnsi="Amiri" w:eastAsia="Amiri" w:cs="Amiri"/>
          <w:color w:val="111111"/>
          <w:sz w:val="28"/>
          <w:sz w:val="28"/>
          <w:szCs w:val="28"/>
          <w:rtl w:val="true"/>
          <w:lang w:bidi="ar-SA"/>
        </w:rPr>
        <w:t>حُكمَ الدّاعي</w:t>
      </w:r>
      <w:r>
        <w:rPr>
          <w:rStyle w:val="FootnoteAnchor"/>
          <w:rtl w:val="true"/>
        </w:rPr>
        <w:footnoteReference w:id="2367"/>
      </w:r>
      <w:r>
        <w:rPr>
          <w:rFonts w:ascii="Amiri" w:hAnsi="Amiri" w:eastAsia="Amiri" w:cs="Amiri"/>
          <w:color w:val="111111"/>
          <w:sz w:val="28"/>
          <w:sz w:val="28"/>
          <w:szCs w:val="28"/>
          <w:rtl w:val="true"/>
          <w:lang w:bidi="ar-SA"/>
        </w:rPr>
        <w:t>، و مع هذا فلا يَمتَنِعُ أن يقَعَ الحُضورُ ممّن دُعيَ مع ثُبوتِ ما قَرَّرناه</w:t>
      </w:r>
      <w:r>
        <w:rPr>
          <w:rStyle w:val="FootnoteAnchor"/>
          <w:rtl w:val="true"/>
        </w:rPr>
        <w:footnoteReference w:id="2368"/>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العُبوسِ ، و لا يَخرُجُ بوقوعِ الحُضورِ عندَه مِن أن يكونَ له حُكمُ الصارفِ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الطريقةَ التي استأنَفتُموها</w:t>
      </w:r>
      <w:r>
        <w:rPr>
          <w:rStyle w:val="FootnoteAnchor"/>
          <w:rtl w:val="true"/>
        </w:rPr>
        <w:footnoteReference w:id="2369"/>
      </w:r>
      <w:r>
        <w:rPr>
          <w:rFonts w:ascii="Amiri" w:hAnsi="Amiri" w:eastAsia="Amiri" w:cs="Amiri"/>
          <w:color w:val="111111"/>
          <w:sz w:val="28"/>
          <w:sz w:val="28"/>
          <w:szCs w:val="28"/>
          <w:rtl w:val="true"/>
          <w:lang w:bidi="ar-SA"/>
        </w:rPr>
        <w:t>لَيسَت مَبنيّةً علىٰ مُجرَّدِ العقلِ ؛ لأنّكم عوَّلتُم فيها علىٰ كَونِ الإمامِ حُجّةً في الشرائعِ ، و العقلُ يُجوِّزُ ارتفاعَ التعبُّدِ بجميعِها، و كلامُنا معكم إنّما هو فيما يَقتَضي مِن طريقِ العقلِ كَونَ الإمامِ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الأمرَ و إن كانَ علىٰ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دَلالتِنا علَى العِبادةِ بالشرائعِ‌، و تجويزِنا في الأصلِ أن لا تَقَعَ‌</w:t>
      </w:r>
      <w:r>
        <w:rPr>
          <w:rStyle w:val="FootnoteAnchor"/>
          <w:rtl w:val="true"/>
        </w:rPr>
        <w:footnoteReference w:id="2370"/>
      </w:r>
      <w:r>
        <w:rPr>
          <w:rFonts w:ascii="Amiri" w:hAnsi="Amiri" w:eastAsia="Amiri" w:cs="Amiri"/>
          <w:color w:val="111111"/>
          <w:sz w:val="28"/>
          <w:sz w:val="28"/>
          <w:szCs w:val="28"/>
          <w:rtl w:val="true"/>
          <w:lang w:bidi="ar-SA"/>
        </w:rPr>
        <w:t xml:space="preserve">العِبادةُ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نَضَعِ‌</w:t>
      </w:r>
      <w:r>
        <w:rPr>
          <w:rStyle w:val="FootnoteAnchor"/>
          <w:rtl w:val="true"/>
        </w:rPr>
        <w:footnoteReference w:id="2371"/>
      </w:r>
      <w:r>
        <w:rPr>
          <w:rFonts w:ascii="Amiri" w:hAnsi="Amiri" w:eastAsia="Amiri" w:cs="Amiri"/>
          <w:color w:val="111111"/>
          <w:sz w:val="28"/>
          <w:sz w:val="28"/>
          <w:szCs w:val="28"/>
          <w:rtl w:val="true"/>
          <w:lang w:bidi="ar-SA"/>
        </w:rPr>
        <w:t xml:space="preserve">الدَّلالةَ إلّافي مَوضِعِها؛ لأنّ قَصْدَنا بها كانَ إلىٰ أنّ العقلَ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العِبادةِ بالشرائعِ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لا يَكونُ إلّا الأفضَلَ‌؛ بالاعتبارِ الذي ذَكرناه، مِن غَيرِ رجوعٍ في أنّه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مؤَدٍّ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كلامُنا بهذا الاعتبارِ مُتَناوِلاً لخِلافِ‌</w:t>
      </w:r>
      <w:r>
        <w:rPr>
          <w:rStyle w:val="FootnoteAnchor"/>
          <w:rtl w:val="true"/>
        </w:rPr>
        <w:footnoteReference w:id="2372"/>
      </w:r>
      <w:r>
        <w:rPr>
          <w:rFonts w:ascii="Amiri" w:hAnsi="Amiri" w:eastAsia="Amiri" w:cs="Amiri"/>
          <w:color w:val="111111"/>
          <w:sz w:val="28"/>
          <w:sz w:val="28"/>
          <w:szCs w:val="28"/>
          <w:rtl w:val="true"/>
          <w:lang w:bidi="ar-SA"/>
        </w:rPr>
        <w:t>جميعِ مَن فارَقَ مَذهَبَنا ممّن قالَ بإمامةِ الفاضلِ و المفضولِ معاً؛ لأنّ مَن قال بإمامةِ المفضولِ لا شُبهةَ في تَناوُلِ الكلامِ له، و مَن قال بأنّ‌</w:t>
      </w:r>
      <w:r>
        <w:rPr>
          <w:rStyle w:val="FootnoteAnchor"/>
          <w:rtl w:val="true"/>
        </w:rPr>
        <w:footnoteReference w:id="2373"/>
      </w:r>
      <w:r>
        <w:rPr>
          <w:rFonts w:ascii="Amiri" w:hAnsi="Amiri" w:eastAsia="Amiri" w:cs="Amiri"/>
          <w:color w:val="111111"/>
          <w:sz w:val="28"/>
          <w:sz w:val="28"/>
          <w:szCs w:val="28"/>
          <w:rtl w:val="true"/>
          <w:lang w:bidi="ar-SA"/>
        </w:rPr>
        <w:t>الإمامَ لا يَكونُ إلّاالأفضَلَ‌، إنّما رجَعَ‌</w:t>
      </w:r>
      <w:r>
        <w:rPr>
          <w:rStyle w:val="FootnoteAnchor"/>
          <w:rtl w:val="true"/>
        </w:rPr>
        <w:footnoteReference w:id="2374"/>
      </w:r>
      <w:r>
        <w:rPr>
          <w:rFonts w:ascii="Amiri" w:hAnsi="Amiri" w:eastAsia="Amiri" w:cs="Amiri"/>
          <w:color w:val="111111"/>
          <w:sz w:val="28"/>
          <w:sz w:val="28"/>
          <w:szCs w:val="28"/>
          <w:rtl w:val="true"/>
          <w:lang w:bidi="ar-SA"/>
        </w:rPr>
        <w:t>في قَولِه إلَى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و فِعلِ الصَّحابةِ و ما جَرىٰ مَجرىٰ ذلكَ‌، و لَم يَذهَبْ قَطُّ إلىٰ أنّ فيما يَقومُ به الإمامُ ما يَقتَضي</w:t>
      </w:r>
      <w:r>
        <w:rPr>
          <w:rStyle w:val="FootnoteAnchor"/>
          <w:rtl w:val="true"/>
        </w:rPr>
        <w:footnoteReference w:id="2375"/>
      </w:r>
      <w:r>
        <w:rPr>
          <w:rFonts w:ascii="Amiri" w:hAnsi="Amiri" w:eastAsia="Amiri" w:cs="Amiri"/>
          <w:color w:val="111111"/>
          <w:sz w:val="28"/>
          <w:sz w:val="28"/>
          <w:szCs w:val="28"/>
          <w:rtl w:val="true"/>
          <w:lang w:bidi="ar-SA"/>
        </w:rPr>
        <w:t xml:space="preserve">كَونَه أفضَلَ‌، فَتناوَلَ </w:t>
      </w:r>
      <w:r>
        <w:rPr>
          <w:rStyle w:val="FootnoteAnchor"/>
          <w:rtl w:val="true"/>
        </w:rPr>
        <w:footnoteReference w:id="2376"/>
      </w:r>
      <w:r>
        <w:rPr>
          <w:rFonts w:ascii="Amiri" w:hAnsi="Amiri" w:eastAsia="Amiri" w:cs="Amiri"/>
          <w:color w:val="111111"/>
          <w:sz w:val="28"/>
          <w:sz w:val="28"/>
          <w:szCs w:val="28"/>
          <w:rtl w:val="true"/>
          <w:lang w:bidi="ar-SA"/>
        </w:rPr>
        <w:t xml:space="preserve">كلامُنا له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bookmarkStart w:id="410" w:name="pg20015_285007"/>
    </w:p>
    <w:p>
      <w:pPr>
        <w:pStyle w:val="BookText"/>
        <w:rPr/>
      </w:pPr>
      <w:bookmarkEnd w:id="410"/>
      <w:r>
        <w:rPr>
          <w:rFonts w:ascii="Amiri" w:hAnsi="Amiri" w:eastAsia="Amiri" w:cs="Amiri"/>
          <w:color w:val="111111"/>
          <w:sz w:val="28"/>
          <w:sz w:val="28"/>
          <w:szCs w:val="28"/>
          <w:rtl w:val="true"/>
          <w:lang w:bidi="ar-SA"/>
        </w:rPr>
        <w:t>الكتابِ‌، حَيثُ قَسَّمَ في الفَصلِ الذي حكَيناه عنه</w:t>
      </w:r>
      <w:r>
        <w:rPr>
          <w:rStyle w:val="FootnoteAnchor"/>
          <w:rtl w:val="true"/>
        </w:rPr>
        <w:footnoteReference w:id="2377"/>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يَرُدُّ خُصومُه</w:t>
      </w:r>
      <w:r>
        <w:rPr>
          <w:rStyle w:val="FootnoteAnchor"/>
          <w:rtl w:val="true"/>
        </w:rPr>
        <w:footnoteReference w:id="2378"/>
      </w:r>
      <w:r>
        <w:rPr>
          <w:rFonts w:ascii="Amiri" w:hAnsi="Amiri" w:eastAsia="Amiri" w:cs="Amiri"/>
          <w:color w:val="111111"/>
          <w:sz w:val="28"/>
          <w:sz w:val="28"/>
          <w:szCs w:val="28"/>
          <w:rtl w:val="true"/>
          <w:lang w:bidi="ar-SA"/>
        </w:rPr>
        <w:t xml:space="preserve">الدَّلالةَ علىٰ كَونِ الإمامِ أفضَلَ إلَى السَّمعِ أو العقلِ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إلّاما بيّنّاه مِن السَّمعِ مِن الرجوعِ إلَى الإجماعِ و فِعلِ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لنا مع هذه الجُملةِ التي أَوضَحناها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مِن شُروطِ الإمامةِ و صِفاتِ الإمامِ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يدُلُّ العقلُ علىٰ أنّ الإمامَ لا يَنفَكُّ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أفضَلَ ، بمعنىٰ أنّه أكثَرُ ثَواباً؟ لَم نَعتَمِدْ</w:t>
      </w:r>
      <w:r>
        <w:rPr>
          <w:rStyle w:val="FootnoteAnchor"/>
          <w:rtl w:val="true"/>
        </w:rPr>
        <w:footnoteReference w:id="2380"/>
      </w:r>
      <w:r>
        <w:rPr>
          <w:rFonts w:ascii="Amiri" w:hAnsi="Amiri" w:eastAsia="Amiri" w:cs="Amiri"/>
          <w:color w:val="111111"/>
          <w:sz w:val="28"/>
          <w:sz w:val="28"/>
          <w:szCs w:val="28"/>
          <w:rtl w:val="true"/>
          <w:lang w:bidi="ar-SA"/>
        </w:rPr>
        <w:t xml:space="preserve">هذه الطريقةَ </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895009_2320776876"/>
      <w:bookmarkStart w:id="412" w:name="_Toc146"/>
      <w:bookmarkEnd w:id="411"/>
      <w:r>
        <w:rPr>
          <w:rtl w:val="true"/>
        </w:rPr>
        <w:t>شمول الدليل المعتمَد علىٰ أفضليّة الإمام للرسول أيضاً</w:t>
      </w:r>
      <w:bookmarkEnd w:id="41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يَحُلُّ محَلَّ الرسولِ‌؛ فإذا</w:t>
      </w:r>
      <w:r>
        <w:rPr>
          <w:rStyle w:val="FootnoteAnchor"/>
          <w:rtl w:val="true"/>
        </w:rPr>
        <w:footnoteReference w:id="2381"/>
      </w:r>
      <w:r>
        <w:rPr>
          <w:rFonts w:ascii="Amiri" w:hAnsi="Amiri" w:eastAsia="Amiri" w:cs="Amiri"/>
          <w:color w:val="111111"/>
          <w:sz w:val="28"/>
          <w:sz w:val="28"/>
          <w:szCs w:val="28"/>
          <w:rtl w:val="true"/>
          <w:lang w:bidi="ar-SA"/>
        </w:rPr>
        <w:t xml:space="preserve">وَجَبَ </w:t>
      </w:r>
      <w:r>
        <w:rPr>
          <w:rStyle w:val="FootnoteAnchor"/>
          <w:rtl w:val="true"/>
        </w:rPr>
        <w:footnoteReference w:id="2382"/>
      </w:r>
      <w:r>
        <w:rPr>
          <w:rFonts w:ascii="Amiri" w:hAnsi="Amiri" w:eastAsia="Amiri" w:cs="Amiri"/>
          <w:color w:val="111111"/>
          <w:sz w:val="28"/>
          <w:sz w:val="28"/>
          <w:szCs w:val="28"/>
          <w:rtl w:val="true"/>
          <w:lang w:bidi="ar-SA"/>
        </w:rPr>
        <w:t xml:space="preserve">فيه أن يَكونَ هو الأفضَلَ ، فكذلكَ </w:t>
      </w:r>
      <w:r>
        <w:rPr>
          <w:rStyle w:val="FootnoteAnchor"/>
          <w:rtl w:val="true"/>
        </w:rPr>
        <w:footnoteReference w:id="2383"/>
      </w:r>
      <w:r>
        <w:rPr>
          <w:rFonts w:ascii="Amiri" w:hAnsi="Amiri" w:eastAsia="Amiri" w:cs="Amiri"/>
          <w:color w:val="111111"/>
          <w:sz w:val="28"/>
          <w:sz w:val="28"/>
          <w:szCs w:val="28"/>
          <w:rtl w:val="true"/>
          <w:lang w:bidi="ar-SA"/>
        </w:rPr>
        <w:t xml:space="preserve">القَولُ في الإمامِ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أنّ‌</w:t>
      </w:r>
      <w:r>
        <w:rPr>
          <w:rStyle w:val="FootnoteAnchor"/>
          <w:rtl w:val="true"/>
        </w:rPr>
        <w:footnoteReference w:id="2384"/>
      </w:r>
      <w:r>
        <w:rPr>
          <w:rFonts w:ascii="Amiri" w:hAnsi="Amiri" w:eastAsia="Amiri" w:cs="Amiri"/>
          <w:color w:val="111111"/>
          <w:sz w:val="28"/>
          <w:sz w:val="28"/>
          <w:szCs w:val="28"/>
          <w:rtl w:val="true"/>
          <w:lang w:bidi="ar-SA"/>
        </w:rPr>
        <w:t>ذلكَ واجبٌ في الرسولِ عَقلاً فتَقيسوا</w:t>
      </w:r>
      <w:r>
        <w:rPr>
          <w:rStyle w:val="FootnoteAnchor"/>
          <w:rtl w:val="true"/>
        </w:rPr>
        <w:footnoteReference w:id="2385"/>
      </w:r>
      <w:r>
        <w:rPr>
          <w:rFonts w:ascii="Amiri" w:hAnsi="Amiri" w:eastAsia="Amiri" w:cs="Amiri"/>
          <w:color w:val="111111"/>
          <w:sz w:val="28"/>
          <w:sz w:val="28"/>
          <w:szCs w:val="28"/>
          <w:rtl w:val="true"/>
          <w:lang w:bidi="ar-SA"/>
        </w:rPr>
        <w:t>عَلَيه الإمامَ؟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يَجوزُ أن يَكونَ مفضولاً أو أن يَكونَ مساوياً لغَيرِه في الفَضلِ ، و إنّما يُرجَعُ </w:t>
      </w:r>
      <w:r>
        <w:rPr>
          <w:rStyle w:val="FootnoteAnchor"/>
          <w:rtl w:val="true"/>
        </w:rPr>
        <w:footnoteReference w:id="2386"/>
      </w:r>
      <w:r>
        <w:rPr>
          <w:rFonts w:ascii="Amiri" w:hAnsi="Amiri" w:eastAsia="Amiri" w:cs="Amiri"/>
          <w:color w:val="111111"/>
          <w:sz w:val="28"/>
          <w:sz w:val="28"/>
          <w:szCs w:val="28"/>
          <w:rtl w:val="true"/>
          <w:lang w:bidi="ar-SA"/>
        </w:rPr>
        <w:t xml:space="preserve">إلَى السَّمعِ في أنّه يَكونُ أفضَلَ </w:t>
      </w:r>
    </w:p>
    <w:p>
      <w:pPr>
        <w:pStyle w:val="BookText"/>
        <w:rPr/>
      </w:pPr>
      <w:r>
        <w:rPr>
          <w:rFonts w:ascii="Amiri" w:hAnsi="Amiri" w:eastAsia="Amiri" w:cs="Amiri"/>
          <w:color w:val="111111"/>
          <w:sz w:val="28"/>
          <w:sz w:val="28"/>
          <w:szCs w:val="28"/>
          <w:rtl w:val="true"/>
          <w:lang w:bidi="ar-SA"/>
        </w:rPr>
        <w:t xml:space="preserve">بَعدَ أن يَصيرَ رَسولاً، و لَولا السَّمعُ كُنّا نجوِّزُ أن لا يَكونَ هو الأفضَلَ و أن يَكونَ في أُمّتِه مَن يُساويهِ في ذلكَ ؛ فيَجِبُ أن يَكونَ هذا حالَ الإمامِ </w:t>
      </w:r>
      <w:r>
        <w:rPr>
          <w:rStyle w:val="FootnoteAnchor"/>
          <w:rtl w:val="true"/>
        </w:rPr>
        <w:footnoteReference w:id="2387"/>
      </w:r>
      <w:r>
        <w:rPr>
          <w:rFonts w:ascii="Amiri" w:hAnsi="Amiri" w:eastAsia="Amiri" w:cs="Amiri"/>
          <w:color w:val="111111"/>
          <w:sz w:val="28"/>
          <w:sz w:val="28"/>
          <w:szCs w:val="28"/>
          <w:rtl w:val="true"/>
          <w:lang w:bidi="ar-SA"/>
        </w:rPr>
        <w:t>مِن جهةِ العقلِ أيضاً</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الطريقةَ المُعتمَدةَ في كَونِ الإمامِ أفضَلَ مِن رَعيّتِه</w:t>
      </w:r>
      <w:r>
        <w:rPr>
          <w:rStyle w:val="FootnoteAnchor"/>
          <w:rtl w:val="true"/>
        </w:rPr>
        <w:footnoteReference w:id="2390"/>
      </w:r>
      <w:r>
        <w:rPr>
          <w:rFonts w:ascii="Amiri" w:hAnsi="Amiri" w:eastAsia="Amiri" w:cs="Amiri"/>
          <w:color w:val="111111"/>
          <w:sz w:val="28"/>
          <w:sz w:val="28"/>
          <w:szCs w:val="28"/>
          <w:rtl w:val="true"/>
          <w:lang w:bidi="ar-SA"/>
        </w:rPr>
        <w:t>، و هي مُتَناوِلةٌ للرسولِ أيضاً</w:t>
      </w:r>
      <w:r>
        <w:rPr>
          <w:rStyle w:val="FootnoteAnchor"/>
          <w:rtl w:val="true"/>
        </w:rPr>
        <w:footnoteReference w:id="2391"/>
      </w:r>
      <w:r>
        <w:rPr>
          <w:rFonts w:ascii="Amiri" w:hAnsi="Amiri" w:eastAsia="Amiri" w:cs="Amiri"/>
          <w:color w:val="111111"/>
          <w:sz w:val="28"/>
          <w:sz w:val="28"/>
          <w:szCs w:val="28"/>
          <w:rtl w:val="true"/>
          <w:lang w:bidi="ar-SA"/>
        </w:rPr>
        <w:t>، و دالّةٌ علىٰ وجوبِ كَونِه أفضَلَ مِن أُمّتِه في جميعِ ما كانَ إماماً لهُم فيه، و لا حاجةَ بنا إلىٰ حَملِ الإمامِ علَى الرسولِ مع كَونِ الدَّلالةِ علىٰ وجوبِ الفَضلِ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قد ارتَكَبتَ في كلامِكَ هذا ما كانَ يَحيدُ عنه سَلَفُكَ‌، و يَمتَنِعونَ مِن</w:t>
      </w:r>
    </w:p>
    <w:p>
      <w:pPr>
        <w:pStyle w:val="BookText"/>
        <w:rPr/>
      </w:pPr>
      <w:r>
        <w:rPr>
          <w:rFonts w:ascii="Amiri" w:hAnsi="Amiri" w:eastAsia="Amiri" w:cs="Amiri"/>
          <w:color w:val="111111"/>
          <w:sz w:val="28"/>
          <w:sz w:val="28"/>
          <w:szCs w:val="28"/>
          <w:rtl w:val="true"/>
          <w:lang w:bidi="ar-SA"/>
        </w:rPr>
        <w:t xml:space="preserve">إطلاقِه؛ لأنّهم كانوا إذا ألزَمَهم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كَونِ الرسولِ مفضولاً قياساً علَى الإمامِ تَعاطَوا الفَرقَ بَينَهما، و سَلَكوا في ذلكَ طُرُقاً مشهورةً‌، و ما عَلِمنا أحَداً مِنهم يَقبَلُ الإلزامَ و سَوّىٰ بَينَ الرسولِ و الإمامِ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نَذكُرْ هذا و نُنَبِّهْ </w:t>
      </w:r>
      <w:r>
        <w:rPr>
          <w:rStyle w:val="FootnoteAnchor"/>
          <w:rtl w:val="true"/>
        </w:rPr>
        <w:footnoteReference w:id="2392"/>
      </w:r>
      <w:r>
        <w:rPr>
          <w:rFonts w:ascii="Amiri" w:hAnsi="Amiri" w:eastAsia="Amiri" w:cs="Amiri"/>
          <w:color w:val="111111"/>
          <w:sz w:val="28"/>
          <w:sz w:val="28"/>
          <w:szCs w:val="28"/>
          <w:rtl w:val="true"/>
          <w:lang w:bidi="ar-SA"/>
        </w:rPr>
        <w:t>عَلَيه</w:t>
      </w:r>
      <w:r>
        <w:rPr>
          <w:rStyle w:val="FootnoteAnchor"/>
          <w:rtl w:val="true"/>
        </w:rPr>
        <w:footnoteReference w:id="2393"/>
      </w:r>
      <w:r>
        <w:rPr>
          <w:rFonts w:ascii="Amiri" w:hAnsi="Amiri" w:eastAsia="Amiri" w:cs="Amiri"/>
          <w:color w:val="111111"/>
          <w:sz w:val="28"/>
          <w:sz w:val="28"/>
          <w:szCs w:val="28"/>
          <w:rtl w:val="true"/>
          <w:lang w:bidi="ar-SA"/>
        </w:rPr>
        <w:t>علىٰ سَبيلِ الاقتصارِ عَلَيه في الحُجّةِ ، بَل حُجّتُنا هي المُتقدِّمةُ ، و إنّما أرَدنا أن نُبيِّنَ مُفارَقةَ هذا القَولِ المذكورِ لِما كانَ يَظهَرُ مِن مَذهَبِ سَلَفِ خُصومِنا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ثبَتَ في الرسولِ ما قالوه لَم يَجِبْ في الإمامِ‌؛ لأنّ الذي أَوجَبَ ذلكَ‌</w:t>
      </w:r>
      <w:r>
        <w:rPr>
          <w:rStyle w:val="FootnoteAnchor"/>
          <w:rtl w:val="true"/>
        </w:rPr>
        <w:footnoteReference w:id="2394"/>
      </w:r>
      <w:r>
        <w:rPr>
          <w:rFonts w:ascii="Amiri" w:hAnsi="Amiri" w:eastAsia="Amiri" w:cs="Amiri"/>
          <w:color w:val="111111"/>
          <w:sz w:val="28"/>
          <w:sz w:val="28"/>
          <w:szCs w:val="28"/>
          <w:rtl w:val="true"/>
          <w:lang w:bidi="ar-SA"/>
        </w:rPr>
        <w:t>فيه</w:t>
      </w:r>
      <w:r>
        <w:rPr>
          <w:rStyle w:val="FootnoteAnchor"/>
          <w:rtl w:val="true"/>
        </w:rPr>
        <w:footnoteReference w:id="2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396"/>
      </w:r>
      <w:r>
        <w:rPr>
          <w:rFonts w:ascii="Amiri" w:hAnsi="Amiri" w:eastAsia="Amiri" w:cs="Amiri"/>
          <w:color w:val="111111"/>
          <w:sz w:val="28"/>
          <w:sz w:val="28"/>
          <w:szCs w:val="28"/>
          <w:rtl w:val="true"/>
          <w:lang w:bidi="ar-SA"/>
        </w:rPr>
        <w:t>كَونُه حُجّةً فيما يؤَدّيهِ‌، فلا بُدَّ مِن</w:t>
      </w:r>
      <w:r>
        <w:rPr>
          <w:rStyle w:val="FootnoteAnchor"/>
          <w:rtl w:val="true"/>
        </w:rPr>
        <w:footnoteReference w:id="2397"/>
      </w:r>
      <w:r>
        <w:rPr>
          <w:rFonts w:ascii="Amiri" w:hAnsi="Amiri" w:eastAsia="Amiri" w:cs="Amiri"/>
          <w:color w:val="111111"/>
          <w:sz w:val="28"/>
          <w:sz w:val="28"/>
          <w:szCs w:val="28"/>
          <w:rtl w:val="true"/>
          <w:lang w:bidi="ar-SA"/>
        </w:rPr>
        <w:t>أن تَكونَ‌</w:t>
      </w:r>
      <w:r>
        <w:rPr>
          <w:rStyle w:val="FootnoteAnchor"/>
          <w:rtl w:val="true"/>
        </w:rPr>
        <w:footnoteReference w:id="2398"/>
      </w:r>
      <w:r>
        <w:rPr>
          <w:rFonts w:ascii="Amiri" w:hAnsi="Amiri" w:eastAsia="Amiri" w:cs="Amiri"/>
          <w:color w:val="111111"/>
          <w:sz w:val="28"/>
          <w:sz w:val="28"/>
          <w:szCs w:val="28"/>
          <w:rtl w:val="true"/>
          <w:lang w:bidi="ar-SA"/>
        </w:rPr>
        <w:t>مَنزِلتُه في الفَضلِ عاليةً‌؛ حتّىٰ لا يقَعَ النُّفورُ عن القَبولِ عنه</w:t>
      </w:r>
      <w:r>
        <w:rPr>
          <w:rStyle w:val="FootnoteAnchor"/>
          <w:rtl w:val="true"/>
        </w:rPr>
        <w:footnoteReference w:id="2399"/>
      </w:r>
      <w:r>
        <w:rPr>
          <w:rFonts w:ascii="Amiri" w:hAnsi="Amiri" w:eastAsia="Amiri" w:cs="Amiri"/>
          <w:color w:val="111111"/>
          <w:sz w:val="28"/>
          <w:sz w:val="28"/>
          <w:szCs w:val="28"/>
          <w:rtl w:val="true"/>
          <w:lang w:bidi="ar-SA"/>
        </w:rPr>
        <w:t xml:space="preserve">و يقَعَ السُّكونُ إلىٰ ذلكَ ، و لَيسَ كذلكَ حالُ الإمامِ ؛ فلِماذا سَوَّيتم بَينَه و بَينَ الرسولِ؟ بَل ما أَنكَرتم أن يَكونَ بالأميرِ أشبَهَ؟ لأنّه إنّما يَقومُ بالأحكامِ التي يَقومُ بها الأميرُ و العاملُ </w:t>
      </w:r>
      <w:r>
        <w:rPr>
          <w:rStyle w:val="FootnoteAnchor"/>
          <w:rtl w:val="true"/>
        </w:rPr>
        <w:footnoteReference w:id="2400"/>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Style w:val="FootnoteAnchor"/>
          <w:rtl w:val="true"/>
        </w:rPr>
        <w:footnoteReference w:id="240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بأمثالِ هذا الفَرقِ </w:t>
      </w:r>
      <w:r>
        <w:rPr>
          <w:rStyle w:val="FootnoteAnchor"/>
          <w:rtl w:val="true"/>
        </w:rPr>
        <w:footnoteReference w:id="2403"/>
      </w:r>
      <w:r>
        <w:rPr>
          <w:rFonts w:ascii="Amiri" w:hAnsi="Amiri" w:eastAsia="Amiri" w:cs="Amiri"/>
          <w:color w:val="111111"/>
          <w:sz w:val="28"/>
          <w:sz w:val="28"/>
          <w:szCs w:val="28"/>
          <w:rtl w:val="true"/>
          <w:lang w:bidi="ar-SA"/>
        </w:rPr>
        <w:t>الذي ذَكرتَه كانَ يُفرِّقُ شُيوخُكَ بَينَ الإمامِ و الرسولِ ، و قد بيّنّا كَونَ الإمامِ حُجّةً فيما يؤَدّيهِ مِن الشرائعِ ، و أنّه إذا كانَ مؤَدّياً لها وَجَبَ أن يَكونَ أفضَلَ مِن رَعيّتِه؛ ليقَعَ السُّكونُ إلىٰ قَبولِ قَولِه و يَرتَفِعَ النُّفورُ، و أنّ حالَه في بابِ الأداءِ مُفارِقةٌ لِحالِ جميعِ خُلَفائه</w:t>
      </w:r>
      <w:r>
        <w:rPr>
          <w:rStyle w:val="FootnoteAnchor"/>
          <w:rtl w:val="true"/>
        </w:rPr>
        <w:footnoteReference w:id="2404"/>
      </w:r>
      <w:r>
        <w:rPr>
          <w:rFonts w:ascii="IRNazanin" w:hAnsi="IRNazanin" w:eastAsia="IRNazanin"/>
          <w:color w:val="111111"/>
          <w:sz w:val="28"/>
          <w:sz w:val="28"/>
          <w:szCs w:val="28"/>
          <w:rtl w:val="true"/>
          <w:lang w:bidi="fa-IR"/>
        </w:rPr>
        <w:t>فإن</w:t>
      </w:r>
      <w:r>
        <w:rPr>
          <w:rStyle w:val="FootnoteAnchor"/>
          <w:rtl w:val="true"/>
        </w:rPr>
        <w:footnoteReference w:id="2405"/>
      </w:r>
      <w:r>
        <w:rPr>
          <w:rFonts w:ascii="Amiri" w:hAnsi="Amiri" w:eastAsia="Amiri" w:cs="Amiri"/>
          <w:color w:val="111111"/>
          <w:sz w:val="28"/>
          <w:sz w:val="28"/>
          <w:szCs w:val="28"/>
          <w:rtl w:val="true"/>
          <w:lang w:bidi="ar-SA"/>
        </w:rPr>
        <w:t xml:space="preserve">كانَت عِلّتُكَ </w:t>
      </w:r>
      <w:bookmarkStart w:id="413" w:name="pg20015_285010"/>
    </w:p>
    <w:p>
      <w:pPr>
        <w:pStyle w:val="BookText"/>
        <w:rPr/>
      </w:pPr>
      <w:bookmarkEnd w:id="413"/>
      <w:r>
        <w:rPr>
          <w:rFonts w:ascii="Amiri" w:hAnsi="Amiri" w:eastAsia="Amiri" w:cs="Amiri"/>
          <w:color w:val="111111"/>
          <w:sz w:val="28"/>
          <w:sz w:val="28"/>
          <w:szCs w:val="28"/>
          <w:rtl w:val="true"/>
          <w:lang w:bidi="ar-SA"/>
        </w:rPr>
        <w:t>في الرسولِ صَحيحةً ففي الإمامِ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عَمِلنا علىٰ نُصرةِ دليلِ </w:t>
      </w:r>
      <w:r>
        <w:rPr>
          <w:rStyle w:val="FootnoteAnchor"/>
          <w:rtl w:val="true"/>
        </w:rPr>
        <w:footnoteReference w:id="2406"/>
      </w:r>
      <w:r>
        <w:rPr>
          <w:rFonts w:ascii="Amiri" w:hAnsi="Amiri" w:eastAsia="Amiri" w:cs="Amiri"/>
          <w:color w:val="111111"/>
          <w:sz w:val="28"/>
          <w:sz w:val="28"/>
          <w:szCs w:val="28"/>
          <w:rtl w:val="true"/>
          <w:lang w:bidi="ar-SA"/>
        </w:rPr>
        <w:t>مَن</w:t>
      </w:r>
      <w:r>
        <w:rPr>
          <w:rStyle w:val="FootnoteAnchor"/>
          <w:rtl w:val="true"/>
        </w:rPr>
        <w:footnoteReference w:id="2407"/>
      </w:r>
      <w:r>
        <w:rPr>
          <w:rFonts w:ascii="Amiri" w:hAnsi="Amiri" w:eastAsia="Amiri" w:cs="Amiri"/>
          <w:color w:val="111111"/>
          <w:sz w:val="28"/>
          <w:sz w:val="28"/>
          <w:szCs w:val="28"/>
          <w:rtl w:val="true"/>
          <w:lang w:bidi="ar-SA"/>
        </w:rPr>
        <w:t>حَمَلَ الإمامَ علَى الرسولِ في بابِ الفَضلِ ، فأمّا إذا</w:t>
      </w:r>
      <w:r>
        <w:rPr>
          <w:rStyle w:val="FootnoteAnchor"/>
          <w:rtl w:val="true"/>
        </w:rPr>
        <w:footnoteReference w:id="2408"/>
      </w:r>
      <w:r>
        <w:rPr>
          <w:rFonts w:ascii="Amiri" w:hAnsi="Amiri" w:eastAsia="Amiri" w:cs="Amiri"/>
          <w:color w:val="111111"/>
          <w:sz w:val="28"/>
          <w:sz w:val="28"/>
          <w:szCs w:val="28"/>
          <w:rtl w:val="true"/>
          <w:lang w:bidi="ar-SA"/>
        </w:rPr>
        <w:t>لَم نَفعَلْ ذلكَ فالدَّلالةُ التي ذَكرناها أوّلاً تَتَناوَلُ الأمرَينِ ، و تُغني عن تَكلُّفِ غَيرِها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95011_2320776876"/>
      <w:bookmarkStart w:id="415" w:name="_Toc147"/>
      <w:bookmarkEnd w:id="414"/>
      <w:r>
        <w:rPr>
          <w:rtl w:val="true"/>
        </w:rPr>
        <w:t>بطلان كون الأُمّة حافظة للشرع، مع تجويز الاتّفاق على الخطأ عليها</w:t>
      </w:r>
      <w:bookmarkEnd w:id="41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عندَكم علَى الأُمّةِ المعصيةُ و الخطأُ فيما اتَّفَقَت عَلَيه؛ لأنّها تؤَدّي عن الرسولِ و تَقومُ بحِفظِ الشرعِ‌، فالإمامُ بذلكَ أَولىٰ‌؛ لأنّه يَقومُ بما كانَ يَقومُ به هو</w:t>
      </w:r>
      <w:r>
        <w:rPr>
          <w:rStyle w:val="FootnoteAnchor"/>
          <w:rtl w:val="true"/>
        </w:rPr>
        <w:footnoteReference w:id="240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نَعلَمْ صحّةَ الإجماعِ عقلاً، فيَكونَ </w:t>
      </w:r>
      <w:r>
        <w:rPr>
          <w:rStyle w:val="FootnoteAnchor"/>
          <w:rtl w:val="true"/>
        </w:rPr>
        <w:footnoteReference w:id="2410"/>
      </w:r>
      <w:r>
        <w:rPr>
          <w:rFonts w:ascii="Amiri" w:hAnsi="Amiri" w:eastAsia="Amiri" w:cs="Amiri"/>
          <w:color w:val="111111"/>
          <w:sz w:val="28"/>
          <w:sz w:val="28"/>
          <w:szCs w:val="28"/>
          <w:rtl w:val="true"/>
          <w:lang w:bidi="ar-SA"/>
        </w:rPr>
        <w:t>لكَ بذلكَ التعَلُّقُ ؛ بَل لا يَمتَنِعُ مِن جهةِ العقلِ أن يَتَّفِقوا</w:t>
      </w:r>
      <w:r>
        <w:rPr>
          <w:rStyle w:val="FootnoteAnchor"/>
          <w:rtl w:val="true"/>
        </w:rPr>
        <w:footnoteReference w:id="2411"/>
      </w:r>
      <w:r>
        <w:rPr>
          <w:rFonts w:ascii="Amiri" w:hAnsi="Amiri" w:eastAsia="Amiri" w:cs="Amiri"/>
          <w:color w:val="111111"/>
          <w:sz w:val="28"/>
          <w:sz w:val="28"/>
          <w:szCs w:val="28"/>
          <w:rtl w:val="true"/>
          <w:lang w:bidi="ar-SA"/>
        </w:rPr>
        <w:t>علىٰ خَطإٍ، و إنّما رَجَعنا</w:t>
      </w:r>
      <w:r>
        <w:rPr>
          <w:rStyle w:val="FootnoteAnchor"/>
          <w:rtl w:val="true"/>
        </w:rPr>
        <w:footnoteReference w:id="2412"/>
      </w:r>
      <w:r>
        <w:rPr>
          <w:rFonts w:ascii="Amiri" w:hAnsi="Amiri" w:eastAsia="Amiri" w:cs="Amiri"/>
          <w:color w:val="111111"/>
          <w:sz w:val="28"/>
          <w:sz w:val="28"/>
          <w:szCs w:val="28"/>
          <w:rtl w:val="true"/>
          <w:lang w:bidi="ar-SA"/>
        </w:rPr>
        <w:t xml:space="preserve">في ذلكَ إلَى السَّمعِ ، فقُل بمِثلِه في الإمامِ </w:t>
      </w:r>
      <w:r>
        <w:rPr>
          <w:rFonts w:eastAsia="Amiri" w:cs="Amiri" w:ascii="Amiri" w:hAnsi="Amiri"/>
          <w:color w:val="111111"/>
          <w:sz w:val="28"/>
          <w:szCs w:val="28"/>
          <w:rtl w:val="true"/>
          <w:lang w:bidi="ar-SA"/>
        </w:rPr>
        <w:t>.</w:t>
      </w:r>
      <w:r>
        <w:rPr>
          <w:rStyle w:val="FootnoteAnchor"/>
          <w:rtl w:val="true"/>
        </w:rPr>
        <w:footnoteReference w:id="241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طَريفِ الأُمورِ و بَديعِها تجويزُكَ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مؤَدّيةٌ للشرعِ و حافظةٌ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اعتذارُكَ بأنّ ذلكَ يَجوزُ عَلَيها عقلاً لا سَمعاً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w:t>
      </w:r>
      <w:r>
        <w:rPr>
          <w:rStyle w:val="FootnoteAnchor"/>
          <w:rtl w:val="true"/>
        </w:rPr>
        <w:footnoteReference w:id="2415"/>
      </w:r>
      <w:r>
        <w:rPr>
          <w:rFonts w:ascii="Amiri" w:hAnsi="Amiri" w:eastAsia="Amiri" w:cs="Amiri"/>
          <w:color w:val="111111"/>
          <w:sz w:val="28"/>
          <w:sz w:val="28"/>
          <w:szCs w:val="28"/>
          <w:rtl w:val="true"/>
          <w:lang w:bidi="ar-SA"/>
        </w:rPr>
        <w:t>يُمكِنُ أن تَكونَ‌</w:t>
      </w:r>
      <w:r>
        <w:rPr>
          <w:rStyle w:val="FootnoteAnchor"/>
          <w:rtl w:val="true"/>
        </w:rPr>
        <w:footnoteReference w:id="2416"/>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w:t>
      </w:r>
      <w:r>
        <w:rPr>
          <w:rStyle w:val="FootnoteAnchor"/>
          <w:rtl w:val="true"/>
        </w:rPr>
        <w:footnoteReference w:id="2417"/>
      </w:r>
      <w:r>
        <w:rPr>
          <w:rFonts w:ascii="Amiri" w:hAnsi="Amiri" w:eastAsia="Amiri" w:cs="Amiri"/>
          <w:color w:val="111111"/>
          <w:sz w:val="28"/>
          <w:sz w:val="28"/>
          <w:szCs w:val="28"/>
          <w:rtl w:val="true"/>
          <w:lang w:bidi="ar-SA"/>
        </w:rPr>
        <w:t xml:space="preserve">مؤَدّيةً عن الرسولِ و حافِظةً لشَرعِه </w:t>
      </w:r>
      <w:r>
        <w:rPr>
          <w:rFonts w:eastAsia="Amiri" w:cs="Amiri" w:ascii="Amiri" w:hAnsi="Amiri"/>
          <w:color w:val="111111"/>
          <w:sz w:val="28"/>
          <w:szCs w:val="28"/>
          <w:rtl w:val="true"/>
          <w:lang w:bidi="ar-SA"/>
        </w:rPr>
        <w:t>-</w:t>
      </w:r>
      <w:r>
        <w:rPr>
          <w:rStyle w:val="FootnoteAnchor"/>
          <w:rtl w:val="true"/>
        </w:rPr>
        <w:footnoteReference w:id="2418"/>
      </w:r>
      <w:r>
        <w:rPr>
          <w:rFonts w:ascii="Amiri" w:hAnsi="Amiri" w:eastAsia="Amiri" w:cs="Amiri"/>
          <w:color w:val="111111"/>
          <w:sz w:val="28"/>
          <w:sz w:val="28"/>
          <w:szCs w:val="28"/>
          <w:rtl w:val="true"/>
          <w:lang w:bidi="ar-SA"/>
        </w:rPr>
        <w:t>بهذه الصفةِ التي أَجَزتَها</w:t>
      </w:r>
      <w:r>
        <w:rPr>
          <w:rStyle w:val="FootnoteAnchor"/>
          <w:rtl w:val="true"/>
        </w:rPr>
        <w:footnoteReference w:id="2419"/>
      </w:r>
      <w:r>
        <w:rPr>
          <w:rFonts w:ascii="Amiri" w:hAnsi="Amiri" w:eastAsia="Amiri" w:cs="Amiri"/>
          <w:color w:val="111111"/>
          <w:sz w:val="28"/>
          <w:sz w:val="28"/>
          <w:szCs w:val="28"/>
          <w:rtl w:val="true"/>
          <w:lang w:bidi="ar-SA"/>
        </w:rPr>
        <w:t xml:space="preserve">عَلَيها؟ أم كَيفَ يَجوزُ أن يَكِلَ اللّٰهُ تَعالىٰ إليها أداءَ الشرعِ‌، مع جوازِ تضييعِه و إهمالِه مِنها؟ و أيُّ فَرقٍ بَينَ ما أجَزتَه و بَينَ أن يَكِلَ اللّٰهُ تَعالىٰ في الأصلِ الأداءَ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يَجوزُ عَلَيه ما جازَ علَى الأُمّةِ؟ و أيُّ عِلّةٍ يُمكِنُ أن يُذكَرَ</w:t>
      </w:r>
      <w:r>
        <w:rPr>
          <w:rStyle w:val="FootnoteAnchor"/>
          <w:rtl w:val="true"/>
        </w:rPr>
        <w:footnoteReference w:id="2420"/>
      </w:r>
      <w:r>
        <w:rPr>
          <w:rFonts w:ascii="Amiri" w:hAnsi="Amiri" w:eastAsia="Amiri" w:cs="Amiri"/>
          <w:color w:val="111111"/>
          <w:sz w:val="28"/>
          <w:sz w:val="28"/>
          <w:szCs w:val="28"/>
          <w:rtl w:val="true"/>
          <w:lang w:bidi="ar-SA"/>
        </w:rPr>
        <w:t>في عصمةِ النبيِّ‌</w:t>
      </w:r>
      <w:r>
        <w:rPr>
          <w:rStyle w:val="FootnoteAnchor"/>
          <w:rtl w:val="true"/>
        </w:rPr>
        <w:footnoteReference w:id="2421"/>
      </w:r>
      <w:r>
        <w:rPr>
          <w:rFonts w:ascii="Amiri" w:hAnsi="Amiri" w:eastAsia="Amiri" w:cs="Amiri"/>
          <w:color w:val="111111"/>
          <w:sz w:val="28"/>
          <w:sz w:val="28"/>
          <w:szCs w:val="28"/>
          <w:rtl w:val="true"/>
          <w:lang w:bidi="ar-SA"/>
        </w:rPr>
        <w:t>لأجلِ كَونِه مؤدّياً للشرعِ إلينا لا يُمكِنُ أن يُنقَلَ‌</w:t>
      </w:r>
      <w:r>
        <w:rPr>
          <w:rStyle w:val="FootnoteAnchor"/>
          <w:rtl w:val="true"/>
        </w:rPr>
        <w:footnoteReference w:id="2422"/>
      </w:r>
      <w:r>
        <w:rPr>
          <w:rFonts w:ascii="Amiri" w:hAnsi="Amiri" w:eastAsia="Amiri" w:cs="Amiri"/>
          <w:color w:val="111111"/>
          <w:sz w:val="28"/>
          <w:sz w:val="28"/>
          <w:szCs w:val="28"/>
          <w:rtl w:val="true"/>
          <w:lang w:bidi="ar-SA"/>
        </w:rPr>
        <w:t>إلَى الأُمّةِ إذا كانَت مؤديّةً للشرعِ؟ و هل مُستَقبَلُ هذا الأمرِ</w:t>
      </w:r>
      <w:r>
        <w:rPr>
          <w:rStyle w:val="FootnoteAnchor"/>
          <w:rtl w:val="true"/>
        </w:rPr>
        <w:footnoteReference w:id="2423"/>
      </w:r>
      <w:r>
        <w:rPr>
          <w:rFonts w:ascii="Amiri" w:hAnsi="Amiri" w:eastAsia="Amiri" w:cs="Amiri"/>
          <w:color w:val="111111"/>
          <w:sz w:val="28"/>
          <w:sz w:val="28"/>
          <w:szCs w:val="28"/>
          <w:rtl w:val="true"/>
          <w:lang w:bidi="ar-SA"/>
        </w:rPr>
        <w:t>إلّاكمُستَدبَرِه‌؟ و لَيسَ يَخفىٰ ما في هذا الكلامِ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يَجري الحَوالةُ في الأمانِ مِن خَطإ الأُمّةِ </w:t>
      </w:r>
      <w:r>
        <w:rPr>
          <w:rStyle w:val="FootnoteAnchor"/>
          <w:rtl w:val="true"/>
        </w:rPr>
        <w:footnoteReference w:id="2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مؤدّيةً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مَجرَى الحَوالةِ المتقدِّمةِ علَى السَّمعِ في كَونِ الرسولِ عليه السلامُ </w:t>
      </w:r>
      <w:r>
        <w:rPr>
          <w:rStyle w:val="FootnoteAnchor"/>
          <w:rtl w:val="true"/>
        </w:rPr>
        <w:footnoteReference w:id="2425"/>
      </w:r>
      <w:r>
        <w:rPr>
          <w:rFonts w:ascii="Amiri" w:hAnsi="Amiri" w:eastAsia="Amiri" w:cs="Amiri"/>
          <w:color w:val="111111"/>
          <w:sz w:val="28"/>
          <w:sz w:val="28"/>
          <w:szCs w:val="28"/>
          <w:rtl w:val="true"/>
          <w:lang w:bidi="ar-SA"/>
        </w:rPr>
        <w:t>أفضَلَ</w:t>
      </w:r>
    </w:p>
    <w:p>
      <w:pPr>
        <w:pStyle w:val="BookText"/>
        <w:rPr/>
      </w:pPr>
      <w:r>
        <w:rPr>
          <w:rFonts w:ascii="Amiri" w:hAnsi="Amiri" w:eastAsia="Amiri" w:cs="Amiri"/>
          <w:color w:val="111111"/>
          <w:sz w:val="28"/>
          <w:sz w:val="28"/>
          <w:szCs w:val="28"/>
          <w:rtl w:val="true"/>
          <w:lang w:bidi="ar-SA"/>
        </w:rPr>
        <w:t>مِن أُمّتِه؛ لأنّ الأوّلَ ممّا يَجوزُ أن يَخفىٰ ما يَلزَمُ عَلَيه و يَشتَبِهَ ، و الثاني لا شُبهةَ فيما يَلزَمُ عَلَيه مِن تجويزِ مِثلِ ما جازَ علَى الأُمّةِ علَى الأنبياءِ عليهم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المَوضِعُ مِن كلامِكَ يدُلُّ علىٰ أنّكَ لَم تَعنِ بالرجوعِ إلَى السَّمعِ إلّا </w:t>
      </w:r>
      <w:bookmarkStart w:id="416" w:name="pg20015_285012"/>
    </w:p>
    <w:p>
      <w:pPr>
        <w:pStyle w:val="BookText"/>
        <w:rPr/>
      </w:pPr>
      <w:bookmarkEnd w:id="416"/>
      <w:r>
        <w:rPr>
          <w:rFonts w:ascii="Amiri" w:hAnsi="Amiri" w:eastAsia="Amiri" w:cs="Amiri"/>
          <w:color w:val="111111"/>
          <w:sz w:val="28"/>
          <w:sz w:val="28"/>
          <w:szCs w:val="28"/>
          <w:rtl w:val="true"/>
          <w:lang w:bidi="ar-SA"/>
        </w:rPr>
        <w:t>ما فَسَّرناه فيما سَلَفَ‌</w:t>
      </w:r>
      <w:r>
        <w:rPr>
          <w:rStyle w:val="FootnoteAnchor"/>
          <w:rtl w:val="true"/>
        </w:rPr>
        <w:footnoteReference w:id="2426"/>
      </w:r>
      <w:r>
        <w:rPr>
          <w:rFonts w:ascii="Amiri" w:hAnsi="Amiri" w:eastAsia="Amiri" w:cs="Amiri"/>
          <w:color w:val="111111"/>
          <w:sz w:val="28"/>
          <w:sz w:val="28"/>
          <w:szCs w:val="28"/>
          <w:rtl w:val="true"/>
          <w:lang w:bidi="ar-SA"/>
        </w:rPr>
        <w:t>مِن كلامِنا مِن الرجوعِ إلَى الإجماعِ أو ما يَجري مَجراه مِن الأُمورِ السَّمعيّةِ‌، و لَم تُرِد بذِكرِ السَّمعِ الرجوعَ إليه فيما يَقومُ به الإمامُ و يَتَولّاه؛ لأنّكَ لَو أرَدتَ ذلكَ لَقُلتَ في جوابِ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كَونَ الإمامِ مؤَدّياً عن الرسولِ و قائماً بما كانَ يَقومُ به لَيسَ بمعلومٍ عقلاً عندَكم، و العقلُ يجوِّزُ علىٰ مَذهَبِكم وجودَ إمامٍ </w:t>
      </w:r>
      <w:r>
        <w:rPr>
          <w:rStyle w:val="FootnoteAnchor"/>
          <w:rtl w:val="true"/>
        </w:rPr>
        <w:footnoteReference w:id="2427"/>
      </w:r>
      <w:r>
        <w:rPr>
          <w:rFonts w:ascii="Amiri" w:hAnsi="Amiri" w:eastAsia="Amiri" w:cs="Amiri"/>
          <w:color w:val="111111"/>
          <w:sz w:val="28"/>
          <w:sz w:val="28"/>
          <w:szCs w:val="28"/>
          <w:rtl w:val="true"/>
          <w:lang w:bidi="ar-SA"/>
        </w:rPr>
        <w:t xml:space="preserve">غَيرِ مؤَدٍّ لشَرعٍ </w:t>
      </w:r>
      <w:r>
        <w:rPr>
          <w:rStyle w:val="FootnoteAnchor"/>
          <w:rtl w:val="true"/>
        </w:rPr>
        <w:footnoteReference w:id="2428"/>
      </w:r>
      <w:r>
        <w:rPr>
          <w:rFonts w:ascii="Amiri" w:hAnsi="Amiri" w:eastAsia="Amiri" w:cs="Amiri"/>
          <w:color w:val="111111"/>
          <w:sz w:val="28"/>
          <w:sz w:val="28"/>
          <w:szCs w:val="28"/>
          <w:rtl w:val="true"/>
          <w:lang w:bidi="ar-SA"/>
        </w:rPr>
        <w:t xml:space="preserve">، و لا ناقِلٍ عن رسولٍ </w:t>
      </w:r>
      <w:r>
        <w:rPr>
          <w:rStyle w:val="FootnoteAnchor"/>
          <w:rtl w:val="true"/>
        </w:rPr>
        <w:footnoteReference w:id="2429"/>
      </w:r>
      <w:r>
        <w:rPr>
          <w:rFonts w:ascii="Amiri" w:hAnsi="Amiri" w:eastAsia="Amiri" w:cs="Amiri"/>
          <w:color w:val="111111"/>
          <w:sz w:val="28"/>
          <w:sz w:val="28"/>
          <w:szCs w:val="28"/>
          <w:rtl w:val="true"/>
          <w:lang w:bidi="ar-SA"/>
        </w:rPr>
        <w:t xml:space="preserve">، و كلامُنا إنّما هو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تَقُلْ ذلكَ عَلِمنا أنّ مُرادَكَ بالسَّمعِ ما فَسَّرناه، و صَحَّ احتجاجُنا عَلَيكَ بالطريقةِ التي تَعلَّقنا فيها بكَونِ الإمامِ حُجّةً في الشرائعِ و مؤَدّياً لها؛ لأنّها غَيرُ مَبنيّةٍ علَى السَّمعِ الذي عَنَيتَه</w:t>
      </w:r>
      <w:r>
        <w:rPr>
          <w:rStyle w:val="FootnoteAnchor"/>
          <w:rtl w:val="true"/>
        </w:rPr>
        <w:footnoteReference w:id="2430"/>
      </w:r>
      <w:r>
        <w:rPr>
          <w:rFonts w:ascii="Amiri" w:hAnsi="Amiri" w:eastAsia="Amiri" w:cs="Amiri"/>
          <w:color w:val="111111"/>
          <w:sz w:val="28"/>
          <w:sz w:val="28"/>
          <w:szCs w:val="28"/>
          <w:rtl w:val="true"/>
          <w:lang w:bidi="ar-SA"/>
        </w:rPr>
        <w:t>و مَنَعتَ مِن الرجوعِ إليه</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95013_2320776876"/>
      <w:bookmarkStart w:id="418" w:name="_Toc148"/>
      <w:bookmarkEnd w:id="417"/>
      <w:r>
        <w:rPr>
          <w:rtl w:val="true"/>
        </w:rPr>
        <w:t>عدم دلالة تولية بعض الصحابة علىٰ بعض، علىٰ جواز تولية المفضول على الفاضل</w:t>
      </w:r>
      <w:bookmarkEnd w:id="41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مِن جهةِ السَّمعِ أنّه عليه السلامُ وَلّىٰ </w:t>
      </w:r>
      <w:r>
        <w:rPr>
          <w:rStyle w:val="FootnoteAnchor"/>
          <w:rtl w:val="true"/>
        </w:rPr>
        <w:footnoteReference w:id="2431"/>
      </w:r>
      <w:r>
        <w:rPr>
          <w:rFonts w:ascii="Amiri" w:hAnsi="Amiri" w:eastAsia="Amiri" w:cs="Amiri"/>
          <w:color w:val="111111"/>
          <w:sz w:val="28"/>
          <w:sz w:val="28"/>
          <w:szCs w:val="28"/>
          <w:rtl w:val="true"/>
          <w:lang w:bidi="ar-SA"/>
        </w:rPr>
        <w:t xml:space="preserve">عَمرَو بنَ العاصِ و خالدَ بنَ الوَليدِ علىٰ أبي بَكرٍ و عُمَرَ و غَيرِهما مِنَ الفُضَلاءِ </w:t>
      </w:r>
      <w:r>
        <w:rPr>
          <w:rStyle w:val="FootnoteAnchor"/>
          <w:rtl w:val="true"/>
        </w:rPr>
        <w:footnoteReference w:id="2432"/>
      </w:r>
      <w:r>
        <w:rPr>
          <w:rFonts w:ascii="Amiri" w:hAnsi="Amiri" w:eastAsia="Amiri" w:cs="Amiri"/>
          <w:color w:val="111111"/>
          <w:sz w:val="28"/>
          <w:sz w:val="28"/>
          <w:szCs w:val="28"/>
          <w:rtl w:val="true"/>
          <w:lang w:bidi="ar-SA"/>
        </w:rPr>
        <w:t>فما الذي يَمنَعُ مِن</w:t>
      </w:r>
      <w:r>
        <w:rPr>
          <w:rStyle w:val="FootnoteAnchor"/>
          <w:rtl w:val="true"/>
        </w:rPr>
        <w:footnoteReference w:id="2433"/>
      </w:r>
      <w:r>
        <w:rPr>
          <w:rFonts w:ascii="Amiri" w:hAnsi="Amiri" w:eastAsia="Amiri" w:cs="Amiri"/>
          <w:color w:val="111111"/>
          <w:sz w:val="28"/>
          <w:sz w:val="28"/>
          <w:szCs w:val="28"/>
          <w:rtl w:val="true"/>
          <w:lang w:bidi="ar-SA"/>
        </w:rPr>
        <w:t>مِثلِه في الإمامِ؟</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كلامِنا أنّ وِلايةَ المفضولِ علَى الفاضلِ في غَيرِ ما كانَ الفاضلُ فاضلاً فيه لا يَمتَنِعُ‌</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 xml:space="preserve">و لَو ثَبَتَ أنّ أبا بَكرٍ و عُمَرَ كانا أفضَلَ مِن عَمرِو بنِ العاصِ و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وِلايَتِهما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 كَثرةِ الثوابِ‌، لَم يَمنَعْ ذلكَ مِن أن يُوَلَّيا</w:t>
      </w:r>
      <w:r>
        <w:rPr>
          <w:rStyle w:val="FootnoteAnchor"/>
          <w:rtl w:val="true"/>
        </w:rPr>
        <w:footnoteReference w:id="2437"/>
      </w:r>
      <w:r>
        <w:rPr>
          <w:rFonts w:ascii="Amiri" w:hAnsi="Amiri" w:eastAsia="Amiri" w:cs="Amiri"/>
          <w:color w:val="111111"/>
          <w:sz w:val="28"/>
          <w:sz w:val="28"/>
          <w:szCs w:val="28"/>
          <w:rtl w:val="true"/>
          <w:lang w:bidi="ar-SA"/>
        </w:rPr>
        <w:t>عَلَيهما في إمرةِ الحَربِ و سياسةِ الجَيشِ‌؛ فلَيسَ‌</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بمُنكَرٍ أن يَكونَ عَمرٌو و خالدٌ أفضَلَ مِنهما فيما ذَكرناه، بَل هذا هو الظاهرُ مِن أحوالِهما؛ فإنّ شَجاعةَ خالدٍ و تَقدُّمَه في معرفةِ الحَربِ‌</w:t>
      </w:r>
      <w:r>
        <w:rPr>
          <w:rStyle w:val="FootnoteAnchor"/>
          <w:rtl w:val="true"/>
        </w:rPr>
        <w:footnoteReference w:id="2439"/>
      </w:r>
      <w:r>
        <w:rPr>
          <w:rFonts w:ascii="Amiri" w:hAnsi="Amiri" w:eastAsia="Amiri" w:cs="Amiri"/>
          <w:color w:val="111111"/>
          <w:sz w:val="28"/>
          <w:sz w:val="28"/>
          <w:szCs w:val="28"/>
          <w:rtl w:val="true"/>
          <w:lang w:bidi="ar-SA"/>
        </w:rPr>
        <w:t>و تدبيرِها ممّا لا إشكالَ فيه، و دَهاءَ عَمرٍو و لَطيفَ‌</w:t>
      </w:r>
      <w:r>
        <w:rPr>
          <w:rStyle w:val="FootnoteAnchor"/>
          <w:rtl w:val="true"/>
        </w:rPr>
        <w:footnoteReference w:id="2440"/>
      </w:r>
      <w:r>
        <w:rPr>
          <w:rFonts w:ascii="Amiri" w:hAnsi="Amiri" w:eastAsia="Amiri" w:cs="Amiri"/>
          <w:color w:val="111111"/>
          <w:sz w:val="28"/>
          <w:sz w:val="28"/>
          <w:szCs w:val="28"/>
          <w:rtl w:val="true"/>
          <w:lang w:bidi="ar-SA"/>
        </w:rPr>
        <w:t>حيلتِه و خَفاءَ مَكيدتِه</w:t>
      </w:r>
      <w:r>
        <w:rPr>
          <w:rStyle w:val="FootnoteAnchor"/>
          <w:rtl w:val="true"/>
        </w:rPr>
        <w:footnoteReference w:id="2441"/>
      </w:r>
      <w:r>
        <w:rPr>
          <w:rFonts w:ascii="Amiri" w:hAnsi="Amiri" w:eastAsia="Amiri" w:cs="Amiri"/>
          <w:color w:val="111111"/>
          <w:sz w:val="28"/>
          <w:sz w:val="28"/>
          <w:szCs w:val="28"/>
          <w:rtl w:val="true"/>
          <w:lang w:bidi="ar-SA"/>
        </w:rPr>
        <w:t>أيضاً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بعضُ أصحابِنا عن هذا الكلامِ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يُنكَرُ</w:t>
      </w:r>
      <w:r>
        <w:rPr>
          <w:rStyle w:val="FootnoteAnchor"/>
          <w:rtl w:val="true"/>
        </w:rPr>
        <w:footnoteReference w:id="2442"/>
      </w:r>
      <w:r>
        <w:rPr>
          <w:rFonts w:ascii="Amiri" w:hAnsi="Amiri" w:eastAsia="Amiri" w:cs="Amiri"/>
          <w:color w:val="111111"/>
          <w:sz w:val="28"/>
          <w:sz w:val="28"/>
          <w:szCs w:val="28"/>
          <w:rtl w:val="true"/>
          <w:lang w:bidi="ar-SA"/>
        </w:rPr>
        <w:t xml:space="preserve">أن يَكونَ عَمرٌو و خالدٌ في تلكَ الحالِ التي وُلِّيا فيها علىٰ أبي بَكرٍ و عُمَرَ أفضَلَ مِنهما فيما يَرجِعُ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يَمنَعُ مِن هذا مانعٌ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2443"/>
      </w:r>
      <w:r>
        <w:rPr>
          <w:rFonts w:ascii="Amiri" w:hAnsi="Amiri" w:eastAsia="Amiri" w:cs="Amiri"/>
          <w:color w:val="111111"/>
          <w:sz w:val="28"/>
          <w:sz w:val="28"/>
          <w:szCs w:val="28"/>
          <w:rtl w:val="true"/>
          <w:lang w:bidi="ar-SA"/>
        </w:rPr>
        <w:t>هذا جوابٌ صحيحٌ ، و إن كانَ الأوّلُ أقوىٰ في النفسِ ، و أبعَدَ مِن الشَّغْب</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 xml:space="preserve">. </w:t>
      </w:r>
      <w:bookmarkStart w:id="419" w:name="pg20015_285014"/>
    </w:p>
    <w:p>
      <w:pPr>
        <w:pStyle w:val="Heading3"/>
        <w:numPr>
          <w:ilvl w:val="2"/>
          <w:numId w:val="1"/>
        </w:numPr>
        <w:rPr/>
      </w:pPr>
      <w:bookmarkStart w:id="420" w:name="__RefHeading___Toc895015_2320776876"/>
      <w:bookmarkStart w:id="421" w:name="_Toc149"/>
      <w:bookmarkEnd w:id="419"/>
      <w:bookmarkEnd w:id="420"/>
      <w:r>
        <w:rPr>
          <w:rtl w:val="true"/>
        </w:rPr>
        <w:t>الدليل الرابع عصمة الإمام</w:t>
      </w:r>
      <w:bookmarkEnd w:id="421"/>
    </w:p>
    <w:p>
      <w:pPr>
        <w:pStyle w:val="Heading4"/>
        <w:numPr>
          <w:ilvl w:val="3"/>
          <w:numId w:val="1"/>
        </w:numPr>
        <w:rPr/>
      </w:pPr>
      <w:bookmarkStart w:id="422" w:name="__RefHeading___Toc895017_2320776876"/>
      <w:bookmarkStart w:id="423" w:name="_Toc150"/>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سَلَكوا قَريباً مِن هذه الطريقةِ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العقلِ أن يُجعَلَ الإمامُ ممّن يَجوزُ أن يَكونَ كافراً مُنافِقاً جاهلاً باللّٰهِ تَعالىٰ مُلحِداً زِنديقاً إلىٰ غَيرِ ذلكَ‌، و متىٰ جَوَّزتم أن يَكونَ اختيارُه إلَى الأُمّةِ و هُم لا يَعلَمونَ باطنَه أدّىٰ إلىٰ ما ذَكرناه، فلا بُدَّ في إثباتِه مِن نَصٍّ مِن قِبَلِ مَن يَعرفُ الباطنَ‌</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كالأوّلِ في أنّه غَيرُ واجبٍ مِن جهةِ العقلِ‌، كما لا يَجِبُ مِثلُه في الأُمَراءِ و العُمّالِ و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نَقولُ في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مأمونُ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حُجّةً فيما يؤَدّيهِ عن اللّٰهِ تَعالىٰ ، علىٰ ما بيّنّاه في بابِ النُّبوّاتِ </w:t>
      </w:r>
      <w:r>
        <w:rPr>
          <w:rFonts w:eastAsia="Amiri" w:cs="Amiri" w:ascii="Amiri" w:hAnsi="Amiri"/>
          <w:color w:val="111111"/>
          <w:sz w:val="28"/>
          <w:szCs w:val="28"/>
          <w:rtl w:val="true"/>
          <w:lang w:bidi="ar-SA"/>
        </w:rPr>
        <w:t>.</w:t>
      </w:r>
      <w:r>
        <w:rPr>
          <w:rStyle w:val="FootnoteAnchor"/>
          <w:rtl w:val="true"/>
        </w:rPr>
        <w:footnoteReference w:id="2446"/>
      </w:r>
      <w:bookmarkStart w:id="424" w:name="pg20015_285015"/>
    </w:p>
    <w:p>
      <w:pPr>
        <w:pStyle w:val="BookText"/>
        <w:rPr/>
      </w:pPr>
      <w:bookmarkEnd w:id="424"/>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الذي حَكَيتَه عنّا هو الاستدلالُ بالعصمةِ بعَينِه، و إنّما غَيَّرتَ الآنَ العبارةَ‌، و المعنىٰ واحدٌ؛ لأنّ الذي يؤمِنُ مِن كَونِ الإمامِ في باطنِه علَى الصفاتِ التي ذَكرتَها هو العصمةُ‌، فمتىٰ ثَبَتَت</w:t>
      </w:r>
      <w:r>
        <w:rPr>
          <w:rStyle w:val="FootnoteAnchor"/>
          <w:rtl w:val="true"/>
        </w:rPr>
        <w:footnoteReference w:id="2447"/>
      </w:r>
      <w:r>
        <w:rPr>
          <w:rFonts w:ascii="Amiri" w:hAnsi="Amiri" w:eastAsia="Amiri" w:cs="Amiri"/>
          <w:color w:val="111111"/>
          <w:sz w:val="28"/>
          <w:sz w:val="28"/>
          <w:szCs w:val="28"/>
          <w:rtl w:val="true"/>
          <w:lang w:bidi="ar-SA"/>
        </w:rPr>
        <w:t>فلا بُدَّ مِن أن يَكونَ مأموناً منه</w:t>
      </w:r>
    </w:p>
    <w:p>
      <w:pPr>
        <w:pStyle w:val="BookText"/>
        <w:rPr/>
      </w:pPr>
      <w:r>
        <w:rPr>
          <w:rFonts w:ascii="Amiri" w:hAnsi="Amiri" w:eastAsia="Amiri" w:cs="Amiri"/>
          <w:color w:val="111111"/>
          <w:sz w:val="28"/>
          <w:sz w:val="28"/>
          <w:szCs w:val="28"/>
          <w:rtl w:val="true"/>
          <w:lang w:bidi="ar-SA"/>
        </w:rPr>
        <w:t>جميعُ ما ذَكرتَه، و إنّما تَجوزُ</w:t>
      </w:r>
      <w:r>
        <w:rPr>
          <w:rStyle w:val="FootnoteAnchor"/>
          <w:rtl w:val="true"/>
        </w:rPr>
        <w:footnoteReference w:id="2448"/>
      </w:r>
      <w:r>
        <w:rPr>
          <w:rFonts w:ascii="Amiri" w:hAnsi="Amiri" w:eastAsia="Amiri" w:cs="Amiri"/>
          <w:color w:val="111111"/>
          <w:sz w:val="28"/>
          <w:sz w:val="28"/>
          <w:szCs w:val="28"/>
          <w:rtl w:val="true"/>
          <w:lang w:bidi="ar-SA"/>
        </w:rPr>
        <w:t xml:space="preserve">هذه الأُمورُ عَلَيه مع فَقدِ العصمةِ ، و قد مضَى الكلامُ في دليلِ العصمةِ مُستَقصىً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فأمّا الفَرقُ بَينَ الإمامِ و الأُمَراءِ و الحُكّامِ في سَلامةِ البَواطنِ </w:t>
      </w:r>
      <w:r>
        <w:rPr>
          <w:rStyle w:val="FootnoteAnchor"/>
          <w:rtl w:val="true"/>
        </w:rPr>
        <w:footnoteReference w:id="2450"/>
      </w:r>
      <w:r>
        <w:rPr>
          <w:rFonts w:ascii="Amiri" w:hAnsi="Amiri" w:eastAsia="Amiri" w:cs="Amiri"/>
          <w:color w:val="111111"/>
          <w:sz w:val="28"/>
          <w:sz w:val="28"/>
          <w:szCs w:val="28"/>
          <w:rtl w:val="true"/>
          <w:lang w:bidi="ar-SA"/>
        </w:rPr>
        <w:t>فقَد مضىٰ أيضاً</w:t>
      </w:r>
      <w:r>
        <w:rPr>
          <w:rStyle w:val="FootnoteAnchor"/>
          <w:rtl w:val="true"/>
        </w:rPr>
        <w:footnoteReference w:id="2451"/>
      </w:r>
      <w:r>
        <w:rPr>
          <w:rFonts w:ascii="Amiri" w:hAnsi="Amiri" w:eastAsia="Amiri" w:cs="Amiri"/>
          <w:color w:val="111111"/>
          <w:sz w:val="28"/>
          <w:sz w:val="28"/>
          <w:szCs w:val="28"/>
          <w:rtl w:val="true"/>
          <w:lang w:bidi="ar-SA"/>
        </w:rPr>
        <w:t xml:space="preserve">حَيثُ فَرَّقنا بَينَهم في وجوبِ العصمةِ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895019_2320776876"/>
      <w:bookmarkStart w:id="426" w:name="_Toc151"/>
      <w:bookmarkEnd w:id="425"/>
      <w:r>
        <w:rPr>
          <w:rtl w:val="true"/>
        </w:rPr>
        <w:t>جواز إثبات سلامة باطن الرسول و الإمام بدليلَين منفصلَين</w:t>
      </w:r>
      <w:bookmarkEnd w:id="4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اعتصامُكَ في سَلامةِ باطنِ الرسولِ صَلَّى اللّٰهُ عليه و آلِه</w:t>
      </w:r>
      <w:r>
        <w:rPr>
          <w:rStyle w:val="FootnoteAnchor"/>
          <w:rtl w:val="true"/>
        </w:rPr>
        <w:footnoteReference w:id="2452"/>
      </w:r>
      <w:r>
        <w:rPr>
          <w:rFonts w:ascii="Amiri" w:hAnsi="Amiri" w:eastAsia="Amiri" w:cs="Amiri"/>
          <w:color w:val="111111"/>
          <w:sz w:val="28"/>
          <w:sz w:val="28"/>
          <w:szCs w:val="28"/>
          <w:rtl w:val="true"/>
          <w:lang w:bidi="ar-SA"/>
        </w:rPr>
        <w:t>بكَونِه حُجّةً فيما يؤَدّيهِ فغَيرُ نافعٍ‌، و لا واقعٍ مَوقِعَه؛ لأنّه لا يَمتَنِعُ أن تَثبُتَ‌</w:t>
      </w:r>
      <w:r>
        <w:rPr>
          <w:rStyle w:val="FootnoteAnchor"/>
          <w:rtl w:val="true"/>
        </w:rPr>
        <w:footnoteReference w:id="2453"/>
      </w:r>
      <w:r>
        <w:rPr>
          <w:rFonts w:ascii="Amiri" w:hAnsi="Amiri" w:eastAsia="Amiri" w:cs="Amiri"/>
          <w:color w:val="111111"/>
          <w:sz w:val="28"/>
          <w:sz w:val="28"/>
          <w:szCs w:val="28"/>
          <w:rtl w:val="true"/>
          <w:lang w:bidi="ar-SA"/>
        </w:rPr>
        <w:t>سَلامةُ باطنِ الرسولِ‌</w:t>
      </w:r>
      <w:r>
        <w:rPr>
          <w:rStyle w:val="FootnoteAnchor"/>
          <w:rtl w:val="true"/>
        </w:rPr>
        <w:footnoteReference w:id="2454"/>
      </w:r>
      <w:r>
        <w:rPr>
          <w:rFonts w:ascii="Amiri" w:hAnsi="Amiri" w:eastAsia="Amiri" w:cs="Amiri"/>
          <w:color w:val="111111"/>
          <w:sz w:val="28"/>
          <w:sz w:val="28"/>
          <w:szCs w:val="28"/>
          <w:rtl w:val="true"/>
          <w:lang w:bidi="ar-SA"/>
        </w:rPr>
        <w:t>بكَونهِ حُجّةً فيما يؤَدّيهِ‌، و تَثبُتَ‌</w:t>
      </w:r>
      <w:r>
        <w:rPr>
          <w:rStyle w:val="FootnoteAnchor"/>
          <w:rtl w:val="true"/>
        </w:rPr>
        <w:footnoteReference w:id="2455"/>
      </w:r>
      <w:r>
        <w:rPr>
          <w:rFonts w:ascii="Amiri" w:hAnsi="Amiri" w:eastAsia="Amiri" w:cs="Amiri"/>
          <w:color w:val="111111"/>
          <w:sz w:val="28"/>
          <w:sz w:val="28"/>
          <w:szCs w:val="28"/>
          <w:rtl w:val="true"/>
          <w:lang w:bidi="ar-SA"/>
        </w:rPr>
        <w:t xml:space="preserve">سَلامةُ باطنِ الإمامِ بغَيرِ هذه العِلّةِ ، و إنّما يَصِحُّ </w:t>
      </w:r>
      <w:r>
        <w:rPr>
          <w:rStyle w:val="FootnoteAnchor"/>
          <w:rtl w:val="true"/>
        </w:rPr>
        <w:footnoteReference w:id="2456"/>
      </w:r>
      <w:r>
        <w:rPr>
          <w:rFonts w:ascii="Amiri" w:hAnsi="Amiri" w:eastAsia="Amiri" w:cs="Amiri"/>
          <w:color w:val="111111"/>
          <w:sz w:val="28"/>
          <w:sz w:val="28"/>
          <w:szCs w:val="28"/>
          <w:rtl w:val="true"/>
          <w:lang w:bidi="ar-SA"/>
        </w:rPr>
        <w:t xml:space="preserve">كلامُكَ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العِلّةَ في سَلامةِ باطنِ الرسولِ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عِلّةَ تَقتَضي </w:t>
      </w:r>
      <w:bookmarkStart w:id="427" w:name="pg20015_285016"/>
    </w:p>
    <w:p>
      <w:pPr>
        <w:pStyle w:val="BookText"/>
        <w:rPr/>
      </w:pPr>
      <w:bookmarkEnd w:id="427"/>
      <w:r>
        <w:rPr>
          <w:rFonts w:ascii="Amiri" w:hAnsi="Amiri" w:eastAsia="Amiri" w:cs="Amiri"/>
          <w:color w:val="111111"/>
          <w:sz w:val="28"/>
          <w:sz w:val="28"/>
          <w:szCs w:val="28"/>
          <w:rtl w:val="true"/>
          <w:lang w:bidi="ar-SA"/>
        </w:rPr>
        <w:t>سَلامةَ باطنِ أحَدٍ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تورِدْ</w:t>
      </w:r>
      <w:r>
        <w:rPr>
          <w:rStyle w:val="FootnoteAnchor"/>
          <w:rtl w:val="true"/>
        </w:rPr>
        <w:footnoteReference w:id="2457"/>
      </w:r>
      <w:r>
        <w:rPr>
          <w:rFonts w:ascii="Amiri" w:hAnsi="Amiri" w:eastAsia="Amiri" w:cs="Amiri"/>
          <w:color w:val="111111"/>
          <w:sz w:val="28"/>
          <w:sz w:val="28"/>
          <w:szCs w:val="28"/>
          <w:rtl w:val="true"/>
          <w:lang w:bidi="ar-SA"/>
        </w:rPr>
        <w:t>كلامَكَ مَورِدَ الانفصالِ و علىٰ‌</w:t>
      </w:r>
      <w:r>
        <w:rPr>
          <w:rStyle w:val="FootnoteAnchor"/>
          <w:rtl w:val="true"/>
        </w:rPr>
        <w:footnoteReference w:id="2458"/>
      </w:r>
      <w:r>
        <w:rPr>
          <w:rFonts w:ascii="Amiri" w:hAnsi="Amiri" w:eastAsia="Amiri" w:cs="Amiri"/>
          <w:color w:val="111111"/>
          <w:sz w:val="28"/>
          <w:sz w:val="28"/>
          <w:szCs w:val="28"/>
          <w:rtl w:val="true"/>
          <w:lang w:bidi="ar-SA"/>
        </w:rPr>
        <w:t>سَبيلِ الفَرقِ بَينَ الرسولِ و الإمامِ‌؛ لأنّكَ لَم تُلزَمْ هاهُنا حَملَ الإمامِ علَى الرسولِ‌، بَل أَورَدتَه علىٰ سَبيلِ الطَّعنِ في قَولِ مَن ادَّعىٰ أنّ الإمامَ لا بُدَّ أن يَكونَ سَليمَ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يَطعَنُ‌</w:t>
      </w:r>
      <w:r>
        <w:rPr>
          <w:rStyle w:val="FootnoteAnchor"/>
          <w:rtl w:val="true"/>
        </w:rPr>
        <w:footnoteReference w:id="2459"/>
      </w:r>
      <w:r>
        <w:rPr>
          <w:rFonts w:ascii="Amiri" w:hAnsi="Amiri" w:eastAsia="Amiri" w:cs="Amiri"/>
          <w:color w:val="111111"/>
          <w:sz w:val="28"/>
          <w:sz w:val="28"/>
          <w:szCs w:val="28"/>
          <w:rtl w:val="true"/>
          <w:lang w:bidi="ar-SA"/>
        </w:rPr>
        <w:t xml:space="preserve">في هذا المَذهَبِ ذِكرُكَ عِلّةَ عصمةِ الرسولِ‌؛ لأنّه لَيسَ بمُنكَرٍ أن تَكونَ </w:t>
      </w:r>
      <w:r>
        <w:rPr>
          <w:rStyle w:val="FootnoteAnchor"/>
          <w:rtl w:val="true"/>
        </w:rPr>
        <w:footnoteReference w:id="2460"/>
      </w:r>
      <w:r>
        <w:rPr>
          <w:rFonts w:ascii="Amiri" w:hAnsi="Amiri" w:eastAsia="Amiri" w:cs="Amiri"/>
          <w:color w:val="111111"/>
          <w:sz w:val="28"/>
          <w:sz w:val="28"/>
          <w:szCs w:val="28"/>
          <w:rtl w:val="true"/>
          <w:lang w:bidi="ar-SA"/>
        </w:rPr>
        <w:t xml:space="preserve">عِلّتُكَ صَحيحةً ، و مَذهَبُ مَن اعتَقَدَ أنّ الإمامَ لا بُدَّ مِن أن يَكونَ سَليمَ الباطنِ ، صَحيحاً لِعِلّةٍ أُخرىٰ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895021_2320776876"/>
      <w:bookmarkStart w:id="429" w:name="_Toc152"/>
      <w:bookmarkEnd w:id="428"/>
      <w:r>
        <w:rPr>
          <w:rtl w:val="true"/>
        </w:rPr>
        <w:t>بيان سبب لزوم سلامة باطن الإمام</w:t>
      </w:r>
      <w:bookmarkEnd w:id="42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وَجَبَ أن يُقطَعَ‌</w:t>
      </w:r>
      <w:r>
        <w:rPr>
          <w:rStyle w:val="FootnoteAnchor"/>
          <w:rtl w:val="true"/>
        </w:rPr>
        <w:footnoteReference w:id="2461"/>
      </w:r>
      <w:r>
        <w:rPr>
          <w:rFonts w:ascii="Amiri" w:hAnsi="Amiri" w:eastAsia="Amiri" w:cs="Amiri"/>
          <w:color w:val="111111"/>
          <w:sz w:val="28"/>
          <w:sz w:val="28"/>
          <w:szCs w:val="28"/>
          <w:rtl w:val="true"/>
          <w:lang w:bidi="ar-SA"/>
        </w:rPr>
        <w:t>علىٰ ذلكَ ، لَكانَ إنّما يَجِبُ لأمرٍ يَرجِعُ إلَى الأُمورِ التي يَقومُ بها؛ لكَي لا يُخطئَ فيها و لا يَغلَطَ، و قد بيّنّا أنّ ذلكَ غَيرُ واجبٍ ، و أنّه إن</w:t>
      </w:r>
      <w:r>
        <w:rPr>
          <w:rStyle w:val="FootnoteAnchor"/>
          <w:rtl w:val="true"/>
        </w:rPr>
        <w:footnoteReference w:id="2462"/>
      </w:r>
      <w:r>
        <w:rPr>
          <w:rFonts w:ascii="Amiri" w:hAnsi="Amiri" w:eastAsia="Amiri" w:cs="Amiri"/>
          <w:color w:val="111111"/>
          <w:sz w:val="28"/>
          <w:sz w:val="28"/>
          <w:szCs w:val="28"/>
          <w:rtl w:val="true"/>
          <w:lang w:bidi="ar-SA"/>
        </w:rPr>
        <w:t xml:space="preserve">أخطَأَ في ذلكَ لَم يوجِبْ فَساداً، و لأنّ ذلكَ لَو وَجَبَ لَوَجَبَ </w:t>
      </w:r>
      <w:r>
        <w:rPr>
          <w:rStyle w:val="FootnoteAnchor"/>
          <w:rtl w:val="true"/>
        </w:rPr>
        <w:footnoteReference w:id="2463"/>
      </w:r>
      <w:r>
        <w:rPr>
          <w:rFonts w:ascii="Amiri" w:hAnsi="Amiri" w:eastAsia="Amiri" w:cs="Amiri"/>
          <w:color w:val="111111"/>
          <w:sz w:val="28"/>
          <w:sz w:val="28"/>
          <w:szCs w:val="28"/>
          <w:rtl w:val="true"/>
          <w:lang w:bidi="ar-SA"/>
        </w:rPr>
        <w:t>مِثلُه في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أنّه لا يُمكِنُهم التعَلُّقُ بأنّه أَوسَعُ عملاً؛ لأنّه لا مُعتَبَرَ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الأميرَ في بعضِ الأحوالِ قد يَكونُ أَوسَعَ عملاً بأن يَكونَ الإمامُ مقهوراً مغلوباً دونَه</w:t>
      </w:r>
      <w:r>
        <w:rPr>
          <w:rFonts w:eastAsia="Amiri" w:cs="Amiri" w:ascii="Amiri" w:hAnsi="Amiri"/>
          <w:color w:val="111111"/>
          <w:sz w:val="28"/>
          <w:szCs w:val="28"/>
          <w:rtl w:val="true"/>
          <w:lang w:bidi="ar-SA"/>
        </w:rPr>
        <w:t>.</w:t>
      </w:r>
      <w:r>
        <w:rPr>
          <w:rStyle w:val="FootnoteAnchor"/>
          <w:rtl w:val="true"/>
        </w:rPr>
        <w:footnoteReference w:id="246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تَوهَّمتَ مِن أنّ سَلامةَ باطنِ الإمامِ لَو وَجَبَت لَكانَت</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إنّما تَجِبُ لِكَي لا يُخطئَ في الأُمورِ التي يَقومُ بها، بَل الذي له</w:t>
      </w:r>
      <w:r>
        <w:rPr>
          <w:rStyle w:val="FootnoteAnchor"/>
          <w:rtl w:val="true"/>
        </w:rPr>
        <w:footnoteReference w:id="2466"/>
      </w:r>
      <w:r>
        <w:rPr>
          <w:rFonts w:ascii="Amiri" w:hAnsi="Amiri" w:eastAsia="Amiri" w:cs="Amiri"/>
          <w:color w:val="111111"/>
          <w:sz w:val="28"/>
          <w:sz w:val="28"/>
          <w:szCs w:val="28"/>
          <w:rtl w:val="true"/>
          <w:lang w:bidi="ar-SA"/>
        </w:rPr>
        <w:t>وَجَبَت سَلامةُ باطنِه كَونُه معصوماً، و إنّما وَجَبَ كَونُه معصوماً لِبعضِ ما تَقدَّمَ مِن الأدِلّةِ‌</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فأمّا الفَرقُ بَينَ الأميرِ و الإمامِ بسَعةِ العملِ‌</w:t>
      </w:r>
      <w:r>
        <w:rPr>
          <w:rStyle w:val="FootnoteAnchor"/>
          <w:rtl w:val="true"/>
        </w:rPr>
        <w:footnoteReference w:id="2468"/>
      </w:r>
      <w:r>
        <w:rPr>
          <w:rFonts w:ascii="Amiri" w:hAnsi="Amiri" w:eastAsia="Amiri" w:cs="Amiri"/>
          <w:color w:val="111111"/>
          <w:sz w:val="28"/>
          <w:sz w:val="28"/>
          <w:szCs w:val="28"/>
          <w:rtl w:val="true"/>
          <w:lang w:bidi="ar-SA"/>
        </w:rPr>
        <w:t>فممّا لا نَعتَمِدُه و لا نَرتَضيهِ‌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w:t>
      </w:r>
      <w:r>
        <w:rPr>
          <w:rStyle w:val="FootnoteAnchor"/>
          <w:rtl w:val="true"/>
        </w:rPr>
        <w:footnoteReference w:id="2469"/>
      </w:r>
      <w:r>
        <w:rPr>
          <w:rFonts w:ascii="Amiri" w:hAnsi="Amiri" w:eastAsia="Amiri" w:cs="Amiri"/>
          <w:color w:val="111111"/>
          <w:sz w:val="28"/>
          <w:sz w:val="28"/>
          <w:szCs w:val="28"/>
          <w:rtl w:val="true"/>
          <w:lang w:bidi="ar-SA"/>
        </w:rPr>
        <w:t xml:space="preserve">قد ظَنَنتَ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المُرادِ بهذه اللفظةِ ؛ لأنّ المُرادَ بالعمل و سَعَتِه و ضِيقِه الأماكنُ التي لِصاحبِ العملِ أن يَتصرَّفَ فيها و يُدبِّرَ</w:t>
      </w:r>
      <w:r>
        <w:rPr>
          <w:rStyle w:val="FootnoteAnchor"/>
          <w:rtl w:val="true"/>
        </w:rPr>
        <w:footnoteReference w:id="2470"/>
      </w:r>
      <w:r>
        <w:rPr>
          <w:rFonts w:ascii="Amiri" w:hAnsi="Amiri" w:eastAsia="Amiri" w:cs="Amiri"/>
          <w:color w:val="111111"/>
          <w:sz w:val="28"/>
          <w:sz w:val="28"/>
          <w:szCs w:val="28"/>
          <w:rtl w:val="true"/>
          <w:lang w:bidi="ar-SA"/>
        </w:rPr>
        <w:t xml:space="preserve">أهلَها، و لَيسَ بمُنكَرٍ أن يَحولَ بَينَ صاحبِ العملِ و عملِه حَوائلُ تَقطَعُه عن التصَرُّفِ ، و لا يَخرُجَ بذلكَ العملُ </w:t>
      </w:r>
      <w:r>
        <w:rPr>
          <w:rStyle w:val="FootnoteAnchor"/>
          <w:rtl w:val="true"/>
        </w:rPr>
        <w:footnoteReference w:id="2471"/>
      </w:r>
      <w:r>
        <w:rPr>
          <w:rFonts w:ascii="Amiri" w:hAnsi="Amiri" w:eastAsia="Amiri" w:cs="Amiri"/>
          <w:color w:val="111111"/>
          <w:sz w:val="28"/>
          <w:sz w:val="28"/>
          <w:szCs w:val="28"/>
          <w:rtl w:val="true"/>
          <w:lang w:bidi="ar-SA"/>
        </w:rPr>
        <w:t>مِن</w:t>
      </w:r>
      <w:r>
        <w:rPr>
          <w:rStyle w:val="FootnoteAnchor"/>
          <w:rtl w:val="true"/>
        </w:rPr>
        <w:footnoteReference w:id="2472"/>
      </w:r>
      <w:r>
        <w:rPr>
          <w:rFonts w:ascii="Amiri" w:hAnsi="Amiri" w:eastAsia="Amiri" w:cs="Amiri"/>
          <w:color w:val="111111"/>
          <w:sz w:val="28"/>
          <w:sz w:val="28"/>
          <w:szCs w:val="28"/>
          <w:rtl w:val="true"/>
          <w:lang w:bidi="ar-SA"/>
        </w:rPr>
        <w:t>أن يَكونَ عملاً له؛ فالإمامُ و إن جازَ أن يَحولَ بعضُ الظالِمينَ بَينَه و بَينَ كَثيرٍ مِن أعمالِه و يَقطَعوه</w:t>
      </w:r>
      <w:r>
        <w:rPr>
          <w:rStyle w:val="FootnoteAnchor"/>
          <w:rtl w:val="true"/>
        </w:rPr>
        <w:footnoteReference w:id="2473"/>
      </w:r>
      <w:r>
        <w:rPr>
          <w:rFonts w:ascii="Amiri" w:hAnsi="Amiri" w:eastAsia="Amiri" w:cs="Amiri"/>
          <w:color w:val="111111"/>
          <w:sz w:val="28"/>
          <w:sz w:val="28"/>
          <w:szCs w:val="28"/>
          <w:rtl w:val="true"/>
          <w:lang w:bidi="ar-SA"/>
        </w:rPr>
        <w:t xml:space="preserve">عن تدبيرِ أهلِها و سياستِهم، فلَيسَ يُخرِجُ فِعلُهم تلكَ الأعمالَ مِن أن يَكونَ </w:t>
      </w:r>
      <w:r>
        <w:rPr>
          <w:rStyle w:val="FootnoteAnchor"/>
          <w:rtl w:val="true"/>
        </w:rPr>
        <w:footnoteReference w:id="2474"/>
      </w:r>
      <w:r>
        <w:rPr>
          <w:rFonts w:ascii="Amiri" w:hAnsi="Amiri" w:eastAsia="Amiri" w:cs="Amiri"/>
          <w:color w:val="111111"/>
          <w:sz w:val="28"/>
          <w:sz w:val="28"/>
          <w:szCs w:val="28"/>
          <w:rtl w:val="true"/>
          <w:lang w:bidi="ar-SA"/>
        </w:rPr>
        <w:t>أعمالاً له؛ مِن حَيثُ كانَ له التصرُّفُ فيها و تدبيرُ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Style w:val="FootnoteAnchor"/>
          <w:rtl w:val="true"/>
        </w:rPr>
        <w:footnoteReference w:id="2475"/>
      </w:r>
      <w:r>
        <w:rPr>
          <w:rFonts w:ascii="Amiri" w:hAnsi="Amiri" w:eastAsia="Amiri" w:cs="Amiri"/>
          <w:color w:val="111111"/>
          <w:sz w:val="28"/>
          <w:sz w:val="28"/>
          <w:szCs w:val="28"/>
          <w:rtl w:val="true"/>
          <w:lang w:bidi="ar-SA"/>
        </w:rPr>
        <w:t xml:space="preserve">جَوَّزنا عَلَيه الغلطَ لَم يَصِحَّ أن تَلزَمَ </w:t>
      </w:r>
      <w:r>
        <w:rPr>
          <w:rStyle w:val="FootnoteAnchor"/>
          <w:rtl w:val="true"/>
        </w:rPr>
        <w:footnoteReference w:id="2476"/>
      </w:r>
      <w:r>
        <w:rPr>
          <w:rFonts w:ascii="Amiri" w:hAnsi="Amiri" w:eastAsia="Amiri" w:cs="Amiri"/>
          <w:color w:val="111111"/>
          <w:sz w:val="28"/>
          <w:sz w:val="28"/>
          <w:szCs w:val="28"/>
          <w:rtl w:val="true"/>
          <w:lang w:bidi="ar-SA"/>
        </w:rPr>
        <w:t xml:space="preserve">طاعتُه و التأسّي </w:t>
      </w:r>
    </w:p>
    <w:p>
      <w:pPr>
        <w:pStyle w:val="BookText"/>
        <w:rPr/>
      </w:pPr>
      <w:r>
        <w:rPr>
          <w:rFonts w:ascii="Amiri" w:hAnsi="Amiri" w:eastAsia="Amiri" w:cs="Amiri"/>
          <w:color w:val="111111"/>
          <w:sz w:val="28"/>
          <w:sz w:val="28"/>
          <w:szCs w:val="28"/>
          <w:rtl w:val="true"/>
          <w:lang w:bidi="ar-SA"/>
        </w:rPr>
        <w:t>به؛ لأنّ طاعةَ العاصي تَكونُ خطأً، و كذلكَ‌</w:t>
      </w:r>
      <w:r>
        <w:rPr>
          <w:rStyle w:val="FootnoteAnchor"/>
          <w:rtl w:val="true"/>
        </w:rPr>
        <w:footnoteReference w:id="2477"/>
      </w:r>
      <w:r>
        <w:rPr>
          <w:rFonts w:ascii="Amiri" w:hAnsi="Amiri" w:eastAsia="Amiri" w:cs="Amiri"/>
          <w:color w:val="111111"/>
          <w:sz w:val="28"/>
          <w:sz w:val="28"/>
          <w:szCs w:val="28"/>
          <w:rtl w:val="true"/>
          <w:lang w:bidi="ar-SA"/>
        </w:rPr>
        <w:t>التأسّي بالعاصي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w:t>
      </w:r>
      <w:r>
        <w:rPr>
          <w:rStyle w:val="FootnoteAnchor"/>
          <w:rtl w:val="true"/>
        </w:rPr>
        <w:footnoteReference w:id="2478"/>
      </w:r>
      <w:r>
        <w:rPr>
          <w:rFonts w:ascii="Amiri" w:hAnsi="Amiri" w:eastAsia="Amiri" w:cs="Amiri"/>
          <w:color w:val="111111"/>
          <w:sz w:val="28"/>
          <w:sz w:val="28"/>
          <w:szCs w:val="28"/>
          <w:rtl w:val="true"/>
          <w:lang w:bidi="ar-SA"/>
        </w:rPr>
        <w:t xml:space="preserve">كانَ عليه السلامُ إذا أمَّرَ أميراً يوجِبُ طاعتَه و التأسّيَ به‌؟ أفيَجِبُ مِن ذلكَ القَطعُ علىٰ باطنِه، و ادّعاءُ كَونِه فاضلاً لا يَجوزُ أن يُغَيِّرَ و يُبَدِّلَ؟ فلا بُدَّ مِن القَولِ بأنّ ذلكَ غَيرُ واجبٍ ، فيَلزَمُهم مِثلُه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 طاعتَه فيما يُعلَمُ قُبحُه لا تَجِبُ </w:t>
      </w:r>
      <w:r>
        <w:rPr>
          <w:rStyle w:val="FootnoteAnchor"/>
          <w:rtl w:val="true"/>
        </w:rPr>
        <w:footnoteReference w:id="2479"/>
      </w:r>
      <w:r>
        <w:rPr>
          <w:rFonts w:ascii="Amiri" w:hAnsi="Amiri" w:eastAsia="Amiri" w:cs="Amiri"/>
          <w:color w:val="111111"/>
          <w:sz w:val="28"/>
          <w:sz w:val="28"/>
          <w:szCs w:val="28"/>
          <w:rtl w:val="true"/>
          <w:lang w:bidi="ar-SA"/>
        </w:rPr>
        <w:t xml:space="preserve">، و أنّه بمَنزِلةِ الإمامِ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w:t>
      </w:r>
      <w:r>
        <w:rPr>
          <w:rStyle w:val="FootnoteAnchor"/>
          <w:rtl w:val="true"/>
        </w:rPr>
        <w:footnoteReference w:id="2480"/>
      </w:r>
      <w:r>
        <w:rPr>
          <w:rFonts w:ascii="Amiri" w:hAnsi="Amiri" w:eastAsia="Amiri" w:cs="Amiri"/>
          <w:color w:val="111111"/>
          <w:sz w:val="28"/>
          <w:sz w:val="28"/>
          <w:szCs w:val="28"/>
          <w:rtl w:val="true"/>
          <w:lang w:bidi="ar-SA"/>
        </w:rPr>
        <w:t>أنّ وجوبَ التأسّي به لا يَمتَنِعُ و إن كانَ عاصياً</w:t>
      </w:r>
      <w:r>
        <w:rPr>
          <w:rFonts w:eastAsia="Amiri" w:cs="Amiri" w:ascii="Amiri" w:hAnsi="Amiri"/>
          <w:color w:val="111111"/>
          <w:sz w:val="28"/>
          <w:szCs w:val="28"/>
          <w:rtl w:val="true"/>
          <w:lang w:bidi="ar-SA"/>
        </w:rPr>
        <w:t>.</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الفَرقُ بَينَ الإمامِ و بَينَ‌</w:t>
      </w:r>
      <w:r>
        <w:rPr>
          <w:rStyle w:val="FootnoteAnchor"/>
          <w:rtl w:val="true"/>
        </w:rPr>
        <w:footnoteReference w:id="2482"/>
      </w:r>
      <w:r>
        <w:rPr>
          <w:rFonts w:ascii="Amiri" w:hAnsi="Amiri" w:eastAsia="Amiri" w:cs="Amiri"/>
          <w:color w:val="111111"/>
          <w:sz w:val="28"/>
          <w:sz w:val="28"/>
          <w:szCs w:val="28"/>
          <w:rtl w:val="true"/>
          <w:lang w:bidi="ar-SA"/>
        </w:rPr>
        <w:t xml:space="preserve">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الأُمَراءِ و العُمّالِ</w:t>
      </w:r>
    </w:p>
    <w:p>
      <w:pPr>
        <w:pStyle w:val="BookText"/>
        <w:rPr/>
      </w:pPr>
      <w:r>
        <w:rPr>
          <w:rFonts w:ascii="Amiri" w:hAnsi="Amiri" w:eastAsia="Amiri" w:cs="Amiri"/>
          <w:color w:val="111111"/>
          <w:sz w:val="28"/>
          <w:sz w:val="28"/>
          <w:szCs w:val="28"/>
          <w:rtl w:val="true"/>
          <w:lang w:bidi="ar-SA"/>
        </w:rPr>
        <w:t xml:space="preserve">و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الاقتداءِ و التأسّي، و بيّنّا أنّ الذي يَجِبُ للأئمّةِ مِن الاقتداءِ المخصوصِ لا يَجِبُ لأحَدٍ مِن رَعيّتِهم</w:t>
      </w:r>
      <w:r>
        <w:rPr>
          <w:rStyle w:val="FootnoteAnchor"/>
          <w:rtl w:val="true"/>
        </w:rPr>
        <w:footnoteReference w:id="2483"/>
      </w:r>
      <w:r>
        <w:rPr>
          <w:rFonts w:ascii="Amiri" w:hAnsi="Amiri" w:eastAsia="Amiri" w:cs="Amiri"/>
          <w:color w:val="111111"/>
          <w:sz w:val="28"/>
          <w:sz w:val="28"/>
          <w:szCs w:val="28"/>
          <w:rtl w:val="true"/>
          <w:lang w:bidi="ar-SA"/>
        </w:rPr>
        <w:t xml:space="preserve">، فلَيسَ يَلزَمُ ما أَورَدتَه مِن عصمتِهم قياساً علىٰ عصمةِ الأئمّةِ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التأسّي بالعاصي مع كَونِ المتأسّي مُطيعاً أو غَيرَ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صحيحٍ ؛ لأنّ التأسّيَ لا يَصِحُّ إلّامع وقوعِ فِعلِ المتأسّي علَى الوجهِ الذي وقَعَ عَلَيه فِعلُ المتأسّىٰ به، و إذا</w:t>
      </w:r>
      <w:r>
        <w:rPr>
          <w:rStyle w:val="FootnoteAnchor"/>
          <w:rtl w:val="true"/>
        </w:rPr>
        <w:footnoteReference w:id="2484"/>
      </w:r>
      <w:r>
        <w:rPr>
          <w:rFonts w:ascii="Amiri" w:hAnsi="Amiri" w:eastAsia="Amiri" w:cs="Amiri"/>
          <w:color w:val="111111"/>
          <w:sz w:val="28"/>
          <w:sz w:val="28"/>
          <w:szCs w:val="28"/>
          <w:rtl w:val="true"/>
          <w:lang w:bidi="ar-SA"/>
        </w:rPr>
        <w:t>كانَ لا بُدَّ مِن اعتبارِ وجوهِ الأفعالِ لَم يَصِحَّ أن يَكونَ المُطيعُ متأسّياً بالعاصي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لا يَزالُ يَقولُه</w:t>
      </w:r>
      <w:r>
        <w:rPr>
          <w:rStyle w:val="FootnoteAnchor"/>
          <w:rtl w:val="true"/>
        </w:rPr>
        <w:footnoteReference w:id="2485"/>
      </w:r>
      <w:r>
        <w:rPr>
          <w:rFonts w:ascii="Amiri" w:hAnsi="Amiri" w:eastAsia="Amiri" w:cs="Amiri"/>
          <w:color w:val="111111"/>
          <w:sz w:val="28"/>
          <w:sz w:val="28"/>
          <w:szCs w:val="28"/>
          <w:rtl w:val="true"/>
          <w:lang w:bidi="ar-SA"/>
        </w:rPr>
        <w:t xml:space="preserve">مَن نَصَرَ هذا المَذهَبَ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المُصطَحِبَينِ في طريقٍ واحدٍ قد</w:t>
      </w:r>
      <w:r>
        <w:rPr>
          <w:rStyle w:val="FootnoteAnchor"/>
          <w:rtl w:val="true"/>
        </w:rPr>
        <w:footnoteReference w:id="2486"/>
      </w:r>
      <w:r>
        <w:rPr>
          <w:rFonts w:ascii="Amiri" w:hAnsi="Amiri" w:eastAsia="Amiri" w:cs="Amiri"/>
          <w:color w:val="111111"/>
          <w:sz w:val="28"/>
          <w:sz w:val="28"/>
          <w:szCs w:val="28"/>
          <w:rtl w:val="true"/>
          <w:lang w:bidi="ar-SA"/>
        </w:rPr>
        <w:t>يَكونُ أحَدُهما مُتأسّياً بصاحبِه في سُلوكِه، و إن كانَ أحَدُهما ذاهباً إلَى البِيعَةِ‌</w:t>
      </w:r>
      <w:r>
        <w:rPr>
          <w:rStyle w:val="FootnoteAnchor"/>
          <w:rtl w:val="true"/>
        </w:rPr>
        <w:footnoteReference w:id="2487"/>
      </w:r>
      <w:r>
        <w:rPr>
          <w:rFonts w:ascii="Amiri" w:hAnsi="Amiri" w:eastAsia="Amiri" w:cs="Amiri"/>
          <w:color w:val="111111"/>
          <w:sz w:val="28"/>
          <w:sz w:val="28"/>
          <w:szCs w:val="28"/>
          <w:rtl w:val="true"/>
          <w:lang w:bidi="ar-SA"/>
        </w:rPr>
        <w:t>و الآخَرُ مُتَوجِّهاً في</w:t>
      </w:r>
      <w:r>
        <w:rPr>
          <w:rStyle w:val="FootnoteAnchor"/>
          <w:rtl w:val="true"/>
        </w:rPr>
        <w:footnoteReference w:id="2488"/>
      </w:r>
      <w:r>
        <w:rPr>
          <w:rFonts w:ascii="Amiri" w:hAnsi="Amiri" w:eastAsia="Amiri" w:cs="Amiri"/>
          <w:color w:val="111111"/>
          <w:sz w:val="28"/>
          <w:sz w:val="28"/>
          <w:szCs w:val="28"/>
          <w:rtl w:val="true"/>
          <w:lang w:bidi="ar-SA"/>
        </w:rPr>
        <w:t xml:space="preserve">طاعةٍ أو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زيداً قد يَتأسّىٰ بعَمرٍو، و إن كانَ </w:t>
      </w:r>
      <w:r>
        <w:rPr>
          <w:rStyle w:val="FootnoteAnchor"/>
          <w:rtl w:val="true"/>
        </w:rPr>
        <w:footnoteReference w:id="2489"/>
      </w:r>
      <w:r>
        <w:rPr>
          <w:rFonts w:ascii="Amiri" w:hAnsi="Amiri" w:eastAsia="Amiri" w:cs="Amiri"/>
          <w:color w:val="111111"/>
          <w:sz w:val="28"/>
          <w:sz w:val="28"/>
          <w:szCs w:val="28"/>
          <w:rtl w:val="true"/>
          <w:lang w:bidi="ar-SA"/>
        </w:rPr>
        <w:t xml:space="preserve">أحَدُهما آكِلاً مِن حِلٍّ و الآخَرُ آكِلاً مِن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المُعتبَرَ في التأسّي إذا كانَ بالوجوهِ التي يَقَعُ عَلَيها الأفعالُ‌، لَم يَكُنِ الآكِلُ مِن حِلٍّ مُتأسّياً بآكِلِ الحَرامِ‌، و لا الساعي في طاعةٍ متأسّياً بالساعي إلَى البِيعةِ‌</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ما ذَكرَه</w:t>
      </w:r>
      <w:r>
        <w:rPr>
          <w:rStyle w:val="FootnoteAnchor"/>
          <w:rtl w:val="true"/>
        </w:rPr>
        <w:footnoteReference w:id="2491"/>
      </w:r>
      <w:r>
        <w:rPr>
          <w:rFonts w:ascii="Amiri" w:hAnsi="Amiri" w:eastAsia="Amiri" w:cs="Amiri"/>
          <w:color w:val="111111"/>
          <w:sz w:val="28"/>
          <w:sz w:val="28"/>
          <w:szCs w:val="28"/>
          <w:rtl w:val="true"/>
          <w:lang w:bidi="ar-SA"/>
        </w:rPr>
        <w:t>صَحيحاً، لَوَجَبَ أن يَكونَ كُلُّ فِعلٍ وافَقَ ظاهرُه فِعلاً</w:t>
      </w:r>
      <w:r>
        <w:rPr>
          <w:rStyle w:val="FootnoteAnchor"/>
          <w:rtl w:val="true"/>
        </w:rPr>
        <w:footnoteReference w:id="2492"/>
      </w:r>
      <w:r>
        <w:rPr>
          <w:rFonts w:ascii="Amiri" w:hAnsi="Amiri" w:eastAsia="Amiri" w:cs="Amiri"/>
          <w:color w:val="111111"/>
          <w:sz w:val="28"/>
          <w:sz w:val="28"/>
          <w:szCs w:val="28"/>
          <w:rtl w:val="true"/>
          <w:lang w:bidi="ar-SA"/>
        </w:rPr>
        <w:t>آخَرَ، واقعاً مِن فاعلِه علىٰ جهةِ التأسّي بالفاعلِ الآخَرِ، و هذا يوجِبُ أن يَكونَ الآخِذُ مِن غَيرِه مالاً علىٰ جهةِ الغَصبِ أو القَرضِ متأسّياً بالنبيِّ صَلَّى اللّٰهُ عليه و آلِه متىٰ أخَذَ مِثلَ مَبلَغِ ذلكَ المالِ مِنه علىٰ جهةِ الزكاةِ أو العُشرِ</w:t>
      </w:r>
      <w:r>
        <w:rPr>
          <w:rStyle w:val="FootnoteAnchor"/>
          <w:rtl w:val="true"/>
        </w:rPr>
        <w:footnoteReference w:id="2493"/>
      </w:r>
      <w:r>
        <w:rPr>
          <w:rFonts w:ascii="Amiri" w:hAnsi="Amiri" w:eastAsia="Amiri" w:cs="Amiri"/>
          <w:color w:val="111111"/>
          <w:sz w:val="28"/>
          <w:sz w:val="28"/>
          <w:szCs w:val="28"/>
          <w:rtl w:val="true"/>
          <w:lang w:bidi="ar-SA"/>
        </w:rPr>
        <w:t>لأنّ المُعتَبَرَ عندَ مَن نحنُ في الردِّ عَلَيه إنّما هو بظاهرِ الفِعلِ ، و قد اتَّفَقَ ظاهرُ الفِعلَينِ اللَّذَينِ ذَكرناهما في بابِ أخذِ المالِ ، فيَجِبُ أن يَثبُتَ فيه معنَى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شُبهةَ في بُطلانِه</w:t>
      </w:r>
      <w:r>
        <w:rPr>
          <w:rFonts w:eastAsia="Amiri" w:cs="Amiri" w:ascii="Amiri" w:hAnsi="Amiri"/>
          <w:color w:val="111111"/>
          <w:sz w:val="28"/>
          <w:szCs w:val="28"/>
          <w:rtl w:val="true"/>
          <w:lang w:bidi="ar-SA"/>
        </w:rPr>
        <w:t xml:space="preserve">. </w:t>
      </w:r>
      <w:bookmarkStart w:id="430" w:name="pg20015_285020"/>
    </w:p>
    <w:p>
      <w:pPr>
        <w:pStyle w:val="Heading3"/>
        <w:numPr>
          <w:ilvl w:val="2"/>
          <w:numId w:val="1"/>
        </w:numPr>
        <w:rPr/>
      </w:pPr>
      <w:bookmarkStart w:id="431" w:name="__RefHeading___Toc895023_2320776876"/>
      <w:bookmarkStart w:id="432" w:name="_Toc153"/>
      <w:bookmarkEnd w:id="430"/>
      <w:bookmarkEnd w:id="431"/>
      <w:r>
        <w:rPr>
          <w:rtl w:val="true"/>
        </w:rPr>
        <w:t>الدليل الخامس أنّ الإمامة من أركان الدين</w:t>
      </w:r>
      <w:bookmarkEnd w:id="432"/>
    </w:p>
    <w:p>
      <w:pPr>
        <w:pStyle w:val="Heading4"/>
        <w:numPr>
          <w:ilvl w:val="3"/>
          <w:numId w:val="1"/>
        </w:numPr>
        <w:rPr/>
      </w:pPr>
      <w:bookmarkStart w:id="433" w:name="__RefHeading___Toc895025_2320776876"/>
      <w:bookmarkStart w:id="434" w:name="_Toc154"/>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طريقتَينِ في وجوبِ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تَعودُ إلىٰ معنىٰ بعضِ ما تَقدَّمَ ، و أحالَ في الكلامِ عَلَيها علىٰ ما مضىٰ مِن كلامِه</w:t>
      </w:r>
      <w:r>
        <w:rPr>
          <w:rStyle w:val="FootnoteAnchor"/>
          <w:rtl w:val="true"/>
        </w:rPr>
        <w:footnoteReference w:id="2494"/>
      </w:r>
      <w:r>
        <w:rPr>
          <w:rFonts w:ascii="Amiri" w:hAnsi="Amiri" w:eastAsia="Amiri" w:cs="Amiri"/>
          <w:color w:val="111111"/>
          <w:sz w:val="28"/>
          <w:sz w:val="28"/>
          <w:szCs w:val="28"/>
          <w:rtl w:val="true"/>
          <w:lang w:bidi="ar-SA"/>
        </w:rPr>
        <w:t xml:space="preserve">و الأُخرىٰ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مُتعلِّقةٌ بالاختيارِ و الكلامِ في صفةِ المُختارينَ و عَدَدِهم، و أخَّرَ الكلامَ فيها إلىٰ بابِ الكلامِ في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w:t>
      </w:r>
      <w:r>
        <w:rPr>
          <w:rStyle w:val="FootnoteAnchor"/>
          <w:rtl w:val="true"/>
        </w:rPr>
        <w:footnoteReference w:id="2497"/>
      </w:r>
      <w:r>
        <w:rPr>
          <w:rFonts w:ascii="Amiri" w:hAnsi="Amiri" w:eastAsia="Amiri" w:cs="Amiri"/>
          <w:color w:val="111111"/>
          <w:sz w:val="28"/>
          <w:sz w:val="28"/>
          <w:szCs w:val="28"/>
          <w:rtl w:val="true"/>
          <w:lang w:bidi="ar-SA"/>
        </w:rPr>
        <w:t xml:space="preserve">مِن أركانِ الدِّينِ ، فإذا لَم يَجُز في أركانِ الدِّينِ أن يَثبُتَ إلّابنَصٍّ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الزكاةِ و الصيامِ و ما 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مِثلُه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قَوَّوا ذلكَ بأنّ وجهَ الصلاحِ فيه يَعُمُّ الكُلَّ ، كما أنّ التعَبُّدَ بالصلاةِ يَعُمُّهم</w:t>
      </w:r>
      <w:r>
        <w:rPr>
          <w:rFonts w:eastAsia="Amiri" w:cs="Amiri" w:ascii="Amiri" w:hAnsi="Amiri"/>
          <w:color w:val="111111"/>
          <w:sz w:val="28"/>
          <w:szCs w:val="28"/>
          <w:rtl w:val="true"/>
          <w:lang w:bidi="ar-SA"/>
        </w:rPr>
        <w:t>.</w:t>
      </w:r>
      <w:r>
        <w:rPr>
          <w:rStyle w:val="FootnoteAnchor"/>
          <w:rtl w:val="true"/>
        </w:rPr>
        <w:footnoteReference w:id="2498"/>
      </w:r>
      <w:bookmarkStart w:id="435" w:name="pg20015_285021"/>
    </w:p>
    <w:p>
      <w:pPr>
        <w:pStyle w:val="BookText"/>
        <w:rPr/>
      </w:pPr>
      <w:bookmarkEnd w:id="4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كانَ لا يَمتَنِعُ عندَنا في الصلاةِ و الزكاةِ و الصيامِ أن يَكونَ طريقُ التعبُّدِ بها الاجتهادَ، و إنّما نَمنَعُ </w:t>
      </w:r>
      <w:r>
        <w:rPr>
          <w:rStyle w:val="FootnoteAnchor"/>
          <w:rtl w:val="true"/>
        </w:rPr>
        <w:footnoteReference w:id="2499"/>
      </w:r>
      <w:r>
        <w:rPr>
          <w:rFonts w:ascii="Amiri" w:hAnsi="Amiri" w:eastAsia="Amiri" w:cs="Amiri"/>
          <w:color w:val="111111"/>
          <w:sz w:val="28"/>
          <w:sz w:val="28"/>
          <w:szCs w:val="28"/>
          <w:rtl w:val="true"/>
          <w:lang w:bidi="ar-SA"/>
        </w:rPr>
        <w:t xml:space="preserve">الآنَ </w:t>
      </w:r>
      <w:r>
        <w:rPr>
          <w:rStyle w:val="FootnoteAnchor"/>
          <w:rtl w:val="true"/>
        </w:rPr>
        <w:footnoteReference w:id="2500"/>
      </w:r>
      <w:r>
        <w:rPr>
          <w:rFonts w:ascii="Amiri" w:hAnsi="Amiri" w:eastAsia="Amiri" w:cs="Amiri"/>
          <w:color w:val="111111"/>
          <w:sz w:val="28"/>
          <w:sz w:val="28"/>
          <w:szCs w:val="28"/>
          <w:rtl w:val="true"/>
          <w:lang w:bidi="ar-SA"/>
        </w:rPr>
        <w:t xml:space="preserve">ذلكَ لأنّ السَّمعَ بذلكَ وَرَدَ، فيَجِبُ مِثلُه في الإمامِ ؛ لأنّ كلامَنا في مُجوَّزِ العقلِ ، لا في واجبِ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الثابتِ فيه</w:t>
      </w:r>
      <w:r>
        <w:rPr>
          <w:rFonts w:eastAsia="Amiri" w:cs="Amiri" w:ascii="Amiri" w:hAnsi="Amiri"/>
          <w:color w:val="111111"/>
          <w:sz w:val="28"/>
          <w:szCs w:val="28"/>
          <w:rtl w:val="true"/>
          <w:lang w:bidi="ar-SA"/>
        </w:rPr>
        <w:t>].</w:t>
      </w:r>
      <w:r>
        <w:rPr>
          <w:rStyle w:val="FootnoteAnchor"/>
          <w:rtl w:val="true"/>
        </w:rPr>
        <w:footnoteReference w:id="2501"/>
      </w:r>
    </w:p>
    <w:p>
      <w:pPr>
        <w:pStyle w:val="Heading4"/>
        <w:numPr>
          <w:ilvl w:val="3"/>
          <w:numId w:val="1"/>
        </w:numPr>
        <w:rPr/>
      </w:pPr>
      <w:bookmarkStart w:id="436" w:name="__RefHeading___Toc895027_2320776876"/>
      <w:bookmarkStart w:id="437" w:name="_Toc155"/>
      <w:bookmarkEnd w:id="436"/>
      <w:r>
        <w:rPr>
          <w:rtl w:val="true"/>
        </w:rPr>
        <w:t>تقرير المصنّف للدليل الخامس</w:t>
      </w:r>
      <w:bookmarkEnd w:id="437"/>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التي حَكَيتَها لَيسَ يَصِحُّ الاعتمادُ عَلَيها إلّابَعدَ أن تُبيِّنَ علّةَ الجَمعِ بَينَ الإمامةِ و ما ذَكرتَه مِن الأركانِ ، و إذا</w:t>
      </w:r>
      <w:r>
        <w:rPr>
          <w:rStyle w:val="FootnoteAnchor"/>
          <w:rtl w:val="true"/>
        </w:rPr>
        <w:footnoteReference w:id="2502"/>
      </w:r>
      <w:r>
        <w:rPr>
          <w:rFonts w:ascii="Amiri" w:hAnsi="Amiri" w:eastAsia="Amiri" w:cs="Amiri"/>
          <w:color w:val="111111"/>
          <w:sz w:val="28"/>
          <w:sz w:val="28"/>
          <w:szCs w:val="28"/>
          <w:rtl w:val="true"/>
          <w:lang w:bidi="ar-SA"/>
        </w:rPr>
        <w:t xml:space="preserve">حَقَّقتَ العِلّةَ الجامعةَ بَينَ الأمرَينِ لَم يَكُن بُدٌّ مِن الرجوعِ إلىٰ ذِكرِ بعضِ ما تَقدَّمَ مِن صفاتِ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كَونِه معصوماً، أو فاضلاً، أو ما يَجري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للِاجتهادِ فيه</w:t>
      </w:r>
      <w:r>
        <w:rPr>
          <w:rStyle w:val="FootnoteAnchor"/>
          <w:rtl w:val="true"/>
        </w:rPr>
        <w:footnoteReference w:id="2503"/>
      </w:r>
      <w:r>
        <w:rPr>
          <w:rFonts w:ascii="Amiri" w:hAnsi="Amiri" w:eastAsia="Amiri" w:cs="Amiri"/>
          <w:color w:val="111111"/>
          <w:sz w:val="28"/>
          <w:sz w:val="28"/>
          <w:szCs w:val="28"/>
          <w:rtl w:val="true"/>
          <w:lang w:bidi="ar-SA"/>
        </w:rPr>
        <w:t>لأنّ العِلّةَ التي مِن أجلِها أَحَلنا ثُبوتَ الأركانِ المذكورةِ بالاجتهادِ هي قيامُ الدليلِ علىٰ أنّ جهةَ وجوبِها ما يَعودُ بها عَلَينا مِن الصلاحِ في فِعلِ الواجباتِ العقليّةِ و الامتناعِ مِن المُقبَّحاتِ ، و أنّ اختيارَ ما هذه صفتُه مِن جُملةِ الأفعالِ لا سَبيلَ إليه؛ فإذا حَمَلنا اختيارَ الإمامِ في الفَسادِ علَى اختيارِ هذه العِباداتِ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احتَجْنا إلىٰ أن نُبيِّنَ في الإمامِ صفةً لا يُمكِنُ </w:t>
      </w:r>
      <w:r>
        <w:rPr>
          <w:rStyle w:val="FootnoteAnchor"/>
          <w:rtl w:val="true"/>
        </w:rPr>
        <w:footnoteReference w:id="2504"/>
      </w:r>
      <w:r>
        <w:rPr>
          <w:rFonts w:ascii="Amiri" w:hAnsi="Amiri" w:eastAsia="Amiri" w:cs="Amiri"/>
          <w:color w:val="111111"/>
          <w:sz w:val="28"/>
          <w:sz w:val="28"/>
          <w:szCs w:val="28"/>
          <w:rtl w:val="true"/>
          <w:lang w:bidi="ar-SA"/>
        </w:rPr>
        <w:t xml:space="preserve">فيها الاجتهادُ، و صفاتُه التي هذه </w:t>
      </w:r>
      <w:bookmarkStart w:id="438" w:name="pg20015_285022"/>
    </w:p>
    <w:p>
      <w:pPr>
        <w:pStyle w:val="BookText"/>
        <w:rPr/>
      </w:pPr>
      <w:bookmarkEnd w:id="438"/>
      <w:r>
        <w:rPr>
          <w:rFonts w:ascii="Amiri" w:hAnsi="Amiri" w:eastAsia="Amiri" w:cs="Amiri"/>
          <w:color w:val="111111"/>
          <w:sz w:val="28"/>
          <w:sz w:val="28"/>
          <w:szCs w:val="28"/>
          <w:rtl w:val="true"/>
          <w:lang w:bidi="ar-SA"/>
        </w:rPr>
        <w:t>سَبيلُها</w:t>
      </w:r>
      <w:r>
        <w:rPr>
          <w:rStyle w:val="FootnoteAnchor"/>
          <w:rtl w:val="true"/>
        </w:rPr>
        <w:footnoteReference w:id="2505"/>
      </w:r>
      <w:r>
        <w:rPr>
          <w:rFonts w:ascii="Amiri" w:hAnsi="Amiri" w:eastAsia="Amiri" w:cs="Amiri"/>
          <w:color w:val="111111"/>
          <w:sz w:val="28"/>
          <w:sz w:val="28"/>
          <w:szCs w:val="28"/>
          <w:rtl w:val="true"/>
          <w:lang w:bidi="ar-SA"/>
        </w:rPr>
        <w:t>قد تَقدَّمَ الكلامُ فيها</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فأمّا قَولُكَ‌ في الصلاةِ و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الاجتهادَ فيهما</w:t>
      </w:r>
      <w:r>
        <w:rPr>
          <w:rStyle w:val="FootnoteAnchor"/>
          <w:rtl w:val="true"/>
        </w:rPr>
        <w:footnoteReference w:id="2507"/>
      </w:r>
      <w:r>
        <w:rPr>
          <w:rFonts w:ascii="Amiri" w:hAnsi="Amiri" w:eastAsia="Amiri" w:cs="Amiri"/>
          <w:color w:val="111111"/>
          <w:sz w:val="28"/>
          <w:sz w:val="28"/>
          <w:szCs w:val="28"/>
          <w:rtl w:val="true"/>
          <w:lang w:bidi="ar-SA"/>
        </w:rPr>
        <w:t>لا يَمتَنِعُ أن يَجِبَ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إنّما</w:t>
      </w:r>
      <w:r>
        <w:rPr>
          <w:rStyle w:val="FootnoteAnchor"/>
          <w:rtl w:val="true"/>
        </w:rPr>
        <w:footnoteReference w:id="2508"/>
      </w:r>
      <w:r>
        <w:rPr>
          <w:rFonts w:ascii="Amiri" w:hAnsi="Amiri" w:eastAsia="Amiri" w:cs="Amiri"/>
          <w:color w:val="111111"/>
          <w:sz w:val="28"/>
          <w:sz w:val="28"/>
          <w:szCs w:val="28"/>
          <w:rtl w:val="true"/>
          <w:lang w:bidi="ar-SA"/>
        </w:rPr>
        <w:t xml:space="preserve">بَنَيتَه علىٰ مَذهَبِك في جوازِ الاجتهادِ و صحّتِه، و قد تَقدَّمَ طرَفٌ ممّا يُبطِلُ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ارتكَبَ في الصلاةِ و ما أشبَهَها ما ارتَكَبَه، صارَ الكلامُ عَلَيه في الإمامةِ و هذه الأركانِ واحداً، و بَطَلَ أن يُحمَلَ </w:t>
      </w:r>
      <w:r>
        <w:rPr>
          <w:rStyle w:val="FootnoteAnchor"/>
          <w:rtl w:val="true"/>
        </w:rPr>
        <w:footnoteReference w:id="2509"/>
      </w:r>
      <w:r>
        <w:rPr>
          <w:rFonts w:ascii="Amiri" w:hAnsi="Amiri" w:eastAsia="Amiri" w:cs="Amiri"/>
          <w:color w:val="111111"/>
          <w:sz w:val="28"/>
          <w:sz w:val="28"/>
          <w:szCs w:val="28"/>
          <w:rtl w:val="true"/>
          <w:lang w:bidi="ar-SA"/>
        </w:rPr>
        <w:t xml:space="preserve">أحَدُ الأمرَينِ علَى الآخَرِ، فآلَ </w:t>
      </w:r>
      <w:r>
        <w:rPr>
          <w:rStyle w:val="FootnoteAnchor"/>
          <w:rtl w:val="true"/>
        </w:rPr>
        <w:footnoteReference w:id="2510"/>
      </w:r>
      <w:r>
        <w:rPr>
          <w:rFonts w:ascii="Amiri" w:hAnsi="Amiri" w:eastAsia="Amiri" w:cs="Amiri"/>
          <w:color w:val="111111"/>
          <w:sz w:val="28"/>
          <w:sz w:val="28"/>
          <w:szCs w:val="28"/>
          <w:rtl w:val="true"/>
          <w:lang w:bidi="ar-SA"/>
        </w:rPr>
        <w:t xml:space="preserve">الأمرُ معه إلَى الموافَقةِ علىٰ أنّ الصلاةَ و الإمامةَ تَختَصّانِ </w:t>
      </w:r>
      <w:r>
        <w:rPr>
          <w:rStyle w:val="FootnoteAnchor"/>
          <w:rtl w:val="true"/>
        </w:rPr>
        <w:footnoteReference w:id="2511"/>
      </w:r>
      <w:r>
        <w:rPr>
          <w:rFonts w:ascii="Amiri" w:hAnsi="Amiri" w:eastAsia="Amiri" w:cs="Amiri"/>
          <w:color w:val="111111"/>
          <w:sz w:val="28"/>
          <w:sz w:val="28"/>
          <w:szCs w:val="28"/>
          <w:rtl w:val="true"/>
          <w:lang w:bidi="ar-SA"/>
        </w:rPr>
        <w:t>بصفتَينِ لا مَجالَ للِاجتهادِ فيهما</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895029_2320776876"/>
      <w:bookmarkStart w:id="440" w:name="_Toc156"/>
      <w:bookmarkEnd w:id="439"/>
      <w:r>
        <w:rPr>
          <w:rtl w:val="true"/>
        </w:rPr>
        <w:t>بيان الفرق بين الصلاة و الإمام في باب الاختيار و النصّ</w:t>
      </w:r>
      <w:bookmarkEnd w:id="44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الصلاةَ إنّما وقَعَ النَّصُّ مِنه عليه السلامُ علىٰ صفتِها، و لذلكَ يَجوزُ في كُلِّ صلاةٍ معيَّنةٍ أن تَكونَ واقعةً علىٰ وجهِ الغلطِ و لا يَجوزُ ذلك في الصفةِ و الشرطِ؛ فكأنّه عليه السلامُ بيَّنَ صفتَها و شُروطَها، ثُمّ ألزَمَ المكلَّفَ اختيارَها علَى الوجهِ الذي يَحصُلُ معه إصابةُ صفتِها و شُروطِها</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نَقولُ في الإمامِ ؛ لأنّه لا يَمتَنِعُ مِنه عليه السلامُ أن يُبَيِّنَ صفتَه و شَرطَه</w:t>
      </w:r>
      <w:r>
        <w:rPr>
          <w:rStyle w:val="FootnoteAnchor"/>
          <w:rtl w:val="true"/>
        </w:rPr>
        <w:footnoteReference w:id="2514"/>
      </w:r>
      <w:r>
        <w:rPr>
          <w:rFonts w:ascii="Amiri" w:hAnsi="Amiri" w:eastAsia="Amiri" w:cs="Amiri"/>
          <w:color w:val="111111"/>
          <w:sz w:val="28"/>
          <w:sz w:val="28"/>
          <w:szCs w:val="28"/>
          <w:rtl w:val="true"/>
          <w:lang w:bidi="ar-SA"/>
        </w:rPr>
        <w:t>، ثُمّ يُلزِمَ المكلَّفَ علىٰ وجهٍ يُصيبُ الصفةَ و الشرطَ؛ فإن كانَت الصفةُ و الشرطُ حاصلَينِ في جماعةٍ اختيرَ الواحدُ مِنهم، كما أنّ صفةَ الصلاةِ و شُروطَها إذا صَحَّتا في أفعالٍ فهو مُخَيَّرٌ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بما قَدَّمناه أنّا لَو جَعَلنا الصلاةَ أصلاً لِما نَقولُه</w:t>
      </w:r>
      <w:r>
        <w:rPr>
          <w:rStyle w:val="FootnoteAnchor"/>
          <w:rtl w:val="true"/>
        </w:rPr>
        <w:footnoteReference w:id="2515"/>
      </w:r>
      <w:r>
        <w:rPr>
          <w:rFonts w:ascii="Amiri" w:hAnsi="Amiri" w:eastAsia="Amiri" w:cs="Amiri"/>
          <w:color w:val="111111"/>
          <w:sz w:val="28"/>
          <w:sz w:val="28"/>
          <w:szCs w:val="28"/>
          <w:rtl w:val="true"/>
          <w:lang w:bidi="ar-SA"/>
        </w:rPr>
        <w:t xml:space="preserve">في الإمامةِ </w:t>
      </w:r>
      <w:r>
        <w:rPr>
          <w:rStyle w:val="FootnoteAnchor"/>
          <w:rtl w:val="true"/>
        </w:rPr>
        <w:footnoteReference w:id="2516"/>
      </w:r>
      <w:r>
        <w:rPr>
          <w:rFonts w:ascii="Amiri" w:hAnsi="Amiri" w:eastAsia="Amiri" w:cs="Amiri"/>
          <w:color w:val="111111"/>
          <w:sz w:val="28"/>
          <w:sz w:val="28"/>
          <w:szCs w:val="28"/>
          <w:rtl w:val="true"/>
          <w:lang w:bidi="ar-SA"/>
        </w:rPr>
        <w:t xml:space="preserve">لَكانَ </w:t>
      </w:r>
      <w:r>
        <w:rPr>
          <w:rStyle w:val="FootnoteAnchor"/>
          <w:rtl w:val="true"/>
        </w:rPr>
        <w:footnoteReference w:id="2517"/>
      </w:r>
      <w:r>
        <w:rPr>
          <w:rFonts w:ascii="Amiri" w:hAnsi="Amiri" w:eastAsia="Amiri" w:cs="Amiri"/>
          <w:color w:val="111111"/>
          <w:sz w:val="28"/>
          <w:sz w:val="28"/>
          <w:szCs w:val="28"/>
          <w:rtl w:val="true"/>
          <w:lang w:bidi="ar-SA"/>
        </w:rPr>
        <w:t>أقرَبَ ممّا ذَكَروه</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ما ذَكرتَه في الصلاةِ مِن حَيثُ أمكَنَ المكلَّفَ أن يُصيبَ صفتَها و شُروطَها و يُمَيِّزَ صحيحَها مِن فاسدِها مِن جُملةِ أفعالِه، و الإمامُ لا يُمكِنُ مِثلُ‌</w:t>
      </w:r>
    </w:p>
    <w:p>
      <w:pPr>
        <w:pStyle w:val="BookText"/>
        <w:rPr/>
      </w:pPr>
      <w:r>
        <w:rPr>
          <w:rFonts w:ascii="Amiri" w:hAnsi="Amiri" w:eastAsia="Amiri" w:cs="Amiri"/>
          <w:color w:val="111111"/>
          <w:sz w:val="28"/>
          <w:sz w:val="28"/>
          <w:szCs w:val="28"/>
          <w:rtl w:val="true"/>
          <w:lang w:bidi="ar-SA"/>
        </w:rPr>
        <w:t>ذلكَ فيه؛ لأنّ مِن صفاتِه ما لا يُمكِنُ أن يُستدرَكَ بالاجتهادِ و الاختيارِ</w:t>
      </w:r>
      <w:r>
        <w:rPr>
          <w:rStyle w:val="FootnoteAnchor"/>
          <w:rtl w:val="true"/>
        </w:rPr>
        <w:footnoteReference w:id="2519"/>
      </w:r>
      <w:r>
        <w:rPr>
          <w:rFonts w:ascii="Amiri" w:hAnsi="Amiri" w:eastAsia="Amiri" w:cs="Amiri"/>
          <w:color w:val="111111"/>
          <w:sz w:val="28"/>
          <w:sz w:val="28"/>
          <w:szCs w:val="28"/>
          <w:rtl w:val="true"/>
          <w:lang w:bidi="ar-SA"/>
        </w:rPr>
        <w:t xml:space="preserve">، و لا سَبيلَ للمكلَّفِ إلىٰ </w:t>
      </w:r>
      <w:r>
        <w:rPr>
          <w:rStyle w:val="FootnoteAnchor"/>
          <w:rtl w:val="true"/>
        </w:rPr>
        <w:footnoteReference w:id="2520"/>
      </w:r>
      <w:r>
        <w:rPr>
          <w:rFonts w:ascii="Amiri" w:hAnsi="Amiri" w:eastAsia="Amiri" w:cs="Amiri"/>
          <w:color w:val="111111"/>
          <w:sz w:val="28"/>
          <w:sz w:val="28"/>
          <w:szCs w:val="28"/>
          <w:rtl w:val="true"/>
          <w:lang w:bidi="ar-SA"/>
        </w:rPr>
        <w:t>تَمييزِه</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جميعُ صفاتِ الإمامِ </w:t>
      </w:r>
      <w:r>
        <w:rPr>
          <w:rStyle w:val="FootnoteAnchor"/>
          <w:rtl w:val="true"/>
        </w:rPr>
        <w:footnoteReference w:id="2522"/>
      </w:r>
      <w:r>
        <w:rPr>
          <w:rFonts w:ascii="Amiri" w:hAnsi="Amiri" w:eastAsia="Amiri" w:cs="Amiri"/>
          <w:color w:val="111111"/>
          <w:sz w:val="28"/>
          <w:sz w:val="28"/>
          <w:szCs w:val="28"/>
          <w:rtl w:val="true"/>
          <w:lang w:bidi="ar-SA"/>
        </w:rPr>
        <w:t>كصفاتِ الصلاةِ في إمكانِ إصابتِها مِن جهةِ الاختيارِ، لَجَوَّزنا اختيارَ الإمامِ علَى الوجهِ الذي قَرَّرتَه</w:t>
      </w:r>
      <w:r>
        <w:rPr>
          <w:rStyle w:val="FootnoteAnchor"/>
          <w:rtl w:val="true"/>
        </w:rPr>
        <w:footnoteReference w:id="2523"/>
      </w:r>
      <w:r>
        <w:rPr>
          <w:rFonts w:ascii="Amiri" w:hAnsi="Amiri" w:eastAsia="Amiri" w:cs="Amiri"/>
          <w:color w:val="111111"/>
          <w:sz w:val="28"/>
          <w:sz w:val="28"/>
          <w:szCs w:val="28"/>
          <w:rtl w:val="true"/>
          <w:lang w:bidi="ar-SA"/>
        </w:rPr>
        <w:t xml:space="preserve">في اختيارِ الصلاةِ ، و مَدارُ الكلامِ علىٰ هذا المَوضِعِ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أمكَنَ الخُصومَ أن يُثبِتوا</w:t>
      </w:r>
      <w:r>
        <w:rPr>
          <w:rStyle w:val="FootnoteAnchor"/>
          <w:rtl w:val="true"/>
        </w:rPr>
        <w:footnoteReference w:id="2525"/>
      </w:r>
      <w:r>
        <w:rPr>
          <w:rFonts w:ascii="Amiri" w:hAnsi="Amiri" w:eastAsia="Amiri" w:cs="Amiri"/>
          <w:color w:val="111111"/>
          <w:sz w:val="28"/>
          <w:sz w:val="28"/>
          <w:szCs w:val="28"/>
          <w:rtl w:val="true"/>
          <w:lang w:bidi="ar-SA"/>
        </w:rPr>
        <w:t>أنّه لا صفةَ للإمامِ إلّاو للمكلَّفينَ سَبيلٌ إلىٰ إصابتِها و تمييزِ المُختَصِّ بها، فقَد صَحَّ مذهبُهم في جوازِ الاختيارِ، و بَطَلَ مَذهَبُنا في وجوبِ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التشاغُلُ بَعدَ أن يَثبُتَ‌</w:t>
      </w:r>
      <w:r>
        <w:rPr>
          <w:rStyle w:val="FootnoteAnchor"/>
          <w:rtl w:val="true"/>
        </w:rPr>
        <w:footnoteReference w:id="2526"/>
      </w:r>
      <w:r>
        <w:rPr>
          <w:rFonts w:ascii="Amiri" w:hAnsi="Amiri" w:eastAsia="Amiri" w:cs="Amiri"/>
          <w:color w:val="111111"/>
          <w:sz w:val="28"/>
          <w:sz w:val="28"/>
          <w:szCs w:val="28"/>
          <w:rtl w:val="true"/>
          <w:lang w:bidi="ar-SA"/>
        </w:rPr>
        <w:t>لهم ما ذَكرناه</w:t>
      </w:r>
      <w:r>
        <w:rPr>
          <w:rStyle w:val="FootnoteAnchor"/>
          <w:rtl w:val="true"/>
        </w:rPr>
        <w:footnoteReference w:id="2527"/>
      </w:r>
      <w:r>
        <w:rPr>
          <w:rFonts w:ascii="Amiri" w:hAnsi="Amiri" w:eastAsia="Amiri" w:cs="Amiri"/>
          <w:color w:val="111111"/>
          <w:sz w:val="28"/>
          <w:sz w:val="28"/>
          <w:szCs w:val="28"/>
          <w:rtl w:val="true"/>
          <w:lang w:bidi="ar-SA"/>
        </w:rPr>
        <w:t>بغَيرِه لا معنىٰ له؛ فإنّه إذَن لا يَنفَعُنا بَعدَ ثُبوتِ هذا المَوضِعِ لهُم شيءٌ في بابِ وجوبِ النَّصِّ و لا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يَثبُتْ لهُم هذا، و كانَ الثابتُ ما نَذهَبُ إليه مِن اختصاصِ الإمامِ بصفاتٍ‌</w:t>
      </w:r>
      <w:r>
        <w:rPr>
          <w:rStyle w:val="FootnoteAnchor"/>
          <w:rtl w:val="true"/>
        </w:rPr>
        <w:footnoteReference w:id="2528"/>
      </w:r>
      <w:r>
        <w:rPr>
          <w:rFonts w:ascii="Amiri" w:hAnsi="Amiri" w:eastAsia="Amiri" w:cs="Amiri"/>
          <w:color w:val="111111"/>
          <w:sz w:val="28"/>
          <w:sz w:val="28"/>
          <w:szCs w:val="28"/>
          <w:rtl w:val="true"/>
          <w:lang w:bidi="ar-SA"/>
        </w:rPr>
        <w:t>لا سَبيلَ إلَى العِلمِ بها إلّامِن جهةِ النَّصِّ‌</w:t>
      </w:r>
      <w:r>
        <w:rPr>
          <w:rStyle w:val="FootnoteAnchor"/>
          <w:rtl w:val="true"/>
        </w:rPr>
        <w:footnoteReference w:id="2529"/>
      </w:r>
      <w:r>
        <w:rPr>
          <w:rFonts w:ascii="Amiri" w:hAnsi="Amiri" w:eastAsia="Amiri" w:cs="Amiri"/>
          <w:color w:val="111111"/>
          <w:sz w:val="28"/>
          <w:sz w:val="28"/>
          <w:szCs w:val="28"/>
          <w:rtl w:val="true"/>
          <w:lang w:bidi="ar-SA"/>
        </w:rPr>
        <w:t xml:space="preserve">، فقد وَجَبَ النَّصُّ و بطَلَ الاختيارُ، و صارَ كُلُّ ما يَتكلَّفُه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 في إبطالِ وجوبِ النَّصِّ و لا يضُرُّنا في إثباتِه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الصلاةَ لا يُمكِنُ فيها إلّاالنَّصُّ علَى الصفةِ‌، دونَ العَينِ‌؛ لأنّها فِعلُ المكَلَّفِ‌، و لها أمثالٌ في مقدورِه، فلا يَتميَّزُ له</w:t>
      </w:r>
      <w:r>
        <w:rPr>
          <w:rStyle w:val="FootnoteAnchor"/>
          <w:rtl w:val="true"/>
        </w:rPr>
        <w:footnoteReference w:id="2530"/>
      </w:r>
      <w:r>
        <w:rPr>
          <w:rFonts w:ascii="Amiri" w:hAnsi="Amiri" w:eastAsia="Amiri" w:cs="Amiri"/>
          <w:color w:val="111111"/>
          <w:sz w:val="28"/>
          <w:sz w:val="28"/>
          <w:szCs w:val="28"/>
          <w:rtl w:val="true"/>
          <w:lang w:bidi="ar-SA"/>
        </w:rPr>
        <w:t xml:space="preserve">صحيحُها مِن فاسدِها إلّابالصفةِ و الشرطِ، و الإمامُ يُمكِنُ النَّصُّ علىٰ عَينِه علىٰ وجهٍ يَتميَّزُ به مِن غَيرِه؛ فلَيسَ يَجِبُ أن يَكونَ حُكمُ الإمامِ حُكمَ الصلاةِ‌، بَل الواجبُ أن تَكونَ </w:t>
      </w:r>
      <w:r>
        <w:rPr>
          <w:rStyle w:val="FootnoteAnchor"/>
          <w:rtl w:val="true"/>
        </w:rPr>
        <w:footnoteReference w:id="2531"/>
      </w:r>
      <w:r>
        <w:rPr>
          <w:rFonts w:ascii="Amiri" w:hAnsi="Amiri" w:eastAsia="Amiri" w:cs="Amiri"/>
          <w:color w:val="111111"/>
          <w:sz w:val="28"/>
          <w:sz w:val="28"/>
          <w:szCs w:val="28"/>
          <w:rtl w:val="true"/>
          <w:lang w:bidi="ar-SA"/>
        </w:rPr>
        <w:t xml:space="preserve">الصلاةُ مُشبِهةً للِانقيادِ للإمامِ و الاقتداءِ به في هذا الوجهِ ؛ مِن حَيثُ رَجَعَ كُلُّ ذلكَ إلىٰ أفعالِنا، فكما نُجيزُ في الصلاةِ النَّصَّ علىٰ صفتِها و شُروطِها، و نَجعَلُ </w:t>
      </w:r>
      <w:r>
        <w:rPr>
          <w:rStyle w:val="FootnoteAnchor"/>
          <w:rtl w:val="true"/>
        </w:rPr>
        <w:footnoteReference w:id="2532"/>
      </w:r>
      <w:r>
        <w:rPr>
          <w:rFonts w:ascii="Amiri" w:hAnsi="Amiri" w:eastAsia="Amiri" w:cs="Amiri"/>
          <w:color w:val="111111"/>
          <w:sz w:val="28"/>
          <w:sz w:val="28"/>
          <w:szCs w:val="28"/>
          <w:rtl w:val="true"/>
          <w:lang w:bidi="ar-SA"/>
        </w:rPr>
        <w:t xml:space="preserve">اختيارَ ما له تلكَ </w:t>
      </w:r>
    </w:p>
    <w:p>
      <w:pPr>
        <w:pStyle w:val="BookText"/>
        <w:rPr/>
      </w:pPr>
      <w:r>
        <w:rPr>
          <w:rFonts w:ascii="Amiri" w:hAnsi="Amiri" w:eastAsia="Amiri" w:cs="Amiri"/>
          <w:color w:val="111111"/>
          <w:sz w:val="28"/>
          <w:sz w:val="28"/>
          <w:szCs w:val="28"/>
          <w:rtl w:val="true"/>
          <w:lang w:bidi="ar-SA"/>
        </w:rPr>
        <w:t xml:space="preserve">الصفةُ إلَى المكلَّفِ ؛ فكذلكَ نُجيزُ أن يُنَصَّ للمكلَّفِ علىٰ صفةِ ما يَلزَمُه مِن الانقيادِ للإمامِ و الاقتداءِ به، و يُفَوَّضَ </w:t>
      </w:r>
      <w:r>
        <w:rPr>
          <w:rStyle w:val="FootnoteAnchor"/>
          <w:rtl w:val="true"/>
        </w:rPr>
        <w:footnoteReference w:id="2533"/>
      </w:r>
      <w:r>
        <w:rPr>
          <w:rFonts w:ascii="Amiri" w:hAnsi="Amiri" w:eastAsia="Amiri" w:cs="Amiri"/>
          <w:color w:val="111111"/>
          <w:sz w:val="28"/>
          <w:sz w:val="28"/>
          <w:szCs w:val="28"/>
          <w:rtl w:val="true"/>
          <w:lang w:bidi="ar-SA"/>
        </w:rPr>
        <w:t>اختيارُ ما له تلكَ الصفةُ إلَى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الإمامِ و إن أمكَنَ علىٰ سَبيلِ التعيينِ </w:t>
      </w:r>
      <w:r>
        <w:rPr>
          <w:rStyle w:val="FootnoteAnchor"/>
          <w:rtl w:val="true"/>
        </w:rPr>
        <w:footnoteReference w:id="2534"/>
      </w:r>
      <w:r>
        <w:rPr>
          <w:rFonts w:ascii="Amiri" w:hAnsi="Amiri" w:eastAsia="Amiri" w:cs="Amiri"/>
          <w:color w:val="111111"/>
          <w:sz w:val="28"/>
          <w:sz w:val="28"/>
          <w:szCs w:val="28"/>
          <w:rtl w:val="true"/>
          <w:lang w:bidi="ar-SA"/>
        </w:rPr>
        <w:t>و لَم يُمكِنْ في الصلاةِ ، فما المانعُ مِن جوازِ النَّصِّ علىٰ صفةِ الإمامِ دونَ عَينِه كما جازَ في الصلاةِ ، و إن أمكَنَ في الإمامِ النَّصُّ علَى العَينِ و لَم يُمكِنْ في الصلاةِ؟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بما ذَكرناه</w:t>
      </w:r>
      <w:r>
        <w:rPr>
          <w:rStyle w:val="FootnoteAnchor"/>
          <w:rtl w:val="true"/>
        </w:rPr>
        <w:footnoteReference w:id="2535"/>
      </w:r>
      <w:r>
        <w:rPr>
          <w:rFonts w:ascii="Amiri" w:hAnsi="Amiri" w:eastAsia="Amiri" w:cs="Amiri"/>
          <w:color w:val="111111"/>
          <w:sz w:val="28"/>
          <w:sz w:val="28"/>
          <w:szCs w:val="28"/>
          <w:rtl w:val="true"/>
          <w:lang w:bidi="ar-SA"/>
        </w:rPr>
        <w:t>أن نُبَيِّنَ اختلافَ حُكمِ الصلاةِ و الإمامِ في هذا البابِ‌، و أنّ الذي أَوَجَبَ النَّصَّ علَى الصفةِ دونَ العَينِ في الصلاةِ غَيرُ حاصلٍ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يَمنَعُ مِن أن يَكونَ‌</w:t>
      </w:r>
      <w:r>
        <w:rPr>
          <w:rStyle w:val="FootnoteAnchor"/>
          <w:rtl w:val="true"/>
        </w:rPr>
        <w:footnoteReference w:id="2536"/>
      </w:r>
      <w:r>
        <w:rPr>
          <w:rFonts w:ascii="Amiri" w:hAnsi="Amiri" w:eastAsia="Amiri" w:cs="Amiri"/>
          <w:color w:val="111111"/>
          <w:sz w:val="28"/>
          <w:sz w:val="28"/>
          <w:szCs w:val="28"/>
          <w:rtl w:val="true"/>
          <w:lang w:bidi="ar-SA"/>
        </w:rPr>
        <w:t xml:space="preserve">في الإمامِ ما جَوَّزناه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مُمكِناً خِلافُه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اختصاصِ الإمامِ بصفاتٍ و شُروطٍ لا تَتميَّزُ للمكلَّفِ‌، و لا سَبيلَ له إليها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 ذَكرتَه يَقتَضي دخولَ الاختيارِ في جميعِ العباداتِ و الأحكامِ علَى التأويلِ الذي تأوَّلتَه؛ لأنّه لا شيءَ مِن العِباداتِ إلّاو حُكمُه حُكمُ الصلاةِ في تَناوُلِ النَّصِّ لصفتِه</w:t>
      </w:r>
      <w:r>
        <w:rPr>
          <w:rStyle w:val="FootnoteAnchor"/>
          <w:rtl w:val="true"/>
        </w:rPr>
        <w:footnoteReference w:id="2537"/>
      </w:r>
      <w:r>
        <w:rPr>
          <w:rFonts w:ascii="Amiri" w:hAnsi="Amiri" w:eastAsia="Amiri" w:cs="Amiri"/>
          <w:color w:val="111111"/>
          <w:sz w:val="28"/>
          <w:sz w:val="28"/>
          <w:szCs w:val="28"/>
          <w:rtl w:val="true"/>
          <w:lang w:bidi="ar-SA"/>
        </w:rPr>
        <w:t xml:space="preserve">دونَ عَينِه، و تفويضِ اختيارِ ما له تلكَ الصفةُ إلَى اجتهادِ المكلَّفِ ؛ و هذا يؤَدّي إلىٰ بُطلانِ قَولِ جميعِ المتكلِّمينَ و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العِباداتِ الشرعيّةَ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Style w:val="FootnoteAnchor"/>
          <w:rtl w:val="true"/>
        </w:rPr>
        <w:footnoteReference w:id="2538"/>
      </w:r>
      <w:r>
        <w:rPr>
          <w:rFonts w:ascii="Amiri" w:hAnsi="Amiri" w:eastAsia="Amiri" w:cs="Amiri"/>
          <w:color w:val="111111"/>
          <w:sz w:val="28"/>
          <w:sz w:val="28"/>
          <w:szCs w:val="28"/>
          <w:rtl w:val="true"/>
          <w:lang w:bidi="ar-SA"/>
        </w:rPr>
        <w:t>منصوصٌ عَلَيه، و آخَرُ مَوكولٌ إلَى الاجتهادِ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صَحَّت القِسمةُ التي حَكَيتموها مِن قِبَلِ أنّ في الأحكامِ ما وَقَعَ </w:t>
      </w:r>
      <w:bookmarkStart w:id="441" w:name="pg20015_285026"/>
    </w:p>
    <w:p>
      <w:pPr>
        <w:pStyle w:val="BookText"/>
        <w:rPr/>
      </w:pPr>
      <w:bookmarkEnd w:id="441"/>
      <w:r>
        <w:rPr>
          <w:rFonts w:ascii="Amiri" w:hAnsi="Amiri" w:eastAsia="Amiri" w:cs="Amiri"/>
          <w:color w:val="111111"/>
          <w:sz w:val="28"/>
          <w:sz w:val="28"/>
          <w:szCs w:val="28"/>
          <w:rtl w:val="true"/>
          <w:lang w:bidi="ar-SA"/>
        </w:rPr>
        <w:t>النَّصُّ علىٰ صفتِه و شرطِه</w:t>
      </w:r>
      <w:r>
        <w:rPr>
          <w:rStyle w:val="FootnoteAnchor"/>
          <w:rtl w:val="true"/>
        </w:rPr>
        <w:footnoteReference w:id="2539"/>
      </w:r>
      <w:r>
        <w:rPr>
          <w:rFonts w:ascii="Amiri" w:hAnsi="Amiri" w:eastAsia="Amiri" w:cs="Amiri"/>
          <w:color w:val="111111"/>
          <w:sz w:val="28"/>
          <w:sz w:val="28"/>
          <w:szCs w:val="28"/>
          <w:rtl w:val="true"/>
          <w:lang w:bidi="ar-SA"/>
        </w:rPr>
        <w:t>كالصلاةِ فجُعِلَ مِن بابِ النَّصِّ ، و فيها ما لَم يَحصُلْ نَصٌّ علىٰ صفتِه فجُعِلَ مِن بابِ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w:t>
      </w:r>
      <w:r>
        <w:rPr>
          <w:rStyle w:val="FootnoteAnchor"/>
          <w:rtl w:val="true"/>
        </w:rPr>
        <w:footnoteReference w:id="2540"/>
      </w:r>
      <w:r>
        <w:rPr>
          <w:rFonts w:ascii="Amiri" w:hAnsi="Amiri" w:eastAsia="Amiri" w:cs="Amiri"/>
          <w:color w:val="111111"/>
          <w:sz w:val="28"/>
          <w:sz w:val="28"/>
          <w:szCs w:val="28"/>
          <w:rtl w:val="true"/>
          <w:lang w:bidi="ar-SA"/>
        </w:rPr>
        <w:t>أصلِكَ في الاجتهادِ؛ لأنّ أحكامَ الاجتهادِ عندَكَ بمَنزِلةِ ما وَقَعَ النَّصُّ علىٰ صفتِه مِن صلاةٍ و غَيرِها؛ لأنّ مِن</w:t>
      </w:r>
      <w:r>
        <w:rPr>
          <w:rStyle w:val="FootnoteAnchor"/>
          <w:rtl w:val="true"/>
        </w:rPr>
        <w:footnoteReference w:id="2541"/>
      </w:r>
      <w:r>
        <w:rPr>
          <w:rFonts w:ascii="Amiri" w:hAnsi="Amiri" w:eastAsia="Amiri" w:cs="Amiri"/>
          <w:color w:val="111111"/>
          <w:sz w:val="28"/>
          <w:sz w:val="28"/>
          <w:szCs w:val="28"/>
          <w:rtl w:val="true"/>
          <w:lang w:bidi="ar-SA"/>
        </w:rPr>
        <w:t>مَذهَبِكَ أنّ الصفةَ التي إذا تَعلَّقَ ظَنُّ المجتهِدِ بها لَزِمَ الحُكمُ‌، قد تَناوَلَها النَّصُّ‌، فكأنّ المكلَّفَ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ظَنَنتَ شَبَهَ بعضِ‌</w:t>
      </w:r>
      <w:r>
        <w:rPr>
          <w:rStyle w:val="FootnoteAnchor"/>
          <w:rtl w:val="true"/>
        </w:rPr>
        <w:footnoteReference w:id="2542"/>
      </w:r>
      <w:r>
        <w:rPr>
          <w:rFonts w:ascii="Amiri" w:hAnsi="Amiri" w:eastAsia="Amiri" w:cs="Amiri"/>
          <w:color w:val="111111"/>
          <w:sz w:val="28"/>
          <w:sz w:val="28"/>
          <w:szCs w:val="28"/>
          <w:rtl w:val="true"/>
          <w:lang w:bidi="ar-SA"/>
        </w:rPr>
        <w:t>الفُروعِ ببعضِ الأُصولِ فقَد لَزِمَكَ الحُكمُ‌، و هذا نَصٌّ علىٰ صفةِ ما يَلزَمُه مِن الأحكامِ ، كما كانَ ما أَورَدتَه نَصّاً علىٰ صفةِ ما يَلزَمُه</w:t>
      </w:r>
      <w:r>
        <w:rPr>
          <w:rStyle w:val="FootnoteAnchor"/>
          <w:rtl w:val="true"/>
        </w:rPr>
        <w:footnoteReference w:id="2543"/>
      </w:r>
      <w:r>
        <w:rPr>
          <w:rFonts w:ascii="Amiri" w:hAnsi="Amiri" w:eastAsia="Amiri" w:cs="Amiri"/>
          <w:color w:val="111111"/>
          <w:sz w:val="28"/>
          <w:sz w:val="28"/>
          <w:szCs w:val="28"/>
          <w:rtl w:val="true"/>
          <w:lang w:bidi="ar-SA"/>
        </w:rPr>
        <w:t xml:space="preserve">مِن صلاةٍ و غَيرِها، فيَجِبُ علىٰ موجَبِ قَولِكَ أن يَكونَ جميعُ العِباداتِ الشرعيّةِ منصوصاً عَلَيها علىٰ تأويلِ أنّها منصوصٌ علىٰ صفاتِها، أو تَكونَ </w:t>
      </w:r>
      <w:r>
        <w:rPr>
          <w:rStyle w:val="FootnoteAnchor"/>
          <w:rtl w:val="true"/>
        </w:rPr>
        <w:footnoteReference w:id="2544"/>
      </w:r>
      <w:r>
        <w:rPr>
          <w:rFonts w:ascii="Amiri" w:hAnsi="Amiri" w:eastAsia="Amiri" w:cs="Amiri"/>
          <w:color w:val="111111"/>
          <w:sz w:val="28"/>
          <w:sz w:val="28"/>
          <w:szCs w:val="28"/>
          <w:rtl w:val="true"/>
          <w:lang w:bidi="ar-SA"/>
        </w:rPr>
        <w:t>بأسرِها مِن بابِ الاختيارِ علىٰ تأويلِ</w:t>
      </w:r>
    </w:p>
    <w:p>
      <w:pPr>
        <w:pStyle w:val="BookText"/>
        <w:rPr/>
      </w:pPr>
      <w:r>
        <w:rPr>
          <w:rFonts w:ascii="Amiri" w:hAnsi="Amiri" w:eastAsia="Amiri" w:cs="Amiri"/>
          <w:color w:val="111111"/>
          <w:sz w:val="28"/>
          <w:sz w:val="28"/>
          <w:szCs w:val="28"/>
          <w:rtl w:val="true"/>
          <w:lang w:bidi="ar-SA"/>
        </w:rPr>
        <w:t xml:space="preserve">أنّ المكلَّفَ مأمورٌ باختيارِ ما له الصفةُ التي تَناوَلَها النَّصُّ مِن جُملةِ أفعالِه، و يَبطُلَ انقسامُها علىٰ قِسمَينِ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895031_2320776876"/>
      <w:bookmarkStart w:id="443" w:name="_Toc157"/>
      <w:bookmarkEnd w:id="442"/>
      <w:r>
        <w:rPr>
          <w:rtl w:val="true"/>
        </w:rPr>
        <w:t>بيان الفرق بين الإمامة و الكفّارات في باب النصّ</w:t>
      </w:r>
      <w:bookmarkEnd w:id="44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ثَبَتَ أنّه عليه السلامُ قَد نَصَّ علَى الأحكامِ علىٰ وجوهٍ مختلِفةٍ بحَسَبِ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ما عَيَّنَه، و فيها ما خَيَّرَ المكلَّفَ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2546"/>
      </w:r>
      <w:r>
        <w:rPr>
          <w:rFonts w:ascii="Amiri" w:hAnsi="Amiri" w:eastAsia="Amiri" w:cs="Amiri"/>
          <w:color w:val="111111"/>
          <w:sz w:val="28"/>
          <w:sz w:val="28"/>
          <w:szCs w:val="28"/>
          <w:rtl w:val="true"/>
          <w:lang w:bidi="ar-SA"/>
        </w:rPr>
        <w:t>كالكفّاراتِ‌، و فيها ما فَوَّضَه إلَى الاجتهادِ كالنفَقاتِ‌، و قِيَمِ المُتلَفاتِ ، و جَزاءِ الصَّيدِ، إلىٰ غَيرِ ذلكَ ؛ و كُلُّ ذلكَ مِن بابِ الدِّينِ ؛ فما الذي يَمنَعُ في الإمامةِ مِن أن يَكونَ طريقُها الاختيارَ</w:t>
      </w:r>
      <w:r>
        <w:rPr>
          <w:rStyle w:val="FootnoteAnchor"/>
          <w:rtl w:val="true"/>
        </w:rPr>
        <w:footnoteReference w:id="2547"/>
      </w:r>
      <w:r>
        <w:rPr>
          <w:rFonts w:ascii="Amiri" w:hAnsi="Amiri" w:eastAsia="Amiri" w:cs="Amiri"/>
          <w:color w:val="111111"/>
          <w:sz w:val="28"/>
          <w:sz w:val="28"/>
          <w:szCs w:val="28"/>
          <w:rtl w:val="true"/>
          <w:lang w:bidi="ar-SA"/>
        </w:rPr>
        <w:t xml:space="preserve">كالكَفّاراتِ ، أو الاجتهادَ كجَزاءِ الصَّيدِ و التوَجُّهِ إلَى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الغَيبةِ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w:t>
      </w:r>
      <w:r>
        <w:rPr>
          <w:rStyle w:val="FootnoteAnchor"/>
          <w:rtl w:val="true"/>
        </w:rPr>
        <w:footnoteReference w:id="2550"/>
      </w:r>
      <w:r>
        <w:rPr>
          <w:rFonts w:ascii="Amiri" w:hAnsi="Amiri" w:eastAsia="Amiri" w:cs="Amiri"/>
          <w:color w:val="111111"/>
          <w:sz w:val="28"/>
          <w:sz w:val="28"/>
          <w:szCs w:val="28"/>
          <w:rtl w:val="true"/>
          <w:lang w:bidi="ar-SA"/>
        </w:rPr>
        <w:t>في الإمامةِ عقلاً أن يَجريَ النَّصُّ عَلَيها مَجرَى النَّصِّ علَى الكَفّاراتِ‌؛ لأنّ النَّصَّ لمّا تَناوَلَ الكَفّاراتِ الثَّلاثَ علىٰ سَبيلِ التخييرِ</w:t>
      </w:r>
      <w:r>
        <w:rPr>
          <w:rStyle w:val="FootnoteAnchor"/>
          <w:rtl w:val="true"/>
        </w:rPr>
        <w:footnoteReference w:id="2551"/>
      </w:r>
      <w:r>
        <w:rPr>
          <w:rFonts w:ascii="Amiri" w:hAnsi="Amiri" w:eastAsia="Amiri" w:cs="Amiri"/>
          <w:color w:val="111111"/>
          <w:sz w:val="28"/>
          <w:sz w:val="28"/>
          <w:szCs w:val="28"/>
          <w:rtl w:val="true"/>
          <w:lang w:bidi="ar-SA"/>
        </w:rPr>
        <w:t>عَلِمنا أنّ صَلاحَنا مُتعلِّقٌ بالجميعِ‌، و أنّ لكُلِّ واحدةٍ منها صفةَ الوجوبِ‌، و أنّا مُخَيَّرونَ بَينَ الثلاثِ‌؛ فمتىٰ فَعَلنا إحداهُنَّ سَقَطَ عنّا ما وَراءَها</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جائزٌ في الإمامةِ مِن جهةِ العقلِ‌؛ لأنّه غَيرُ مُمتَنِعٍ أن يَنُصَّ اللّٰهُ تَعالىٰ لنا علىٰ إمامةِ نَفسَينِ أو ثلاثةٍ ؛ بأن يُبَيِّنَ وجوبَ طاعةِ كُلِّ واحدٍ مِنهم و ما يَحصُلُ لنا مِن اللُّطفِ في الدِّينِ و المَصلَحةِ بالاقتداءِ به</w:t>
      </w:r>
      <w:r>
        <w:rPr>
          <w:rStyle w:val="FootnoteAnchor"/>
          <w:rtl w:val="true"/>
        </w:rPr>
        <w:footnoteReference w:id="2553"/>
      </w:r>
      <w:r>
        <w:rPr>
          <w:rFonts w:ascii="Amiri" w:hAnsi="Amiri" w:eastAsia="Amiri" w:cs="Amiri"/>
          <w:color w:val="111111"/>
          <w:sz w:val="28"/>
          <w:sz w:val="28"/>
          <w:szCs w:val="28"/>
          <w:rtl w:val="true"/>
          <w:lang w:bidi="ar-SA"/>
        </w:rPr>
        <w:t>و الانقيادِ له، و يُخَيِّرَنا في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الاقتداءِ </w:t>
      </w:r>
      <w:r>
        <w:rPr>
          <w:rStyle w:val="FootnoteAnchor"/>
          <w:rtl w:val="true"/>
        </w:rPr>
        <w:footnoteReference w:id="2554"/>
      </w:r>
      <w:r>
        <w:rPr>
          <w:rFonts w:ascii="Amiri" w:hAnsi="Amiri" w:eastAsia="Amiri" w:cs="Amiri"/>
          <w:color w:val="111111"/>
          <w:sz w:val="28"/>
          <w:sz w:val="28"/>
          <w:szCs w:val="28"/>
          <w:rtl w:val="true"/>
          <w:lang w:bidi="ar-SA"/>
        </w:rPr>
        <w:t xml:space="preserve">بكُلِّ واحدٍ مِن الثلاثةِ ؛ فمتَى اقتَدَينا بأحَدِهم في بعضِ الأفعالِ سَقَطَ عنّا الانقيادُ لغَيرِه و الاقتداءُ به في ذلكَ الفِعلِ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لكَ </w:t>
      </w:r>
      <w:r>
        <w:rPr>
          <w:rStyle w:val="FootnoteAnchor"/>
          <w:rtl w:val="true"/>
        </w:rPr>
        <w:footnoteReference w:id="2555"/>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أُلزِمتَ أن يَكونَ طريقُ الإمامةِ الاختيارَ بمعنىٰ أن يُكلَّفَ </w:t>
      </w:r>
      <w:r>
        <w:rPr>
          <w:rStyle w:val="FootnoteAnchor"/>
          <w:rtl w:val="true"/>
        </w:rPr>
        <w:footnoteReference w:id="2556"/>
      </w:r>
      <w:r>
        <w:rPr>
          <w:rFonts w:ascii="Amiri" w:hAnsi="Amiri" w:eastAsia="Amiri" w:cs="Amiri"/>
          <w:color w:val="111111"/>
          <w:sz w:val="28"/>
          <w:sz w:val="28"/>
          <w:szCs w:val="28"/>
          <w:rtl w:val="true"/>
          <w:lang w:bidi="ar-SA"/>
        </w:rPr>
        <w:t xml:space="preserve">اختيارَ الإمام؛ لأنّ هذا إذا أرَدتَه لَيسَ بمُشبِهٍ لأمرِ الكَفّاراتِ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لَم نُكلَّفَ اختيارَ</w:t>
      </w:r>
      <w:r>
        <w:rPr>
          <w:rStyle w:val="FootnoteAnchor"/>
          <w:rtl w:val="true"/>
        </w:rPr>
        <w:footnoteReference w:id="2557"/>
      </w:r>
      <w:r>
        <w:rPr>
          <w:rFonts w:ascii="Amiri" w:hAnsi="Amiri" w:eastAsia="Amiri" w:cs="Amiri"/>
          <w:color w:val="111111"/>
          <w:sz w:val="28"/>
          <w:sz w:val="28"/>
          <w:szCs w:val="28"/>
          <w:rtl w:val="true"/>
          <w:lang w:bidi="ar-SA"/>
        </w:rPr>
        <w:t>ما هو مصلحةٌ لنا مِن عَرضِ الأفعالِ ليَكونَ كفّارةً‌، بَل نُصَّ لنا علىٰ أفعالٍ ثلاثةٍ بأعيانِها، و أُعلِمنا أنّ‌</w:t>
      </w:r>
      <w:r>
        <w:rPr>
          <w:rStyle w:val="FootnoteAnchor"/>
          <w:rtl w:val="true"/>
        </w:rPr>
        <w:footnoteReference w:id="2558"/>
      </w:r>
      <w:r>
        <w:rPr>
          <w:rFonts w:ascii="Amiri" w:hAnsi="Amiri" w:eastAsia="Amiri" w:cs="Amiri"/>
          <w:color w:val="111111"/>
          <w:sz w:val="28"/>
          <w:sz w:val="28"/>
          <w:szCs w:val="28"/>
          <w:rtl w:val="true"/>
          <w:lang w:bidi="ar-SA"/>
        </w:rPr>
        <w:t>المصلحةَ فيها، و خُيِّرنا بَينَ فِعلِ كُلِّ واحدٍ</w:t>
      </w:r>
      <w:r>
        <w:rPr>
          <w:rStyle w:val="FootnoteAnchor"/>
          <w:rtl w:val="true"/>
        </w:rPr>
        <w:footnoteReference w:id="2559"/>
      </w:r>
      <w:r>
        <w:rPr>
          <w:rFonts w:ascii="Amiri" w:hAnsi="Amiri" w:eastAsia="Amiri" w:cs="Amiri"/>
          <w:color w:val="111111"/>
          <w:sz w:val="28"/>
          <w:sz w:val="28"/>
          <w:szCs w:val="28"/>
          <w:rtl w:val="true"/>
          <w:lang w:bidi="ar-SA"/>
        </w:rPr>
        <w:t>و الآخَرِينَ‌</w:t>
      </w:r>
      <w:r>
        <w:rPr>
          <w:rStyle w:val="FootnoteAnchor"/>
          <w:rtl w:val="true"/>
        </w:rPr>
        <w:footnoteReference w:id="2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ذلكَ أن يُنَصَّ لنا علىٰ أئمّةٍ و نُخَيَّرَ</w:t>
      </w:r>
      <w:r>
        <w:rPr>
          <w:rStyle w:val="FootnoteAnchor"/>
          <w:rtl w:val="true"/>
        </w:rPr>
        <w:footnoteReference w:id="2561"/>
      </w:r>
      <w:r>
        <w:rPr>
          <w:rFonts w:ascii="Amiri" w:hAnsi="Amiri" w:eastAsia="Amiri" w:cs="Amiri"/>
          <w:color w:val="111111"/>
          <w:sz w:val="28"/>
          <w:sz w:val="28"/>
          <w:szCs w:val="28"/>
          <w:rtl w:val="true"/>
          <w:lang w:bidi="ar-SA"/>
        </w:rPr>
        <w:t>بَينَ اتّباعِ كُلِّ واحدٍ و اتّباعِ الآخَرِينَ‌، لا أن نُكلَّفَ‌</w:t>
      </w:r>
      <w:r>
        <w:rPr>
          <w:rStyle w:val="FootnoteAnchor"/>
          <w:rtl w:val="true"/>
        </w:rPr>
        <w:footnoteReference w:id="2562"/>
      </w:r>
      <w:r>
        <w:rPr>
          <w:rFonts w:ascii="Amiri" w:hAnsi="Amiri" w:eastAsia="Amiri" w:cs="Amiri"/>
          <w:color w:val="111111"/>
          <w:sz w:val="28"/>
          <w:sz w:val="28"/>
          <w:szCs w:val="28"/>
          <w:rtl w:val="true"/>
          <w:lang w:bidi="ar-SA"/>
        </w:rPr>
        <w:t>اختيارَ الإمامِ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أُلزِمتُ دخولَ الاختيارِ و التخييرِ في الإمامةِ‌</w:t>
      </w:r>
      <w:r>
        <w:rPr>
          <w:rStyle w:val="FootnoteAnchor"/>
          <w:rtl w:val="true"/>
        </w:rPr>
        <w:footnoteReference w:id="2563"/>
      </w:r>
      <w:r>
        <w:rPr>
          <w:rFonts w:ascii="Amiri" w:hAnsi="Amiri" w:eastAsia="Amiri" w:cs="Amiri"/>
          <w:color w:val="111111"/>
          <w:sz w:val="28"/>
          <w:sz w:val="28"/>
          <w:szCs w:val="28"/>
          <w:rtl w:val="true"/>
          <w:lang w:bidi="ar-SA"/>
        </w:rPr>
        <w:t>قياساً علَى الكَفّاراتِ‌، فيَجِبُ أن يَكونَ ما أُلزِمتُه مُطابِقاً لها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564"/>
      </w:r>
      <w:r>
        <w:rPr>
          <w:rFonts w:ascii="Amiri" w:hAnsi="Amiri" w:eastAsia="Amiri" w:cs="Amiri"/>
          <w:color w:val="111111"/>
          <w:sz w:val="28"/>
          <w:sz w:val="28"/>
          <w:szCs w:val="28"/>
          <w:rtl w:val="true"/>
          <w:lang w:bidi="ar-SA"/>
        </w:rPr>
        <w:t>الاجتهادُ في جَزاءِ الصَّيدِ و جهةِ الكعبةِ ، فإنّما ساغَ مِن حَيثُ أمكَنَ المكلَّفَ وجودُ طريقِه و كانَت</w:t>
      </w:r>
      <w:r>
        <w:rPr>
          <w:rStyle w:val="FootnoteAnchor"/>
          <w:rtl w:val="true"/>
        </w:rPr>
        <w:footnoteReference w:id="2565"/>
      </w:r>
      <w:r>
        <w:rPr>
          <w:rFonts w:ascii="Amiri" w:hAnsi="Amiri" w:eastAsia="Amiri" w:cs="Amiri"/>
          <w:color w:val="111111"/>
          <w:sz w:val="28"/>
          <w:sz w:val="28"/>
          <w:szCs w:val="28"/>
          <w:rtl w:val="true"/>
          <w:lang w:bidi="ar-SA"/>
        </w:rPr>
        <w:t>عَلَيه أماراتٌ لائحةٌ ، و قد بيّنّا أنّ الإمامَ يَختَصُّ بصفاتٍ لا سَبيلَ إلىٰ إصابتِها مِن جهةِ الاجتهادِ؛ لأنّه لا دَلالةَ عَلَيها و لا أمارةَ ؛ ففارَقَ حُكمُ الإمامةِ جميعَ ما ذَكرتَه</w:t>
      </w:r>
      <w:r>
        <w:rPr>
          <w:rFonts w:eastAsia="Amiri" w:cs="Amiri" w:ascii="Amiri" w:hAnsi="Amiri"/>
          <w:color w:val="111111"/>
          <w:sz w:val="28"/>
          <w:szCs w:val="28"/>
          <w:rtl w:val="true"/>
          <w:lang w:bidi="ar-SA"/>
        </w:rPr>
        <w:t xml:space="preserve">. </w:t>
      </w:r>
      <w:bookmarkStart w:id="444" w:name="pg20015_285029"/>
    </w:p>
    <w:p>
      <w:pPr>
        <w:pStyle w:val="Heading4"/>
        <w:numPr>
          <w:ilvl w:val="3"/>
          <w:numId w:val="1"/>
        </w:numPr>
        <w:rPr/>
      </w:pPr>
      <w:bookmarkStart w:id="445" w:name="__RefHeading___Toc895033_2320776876"/>
      <w:bookmarkStart w:id="446" w:name="_Toc158"/>
      <w:bookmarkEnd w:id="444"/>
      <w:bookmarkEnd w:id="445"/>
      <w:r>
        <w:rPr>
          <w:rtl w:val="true"/>
        </w:rPr>
        <w:t>إلزام صاحب المغني القول بوجوب النصّ على الإمام</w:t>
      </w:r>
      <w:bookmarkEnd w:id="44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أُتِيَ القَومُ في</w:t>
      </w:r>
      <w:r>
        <w:rPr>
          <w:rStyle w:val="FootnoteAnchor"/>
          <w:rtl w:val="true"/>
        </w:rPr>
        <w:footnoteReference w:id="2566"/>
      </w:r>
      <w:r>
        <w:rPr>
          <w:rFonts w:ascii="Amiri" w:hAnsi="Amiri" w:eastAsia="Amiri" w:cs="Amiri"/>
          <w:color w:val="111111"/>
          <w:sz w:val="28"/>
          <w:sz w:val="28"/>
          <w:szCs w:val="28"/>
          <w:rtl w:val="true"/>
          <w:lang w:bidi="ar-SA"/>
        </w:rPr>
        <w:t xml:space="preserve">ادّعاءِ النَّصِّ مِن جهةِ العقلِ مِن الوجوهِ التي قَدَّمناها؛ و هي زَعمُهم أنّ الإمامَ حُجّةٌ للّٰهِ تَعالىٰ في الزمانِ كالرسولِ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يَجِبُ أن يَكونَ قيِّماً يَحفَظُ الدِّينَ الذي شَرَعَه الرسولُ‌</w:t>
      </w:r>
      <w:r>
        <w:rPr>
          <w:rFonts w:eastAsia="Amiri" w:cs="Amiri" w:ascii="Amiri" w:hAnsi="Amiri"/>
          <w:color w:val="111111"/>
          <w:sz w:val="28"/>
          <w:szCs w:val="28"/>
          <w:rtl w:val="true"/>
          <w:lang w:bidi="ar-SA"/>
        </w:rPr>
        <w:t>]</w:t>
      </w:r>
      <w:r>
        <w:rPr>
          <w:rStyle w:val="FootnoteAnchor"/>
          <w:rtl w:val="true"/>
        </w:rPr>
        <w:footnoteReference w:id="2567"/>
      </w:r>
      <w:r>
        <w:rPr>
          <w:rFonts w:ascii="Amiri" w:hAnsi="Amiri" w:eastAsia="Amiri" w:cs="Amiri"/>
          <w:color w:val="111111"/>
          <w:sz w:val="28"/>
          <w:sz w:val="28"/>
          <w:szCs w:val="28"/>
          <w:rtl w:val="true"/>
          <w:lang w:bidi="ar-SA"/>
        </w:rPr>
        <w:t>و أنّه</w:t>
      </w:r>
      <w:r>
        <w:rPr>
          <w:rStyle w:val="FootnoteAnchor"/>
          <w:rtl w:val="true"/>
        </w:rPr>
        <w:footnoteReference w:id="2568"/>
      </w:r>
      <w:r>
        <w:rPr>
          <w:rFonts w:ascii="Amiri" w:hAnsi="Amiri" w:eastAsia="Amiri" w:cs="Amiri"/>
          <w:color w:val="111111"/>
          <w:sz w:val="28"/>
          <w:sz w:val="28"/>
          <w:szCs w:val="28"/>
          <w:rtl w:val="true"/>
          <w:lang w:bidi="ar-SA"/>
        </w:rPr>
        <w:t>يَجِبُ أن يَكونَ معصوماً فيما فُوِّضَ إليه، فتَسَلَّقوا</w:t>
      </w:r>
      <w:r>
        <w:rPr>
          <w:rStyle w:val="FootnoteAnchor"/>
          <w:rtl w:val="true"/>
        </w:rPr>
        <w:footnoteReference w:id="2569"/>
      </w:r>
      <w:r>
        <w:rPr>
          <w:rFonts w:ascii="Amiri" w:hAnsi="Amiri" w:eastAsia="Amiri" w:cs="Amiri"/>
          <w:color w:val="111111"/>
          <w:sz w:val="28"/>
          <w:sz w:val="28"/>
          <w:szCs w:val="28"/>
          <w:rtl w:val="true"/>
          <w:lang w:bidi="ar-SA"/>
        </w:rPr>
        <w:t>بذلكَ إلىٰ أنّه لا بُدَّ مِن أن يَكونَ منصوصاً عَلَيه أو مُعَيَّناً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نُخالِفُ في ذلكَ لَو كانَت</w:t>
      </w:r>
      <w:r>
        <w:rPr>
          <w:rStyle w:val="FootnoteAnchor"/>
          <w:rtl w:val="true"/>
        </w:rPr>
        <w:footnoteReference w:id="2570"/>
      </w:r>
      <w:r>
        <w:rPr>
          <w:rFonts w:ascii="Amiri" w:hAnsi="Amiri" w:eastAsia="Amiri" w:cs="Amiri"/>
          <w:color w:val="111111"/>
          <w:sz w:val="28"/>
          <w:sz w:val="28"/>
          <w:szCs w:val="28"/>
          <w:rtl w:val="true"/>
          <w:lang w:bidi="ar-SA"/>
        </w:rPr>
        <w:t>صفةُ الإمامِ ما ذَكَروه، و إنّما يَقَعُ الكلامُ بَينَنا و بَينَهم في صفةِ الإمامِ و فيما جُعِلَ إليه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w:t>
      </w:r>
      <w:r>
        <w:rPr>
          <w:rStyle w:val="FootnoteAnchor"/>
          <w:rtl w:val="true"/>
        </w:rPr>
        <w:footnoteReference w:id="2571"/>
      </w:r>
      <w:r>
        <w:rPr>
          <w:rFonts w:ascii="Amiri" w:hAnsi="Amiri" w:eastAsia="Amiri" w:cs="Amiri"/>
          <w:color w:val="111111"/>
          <w:sz w:val="28"/>
          <w:sz w:val="28"/>
          <w:szCs w:val="28"/>
          <w:rtl w:val="true"/>
          <w:lang w:bidi="ar-SA"/>
        </w:rPr>
        <w:t xml:space="preserve">مِن قَبلُ أنّ قائلاً لَو قالَ في الإمامِ </w:t>
      </w:r>
      <w:r>
        <w:rPr>
          <w:rStyle w:val="FootnoteAnchor"/>
          <w:rtl w:val="true"/>
        </w:rPr>
        <w:footnoteReference w:id="25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يَجِبُ أن يَكونَ خالقَ الأنامِ </w:t>
      </w:r>
      <w:r>
        <w:rPr>
          <w:rFonts w:eastAsia="Amiri" w:cs="Amiri" w:ascii="Amiri" w:hAnsi="Amiri"/>
          <w:color w:val="111111"/>
          <w:sz w:val="28"/>
          <w:szCs w:val="28"/>
          <w:rtl w:val="true"/>
          <w:lang w:bidi="ar-SA"/>
        </w:rPr>
        <w:t>»</w:t>
      </w:r>
      <w:r>
        <w:rPr>
          <w:rStyle w:val="FootnoteAnchor"/>
          <w:rtl w:val="true"/>
        </w:rPr>
        <w:footnoteReference w:id="2573"/>
      </w:r>
      <w:r>
        <w:rPr>
          <w:rFonts w:ascii="Amiri" w:hAnsi="Amiri" w:eastAsia="Amiri" w:cs="Amiri"/>
          <w:color w:val="111111"/>
          <w:sz w:val="28"/>
          <w:sz w:val="28"/>
          <w:szCs w:val="28"/>
          <w:rtl w:val="true"/>
          <w:lang w:bidi="ar-SA"/>
        </w:rPr>
        <w:t xml:space="preserve">لَكُنّا نُوافِقُه في أنّه يَستَحِقُّ العِبادةَ ، و يَخرُجُ الكلامُ بَينَنا و بَينَه عن الإمامةِ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2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 بأنّ الإمامَ لَو وَجَبَ له مِن الصفاتِ ما ذَهَبنا إليه، و كانَ قيِّماً بما نَذهَبُ إلىٰ أنّه القيِّمُ به و</w:t>
      </w:r>
      <w:r>
        <w:rPr>
          <w:rStyle w:val="FootnoteAnchor"/>
          <w:rtl w:val="true"/>
        </w:rPr>
        <w:footnoteReference w:id="2577"/>
      </w:r>
      <w:r>
        <w:rPr>
          <w:rFonts w:ascii="Amiri" w:hAnsi="Amiri" w:eastAsia="Amiri" w:cs="Amiri"/>
          <w:color w:val="111111"/>
          <w:sz w:val="28"/>
          <w:sz w:val="28"/>
          <w:szCs w:val="28"/>
          <w:rtl w:val="true"/>
          <w:lang w:bidi="ar-SA"/>
        </w:rPr>
        <w:t>المُتَولّي له، لَوَجَبَت</w:t>
      </w:r>
      <w:r>
        <w:rPr>
          <w:rStyle w:val="FootnoteAnchor"/>
          <w:rtl w:val="true"/>
        </w:rPr>
        <w:footnoteReference w:id="2578"/>
      </w:r>
      <w:r>
        <w:rPr>
          <w:rFonts w:ascii="Amiri" w:hAnsi="Amiri" w:eastAsia="Amiri" w:cs="Amiri"/>
          <w:color w:val="111111"/>
          <w:sz w:val="28"/>
          <w:sz w:val="28"/>
          <w:szCs w:val="28"/>
          <w:rtl w:val="true"/>
          <w:lang w:bidi="ar-SA"/>
        </w:rPr>
        <w:t>إبانتُه</w:t>
      </w:r>
      <w:r>
        <w:rPr>
          <w:rStyle w:val="FootnoteAnchor"/>
          <w:rtl w:val="true"/>
        </w:rPr>
        <w:footnoteReference w:id="2579"/>
      </w:r>
      <w:r>
        <w:rPr>
          <w:rFonts w:ascii="Amiri" w:hAnsi="Amiri" w:eastAsia="Amiri" w:cs="Amiri"/>
          <w:color w:val="111111"/>
          <w:sz w:val="28"/>
          <w:sz w:val="28"/>
          <w:szCs w:val="28"/>
          <w:rtl w:val="true"/>
          <w:lang w:bidi="ar-SA"/>
        </w:rPr>
        <w:t>بالنَّصِّ أو بالمُعجِزِ</w:t>
      </w:r>
      <w:r>
        <w:rPr>
          <w:rStyle w:val="FootnoteAnchor"/>
          <w:rtl w:val="true"/>
        </w:rPr>
        <w:footnoteReference w:id="2580"/>
      </w:r>
      <w:r>
        <w:rPr>
          <w:rFonts w:ascii="Amiri" w:hAnsi="Amiri" w:eastAsia="Amiri" w:cs="Amiri"/>
          <w:color w:val="111111"/>
          <w:sz w:val="28"/>
          <w:sz w:val="28"/>
          <w:szCs w:val="28"/>
          <w:rtl w:val="true"/>
          <w:lang w:bidi="ar-SA"/>
        </w:rPr>
        <w:t>، و بَطَلَ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دَلَّلنا بحَمدِ اللّٰه فيما تَقدَّمَ علىٰ صحّةِ ما نَذهَبُ إليه في صفاتِه و ما يَقومُ به بما لا شُبهةَ فيه و لا اعتراضَ عَلَيه، فقَد وَجَبَ بإقرارِكَ النَّصُّ علَى الإمامِ أو إبانتُه بالمعجِزِ، و بَطَلَ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قُلنا قُبَيلَ‌</w:t>
      </w:r>
      <w:r>
        <w:rPr>
          <w:rStyle w:val="FootnoteAnchor"/>
          <w:rtl w:val="true"/>
        </w:rPr>
        <w:footnoteReference w:id="2581"/>
      </w:r>
      <w:r>
        <w:rPr>
          <w:rFonts w:ascii="Amiri" w:hAnsi="Amiri" w:eastAsia="Amiri" w:cs="Amiri"/>
          <w:color w:val="111111"/>
          <w:sz w:val="28"/>
          <w:sz w:val="28"/>
          <w:szCs w:val="28"/>
          <w:rtl w:val="true"/>
          <w:lang w:bidi="ar-SA"/>
        </w:rPr>
        <w:t>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التشاغُلَ في وجوبِ النَّصِّ أو إبطالِه يَجِبُ أن يَكونَ بالكلامِ في صفاتِ الإمامِ‌، و هَل في جُملتِها ما لا يُستَدرَكُ إلّامِن جهةِ النَّصِّ أم لا؟</w:t>
      </w:r>
      <w:r>
        <w:rPr>
          <w:rStyle w:val="FootnoteAnchor"/>
          <w:rtl w:val="true"/>
        </w:rPr>
        <w:footnoteReference w:id="258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أُتيتَ </w:t>
      </w:r>
      <w:r>
        <w:rPr>
          <w:rStyle w:val="FootnoteAnchor"/>
          <w:rtl w:val="true"/>
        </w:rPr>
        <w:footnoteReference w:id="2583"/>
      </w:r>
      <w:r>
        <w:rPr>
          <w:rFonts w:ascii="Amiri" w:hAnsi="Amiri" w:eastAsia="Amiri" w:cs="Amiri"/>
          <w:color w:val="111111"/>
          <w:sz w:val="28"/>
          <w:sz w:val="28"/>
          <w:szCs w:val="28"/>
          <w:rtl w:val="true"/>
          <w:lang w:bidi="ar-SA"/>
        </w:rPr>
        <w:t xml:space="preserve">و أُتيَ مَن ذَهَبَ </w:t>
      </w:r>
      <w:r>
        <w:rPr>
          <w:rStyle w:val="FootnoteAnchor"/>
          <w:rtl w:val="true"/>
        </w:rPr>
        <w:footnoteReference w:id="2584"/>
      </w:r>
      <w:r>
        <w:rPr>
          <w:rFonts w:ascii="Amiri" w:hAnsi="Amiri" w:eastAsia="Amiri" w:cs="Amiri"/>
          <w:color w:val="111111"/>
          <w:sz w:val="28"/>
          <w:sz w:val="28"/>
          <w:szCs w:val="28"/>
          <w:rtl w:val="true"/>
          <w:lang w:bidi="ar-SA"/>
        </w:rPr>
        <w:t xml:space="preserve">إلىٰ مَذهَبِكَ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النَّصِّ و القَولِ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اعتقادِكم أنّ الإمامَ يَجري مَجرَى الوكيلِ و الوصيِّ و الشاهِد، و أنّ اتّباعَه و الاقتداءَ به غَيرُ واجبَينِ ، و أنّ الذي يَجِبُ مِن الاقتداءِ به ما يَجِبُ في إمامِ الصلاةِ و مَن جَرىٰ مَجراه، فتَسلَّقتُم بإنزالِه هذه المَنزِلةَ إلىٰ تصحيحِ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اختيارِه و إبطالِ وجوبِ النَّصِّ عَلَيه، و نحنُ لا نُنكِرُ مَذهبَكم فيه لَو صَحَّ أنّه يَجري مَجرىٰ مَن ذَكَرتموه؛ كما أنّ قائلاً لَو قالَ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كالأجيرِ أو العَبدِ</w:t>
      </w:r>
      <w:r>
        <w:rPr>
          <w:rStyle w:val="FootnoteAnchor"/>
          <w:rtl w:val="true"/>
        </w:rPr>
        <w:footnoteReference w:id="2585"/>
      </w:r>
      <w:r>
        <w:rPr>
          <w:rFonts w:ascii="Amiri" w:hAnsi="Amiri" w:eastAsia="Amiri" w:cs="Amiri"/>
          <w:color w:val="111111"/>
          <w:sz w:val="28"/>
          <w:sz w:val="28"/>
          <w:szCs w:val="28"/>
          <w:rtl w:val="true"/>
          <w:lang w:bidi="ar-SA"/>
        </w:rPr>
        <w:t xml:space="preserve">، لَكُنّا نُوافِقُه في أنّ قَولَه لَو صَحَّ في صفتِه لَم يَجِبْ عَلَينا شيءٌ مِن تعظيمِه و تبجيلِه، و لَجازَ أن يَكونَ اختيارُه مَردوداً إلَى الجُهّالِ مِن الأُمّةِ ، فَضلاً عن العُلَماءِ </w:t>
      </w:r>
      <w:r>
        <w:rPr>
          <w:rFonts w:eastAsia="Amiri" w:cs="Amiri" w:ascii="Amiri" w:hAnsi="Amiri"/>
          <w:color w:val="111111"/>
          <w:sz w:val="28"/>
          <w:szCs w:val="28"/>
          <w:rtl w:val="true"/>
          <w:lang w:bidi="ar-SA"/>
        </w:rPr>
        <w:t xml:space="preserve">. </w:t>
      </w:r>
      <w:bookmarkStart w:id="447" w:name="pg20015_285032"/>
    </w:p>
    <w:p>
      <w:pPr>
        <w:pStyle w:val="Heading2"/>
        <w:numPr>
          <w:ilvl w:val="1"/>
          <w:numId w:val="1"/>
        </w:numPr>
        <w:rPr/>
      </w:pPr>
      <w:bookmarkStart w:id="448" w:name="__RefHeading___Toc895035_2320776876"/>
      <w:bookmarkStart w:id="449" w:name="_Toc159"/>
      <w:bookmarkEnd w:id="447"/>
      <w:bookmarkEnd w:id="448"/>
      <w:r>
        <w:rPr/>
        <w:t>6</w:t>
      </w:r>
      <w:r>
        <w:rPr>
          <w:rtl w:val="true"/>
        </w:rPr>
        <w:t xml:space="preserve"> </w:t>
      </w:r>
      <w:r>
        <w:rPr>
          <w:rtl w:val="true"/>
        </w:rPr>
        <w:t>فصلٌ في إبطالِ ما دَفَعَ به ثُبوتَ النصِّ و ورودَ السَّمعِ به</w:t>
      </w:r>
      <w:bookmarkEnd w:id="44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895037_2320776876"/>
      <w:bookmarkStart w:id="451" w:name="_Toc160"/>
      <w:bookmarkEnd w:id="450"/>
      <w:r>
        <w:rPr>
          <w:rtl w:val="true"/>
        </w:rPr>
        <w:t>اشارة</w:t>
      </w:r>
      <w:bookmarkEnd w:id="45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20015_285034"/>
      <w:bookmarkStart w:id="453" w:name="pg20015_285034"/>
      <w:bookmarkEnd w:id="453"/>
    </w:p>
    <w:p>
      <w:pPr>
        <w:pStyle w:val="Heading3"/>
        <w:numPr>
          <w:ilvl w:val="2"/>
          <w:numId w:val="1"/>
        </w:numPr>
        <w:rPr/>
      </w:pPr>
      <w:bookmarkStart w:id="454" w:name="pg20015_285034"/>
      <w:bookmarkStart w:id="455" w:name="__RefHeading___Toc895039_2320776876"/>
      <w:bookmarkStart w:id="456" w:name="_Toc161"/>
      <w:bookmarkEnd w:id="454"/>
      <w:bookmarkEnd w:id="455"/>
      <w:r>
        <w:rPr>
          <w:rtl w:val="true"/>
        </w:rPr>
        <w:t>الكلام في النصّ و أقسامه</w:t>
      </w:r>
      <w:bookmarkEnd w:id="456"/>
    </w:p>
    <w:p>
      <w:pPr>
        <w:pStyle w:val="BookText"/>
        <w:rPr/>
      </w:pPr>
      <w:r>
        <w:rPr>
          <w:rFonts w:ascii="Amiri" w:hAnsi="Amiri" w:eastAsia="Amiri" w:cs="Amiri"/>
          <w:color w:val="111111"/>
          <w:sz w:val="28"/>
          <w:sz w:val="28"/>
          <w:szCs w:val="28"/>
          <w:rtl w:val="true"/>
          <w:lang w:bidi="ar-SA"/>
        </w:rPr>
        <w:t xml:space="preserve">الذي نَذهَبُ إليه أنّ النبيَّ صَلَّى اللّٰهُ عليه و آلِه نَصَّ علىٰ أميرِ المؤمِنينَ عليه السلامُ بالإمامةِ بَعدَه، و دَلَّ علىٰ وجوبِ فَرضِ طاعتِه و لُزومِها لكُلِّ 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يَنقَسِمُ النَّصُّ عندَنا في الأصلِ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يَرجِعُ إلَى الفِعلِ و يَدخُلُ فيه القَولُ ، و الآخَرُ إلَى القَولِ دونَ الفِعلِ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النَّصُّ بالفِعلِ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دَلَّت عَلَيه أفعالُه صَلَّى اللّٰهُ عليه و آلِه و أقوالُه المُبِينةُ لأميرِ المؤمِنينَ عليه السلامُ مِن جميعِ الأُمّةِ‌، الدالّةُ علَى استحقاقِه مِن التعظيمِ و الإجلالِ و الاختصاصِ بما لَم يَكُن حاصلاً لغَيرِه؛ كمؤاخاتِه له</w:t>
      </w:r>
      <w:r>
        <w:rPr>
          <w:rStyle w:val="FootnoteAnchor"/>
          <w:rtl w:val="true"/>
        </w:rPr>
        <w:footnoteReference w:id="2586"/>
      </w:r>
      <w:r>
        <w:rPr>
          <w:rFonts w:ascii="Amiri" w:hAnsi="Amiri" w:eastAsia="Amiri" w:cs="Amiri"/>
          <w:color w:val="111111"/>
          <w:sz w:val="28"/>
          <w:sz w:val="28"/>
          <w:szCs w:val="28"/>
          <w:rtl w:val="true"/>
          <w:lang w:bidi="ar-SA"/>
        </w:rPr>
        <w:t>عليه السلامُ‌</w:t>
      </w:r>
      <w:r>
        <w:rPr>
          <w:rStyle w:val="FootnoteAnchor"/>
          <w:rtl w:val="true"/>
        </w:rPr>
        <w:footnoteReference w:id="2587"/>
      </w:r>
      <w:r>
        <w:rPr>
          <w:rFonts w:ascii="Amiri" w:hAnsi="Amiri" w:eastAsia="Amiri" w:cs="Amiri"/>
          <w:color w:val="111111"/>
          <w:sz w:val="28"/>
          <w:sz w:val="28"/>
          <w:szCs w:val="28"/>
          <w:rtl w:val="true"/>
          <w:lang w:bidi="ar-SA"/>
        </w:rPr>
        <w:t>بنَفسِه</w:t>
      </w:r>
      <w:r>
        <w:rPr>
          <w:rStyle w:val="FootnoteAnchor"/>
          <w:rtl w:val="true"/>
        </w:rPr>
        <w:footnoteReference w:id="2588"/>
      </w:r>
      <w:r>
        <w:rPr>
          <w:rFonts w:ascii="Amiri" w:hAnsi="Amiri" w:eastAsia="Amiri" w:cs="Amiri"/>
          <w:color w:val="111111"/>
          <w:sz w:val="28"/>
          <w:sz w:val="28"/>
          <w:szCs w:val="28"/>
          <w:rtl w:val="true"/>
          <w:lang w:bidi="ar-SA"/>
        </w:rPr>
        <w:t xml:space="preserve">، و إنكاحِه سَيّدةَ نِساءِ العالَمينَ ابنَتَه عَلَيها السلامُ ، و أنّه لَم يُوَلِّ عَلَيه أحَداً مِن الصحابةِ </w:t>
      </w:r>
      <w:r>
        <w:rPr>
          <w:rStyle w:val="FootnoteAnchor"/>
          <w:rtl w:val="true"/>
        </w:rPr>
        <w:footnoteReference w:id="2589"/>
      </w:r>
      <w:r>
        <w:rPr>
          <w:rFonts w:ascii="Amiri" w:hAnsi="Amiri" w:eastAsia="Amiri" w:cs="Amiri"/>
          <w:color w:val="111111"/>
          <w:sz w:val="28"/>
          <w:sz w:val="28"/>
          <w:szCs w:val="28"/>
          <w:rtl w:val="true"/>
          <w:lang w:bidi="ar-SA"/>
        </w:rPr>
        <w:t xml:space="preserve">، و لا نَدَبَه لأمرٍ أو بَعَثَه في جَيشٍ إلّاكانَ هو الواليَ عَلَيه المقدَّمَ </w:t>
      </w:r>
      <w:r>
        <w:rPr>
          <w:rStyle w:val="FootnoteAnchor"/>
          <w:rtl w:val="true"/>
        </w:rPr>
        <w:footnoteReference w:id="2590"/>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و أنّه لَم يَنقِمْ عَلَيه مع</w:t>
      </w:r>
      <w:r>
        <w:rPr>
          <w:rStyle w:val="FootnoteAnchor"/>
          <w:rtl w:val="true"/>
        </w:rPr>
        <w:footnoteReference w:id="2591"/>
      </w:r>
      <w:r>
        <w:rPr>
          <w:rFonts w:ascii="Amiri" w:hAnsi="Amiri" w:eastAsia="Amiri" w:cs="Amiri"/>
          <w:color w:val="111111"/>
          <w:sz w:val="28"/>
          <w:sz w:val="28"/>
          <w:szCs w:val="28"/>
          <w:rtl w:val="true"/>
          <w:lang w:bidi="ar-SA"/>
        </w:rPr>
        <w:t>طولِ الصُّحبةِ و تَراخي المُدّةِ شيئاً، و لا أنكَرَ مِنه فِعلاً، و لا استَبطأَه في صَغيرٍ مِن الأُمورِ و لا كَبيرٍ، مع كَثرةِ ما توَجَّهَ مِنه صَلَّى اللّٰهُ عليه و آلِه</w:t>
      </w:r>
      <w:r>
        <w:rPr>
          <w:rStyle w:val="FootnoteAnchor"/>
          <w:rtl w:val="true"/>
        </w:rPr>
        <w:footnoteReference w:id="2592"/>
      </w:r>
      <w:r>
        <w:rPr>
          <w:rFonts w:ascii="Amiri" w:hAnsi="Amiri" w:eastAsia="Amiri" w:cs="Amiri"/>
          <w:color w:val="111111"/>
          <w:sz w:val="28"/>
          <w:sz w:val="28"/>
          <w:szCs w:val="28"/>
          <w:rtl w:val="true"/>
          <w:lang w:bidi="ar-SA"/>
        </w:rPr>
        <w:t>إلىٰ جماعةٍ مِن أصحابِه مِن العَتْبِ‌</w:t>
      </w:r>
      <w:r>
        <w:rPr>
          <w:rStyle w:val="FootnoteAnchor"/>
          <w:rtl w:val="true"/>
        </w:rPr>
        <w:footnoteReference w:id="2593"/>
      </w:r>
      <w:r>
        <w:rPr>
          <w:rFonts w:ascii="Amiri" w:hAnsi="Amiri" w:eastAsia="Amiri" w:cs="Amiri"/>
          <w:color w:val="111111"/>
          <w:sz w:val="28"/>
          <w:sz w:val="28"/>
          <w:szCs w:val="28"/>
          <w:rtl w:val="true"/>
          <w:lang w:bidi="ar-SA"/>
        </w:rPr>
        <w:t>، إمّا تصريحاً أو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فيه</w:t>
      </w:r>
      <w:r>
        <w:rPr>
          <w:rStyle w:val="FootnoteAnchor"/>
          <w:rtl w:val="true"/>
        </w:rPr>
        <w:footnoteReference w:id="25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Style w:val="FootnoteAnchor"/>
          <w:rtl w:val="true"/>
        </w:rPr>
        <w:footnoteReference w:id="25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Style w:val="FootnoteAnchor"/>
          <w:rtl w:val="true"/>
        </w:rPr>
        <w:footnoteReference w:id="25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 يأكُلْ معيَ مِن هذا الطائرِ</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8"/>
      </w:r>
      <w:r>
        <w:rPr>
          <w:rFonts w:ascii="Amiri" w:hAnsi="Amiri" w:eastAsia="Amiri" w:cs="Amiri"/>
          <w:color w:val="111111"/>
          <w:sz w:val="28"/>
          <w:sz w:val="28"/>
          <w:szCs w:val="28"/>
          <w:rtl w:val="true"/>
          <w:lang w:bidi="ar-SA"/>
        </w:rPr>
        <w:t xml:space="preserve">إلىٰ غَيرِ ما ذَكرناه مِن الأفعالِ و الأقوالِ الظاهرةِ التي لا يُخالِفُ فيها وَليٌّ و لا عَدوٌّ، و ذِكرُ جميعِها يَطولُ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شَهِدَت هذه الأفعالُ و الأقوالُ باستحقاقِه عليه السلامُ الإمامةَ ، و نَبَّهَت علىٰ أنّه أَولىٰ بمَقامِ الرسولِ صَلَّى اللّٰهُ عليه و آلِه؛ مِن قِبَلِ أنّها إذا</w:t>
      </w:r>
      <w:r>
        <w:rPr>
          <w:rStyle w:val="FootnoteAnchor"/>
          <w:rtl w:val="true"/>
        </w:rPr>
        <w:footnoteReference w:id="2599"/>
      </w:r>
      <w:r>
        <w:rPr>
          <w:rFonts w:ascii="Amiri" w:hAnsi="Amiri" w:eastAsia="Amiri" w:cs="Amiri"/>
          <w:color w:val="111111"/>
          <w:sz w:val="28"/>
          <w:sz w:val="28"/>
          <w:szCs w:val="28"/>
          <w:rtl w:val="true"/>
          <w:lang w:bidi="ar-SA"/>
        </w:rPr>
        <w:t xml:space="preserve">دَلَّت علَى الفضلِ العظيمِ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و الاختصاصِ الشديدِ، فقَد</w:t>
      </w:r>
      <w:r>
        <w:rPr>
          <w:rStyle w:val="FootnoteAnchor"/>
          <w:rtl w:val="true"/>
        </w:rPr>
        <w:footnoteReference w:id="2601"/>
      </w:r>
      <w:r>
        <w:rPr>
          <w:rFonts w:ascii="Amiri" w:hAnsi="Amiri" w:eastAsia="Amiri" w:cs="Amiri"/>
          <w:color w:val="111111"/>
          <w:sz w:val="28"/>
          <w:sz w:val="28"/>
          <w:szCs w:val="28"/>
          <w:rtl w:val="true"/>
          <w:lang w:bidi="ar-SA"/>
        </w:rPr>
        <w:t>كَشَفَت عن قُوّةِ الأسبابِ إلىٰ أشرَفِ الوِلاياتِ‌؛ لأنّ مَن كانَ أبهَرَ</w:t>
      </w:r>
      <w:r>
        <w:rPr>
          <w:rStyle w:val="FootnoteAnchor"/>
          <w:rtl w:val="true"/>
        </w:rPr>
        <w:footnoteReference w:id="2602"/>
      </w:r>
      <w:r>
        <w:rPr>
          <w:rFonts w:ascii="Amiri" w:hAnsi="Amiri" w:eastAsia="Amiri" w:cs="Amiri"/>
          <w:color w:val="111111"/>
          <w:sz w:val="28"/>
          <w:sz w:val="28"/>
          <w:szCs w:val="28"/>
          <w:rtl w:val="true"/>
          <w:lang w:bidi="ar-SA"/>
        </w:rPr>
        <w:t>فَضلاً، و أعلىٰ في الدِّينِ مَكاناً، فهو أَولىٰ بالتقديمِ‌، و أقرَبُ وسيلةً إلَى التعظيمِ‌؛ و لأنّ العادةَ فيمَن يُرشَّحُ‌</w:t>
      </w:r>
      <w:r>
        <w:rPr>
          <w:rStyle w:val="FootnoteAnchor"/>
          <w:rtl w:val="true"/>
        </w:rPr>
        <w:footnoteReference w:id="2603"/>
      </w:r>
      <w:r>
        <w:rPr>
          <w:rFonts w:ascii="Amiri" w:hAnsi="Amiri" w:eastAsia="Amiri" w:cs="Amiri"/>
          <w:color w:val="111111"/>
          <w:sz w:val="28"/>
          <w:sz w:val="28"/>
          <w:szCs w:val="28"/>
          <w:rtl w:val="true"/>
          <w:lang w:bidi="ar-SA"/>
        </w:rPr>
        <w:t xml:space="preserve">لشَريفِ الوِلاياتِ و يؤَهَّلُ </w:t>
      </w:r>
      <w:r>
        <w:rPr>
          <w:rStyle w:val="FootnoteAnchor"/>
          <w:rtl w:val="true"/>
        </w:rPr>
        <w:footnoteReference w:id="2604"/>
      </w:r>
      <w:r>
        <w:rPr>
          <w:rFonts w:ascii="Amiri" w:hAnsi="Amiri" w:eastAsia="Amiri" w:cs="Amiri"/>
          <w:color w:val="111111"/>
          <w:sz w:val="28"/>
          <w:sz w:val="28"/>
          <w:szCs w:val="28"/>
          <w:rtl w:val="true"/>
          <w:lang w:bidi="ar-SA"/>
        </w:rPr>
        <w:t>لعَظيمِها أن يُصنَعَ به و يُنبَّهَ عَلَيه ببعضِ ما قَصَصناه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الفِعلِ رُبَّما كانَت آكَدَ مِن دَلالةِ القَولِ ، و أبعَدَ مِن الشُّبهةِ ؛ لأنّ القَولَ يَدخُلُه</w:t>
      </w:r>
      <w:r>
        <w:rPr>
          <w:rStyle w:val="FootnoteAnchor"/>
          <w:rtl w:val="true"/>
        </w:rPr>
        <w:footnoteReference w:id="2605"/>
      </w:r>
      <w:r>
        <w:rPr>
          <w:rFonts w:ascii="Amiri" w:hAnsi="Amiri" w:eastAsia="Amiri" w:cs="Amiri"/>
          <w:color w:val="111111"/>
          <w:sz w:val="28"/>
          <w:sz w:val="28"/>
          <w:szCs w:val="28"/>
          <w:rtl w:val="true"/>
          <w:lang w:bidi="ar-SA"/>
        </w:rPr>
        <w:t xml:space="preserve">المَجازُ، و يَحتَمِلُ ضُروباً مِن التأويلاتِ لا يَحتَمِلُها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606"/>
      </w:r>
      <w:r>
        <w:rPr>
          <w:rFonts w:ascii="Amiri" w:hAnsi="Amiri" w:eastAsia="Amiri" w:cs="Amiri"/>
          <w:color w:val="111111"/>
          <w:sz w:val="28"/>
          <w:sz w:val="28"/>
          <w:szCs w:val="28"/>
          <w:rtl w:val="true"/>
          <w:lang w:bidi="ar-SA"/>
        </w:rPr>
        <w:t xml:space="preserve">النَّصُّ بالقَولِ دونَ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فيَنقَسِمُ </w:t>
      </w:r>
      <w:r>
        <w:rPr>
          <w:rStyle w:val="FootnoteAnchor"/>
          <w:rtl w:val="true"/>
        </w:rPr>
        <w:footnoteReference w:id="2607"/>
      </w:r>
      <w:r>
        <w:rPr>
          <w:rFonts w:ascii="Amiri" w:hAnsi="Amiri" w:eastAsia="Amiri" w:cs="Amiri"/>
          <w:color w:val="111111"/>
          <w:sz w:val="28"/>
          <w:sz w:val="28"/>
          <w:szCs w:val="28"/>
          <w:rtl w:val="true"/>
          <w:lang w:bidi="ar-SA"/>
        </w:rPr>
        <w:t xml:space="preserve">إلىٰ قِسمَينِ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سامِعوه مِن الرسولِ صَلَّى اللّٰهُ عليه و آلِه مُرادَه مِنه بِاضطرارٍ، و إن كُنّا الآنَ نَعلَمُ ثُبوتَه</w:t>
      </w:r>
      <w:r>
        <w:rPr>
          <w:rStyle w:val="FootnoteAnchor"/>
          <w:rtl w:val="true"/>
        </w:rPr>
        <w:footnoteReference w:id="2608"/>
      </w:r>
      <w:r>
        <w:rPr>
          <w:rFonts w:ascii="Amiri" w:hAnsi="Amiri" w:eastAsia="Amiri" w:cs="Amiri"/>
          <w:color w:val="111111"/>
          <w:sz w:val="28"/>
          <w:sz w:val="28"/>
          <w:szCs w:val="28"/>
          <w:rtl w:val="true"/>
          <w:lang w:bidi="ar-SA"/>
        </w:rPr>
        <w:t>و المُرادَ مِنه</w:t>
      </w:r>
      <w:r>
        <w:rPr>
          <w:rStyle w:val="FootnoteAnchor"/>
          <w:rtl w:val="true"/>
        </w:rPr>
        <w:footnoteReference w:id="2609"/>
      </w:r>
      <w:r>
        <w:rPr>
          <w:rFonts w:ascii="Amiri" w:hAnsi="Amiri" w:eastAsia="Amiri" w:cs="Amiri"/>
          <w:color w:val="111111"/>
          <w:sz w:val="28"/>
          <w:sz w:val="28"/>
          <w:szCs w:val="28"/>
          <w:rtl w:val="true"/>
          <w:lang w:bidi="ar-SA"/>
        </w:rPr>
        <w:t>استدلالاً؛ و هو النَّصُّ الذي في ظاهرِه و لفظِه التصريحُ‌</w:t>
      </w:r>
      <w:r>
        <w:rPr>
          <w:rStyle w:val="FootnoteAnchor"/>
          <w:rtl w:val="true"/>
        </w:rPr>
        <w:footnoteReference w:id="2610"/>
      </w:r>
      <w:r>
        <w:rPr>
          <w:rFonts w:ascii="Amiri" w:hAnsi="Amiri" w:eastAsia="Amiri" w:cs="Amiri"/>
          <w:color w:val="111111"/>
          <w:sz w:val="28"/>
          <w:sz w:val="28"/>
          <w:szCs w:val="28"/>
          <w:rtl w:val="true"/>
          <w:lang w:bidi="ar-SA"/>
        </w:rPr>
        <w:t xml:space="preserve">بالإمامةِ و الخِلافةِ ، و يُسمّيهِ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w:t>
      </w:r>
      <w:r>
        <w:rPr>
          <w:rStyle w:val="FootnoteAnchor"/>
          <w:rtl w:val="true"/>
        </w:rPr>
        <w:footnoteReference w:id="26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خَليفَتي فيكُم مِن </w:t>
      </w:r>
    </w:p>
    <w:p>
      <w:pPr>
        <w:pStyle w:val="BookText"/>
        <w:rPr/>
      </w:pPr>
      <w:r>
        <w:rPr>
          <w:rFonts w:ascii="Amiri" w:hAnsi="Amiri" w:eastAsia="Amiri" w:cs="Amiri"/>
          <w:color w:val="111111"/>
          <w:sz w:val="28"/>
          <w:sz w:val="28"/>
          <w:szCs w:val="28"/>
          <w:rtl w:val="true"/>
          <w:lang w:bidi="ar-SA"/>
        </w:rPr>
        <w:t>بَعدي، فاسمَعوا له و أطيعوا</w:t>
      </w:r>
      <w:r>
        <w:rPr>
          <w:rFonts w:eastAsia="Amiri" w:cs="Amiri" w:ascii="Amiri" w:hAnsi="Amiri"/>
          <w:color w:val="111111"/>
          <w:sz w:val="28"/>
          <w:szCs w:val="28"/>
          <w:rtl w:val="true"/>
          <w:lang w:bidi="ar-SA"/>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w:t>
      </w:r>
      <w:r>
        <w:rPr>
          <w:rStyle w:val="FootnoteAnchor"/>
          <w:rtl w:val="true"/>
        </w:rPr>
        <w:footnoteReference w:id="2613"/>
      </w:r>
      <w:r>
        <w:rPr>
          <w:rFonts w:ascii="Amiri" w:hAnsi="Amiri" w:eastAsia="Amiri" w:cs="Amiri"/>
          <w:color w:val="111111"/>
          <w:sz w:val="28"/>
          <w:sz w:val="28"/>
          <w:szCs w:val="28"/>
          <w:rtl w:val="true"/>
          <w:lang w:bidi="ar-SA"/>
        </w:rPr>
        <w:t>علىٰ أنّ سامِعيهِ مِن الرسولِ صَلَّى اللّٰهُ عليه و آلِه</w:t>
      </w:r>
      <w:r>
        <w:rPr>
          <w:rStyle w:val="FootnoteAnchor"/>
          <w:rtl w:val="true"/>
        </w:rPr>
        <w:footnoteReference w:id="2614"/>
      </w:r>
      <w:r>
        <w:rPr>
          <w:rFonts w:ascii="Amiri" w:hAnsi="Amiri" w:eastAsia="Amiri" w:cs="Amiri"/>
          <w:color w:val="111111"/>
          <w:sz w:val="28"/>
          <w:sz w:val="28"/>
          <w:szCs w:val="28"/>
          <w:rtl w:val="true"/>
          <w:lang w:bidi="ar-SA"/>
        </w:rPr>
        <w:t>عَلِموا النَّصَّ بالإمامةِ مِنه اضطراراً</w:t>
      </w:r>
      <w:r>
        <w:rPr>
          <w:rStyle w:val="FootnoteAnchor"/>
          <w:rtl w:val="true"/>
        </w:rPr>
        <w:footnoteReference w:id="2615"/>
      </w:r>
      <w:r>
        <w:rPr>
          <w:rFonts w:ascii="Amiri" w:hAnsi="Amiri" w:eastAsia="Amiri" w:cs="Amiri"/>
          <w:color w:val="111111"/>
          <w:sz w:val="28"/>
          <w:sz w:val="28"/>
          <w:szCs w:val="28"/>
          <w:rtl w:val="true"/>
          <w:lang w:bidi="ar-SA"/>
        </w:rPr>
        <w:t>، و لا يَمتَنِعُ عندَنا أن يَكونوا عَلِموه</w:t>
      </w:r>
      <w:r>
        <w:rPr>
          <w:rStyle w:val="FootnoteAnchor"/>
          <w:rtl w:val="true"/>
        </w:rPr>
        <w:footnoteReference w:id="2616"/>
      </w:r>
      <w:r>
        <w:rPr>
          <w:rFonts w:ascii="Amiri" w:hAnsi="Amiri" w:eastAsia="Amiri" w:cs="Amiri"/>
          <w:color w:val="111111"/>
          <w:sz w:val="28"/>
          <w:sz w:val="28"/>
          <w:szCs w:val="28"/>
          <w:rtl w:val="true"/>
          <w:lang w:bidi="ar-SA"/>
        </w:rPr>
        <w:t>استدلالاً مِن حَيثُ اعتبارِ دَلالةِ اللَّفظِ، و ما يَحسُنُ أن يَكونَ المُرادُ به</w:t>
      </w:r>
      <w:r>
        <w:rPr>
          <w:rStyle w:val="FootnoteAnchor"/>
          <w:rtl w:val="true"/>
        </w:rPr>
        <w:footnoteReference w:id="2617"/>
      </w:r>
      <w:r>
        <w:rPr>
          <w:rFonts w:ascii="Amiri" w:hAnsi="Amiri" w:eastAsia="Amiri" w:cs="Amiri"/>
          <w:color w:val="111111"/>
          <w:sz w:val="28"/>
          <w:sz w:val="28"/>
          <w:szCs w:val="28"/>
          <w:rtl w:val="true"/>
          <w:lang w:bidi="ar-SA"/>
        </w:rPr>
        <w:t xml:space="preserve">أو لا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نحنُ فلا نَعلَمُ ثُبوتَه و المُرادَ به إلّااستدلالاً، كقَولِه صَلَّى اللّٰهُ عليه و آلِه</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 إلّاأنّه لا نَبيَّ بَعدي</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الضربُ مِن النَّصِّ هو الذي يُسمّيهِ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الخَفيَّ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النَّصُّ بالقَولِ يَنقَسِمُ قِسمةً أُخرىٰ إلىٰ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مِنه تفرَّدَ بنَقلِه الشيعةُ الإماميّةُ خاصّةً ، و إن كانَ بعضُ مَن لَم يَفطَنْ بما</w:t>
      </w:r>
      <w:r>
        <w:rPr>
          <w:rStyle w:val="FootnoteAnchor"/>
          <w:rtl w:val="true"/>
        </w:rPr>
        <w:footnoteReference w:id="2622"/>
      </w:r>
      <w:r>
        <w:rPr>
          <w:rFonts w:ascii="Amiri" w:hAnsi="Amiri" w:eastAsia="Amiri" w:cs="Amiri"/>
          <w:color w:val="111111"/>
          <w:sz w:val="28"/>
          <w:sz w:val="28"/>
          <w:szCs w:val="28"/>
          <w:rtl w:val="true"/>
          <w:lang w:bidi="ar-SA"/>
        </w:rPr>
        <w:t xml:space="preserve">عَلَيه فيه مِن أصحابِ الحديثِ قد رَوىٰ شيئاً مِنه، و هو النَّصُّ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الضربُ الآخَرُ رَواه الشيعيُّ و الناصبيُّ و تَلَقّاه جميعُ الأُمّةِ بالقَبولِ </w:t>
      </w:r>
      <w:r>
        <w:rPr>
          <w:rStyle w:val="FootnoteAnchor"/>
          <w:rtl w:val="true"/>
        </w:rPr>
        <w:footnoteReference w:id="2623"/>
      </w:r>
      <w:r>
        <w:rPr>
          <w:rFonts w:ascii="Amiri" w:hAnsi="Amiri" w:eastAsia="Amiri" w:cs="Amiri"/>
          <w:color w:val="111111"/>
          <w:sz w:val="28"/>
          <w:sz w:val="28"/>
          <w:szCs w:val="28"/>
          <w:rtl w:val="true"/>
          <w:lang w:bidi="ar-SA"/>
        </w:rPr>
        <w:t>علَى اختلافِها، و لَم يَدفَعْه مِنهم أحَدٌ يُحفَلُ بدَفعِه أو</w:t>
      </w:r>
      <w:r>
        <w:rPr>
          <w:rStyle w:val="FootnoteAnchor"/>
          <w:rtl w:val="true"/>
        </w:rPr>
        <w:footnoteReference w:id="2624"/>
      </w:r>
      <w:r>
        <w:rPr>
          <w:rFonts w:ascii="Amiri" w:hAnsi="Amiri" w:eastAsia="Amiri" w:cs="Amiri"/>
          <w:color w:val="111111"/>
          <w:sz w:val="28"/>
          <w:sz w:val="28"/>
          <w:szCs w:val="28"/>
          <w:rtl w:val="true"/>
          <w:lang w:bidi="ar-SA"/>
        </w:rPr>
        <w:t>يُعَدُّ مِثلُه خِلافاً، و إن كانوا قد اختَلَفوا في تأويلِه و تَبايَنوا في اعتقادِ المُرادِ به</w:t>
      </w:r>
      <w:r>
        <w:rPr>
          <w:rStyle w:val="FootnoteAnchor"/>
          <w:rtl w:val="true"/>
        </w:rPr>
        <w:footnoteReference w:id="2625"/>
      </w:r>
      <w:r>
        <w:rPr>
          <w:rFonts w:ascii="Amiri" w:hAnsi="Amiri" w:eastAsia="Amiri" w:cs="Amiri"/>
          <w:color w:val="111111"/>
          <w:sz w:val="28"/>
          <w:sz w:val="28"/>
          <w:szCs w:val="28"/>
          <w:rtl w:val="true"/>
          <w:lang w:bidi="ar-SA"/>
        </w:rPr>
        <w:t xml:space="preserve">، و هو النَّصُّ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ثانياً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3144</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3049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bookmarkStart w:id="457" w:name="pg20015_285039"/>
    </w:p>
    <w:p>
      <w:pPr>
        <w:pStyle w:val="Heading3"/>
        <w:numPr>
          <w:ilvl w:val="2"/>
          <w:numId w:val="1"/>
        </w:numPr>
        <w:rPr/>
      </w:pPr>
      <w:bookmarkStart w:id="458" w:name="__RefHeading___Toc895041_2320776876"/>
      <w:bookmarkStart w:id="459" w:name="_Toc162"/>
      <w:bookmarkEnd w:id="457"/>
      <w:bookmarkEnd w:id="458"/>
      <w:r>
        <w:rPr>
          <w:rtl w:val="true"/>
        </w:rPr>
        <w:t>الكلام في النصّ الجليّ ، و الطريق إلى إثبات تواتره</w:t>
      </w:r>
      <w:bookmarkEnd w:id="459"/>
    </w:p>
    <w:p>
      <w:pPr>
        <w:pStyle w:val="Heading4"/>
        <w:numPr>
          <w:ilvl w:val="3"/>
          <w:numId w:val="1"/>
        </w:numPr>
        <w:rPr/>
      </w:pPr>
      <w:bookmarkStart w:id="460" w:name="__RefHeading___Toc895043_2320776876"/>
      <w:bookmarkStart w:id="461" w:name="_Toc16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 نحنُ الآنَ نَشرَعُ في الدَّلالةِ علَى النَّصِّ الجَليِّ‌؛ لأنّه الذي تفرَّدَ أصحابُنا به</w:t>
      </w:r>
      <w:r>
        <w:rPr>
          <w:rStyle w:val="FootnoteAnchor"/>
          <w:rtl w:val="true"/>
        </w:rPr>
        <w:footnoteReference w:id="2626"/>
      </w:r>
      <w:r>
        <w:rPr>
          <w:rFonts w:ascii="Amiri" w:hAnsi="Amiri" w:eastAsia="Amiri" w:cs="Amiri"/>
          <w:color w:val="111111"/>
          <w:sz w:val="28"/>
          <w:sz w:val="28"/>
          <w:szCs w:val="28"/>
          <w:rtl w:val="true"/>
          <w:lang w:bidi="ar-SA"/>
        </w:rPr>
        <w:t>، و كلامُ صاحبِ الكتابِ في هذا الفَصلِ كأنّه مقصورٌ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النُّصوصُ الباقيةُ فسيَجيءُ الكلامُ في تأويلِها و إبطالِ ما جَرَحَ المخالِفونَ فيها فيما بَعدُ بعَونِ اللّٰهِ تَعالىٰ‌</w:t>
      </w:r>
      <w:r>
        <w:rPr>
          <w:rFonts w:eastAsia="Amiri" w:cs="Amiri" w:ascii="Amiri" w:hAnsi="Amiri"/>
          <w:color w:val="111111"/>
          <w:sz w:val="28"/>
          <w:szCs w:val="28"/>
          <w:rtl w:val="true"/>
          <w:lang w:bidi="ar-SA"/>
        </w:rPr>
        <w:t>.</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و الطريقُ إلىٰ تصحيحِ النَّصِّ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 صفةَ الجماعةِ التي إذا أخبَرَت كانَت صادقةً ، و الشروطَ التي معها يَكونُ </w:t>
      </w:r>
      <w:r>
        <w:rPr>
          <w:rStyle w:val="FootnoteAnchor"/>
          <w:rtl w:val="true"/>
        </w:rPr>
        <w:footnoteReference w:id="2628"/>
      </w:r>
      <w:r>
        <w:rPr>
          <w:rFonts w:ascii="Amiri" w:hAnsi="Amiri" w:eastAsia="Amiri" w:cs="Amiri"/>
          <w:color w:val="111111"/>
          <w:sz w:val="28"/>
          <w:sz w:val="28"/>
          <w:szCs w:val="28"/>
          <w:rtl w:val="true"/>
          <w:lang w:bidi="ar-SA"/>
        </w:rPr>
        <w:t xml:space="preserve">خبرُها دَلالةً </w:t>
      </w:r>
      <w:r>
        <w:rPr>
          <w:rStyle w:val="FootnoteAnchor"/>
          <w:rtl w:val="true"/>
        </w:rPr>
        <w:footnoteReference w:id="2629"/>
      </w:r>
      <w:r>
        <w:rPr>
          <w:rFonts w:ascii="Amiri" w:hAnsi="Amiri" w:eastAsia="Amiri" w:cs="Amiri"/>
          <w:color w:val="111111"/>
          <w:sz w:val="28"/>
          <w:sz w:val="28"/>
          <w:szCs w:val="28"/>
          <w:rtl w:val="true"/>
          <w:lang w:bidi="ar-SA"/>
        </w:rPr>
        <w:t>و موصِلاً</w:t>
      </w:r>
      <w:r>
        <w:rPr>
          <w:rStyle w:val="FootnoteAnchor"/>
          <w:rtl w:val="true"/>
        </w:rPr>
        <w:footnoteReference w:id="2630"/>
      </w:r>
      <w:r>
        <w:rPr>
          <w:rFonts w:ascii="Amiri" w:hAnsi="Amiri" w:eastAsia="Amiri" w:cs="Amiri"/>
          <w:color w:val="111111"/>
          <w:sz w:val="28"/>
          <w:sz w:val="28"/>
          <w:szCs w:val="28"/>
          <w:rtl w:val="true"/>
          <w:lang w:bidi="ar-SA"/>
        </w:rPr>
        <w:t xml:space="preserve">إلَى العِلمِ بالمُخبَرِ، ثُمّ نبيِّنَ أنّ تلكَ الصفاتِ و الشروطَ حاصلةٌ في نَقلِ الشيعةِ للنَّصِّ علىٰ أميرِ 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895045_2320776876"/>
      <w:bookmarkStart w:id="463" w:name="_Toc164"/>
      <w:bookmarkEnd w:id="462"/>
      <w:r>
        <w:rPr>
          <w:rtl w:val="true"/>
        </w:rPr>
        <w:t>شروط الخبر المتواتر</w:t>
      </w:r>
      <w:bookmarkEnd w:id="463"/>
    </w:p>
    <w:p>
      <w:pPr>
        <w:pStyle w:val="BookText"/>
        <w:rPr/>
      </w:pPr>
      <w:r>
        <w:rPr>
          <w:rFonts w:ascii="Amiri" w:hAnsi="Amiri" w:eastAsia="Amiri" w:cs="Amiri"/>
          <w:color w:val="111111"/>
          <w:sz w:val="28"/>
          <w:sz w:val="28"/>
          <w:szCs w:val="28"/>
          <w:rtl w:val="true"/>
          <w:lang w:bidi="ar-SA"/>
        </w:rPr>
        <w:t xml:space="preserve">أمّا شُروطُ الجماعةِ التي إذا أخبَرَت أمكَنَ أن يُعلَمَ صحّةُ مُخبَرِها فثَلاثةٌ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يَنتَهيَ في الكَثرةِ إلىٰ حَدٍّ لا يَصِحُّ معه أن يَتَّفِقَ الكَذِبُ </w:t>
      </w:r>
      <w:bookmarkStart w:id="464" w:name="pg20015_285040"/>
    </w:p>
    <w:p>
      <w:pPr>
        <w:pStyle w:val="BookText"/>
        <w:rPr/>
      </w:pPr>
      <w:bookmarkEnd w:id="464"/>
      <w:r>
        <w:rPr>
          <w:rFonts w:ascii="IRNazanin" w:hAnsi="IRNazanin" w:eastAsia="IRNazanin"/>
          <w:color w:val="111111"/>
          <w:sz w:val="28"/>
          <w:sz w:val="28"/>
          <w:szCs w:val="28"/>
          <w:rtl w:val="true"/>
          <w:lang w:bidi="fa-IR"/>
        </w:rPr>
        <w:t>عن</w:t>
      </w:r>
      <w:r>
        <w:rPr>
          <w:rStyle w:val="FootnoteAnchor"/>
          <w:rtl w:val="true"/>
        </w:rPr>
        <w:footnoteReference w:id="2631"/>
      </w:r>
      <w:r>
        <w:rPr>
          <w:rFonts w:ascii="Amiri" w:hAnsi="Amiri" w:eastAsia="Amiri" w:cs="Amiri"/>
          <w:color w:val="111111"/>
          <w:sz w:val="28"/>
          <w:sz w:val="28"/>
          <w:szCs w:val="28"/>
          <w:rtl w:val="true"/>
          <w:lang w:bidi="ar-SA"/>
        </w:rPr>
        <w:t>المُخبَرِ الواحدِ فيها</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لَم يَجمَعْها علَى الكَذِبِ جامعٌ ؛ مِن تَواطؤٍ أو</w:t>
      </w:r>
      <w:r>
        <w:rPr>
          <w:rStyle w:val="FootnoteAnchor"/>
          <w:rtl w:val="true"/>
        </w:rPr>
        <w:footnoteReference w:id="2633"/>
      </w:r>
      <w:r>
        <w:rPr>
          <w:rFonts w:ascii="Amiri" w:hAnsi="Amiri" w:eastAsia="Amiri" w:cs="Amiri"/>
          <w:color w:val="111111"/>
          <w:sz w:val="28"/>
          <w:sz w:val="28"/>
          <w:szCs w:val="28"/>
          <w:rtl w:val="true"/>
          <w:lang w:bidi="ar-SA"/>
        </w:rPr>
        <w:t>ما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اللَّبسُ و الشُّبهةُ زائلَينِ عمّا خَبَّرَت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الكلامُ في الجماعةِ المُخبِرةِ عن المُخبَرِ بلا واسطةٍ ، فإن كانَت مُخبِرةً عن غَيرِها وَجَبَ اعتبارُ هذه الشروطِ فيمَن خَبَّرَت عنه حتّىٰ يُعلَمَ </w:t>
      </w:r>
      <w:r>
        <w:rPr>
          <w:rStyle w:val="FootnoteAnchor"/>
          <w:rtl w:val="true"/>
        </w:rPr>
        <w:footnoteReference w:id="2635"/>
      </w:r>
      <w:r>
        <w:rPr>
          <w:rFonts w:ascii="Amiri" w:hAnsi="Amiri" w:eastAsia="Amiri" w:cs="Amiri"/>
          <w:color w:val="111111"/>
          <w:sz w:val="28"/>
          <w:sz w:val="28"/>
          <w:szCs w:val="28"/>
          <w:rtl w:val="true"/>
          <w:lang w:bidi="ar-SA"/>
        </w:rPr>
        <w:t>أنّ الجماعاتِ التي خَبَّرَت عنها هذه الجماعةُ صفتُها فيما ذَكرناه صفةُ هذه الجماعةِ ، و به نَقطَعُ علىٰ أنّه لَم يَتوسَّطْ بَينَها و بَينَ المُخبَرِ عنه جماعةٌ لَم تَكمُلْ لها هذه الشروطُ</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95047_2320776876"/>
      <w:bookmarkStart w:id="466" w:name="_Toc165"/>
      <w:bookmarkEnd w:id="465"/>
      <w:r>
        <w:rPr>
          <w:rtl w:val="true"/>
        </w:rPr>
        <w:t>تأثير الشروط المذكورة في العلم بصحّة الخبر</w:t>
      </w:r>
      <w:bookmarkEnd w:id="466"/>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تأثيرَ الشروطِ التي ذَكَرتموها في العِلمِ بصحّةِ الخبرِ، و أنّ فَقدَها أو فَقدَ بعضِها مُخِلٌّ بالعِلمِ بصحّتِه، و وجودَها محصِّلٌ لطريقِ </w:t>
      </w:r>
      <w:r>
        <w:rPr>
          <w:rStyle w:val="FootnoteAnchor"/>
          <w:rtl w:val="true"/>
        </w:rPr>
        <w:footnoteReference w:id="2636"/>
      </w:r>
      <w:r>
        <w:rPr>
          <w:rFonts w:ascii="Amiri" w:hAnsi="Amiri" w:eastAsia="Amiri" w:cs="Amiri"/>
          <w:color w:val="111111"/>
          <w:sz w:val="28"/>
          <w:sz w:val="28"/>
          <w:szCs w:val="28"/>
          <w:rtl w:val="true"/>
          <w:lang w:bidi="ar-SA"/>
        </w:rPr>
        <w:t>العِلمِ ، ثُمّ بيِّنوا كَيفَ السبيلُ إلَى العِلمِ بحُصولِها؟ و ما الطريقُ إليه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تأثيرُ الشروطِ المذكورةِ فبيِّن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الجماعةَ إذا لَم تَبلُغِ الحَدَّ الذي يَستَحيلُ عَلَيها عندَ بُلوغِه الكَذِبُ عن </w:t>
      </w:r>
    </w:p>
    <w:p>
      <w:pPr>
        <w:pStyle w:val="BookText"/>
        <w:rPr/>
      </w:pPr>
      <w:r>
        <w:rPr>
          <w:rFonts w:ascii="Amiri" w:hAnsi="Amiri" w:eastAsia="Amiri" w:cs="Amiri"/>
          <w:color w:val="111111"/>
          <w:sz w:val="28"/>
          <w:sz w:val="28"/>
          <w:szCs w:val="28"/>
          <w:rtl w:val="true"/>
          <w:lang w:bidi="ar-SA"/>
        </w:rPr>
        <w:t xml:space="preserve">المُخبَرِ المخصوصِ اتّفاقاً، لَم نأمَنْ </w:t>
      </w:r>
      <w:r>
        <w:rPr>
          <w:rStyle w:val="FootnoteAnchor"/>
          <w:rtl w:val="true"/>
        </w:rPr>
        <w:footnoteReference w:id="2637"/>
      </w:r>
      <w:r>
        <w:rPr>
          <w:rFonts w:ascii="Amiri" w:hAnsi="Amiri" w:eastAsia="Amiri" w:cs="Amiri"/>
          <w:color w:val="111111"/>
          <w:sz w:val="28"/>
          <w:sz w:val="28"/>
          <w:szCs w:val="28"/>
          <w:rtl w:val="true"/>
          <w:lang w:bidi="ar-SA"/>
        </w:rPr>
        <w:t>مِن</w:t>
      </w:r>
      <w:r>
        <w:rPr>
          <w:rStyle w:val="FootnoteAnchor"/>
          <w:rtl w:val="true"/>
        </w:rPr>
        <w:footnoteReference w:id="2638"/>
      </w:r>
      <w:r>
        <w:rPr>
          <w:rFonts w:ascii="Amiri" w:hAnsi="Amiri" w:eastAsia="Amiri" w:cs="Amiri"/>
          <w:color w:val="111111"/>
          <w:sz w:val="28"/>
          <w:sz w:val="28"/>
          <w:szCs w:val="28"/>
          <w:rtl w:val="true"/>
          <w:lang w:bidi="ar-SA"/>
        </w:rPr>
        <w:t>وقوعِ الكَذِبِ مِنها علىٰ هذا الوجهِ ، كما أنّ الواحدَ و الاثنَينِ إذا أخبَرا</w:t>
      </w:r>
      <w:r>
        <w:rPr>
          <w:rStyle w:val="FootnoteAnchor"/>
          <w:rtl w:val="true"/>
        </w:rPr>
        <w:footnoteReference w:id="2639"/>
      </w:r>
      <w:r>
        <w:rPr>
          <w:rFonts w:ascii="Amiri" w:hAnsi="Amiri" w:eastAsia="Amiri" w:cs="Amiri"/>
          <w:color w:val="111111"/>
          <w:sz w:val="28"/>
          <w:sz w:val="28"/>
          <w:szCs w:val="28"/>
          <w:rtl w:val="true"/>
          <w:lang w:bidi="ar-SA"/>
        </w:rPr>
        <w:t xml:space="preserve">عن أمرٍ، لَم نأمَنْ </w:t>
      </w:r>
      <w:r>
        <w:rPr>
          <w:rStyle w:val="FootnoteAnchor"/>
          <w:rtl w:val="true"/>
        </w:rPr>
        <w:footnoteReference w:id="2640"/>
      </w:r>
      <w:r>
        <w:rPr>
          <w:rFonts w:ascii="Amiri" w:hAnsi="Amiri" w:eastAsia="Amiri" w:cs="Amiri"/>
          <w:color w:val="111111"/>
          <w:sz w:val="28"/>
          <w:sz w:val="28"/>
          <w:szCs w:val="28"/>
          <w:rtl w:val="true"/>
          <w:lang w:bidi="ar-SA"/>
        </w:rPr>
        <w:t>في خبرِهما أن يَكونَ كَذِباً؛ مِن حَيثُ كانَ ما ذَكرناه مِن اتّفاقِ الكَذِبِ غَيرَ مأمونٍ مِنهما</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متىٰ لَم نَعلَمْ </w:t>
      </w:r>
      <w:r>
        <w:rPr>
          <w:rStyle w:val="FootnoteAnchor"/>
          <w:rtl w:val="true"/>
        </w:rPr>
        <w:footnoteReference w:id="2642"/>
      </w:r>
      <w:r>
        <w:rPr>
          <w:rFonts w:ascii="Amiri" w:hAnsi="Amiri" w:eastAsia="Amiri" w:cs="Amiri"/>
          <w:color w:val="111111"/>
          <w:sz w:val="28"/>
          <w:sz w:val="28"/>
          <w:szCs w:val="28"/>
          <w:rtl w:val="true"/>
          <w:lang w:bidi="ar-SA"/>
        </w:rPr>
        <w:t>أنّها لَم تَتَواطأْ</w:t>
      </w:r>
      <w:r>
        <w:rPr>
          <w:rStyle w:val="FootnoteAnchor"/>
          <w:rtl w:val="true"/>
        </w:rPr>
        <w:footnoteReference w:id="2643"/>
      </w:r>
      <w:r>
        <w:rPr>
          <w:rFonts w:ascii="Amiri" w:hAnsi="Amiri" w:eastAsia="Amiri" w:cs="Amiri"/>
          <w:color w:val="111111"/>
          <w:sz w:val="28"/>
          <w:sz w:val="28"/>
          <w:szCs w:val="28"/>
          <w:rtl w:val="true"/>
          <w:lang w:bidi="ar-SA"/>
        </w:rPr>
        <w:t xml:space="preserve">، أو حَصَلَ </w:t>
      </w:r>
      <w:r>
        <w:rPr>
          <w:rStyle w:val="FootnoteAnchor"/>
          <w:rtl w:val="true"/>
        </w:rPr>
        <w:footnoteReference w:id="2644"/>
      </w:r>
      <w:r>
        <w:rPr>
          <w:rFonts w:ascii="IRNazanin" w:hAnsi="IRNazanin" w:eastAsia="IRNazanin"/>
          <w:color w:val="111111"/>
          <w:sz w:val="28"/>
          <w:sz w:val="28"/>
          <w:szCs w:val="28"/>
          <w:rtl w:val="true"/>
          <w:lang w:bidi="fa-IR"/>
        </w:rPr>
        <w:t>منها</w:t>
      </w:r>
      <w:r>
        <w:rPr>
          <w:rStyle w:val="FootnoteAnchor"/>
          <w:rtl w:val="true"/>
        </w:rPr>
        <w:footnoteReference w:id="2645"/>
      </w:r>
      <w:r>
        <w:rPr>
          <w:rFonts w:ascii="Amiri" w:hAnsi="Amiri" w:eastAsia="Amiri" w:cs="Amiri"/>
          <w:color w:val="111111"/>
          <w:sz w:val="28"/>
          <w:sz w:val="28"/>
          <w:szCs w:val="28"/>
          <w:rtl w:val="true"/>
          <w:lang w:bidi="ar-SA"/>
        </w:rPr>
        <w:t>ما يَقومُ مَقامَ التواطؤِ، جَوَّزنا أن يَكونَ الكَذِبُ وَقَعَ مِنها علىٰ سَبيلِ التواطؤِ؛ لأنّا نَعلَمُ أنّ بالتواطؤِ يَجوزُ علَى الجماعةِ ما يَستَحيلُ لَولاه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 و وقوعُ اللَّبسِ أيضاً ممّا يَجمَعُ علَى الكَذِبِ ؛ ألا تَرىٰ إلىٰ جوازِ الكَذِبِ علَى الخَلقِ العظيمِ منَ المُبطِلينَ في الإخبارِ عن دياناتِهم و مَذاهبِهم التي اعتَقَدوها بالشُّبُهاتِ ، أو بما يَجري مَجراها مِن التقليدِ؟ و إنّما جازَ أن يُخبِروا</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علىٰ سَبيلِ الشُّبهةِ و إن لَم يَكُن هناكَ تَواطؤٌ؛ لأنّ الشُّبهةَ تُخَيِّلُ </w:t>
      </w:r>
      <w:r>
        <w:rPr>
          <w:rStyle w:val="FootnoteAnchor"/>
          <w:rtl w:val="true"/>
        </w:rPr>
        <w:footnoteReference w:id="2647"/>
      </w:r>
      <w:r>
        <w:rPr>
          <w:rFonts w:ascii="Amiri" w:hAnsi="Amiri" w:eastAsia="Amiri" w:cs="Amiri"/>
          <w:color w:val="111111"/>
          <w:sz w:val="28"/>
          <w:sz w:val="28"/>
          <w:szCs w:val="28"/>
          <w:rtl w:val="true"/>
          <w:lang w:bidi="ar-SA"/>
        </w:rPr>
        <w:t>لهُم كَونَ الخبرِ</w:t>
      </w:r>
      <w:r>
        <w:rPr>
          <w:rStyle w:val="FootnoteAnchor"/>
          <w:rtl w:val="true"/>
        </w:rPr>
        <w:footnoteReference w:id="2648"/>
      </w:r>
      <w:r>
        <w:rPr>
          <w:rFonts w:ascii="Amiri" w:hAnsi="Amiri" w:eastAsia="Amiri" w:cs="Amiri"/>
          <w:color w:val="111111"/>
          <w:sz w:val="28"/>
          <w:sz w:val="28"/>
          <w:szCs w:val="28"/>
          <w:rtl w:val="true"/>
          <w:lang w:bidi="ar-SA"/>
        </w:rPr>
        <w:t>صِدقاً</w:t>
      </w:r>
      <w:r>
        <w:rPr>
          <w:rStyle w:val="FootnoteAnchor"/>
          <w:rtl w:val="true"/>
        </w:rPr>
        <w:footnoteReference w:id="2649"/>
      </w:r>
      <w:r>
        <w:rPr>
          <w:rFonts w:ascii="Amiri" w:hAnsi="Amiri" w:eastAsia="Amiri" w:cs="Amiri"/>
          <w:color w:val="111111"/>
          <w:sz w:val="28"/>
          <w:sz w:val="28"/>
          <w:szCs w:val="28"/>
          <w:rtl w:val="true"/>
          <w:lang w:bidi="ar-SA"/>
        </w:rPr>
        <w:t>و المَذهَبِ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أنّهم إذا عَلِموه صِدقاً جازَ أن يُخبِروا عنه مع الكَثرةِ مِن غَيرِ تَواطؤٍ، و كانَ عِلمُهم بأنّه صِدقٌ يَدعوهم إلَى الخبرِ و يَقومُ مَقامَ السببِ الجامعِ‌، فكذلكَ إذا اعتَقَدوا فيما لَيسَ بهذه الصفةِ أنّه عَلَيها؛ لأنّ المعتبَرَ فيما يَجري هذا المَجرىٰ هو بالاعتقادِ، لا بما عَلَيه الشيءُ في نفسِه، و لهذا يَجوزُ أن يُختارَ الكَذِبُ علَى الصِّدقِ في بعضِ المَواضعِ مع تَساويهِما في المَنافعِ و دَفعِ المَضارِّ متَى اعتُقِدَ في الكَذِبِ أنّه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شَرَطناه</w:t>
      </w:r>
      <w:r>
        <w:rPr>
          <w:rStyle w:val="FootnoteAnchor"/>
          <w:rtl w:val="true"/>
        </w:rPr>
        <w:footnoteReference w:id="2650"/>
      </w:r>
      <w:r>
        <w:rPr>
          <w:rFonts w:ascii="Amiri" w:hAnsi="Amiri" w:eastAsia="Amiri" w:cs="Amiri"/>
          <w:color w:val="111111"/>
          <w:sz w:val="28"/>
          <w:sz w:val="28"/>
          <w:szCs w:val="28"/>
          <w:rtl w:val="true"/>
          <w:lang w:bidi="ar-SA"/>
        </w:rPr>
        <w:t>مِن ارتفاعِ اللَّبسِ و الشُّبهةِ‌، بَينَ أن يَكونَ المُخبَرُ عنه مُشاهَداً أو غَيرَ مُشاهَدٍ؛ لأنّ الشُّبهةَ كما يَصِحُّ دخولُها فيما لَيسَ بمُشاهَدٍ</w:t>
      </w:r>
      <w:r>
        <w:rPr>
          <w:rStyle w:val="FootnoteAnchor"/>
          <w:rtl w:val="true"/>
        </w:rPr>
        <w:footnoteReference w:id="2651"/>
      </w:r>
      <w:r>
        <w:rPr>
          <w:rFonts w:ascii="Amiri" w:hAnsi="Amiri" w:eastAsia="Amiri" w:cs="Amiri"/>
          <w:color w:val="111111"/>
          <w:sz w:val="28"/>
          <w:sz w:val="28"/>
          <w:szCs w:val="28"/>
          <w:rtl w:val="true"/>
          <w:lang w:bidi="ar-SA"/>
        </w:rPr>
        <w:t>كالدِّياناتِ و ما أشبَهَها، فقَد يَصِحُّ دخولُها في المُشاهَدِ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نُبطِلُ‌</w:t>
      </w:r>
      <w:r>
        <w:rPr>
          <w:rStyle w:val="FootnoteAnchor"/>
          <w:rtl w:val="true"/>
        </w:rPr>
        <w:footnoteReference w:id="2652"/>
      </w:r>
      <w:r>
        <w:rPr>
          <w:rFonts w:ascii="Amiri" w:hAnsi="Amiri" w:eastAsia="Amiri" w:cs="Amiri"/>
          <w:color w:val="111111"/>
          <w:sz w:val="28"/>
          <w:sz w:val="28"/>
          <w:szCs w:val="28"/>
          <w:rtl w:val="true"/>
          <w:lang w:bidi="ar-SA"/>
        </w:rPr>
        <w:t>نَقلَ اليَهودِ و النَّصارىٰ صَلبَ المَسيحِ‌</w:t>
      </w:r>
      <w:r>
        <w:rPr>
          <w:rStyle w:val="FootnoteAnchor"/>
          <w:rtl w:val="true"/>
        </w:rPr>
        <w:footnoteReference w:id="2653"/>
      </w:r>
      <w:r>
        <w:rPr>
          <w:rFonts w:ascii="Amiri" w:hAnsi="Amiri" w:eastAsia="Amiri" w:cs="Amiri"/>
          <w:color w:val="111111"/>
          <w:sz w:val="28"/>
          <w:sz w:val="28"/>
          <w:szCs w:val="28"/>
          <w:rtl w:val="true"/>
          <w:lang w:bidi="ar-SA"/>
        </w:rPr>
        <w:t xml:space="preserve">عليه السلامُ ،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نَقلَهم لَو اتّصَلَ بالمُخبَرِ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استيفاءِ جميعِ أسلافِهم للشُّروطِ الحاصلةِ في هؤلاءِ الأخلافِ مِن الكَثرةِ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أن يَكونَ خبرُهم باطلاً مِن جهةِ الشُّبهةِ و وقوعِ الالتباسِ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المصلوبَ لا بُدَّ أن يَتغيَّرَ</w:t>
      </w:r>
      <w:r>
        <w:rPr>
          <w:rStyle w:val="FootnoteAnchor"/>
          <w:rtl w:val="true"/>
        </w:rPr>
        <w:footnoteReference w:id="2654"/>
      </w:r>
      <w:r>
        <w:rPr>
          <w:rFonts w:ascii="Amiri" w:hAnsi="Amiri" w:eastAsia="Amiri" w:cs="Amiri"/>
          <w:color w:val="111111"/>
          <w:sz w:val="28"/>
          <w:sz w:val="28"/>
          <w:szCs w:val="28"/>
          <w:rtl w:val="true"/>
          <w:lang w:bidi="ar-SA"/>
        </w:rPr>
        <w:t>حِليتُه، و تُنكَرَ</w:t>
      </w:r>
      <w:r>
        <w:rPr>
          <w:rStyle w:val="FootnoteAnchor"/>
          <w:rtl w:val="true"/>
        </w:rPr>
        <w:footnoteReference w:id="2655"/>
      </w:r>
      <w:r>
        <w:rPr>
          <w:rFonts w:ascii="Amiri" w:hAnsi="Amiri" w:eastAsia="Amiri" w:cs="Amiri"/>
          <w:color w:val="111111"/>
          <w:sz w:val="28"/>
          <w:sz w:val="28"/>
          <w:szCs w:val="28"/>
          <w:rtl w:val="true"/>
          <w:lang w:bidi="ar-SA"/>
        </w:rPr>
        <w:t xml:space="preserve">صورتُه، فلا يَعرفَه كثيرٌ ممّن كانَ يَعرفُه، و بُعدُه عن الناظِرينَ مُعينٌ أيضاً علىٰ دخولِ الشُّبهةِ </w:t>
      </w:r>
      <w:r>
        <w:rPr>
          <w:rFonts w:eastAsia="Amiri" w:cs="Amiri" w:ascii="Amiri" w:hAnsi="Amiri"/>
          <w:color w:val="111111"/>
          <w:sz w:val="28"/>
          <w:szCs w:val="28"/>
          <w:rtl w:val="true"/>
          <w:lang w:bidi="ar-SA"/>
        </w:rPr>
        <w:t xml:space="preserve">. </w:t>
      </w:r>
      <w:bookmarkStart w:id="467" w:name="pg20015_285043"/>
    </w:p>
    <w:p>
      <w:pPr>
        <w:pStyle w:val="BookText"/>
        <w:rPr/>
      </w:pPr>
      <w:bookmarkEnd w:id="467"/>
      <w:r>
        <w:rPr>
          <w:rFonts w:ascii="Amiri" w:hAnsi="Amiri" w:eastAsia="Amiri" w:cs="Amiri"/>
          <w:color w:val="111111"/>
          <w:sz w:val="28"/>
          <w:sz w:val="28"/>
          <w:szCs w:val="28"/>
          <w:rtl w:val="true"/>
          <w:lang w:bidi="ar-SA"/>
        </w:rPr>
        <w:t>و لأنّ اليهودَ الذينَ ادَّعَوا قَتلَه لَم يَكُن</w:t>
      </w:r>
      <w:r>
        <w:rPr>
          <w:rStyle w:val="FootnoteAnchor"/>
          <w:rtl w:val="true"/>
        </w:rPr>
        <w:footnoteReference w:id="2656"/>
      </w:r>
      <w:r>
        <w:rPr>
          <w:rFonts w:ascii="Amiri" w:hAnsi="Amiri" w:eastAsia="Amiri" w:cs="Amiri"/>
          <w:color w:val="111111"/>
          <w:sz w:val="28"/>
          <w:sz w:val="28"/>
          <w:szCs w:val="28"/>
          <w:rtl w:val="true"/>
          <w:lang w:bidi="ar-SA"/>
        </w:rPr>
        <w:t>لهُم به معرفةٌ مُستَحكَمةٌ‌؛ لأنّه</w:t>
      </w:r>
      <w:r>
        <w:rPr>
          <w:rStyle w:val="FootnoteAnchor"/>
          <w:rtl w:val="true"/>
        </w:rPr>
        <w:footnoteReference w:id="2657"/>
      </w:r>
      <w:r>
        <w:rPr>
          <w:rFonts w:ascii="Amiri" w:hAnsi="Amiri" w:eastAsia="Amiri" w:cs="Amiri"/>
          <w:color w:val="111111"/>
          <w:sz w:val="28"/>
          <w:sz w:val="28"/>
          <w:szCs w:val="28"/>
          <w:rtl w:val="true"/>
          <w:lang w:bidi="ar-SA"/>
        </w:rPr>
        <w:t>لَم يَكُن مُخالِطاً لهُم و لا مُكاسِراً</w:t>
      </w:r>
      <w:r>
        <w:rPr>
          <w:rStyle w:val="FootnoteAnchor"/>
          <w:rtl w:val="true"/>
        </w:rPr>
        <w:footnoteReference w:id="2658"/>
      </w:r>
      <w:r>
        <w:rPr>
          <w:rFonts w:ascii="Amiri" w:hAnsi="Amiri" w:eastAsia="Amiri" w:cs="Amiri"/>
          <w:color w:val="111111"/>
          <w:sz w:val="28"/>
          <w:sz w:val="28"/>
          <w:szCs w:val="28"/>
          <w:rtl w:val="true"/>
          <w:lang w:bidi="ar-SA"/>
        </w:rPr>
        <w:t>، و مَن هذه صورتُه لا يَمتَنِعُ أن</w:t>
      </w:r>
      <w:r>
        <w:rPr>
          <w:rStyle w:val="FootnoteAnchor"/>
          <w:rtl w:val="true"/>
        </w:rPr>
        <w:footnoteReference w:id="2659"/>
      </w:r>
      <w:r>
        <w:rPr>
          <w:rFonts w:ascii="Amiri" w:hAnsi="Amiri" w:eastAsia="Amiri" w:cs="Amiri"/>
          <w:color w:val="111111"/>
          <w:sz w:val="28"/>
          <w:sz w:val="28"/>
          <w:szCs w:val="28"/>
          <w:rtl w:val="true"/>
          <w:lang w:bidi="ar-SA"/>
        </w:rPr>
        <w:t>يَشتَبِهَ‌</w:t>
      </w:r>
      <w:r>
        <w:rPr>
          <w:rStyle w:val="FootnoteAnchor"/>
          <w:rtl w:val="true"/>
        </w:rPr>
        <w:footnoteReference w:id="2660"/>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w:t>
      </w:r>
      <w:r>
        <w:rPr>
          <w:rStyle w:val="FootnoteAnchor"/>
          <w:rtl w:val="true"/>
        </w:rPr>
        <w:footnoteReference w:id="2661"/>
      </w:r>
      <w:r>
        <w:rPr>
          <w:rFonts w:ascii="Amiri" w:hAnsi="Amiri" w:eastAsia="Amiri" w:cs="Amiri"/>
          <w:color w:val="111111"/>
          <w:sz w:val="28"/>
          <w:sz w:val="28"/>
          <w:szCs w:val="28"/>
          <w:rtl w:val="true"/>
          <w:lang w:bidi="ar-SA"/>
        </w:rPr>
        <w:t>ألقىٰ شَبَهَ المَسيحِ علىٰ غَيرِه،</w:t>
      </w:r>
      <w:r>
        <w:rPr>
          <w:rStyle w:val="FootnoteAnchor"/>
          <w:rtl w:val="true"/>
        </w:rPr>
        <w:footnoteReference w:id="2662"/>
      </w:r>
      <w:r>
        <w:rPr>
          <w:rFonts w:ascii="Amiri" w:hAnsi="Amiri" w:eastAsia="Amiri" w:cs="Amiri"/>
          <w:color w:val="111111"/>
          <w:sz w:val="28"/>
          <w:sz w:val="28"/>
          <w:szCs w:val="28"/>
          <w:rtl w:val="true"/>
          <w:lang w:bidi="ar-SA"/>
        </w:rPr>
        <w:t>و أنّ ذلكَ ممّا يَجوزُ علىٰ عَهدِ الأنبياءِ ، و إن كانَ غَيرَ جائزٍ في أحوالٍ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تَرجِعُ إلَى الشُّبهةِ و اللَّبسِ ، فلذلكَ ذَكرناها، و إن كانَت كالخارجةِ عن مَقصَدِنا، فلا بُدَّ مِن اشتراطِ ارتفاعِ الشُّبهةِ في المُخبَرِ عنه، مُشاهَداً كانَ أو غَيرَ مُشاهَدٍ</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895049_2320776876"/>
      <w:bookmarkStart w:id="469" w:name="_Toc166"/>
      <w:bookmarkEnd w:id="468"/>
      <w:r>
        <w:rPr>
          <w:rtl w:val="true"/>
        </w:rPr>
        <w:t>اشتراط توفّر شروط التواتر في الجماعات المتوسّطة</w:t>
      </w:r>
      <w:bookmarkEnd w:id="469"/>
    </w:p>
    <w:p>
      <w:pPr>
        <w:pStyle w:val="BookText"/>
        <w:rPr/>
      </w:pPr>
      <w:r>
        <w:rPr>
          <w:rFonts w:ascii="Amiri" w:hAnsi="Amiri" w:eastAsia="Amiri" w:cs="Amiri"/>
          <w:color w:val="111111"/>
          <w:sz w:val="28"/>
          <w:sz w:val="28"/>
          <w:szCs w:val="28"/>
          <w:rtl w:val="true"/>
          <w:lang w:bidi="ar-SA"/>
        </w:rPr>
        <w:t>و إنّما شَرَطنا في الجماعاتِ المُتوسِّطةِ بَينَ‌</w:t>
      </w:r>
      <w:r>
        <w:rPr>
          <w:rStyle w:val="FootnoteAnchor"/>
          <w:rtl w:val="true"/>
        </w:rPr>
        <w:footnoteReference w:id="2663"/>
      </w:r>
      <w:r>
        <w:rPr>
          <w:rFonts w:ascii="Amiri" w:hAnsi="Amiri" w:eastAsia="Amiri" w:cs="Amiri"/>
          <w:color w:val="111111"/>
          <w:sz w:val="28"/>
          <w:sz w:val="28"/>
          <w:szCs w:val="28"/>
          <w:rtl w:val="true"/>
          <w:lang w:bidi="ar-SA"/>
        </w:rPr>
        <w:t>المُخبَرِ عنه مِثلَ ما شَرَطناه 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التي تَلينا؛ لأنّا متىٰ لَم</w:t>
      </w:r>
      <w:r>
        <w:rPr>
          <w:rStyle w:val="FootnoteAnchor"/>
          <w:rtl w:val="true"/>
        </w:rPr>
        <w:footnoteReference w:id="2664"/>
      </w:r>
      <w:r>
        <w:rPr>
          <w:rFonts w:ascii="Amiri" w:hAnsi="Amiri" w:eastAsia="Amiri" w:cs="Amiri"/>
          <w:color w:val="111111"/>
          <w:sz w:val="28"/>
          <w:sz w:val="28"/>
          <w:szCs w:val="28"/>
          <w:rtl w:val="true"/>
          <w:lang w:bidi="ar-SA"/>
        </w:rPr>
        <w:t>نَعلَمْ ذلكَ‌، جَوَّزنا كَونَ الجماعةِ المُخبِرةِ لنا صادقةً عمّن خَبَّرَت</w:t>
      </w:r>
      <w:r>
        <w:rPr>
          <w:rStyle w:val="FootnoteAnchor"/>
          <w:rtl w:val="true"/>
        </w:rPr>
        <w:footnoteReference w:id="2665"/>
      </w:r>
      <w:r>
        <w:rPr>
          <w:rFonts w:ascii="Amiri" w:hAnsi="Amiri" w:eastAsia="Amiri" w:cs="Amiri"/>
          <w:color w:val="111111"/>
          <w:sz w:val="28"/>
          <w:sz w:val="28"/>
          <w:szCs w:val="28"/>
          <w:rtl w:val="true"/>
          <w:lang w:bidi="ar-SA"/>
        </w:rPr>
        <w:t>عنه و إن كانَ الخبرُ في الأصلِ باطلاً؛ فلَيسَ‌</w:t>
      </w:r>
      <w:r>
        <w:rPr>
          <w:rStyle w:val="FootnoteAnchor"/>
          <w:rtl w:val="true"/>
        </w:rPr>
        <w:footnoteReference w:id="2666"/>
      </w:r>
      <w:r>
        <w:rPr>
          <w:rFonts w:ascii="Amiri" w:hAnsi="Amiri" w:eastAsia="Amiri" w:cs="Amiri"/>
          <w:color w:val="111111"/>
          <w:sz w:val="28"/>
          <w:sz w:val="28"/>
          <w:szCs w:val="28"/>
          <w:rtl w:val="true"/>
          <w:lang w:bidi="ar-SA"/>
        </w:rPr>
        <w:t xml:space="preserve">يَصِحُّ أن يُعلَمَ كَونُ‌ </w:t>
      </w:r>
    </w:p>
    <w:p>
      <w:pPr>
        <w:pStyle w:val="BookText"/>
        <w:rPr/>
      </w:pPr>
      <w:r>
        <w:rPr>
          <w:rFonts w:ascii="Amiri" w:hAnsi="Amiri" w:eastAsia="Amiri" w:cs="Amiri"/>
          <w:color w:val="111111"/>
          <w:sz w:val="28"/>
          <w:sz w:val="28"/>
          <w:szCs w:val="28"/>
          <w:rtl w:val="true"/>
          <w:lang w:bidi="ar-SA"/>
        </w:rPr>
        <w:t>الخبرِ في الأصلِ صِدقاً و المُخبَرِ عنه علَى الحَدِّ الذي تَناوَلَه الخبرُ إلّابأن تَحصُلَ‌</w:t>
      </w:r>
      <w:r>
        <w:rPr>
          <w:rStyle w:val="FootnoteAnchor"/>
          <w:rtl w:val="true"/>
        </w:rPr>
        <w:footnoteReference w:id="2667"/>
      </w:r>
      <w:r>
        <w:rPr>
          <w:rFonts w:ascii="Amiri" w:hAnsi="Amiri" w:eastAsia="Amiri" w:cs="Amiri"/>
          <w:color w:val="111111"/>
          <w:sz w:val="28"/>
          <w:sz w:val="28"/>
          <w:szCs w:val="28"/>
          <w:rtl w:val="true"/>
          <w:lang w:bidi="ar-SA"/>
        </w:rPr>
        <w:t>الشروطُ المذكورةُ في طَبَقاتِ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لَم نَلتَفِتْ‌</w:t>
      </w:r>
      <w:r>
        <w:rPr>
          <w:rStyle w:val="FootnoteAnchor"/>
          <w:rtl w:val="true"/>
        </w:rPr>
        <w:footnoteReference w:id="2668"/>
      </w:r>
      <w:r>
        <w:rPr>
          <w:rFonts w:ascii="Amiri" w:hAnsi="Amiri" w:eastAsia="Amiri" w:cs="Amiri"/>
          <w:color w:val="111111"/>
          <w:sz w:val="28"/>
          <w:sz w:val="28"/>
          <w:szCs w:val="28"/>
          <w:rtl w:val="true"/>
          <w:lang w:bidi="ar-SA"/>
        </w:rPr>
        <w:t>إلىٰ أخبارِ اليهودِ عن تأبيدِ</w:t>
      </w:r>
      <w:r>
        <w:rPr>
          <w:rStyle w:val="FootnoteAnchor"/>
          <w:rtl w:val="true"/>
        </w:rPr>
        <w:footnoteReference w:id="2669"/>
      </w:r>
      <w:r>
        <w:rPr>
          <w:rFonts w:ascii="Amiri" w:hAnsi="Amiri" w:eastAsia="Amiri" w:cs="Amiri"/>
          <w:color w:val="111111"/>
          <w:sz w:val="28"/>
          <w:sz w:val="28"/>
          <w:szCs w:val="28"/>
          <w:rtl w:val="true"/>
          <w:lang w:bidi="ar-SA"/>
        </w:rPr>
        <w:t>الشرعِ‌، و أخبارِهم و أخبارِ النَّصارىٰ عن صَلبِ المَسيحِ عليه السلامُ‌؛ مِن حَيثُ كانَ نَقلُهم يَنتَهي إلىٰ عَدَدٍ قَليلٍ لا يَصِحُّ أن يؤمَنَ فيه</w:t>
      </w:r>
      <w:r>
        <w:rPr>
          <w:rStyle w:val="FootnoteAnchor"/>
          <w:rtl w:val="true"/>
        </w:rPr>
        <w:footnoteReference w:id="2670"/>
      </w:r>
      <w:r>
        <w:rPr>
          <w:rFonts w:ascii="Amiri" w:hAnsi="Amiri" w:eastAsia="Amiri" w:cs="Amiri"/>
          <w:color w:val="111111"/>
          <w:sz w:val="28"/>
          <w:sz w:val="28"/>
          <w:szCs w:val="28"/>
          <w:rtl w:val="true"/>
          <w:lang w:bidi="ar-SA"/>
        </w:rPr>
        <w:t>التواطؤُ و 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تكامُلَ الشروطِ التي وَصَفنا مُقتَضٍ كَونَ الخبرِ صِدقاً؛ مِن حَيثُ خبرُ الجماعةِ الموصوفةِ لمّا لَم يَخلُ‌</w:t>
      </w:r>
      <w:r>
        <w:rPr>
          <w:rStyle w:val="FootnoteAnchor"/>
          <w:rtl w:val="true"/>
        </w:rPr>
        <w:footnoteReference w:id="2671"/>
      </w:r>
      <w:r>
        <w:rPr>
          <w:rFonts w:ascii="Amiri" w:hAnsi="Amiri" w:eastAsia="Amiri" w:cs="Amiri"/>
          <w:color w:val="111111"/>
          <w:sz w:val="28"/>
          <w:sz w:val="28"/>
          <w:szCs w:val="28"/>
          <w:rtl w:val="true"/>
          <w:lang w:bidi="ar-SA"/>
        </w:rPr>
        <w:t>مِن أن يَكونَ صِدقاً أو كَذِباً، و كان وقوعُه كَذِباً لا بُدَّ أن يَكونَ إمّا اتّفاقاً</w:t>
      </w:r>
      <w:r>
        <w:rPr>
          <w:rStyle w:val="FootnoteAnchor"/>
          <w:rtl w:val="true"/>
        </w:rPr>
        <w:footnoteReference w:id="2672"/>
      </w:r>
      <w:r>
        <w:rPr>
          <w:rFonts w:ascii="Amiri" w:hAnsi="Amiri" w:eastAsia="Amiri" w:cs="Amiri"/>
          <w:color w:val="111111"/>
          <w:sz w:val="28"/>
          <w:sz w:val="28"/>
          <w:szCs w:val="28"/>
          <w:rtl w:val="true"/>
          <w:lang w:bidi="ar-SA"/>
        </w:rPr>
        <w:t>أو لتَواطؤٍ أو لشُبهةٍ‌، و قد عَلِمنا ارتفاعَ كُلِّ ذلكَ‌، فوَجَبَ أن يَكونَ صِدقاً؛ لأنّه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كَذِباً يَقتَضي الإجماعَ </w:t>
      </w:r>
      <w:r>
        <w:rPr>
          <w:rStyle w:val="FootnoteAnchor"/>
          <w:rtl w:val="true"/>
        </w:rPr>
        <w:footnoteReference w:id="2673"/>
      </w:r>
      <w:r>
        <w:rPr>
          <w:rFonts w:ascii="Amiri" w:hAnsi="Amiri" w:eastAsia="Amiri" w:cs="Amiri"/>
          <w:color w:val="111111"/>
          <w:sz w:val="28"/>
          <w:sz w:val="28"/>
          <w:szCs w:val="28"/>
          <w:rtl w:val="true"/>
          <w:lang w:bidi="ar-SA"/>
        </w:rPr>
        <w:t xml:space="preserve">عَلَيه، و لا يَحتاجُ إلىٰ أحَدِ الأقسامِ التي ذَكَرتموها، كما تَقولونَ </w:t>
      </w:r>
      <w:r>
        <w:rPr>
          <w:rStyle w:val="FootnoteAnchor"/>
          <w:rtl w:val="true"/>
        </w:rPr>
        <w:footnoteReference w:id="2674"/>
      </w:r>
      <w:r>
        <w:rPr>
          <w:rFonts w:ascii="Amiri" w:hAnsi="Amiri" w:eastAsia="Amiri" w:cs="Amiri"/>
          <w:color w:val="111111"/>
          <w:sz w:val="28"/>
          <w:sz w:val="28"/>
          <w:szCs w:val="28"/>
          <w:rtl w:val="true"/>
          <w:lang w:bidi="ar-SA"/>
        </w:rPr>
        <w:t xml:space="preserve">في الصِّدقِ </w:t>
      </w:r>
      <w:r>
        <w:rPr>
          <w:rStyle w:val="FootnoteAnchor"/>
          <w:rtl w:val="true"/>
        </w:rPr>
        <w:footnoteReference w:id="2675"/>
      </w:r>
      <w:r>
        <w:rPr>
          <w:rFonts w:ascii="Amiri" w:hAnsi="Amiri" w:eastAsia="Amiri" w:cs="Amiri"/>
          <w:color w:val="111111"/>
          <w:sz w:val="28"/>
          <w:sz w:val="28"/>
          <w:szCs w:val="28"/>
          <w:rtl w:val="true"/>
          <w:lang w:bidi="ar-SA"/>
        </w:rPr>
        <w:t xml:space="preserve">لأنّا سنُبِينُ عن بُطلانِ تَساوي الصِّدقِ و الكَذِب في هذا الوجهِ </w:t>
      </w:r>
      <w:r>
        <w:rPr>
          <w:rFonts w:eastAsia="Amiri" w:cs="Amiri" w:ascii="Amiri" w:hAnsi="Amiri"/>
          <w:color w:val="111111"/>
          <w:sz w:val="28"/>
          <w:szCs w:val="28"/>
          <w:rtl w:val="true"/>
          <w:lang w:bidi="ar-SA"/>
        </w:rPr>
        <w:t>.</w:t>
      </w:r>
      <w:r>
        <w:rPr>
          <w:rStyle w:val="FootnoteAnchor"/>
          <w:rtl w:val="true"/>
        </w:rPr>
        <w:footnoteReference w:id="2676"/>
      </w:r>
      <w:bookmarkStart w:id="470" w:name="pg20015_285045"/>
    </w:p>
    <w:p>
      <w:pPr>
        <w:pStyle w:val="Heading4"/>
        <w:numPr>
          <w:ilvl w:val="3"/>
          <w:numId w:val="1"/>
        </w:numPr>
        <w:rPr/>
      </w:pPr>
      <w:bookmarkStart w:id="471" w:name="__RefHeading___Toc895051_2320776876"/>
      <w:bookmarkStart w:id="472" w:name="_Toc167"/>
      <w:bookmarkEnd w:id="470"/>
      <w:bookmarkEnd w:id="471"/>
      <w:r>
        <w:rPr>
          <w:rtl w:val="true"/>
        </w:rPr>
        <w:t>الطريق إلى العلم بحصول شروط التواتر في الجماعة المخبرة</w:t>
      </w:r>
      <w:bookmarkEnd w:id="472"/>
    </w:p>
    <w:p>
      <w:pPr>
        <w:pStyle w:val="BookText"/>
        <w:rPr/>
      </w:pPr>
      <w:r>
        <w:rPr>
          <w:rFonts w:ascii="Amiri" w:hAnsi="Amiri" w:eastAsia="Amiri" w:cs="Amiri"/>
          <w:color w:val="111111"/>
          <w:sz w:val="28"/>
          <w:sz w:val="28"/>
          <w:szCs w:val="28"/>
          <w:rtl w:val="true"/>
          <w:lang w:bidi="ar-SA"/>
        </w:rPr>
        <w:t>و أمّا الطريقُ إلَى العِلمِ بحُصولِ هذه الشُّروطِ في الجماعةِ فواضحٌ ؛ لأنّه مُتعلِّقٌ بالعاداتِ ، و لا شيءَ أجلىٰ ممّا استنَدَ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اتّفاقُ الكَذِبِ عن المُخبَرِ الواحدِ، فكُلُّ مَن عَرَفَ العاداتِ يَعلَمُ ضَرورةً أنّه لا يَقَعُ‌</w:t>
      </w:r>
      <w:r>
        <w:rPr>
          <w:rStyle w:val="FootnoteAnchor"/>
          <w:rtl w:val="true"/>
        </w:rPr>
        <w:footnoteReference w:id="2677"/>
      </w:r>
      <w:r>
        <w:rPr>
          <w:rFonts w:ascii="Amiri" w:hAnsi="Amiri" w:eastAsia="Amiri" w:cs="Amiri"/>
          <w:color w:val="111111"/>
          <w:sz w:val="28"/>
          <w:sz w:val="28"/>
          <w:szCs w:val="28"/>
          <w:rtl w:val="true"/>
          <w:lang w:bidi="ar-SA"/>
        </w:rPr>
        <w:t>مِن الجماعةِ‌، و أنّ حالَ الجماعةِ فيه مُخالِفةٌ لحالِ الواحدِ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يَجوزُ أن يُخبِرَ أحَدُ مَن حَضَرَ الجامعَ يَومَ الجُمُعةِ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سَها، فتَنكَّسَ‌</w:t>
      </w:r>
      <w:r>
        <w:rPr>
          <w:rStyle w:val="FootnoteAnchor"/>
          <w:rtl w:val="true"/>
        </w:rPr>
        <w:footnoteReference w:id="2678"/>
      </w:r>
      <w:r>
        <w:rPr>
          <w:rFonts w:ascii="Amiri" w:hAnsi="Amiri" w:eastAsia="Amiri" w:cs="Amiri"/>
          <w:color w:val="111111"/>
          <w:sz w:val="28"/>
          <w:sz w:val="28"/>
          <w:szCs w:val="28"/>
          <w:rtl w:val="true"/>
          <w:lang w:bidi="ar-SA"/>
        </w:rPr>
        <w:t>علىٰ رأسِه مِن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كاذبٌ‌، و لا يَجوزُ أن يُخبِرَ جميعُ مَن حَضَرَ الجامعَ بذلكَ إلّالتَواطؤٍ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المتكلِّمونَ‌</w:t>
      </w:r>
      <w:r>
        <w:rPr>
          <w:rStyle w:val="FootnoteAnchor"/>
          <w:rtl w:val="true"/>
        </w:rPr>
        <w:footnoteReference w:id="2679"/>
      </w:r>
      <w:r>
        <w:rPr>
          <w:rFonts w:ascii="Amiri" w:hAnsi="Amiri" w:eastAsia="Amiri" w:cs="Amiri"/>
          <w:color w:val="111111"/>
          <w:sz w:val="28"/>
          <w:sz w:val="28"/>
          <w:szCs w:val="28"/>
          <w:rtl w:val="true"/>
          <w:lang w:bidi="ar-SA"/>
        </w:rPr>
        <w:t>امتناعَ وقوعِ الكَذِبِ مِنهم إذا لَم يَكُن تَواطؤٌ بامتناعِ‌</w:t>
      </w:r>
    </w:p>
    <w:p>
      <w:pPr>
        <w:pStyle w:val="BookText"/>
        <w:rPr/>
      </w:pPr>
      <w:r>
        <w:rPr>
          <w:rFonts w:ascii="Amiri" w:hAnsi="Amiri" w:eastAsia="Amiri" w:cs="Amiri"/>
          <w:color w:val="111111"/>
          <w:sz w:val="28"/>
          <w:sz w:val="28"/>
          <w:szCs w:val="28"/>
          <w:rtl w:val="true"/>
          <w:lang w:bidi="ar-SA"/>
        </w:rPr>
        <w:t>وقوعِ تَصرُّفٍ مخصوصٍ‌، و لباسٍ معيَّنٍ‌، و أكلِ شيءٍ واحدٍ، و نَظمِ قَصيدةٍ بعَينِها مِنهم، مِن غَيرِ أن يَكونَ لهُم</w:t>
      </w:r>
      <w:r>
        <w:rPr>
          <w:rStyle w:val="FootnoteAnchor"/>
          <w:rtl w:val="true"/>
        </w:rPr>
        <w:footnoteReference w:id="2680"/>
      </w:r>
      <w:r>
        <w:rPr>
          <w:rFonts w:ascii="Amiri" w:hAnsi="Amiri" w:eastAsia="Amiri" w:cs="Amiri"/>
          <w:color w:val="111111"/>
          <w:sz w:val="28"/>
          <w:sz w:val="28"/>
          <w:szCs w:val="28"/>
          <w:rtl w:val="true"/>
          <w:lang w:bidi="ar-SA"/>
        </w:rPr>
        <w:t>سببٌ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مَثَّلوه أيضاً بما هو معلومٌ مِن استحالةِ أن يُخبِرَ الواحدُ أو الجماعةُ‌</w:t>
      </w:r>
      <w:r>
        <w:rPr>
          <w:rStyle w:val="FootnoteAnchor"/>
          <w:rtl w:val="true"/>
        </w:rPr>
        <w:footnoteReference w:id="2681"/>
      </w:r>
      <w:r>
        <w:rPr>
          <w:rFonts w:ascii="Amiri" w:hAnsi="Amiri" w:eastAsia="Amiri" w:cs="Amiri"/>
          <w:color w:val="111111"/>
          <w:sz w:val="28"/>
          <w:sz w:val="28"/>
          <w:szCs w:val="28"/>
          <w:rtl w:val="true"/>
          <w:lang w:bidi="ar-SA"/>
        </w:rPr>
        <w:t>عن الأُمورِ الكثيرةِ‌، فيَقَعَ خبرُهم بالاتّفاقِ صِدقاً مِن غَيرِ عِلمٍ تَقدَّمَ‌، و بما نَعلَمُه</w:t>
      </w:r>
      <w:r>
        <w:rPr>
          <w:rStyle w:val="FootnoteAnchor"/>
          <w:rtl w:val="true"/>
        </w:rPr>
        <w:footnoteReference w:id="2682"/>
      </w:r>
      <w:r>
        <w:rPr>
          <w:rFonts w:ascii="Amiri" w:hAnsi="Amiri" w:eastAsia="Amiri" w:cs="Amiri"/>
          <w:color w:val="111111"/>
          <w:sz w:val="28"/>
          <w:sz w:val="28"/>
          <w:szCs w:val="28"/>
          <w:rtl w:val="true"/>
          <w:lang w:bidi="ar-SA"/>
        </w:rPr>
        <w:t xml:space="preserve">أيضاً مِن استحالةِ وقوعِ الكتابةِ المنتَظِمةِ </w:t>
      </w:r>
      <w:r>
        <w:rPr>
          <w:rStyle w:val="FootnoteAnchor"/>
          <w:rtl w:val="true"/>
        </w:rPr>
        <w:footnoteReference w:id="2683"/>
      </w:r>
      <w:r>
        <w:rPr>
          <w:rFonts w:ascii="Amiri" w:hAnsi="Amiri" w:eastAsia="Amiri" w:cs="Amiri"/>
          <w:color w:val="111111"/>
          <w:sz w:val="28"/>
          <w:sz w:val="28"/>
          <w:szCs w:val="28"/>
          <w:rtl w:val="true"/>
          <w:lang w:bidi="ar-SA"/>
        </w:rPr>
        <w:t xml:space="preserve">أو الصَّنعةِ المُحكَمةِ مِن الجماعةِ و هي جاهلةٌ بما وقَعَ مِنها علىٰ سَبيلِ الاتّفاقِ ، و إن كانَ كُلُّ واحدٍ مِنها يَجوزُ أن يَقَعَ مِنه كتابةُ الحَرفِ و الحَرفَينِ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الذي ذَكَروه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مَنزِلةُ العِلمِ بِاستحالةِ وقوعِ الكَذِب اتّفاقاً مِن </w:t>
      </w:r>
    </w:p>
    <w:p>
      <w:pPr>
        <w:pStyle w:val="BookText"/>
        <w:rPr/>
      </w:pPr>
      <w:r>
        <w:rPr>
          <w:rFonts w:ascii="Amiri" w:hAnsi="Amiri" w:eastAsia="Amiri" w:cs="Amiri"/>
          <w:color w:val="111111"/>
          <w:sz w:val="28"/>
          <w:sz w:val="28"/>
          <w:szCs w:val="28"/>
          <w:rtl w:val="true"/>
          <w:lang w:bidi="ar-SA"/>
        </w:rPr>
        <w:t>الجماعةِ الكَثيرةِ مِن غَيرِ تَواطؤٍ بأدوَنَ رُتبةً و أخفىٰ عندَ العُقَلاءِ مِن جميعِ ما ذُكِر؛ بَل مَنزِلةُ هذه العُلومِ أجمَعَ عندَ مَن خَبَرَ العاداتِ واحدةٌ‌، و إنّما يُحمَلُ بعضُها علىٰ بعضٍ علىٰ سَبيلِ الكَشفِ و الإيضاحِ ، و إلّافالكُلُّ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يُخرِجُ العِلمَ الذي ذَكرناه مِن حَيِّزِ الضَّرورةِ وقوعُه عندَ ضَربٍ مِن الاختبارِ</w:t>
      </w:r>
      <w:r>
        <w:rPr>
          <w:rStyle w:val="FootnoteAnchor"/>
          <w:rtl w:val="true"/>
        </w:rPr>
        <w:footnoteReference w:id="2684"/>
      </w:r>
      <w:r>
        <w:rPr>
          <w:rFonts w:ascii="Amiri" w:hAnsi="Amiri" w:eastAsia="Amiri" w:cs="Amiri"/>
          <w:color w:val="111111"/>
          <w:sz w:val="28"/>
          <w:sz w:val="28"/>
          <w:szCs w:val="28"/>
          <w:rtl w:val="true"/>
          <w:lang w:bidi="ar-SA"/>
        </w:rPr>
        <w:t xml:space="preserve">للعادةِ ؛ لأنّه غَيرُ ممتَنِعٍ في العُلومِ الضروريّةِ أن تَقَعَ </w:t>
      </w:r>
      <w:r>
        <w:rPr>
          <w:rStyle w:val="FootnoteAnchor"/>
          <w:rtl w:val="true"/>
        </w:rPr>
        <w:footnoteReference w:id="2685"/>
      </w:r>
      <w:r>
        <w:rPr>
          <w:rFonts w:ascii="Amiri" w:hAnsi="Amiri" w:eastAsia="Amiri" w:cs="Amiri"/>
          <w:color w:val="111111"/>
          <w:sz w:val="28"/>
          <w:sz w:val="28"/>
          <w:szCs w:val="28"/>
          <w:rtl w:val="true"/>
          <w:lang w:bidi="ar-SA"/>
        </w:rPr>
        <w:t>عندَ تَقدُّمِ اختبارٍ</w:t>
      </w:r>
      <w:r>
        <w:rPr>
          <w:rStyle w:val="FootnoteAnchor"/>
          <w:rtl w:val="true"/>
        </w:rPr>
        <w:footnoteReference w:id="2686"/>
      </w:r>
      <w:r>
        <w:rPr>
          <w:rFonts w:ascii="Amiri" w:hAnsi="Amiri" w:eastAsia="Amiri" w:cs="Amiri"/>
          <w:color w:val="111111"/>
          <w:sz w:val="28"/>
          <w:sz w:val="28"/>
          <w:szCs w:val="28"/>
          <w:rtl w:val="true"/>
          <w:lang w:bidi="ar-SA"/>
        </w:rPr>
        <w:t>أو غَيرِه؛ كالعِلمِ بالصَّنائعِ و وقوعِه عندَ</w:t>
      </w:r>
      <w:r>
        <w:rPr>
          <w:rStyle w:val="FootnoteAnchor"/>
          <w:rtl w:val="true"/>
        </w:rPr>
        <w:footnoteReference w:id="2687"/>
      </w:r>
      <w:r>
        <w:rPr>
          <w:rFonts w:ascii="Amiri" w:hAnsi="Amiri" w:eastAsia="Amiri" w:cs="Amiri"/>
          <w:color w:val="111111"/>
          <w:sz w:val="28"/>
          <w:sz w:val="28"/>
          <w:szCs w:val="28"/>
          <w:rtl w:val="true"/>
          <w:lang w:bidi="ar-SA"/>
        </w:rPr>
        <w:t xml:space="preserve">مُزاوَلتِها، و الحِفظِ الواقعِ عندَ الدَّرسِ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يُخبِرَ الجماعةُ الكثيرةُ بالصِّدقِ مِن</w:t>
      </w:r>
      <w:r>
        <w:rPr>
          <w:rStyle w:val="FootnoteAnchor"/>
          <w:rtl w:val="true"/>
        </w:rPr>
        <w:footnoteReference w:id="2688"/>
      </w:r>
      <w:r>
        <w:rPr>
          <w:rFonts w:ascii="Amiri" w:hAnsi="Amiri" w:eastAsia="Amiri" w:cs="Amiri"/>
          <w:color w:val="111111"/>
          <w:sz w:val="28"/>
          <w:sz w:val="28"/>
          <w:szCs w:val="28"/>
          <w:rtl w:val="true"/>
          <w:lang w:bidi="ar-SA"/>
        </w:rPr>
        <w:t>غَيرِ تَواطؤٍ، فألّا جازَ أن يُخبِرَ</w:t>
      </w:r>
      <w:r>
        <w:rPr>
          <w:rStyle w:val="FootnoteAnchor"/>
          <w:rtl w:val="true"/>
        </w:rPr>
        <w:footnoteReference w:id="2689"/>
      </w:r>
      <w:r>
        <w:rPr>
          <w:rFonts w:ascii="Amiri" w:hAnsi="Amiri" w:eastAsia="Amiri" w:cs="Amiri"/>
          <w:color w:val="111111"/>
          <w:sz w:val="28"/>
          <w:sz w:val="28"/>
          <w:szCs w:val="28"/>
          <w:rtl w:val="true"/>
          <w:lang w:bidi="ar-SA"/>
        </w:rPr>
        <w:t xml:space="preserve">الجماعةُ الكثيرةُ </w:t>
      </w:r>
      <w:r>
        <w:rPr>
          <w:rStyle w:val="FootnoteAnchor"/>
          <w:rtl w:val="true"/>
        </w:rPr>
        <w:footnoteReference w:id="2690"/>
      </w:r>
      <w:r>
        <w:rPr>
          <w:rFonts w:ascii="Amiri" w:hAnsi="Amiri" w:eastAsia="Amiri" w:cs="Amiri"/>
          <w:color w:val="111111"/>
          <w:sz w:val="28"/>
          <w:sz w:val="28"/>
          <w:szCs w:val="28"/>
          <w:rtl w:val="true"/>
          <w:lang w:bidi="ar-SA"/>
        </w:rPr>
        <w:t>بالكَذِبِ علىٰ هذا الوجهِ؟ و أيُّ فَرقٍ بَينَ الأمرَينِ؟</w:t>
      </w:r>
    </w:p>
    <w:p>
      <w:pPr>
        <w:pStyle w:val="BookText"/>
        <w:rPr/>
      </w:pPr>
      <w:r>
        <w:rPr>
          <w:rFonts w:ascii="Amiri" w:hAnsi="Amiri" w:eastAsia="Amiri" w:cs="Amiri"/>
          <w:color w:val="111111"/>
          <w:sz w:val="28"/>
          <w:sz w:val="28"/>
          <w:szCs w:val="28"/>
          <w:rtl w:val="true"/>
          <w:lang w:bidi="ar-SA"/>
        </w:rPr>
        <w:t xml:space="preserve">لأنّ‌ مُفارَقةَ الصِّدقِ للكَذِبِ في هذا البابِ معلومةٌ‌؛ مِن جهةِ أنّ الصِّدقَ يَجري في العادةِ مَجرىٰ ما حَصَلَ فيه سببٌ جامعٌ ، و عِلمُ الجماعةِ بكَونِه صِدقاً داعٍ إليه و جامعٌ عَلَيه، و لَيسَ كذلكَ الكَذِبُ ؛ لأنّ الكَذِبَ لا بُدَّ في فِعلِه مِن أمرٍ زائدٍ و سببٍ جامعٍ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لِصحّةِ ما ذَكرناه ما استَحالَ في العادةِ أن يُخبِرَ أهلُ بَلَدٍ كَبيرٍ بوقوعِ حادثةٍ </w:t>
      </w:r>
    </w:p>
    <w:p>
      <w:pPr>
        <w:pStyle w:val="BookText"/>
        <w:rPr/>
      </w:pPr>
      <w:r>
        <w:rPr>
          <w:rFonts w:ascii="Amiri" w:hAnsi="Amiri" w:eastAsia="Amiri" w:cs="Amiri"/>
          <w:color w:val="111111"/>
          <w:sz w:val="28"/>
          <w:sz w:val="28"/>
          <w:szCs w:val="28"/>
          <w:rtl w:val="true"/>
          <w:lang w:bidi="ar-SA"/>
        </w:rPr>
        <w:t>عظيمةٍ و هم كاذِبونَ مِن غيرِ تَواطؤٍ أو ما يَقومُ مَقامَه</w:t>
      </w:r>
      <w:r>
        <w:rPr>
          <w:rStyle w:val="FootnoteAnchor"/>
          <w:rtl w:val="true"/>
        </w:rPr>
        <w:footnoteReference w:id="2691"/>
      </w:r>
      <w:r>
        <w:rPr>
          <w:rFonts w:ascii="Amiri" w:hAnsi="Amiri" w:eastAsia="Amiri" w:cs="Amiri"/>
          <w:color w:val="111111"/>
          <w:sz w:val="28"/>
          <w:sz w:val="28"/>
          <w:szCs w:val="28"/>
          <w:rtl w:val="true"/>
          <w:lang w:bidi="ar-SA"/>
        </w:rPr>
        <w:t>، و جازَ أن يُخبِروا</w:t>
      </w:r>
      <w:r>
        <w:rPr>
          <w:rStyle w:val="FootnoteAnchor"/>
          <w:rtl w:val="true"/>
        </w:rPr>
        <w:footnoteReference w:id="2692"/>
      </w:r>
      <w:r>
        <w:rPr>
          <w:rFonts w:ascii="Amiri" w:hAnsi="Amiri" w:eastAsia="Amiri" w:cs="Amiri"/>
          <w:color w:val="111111"/>
          <w:sz w:val="28"/>
          <w:sz w:val="28"/>
          <w:szCs w:val="28"/>
          <w:rtl w:val="true"/>
          <w:lang w:bidi="ar-SA"/>
        </w:rPr>
        <w:t>بذلكَ و هُم صادقونَ مع ارتفاعِ التواطؤِ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به يُعلَمُ ارتفاعُ التواطؤِ عن الجماعةِ‌، فهو أنّ التواطؤَ إمّا أن يَكونَ واقعاً بالمُلاقاةِ و المُشافَهةِ‌، أو بالمُكاتَبةِ و 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تَكرَّرَت هذه الأُمورُ فيه بمَجرَى العادةِ‌، بَل الغالبُ تَكرُّرُها</w:t>
      </w:r>
      <w:r>
        <w:rPr>
          <w:rStyle w:val="FootnoteAnchor"/>
          <w:rtl w:val="true"/>
        </w:rPr>
        <w:footnoteReference w:id="2693"/>
      </w:r>
      <w:r>
        <w:rPr>
          <w:rFonts w:ascii="Amiri" w:hAnsi="Amiri" w:eastAsia="Amiri" w:cs="Amiri"/>
          <w:color w:val="111111"/>
          <w:sz w:val="28"/>
          <w:sz w:val="28"/>
          <w:szCs w:val="28"/>
          <w:rtl w:val="true"/>
          <w:lang w:bidi="ar-SA"/>
        </w:rPr>
        <w:t>لأنّ الجماعاتِ الكثيرةَ العَدَدِ لا يَستَقِرُّ</w:t>
      </w:r>
      <w:r>
        <w:rPr>
          <w:rStyle w:val="FootnoteAnchor"/>
          <w:rtl w:val="true"/>
        </w:rPr>
        <w:footnoteReference w:id="2694"/>
      </w:r>
      <w:r>
        <w:rPr>
          <w:rFonts w:ascii="Amiri" w:hAnsi="Amiri" w:eastAsia="Amiri" w:cs="Amiri"/>
          <w:color w:val="111111"/>
          <w:sz w:val="28"/>
          <w:sz w:val="28"/>
          <w:szCs w:val="28"/>
          <w:rtl w:val="true"/>
          <w:lang w:bidi="ar-SA"/>
        </w:rPr>
        <w:t>بَينَها</w:t>
      </w:r>
      <w:r>
        <w:rPr>
          <w:rStyle w:val="FootnoteAnchor"/>
          <w:rtl w:val="true"/>
        </w:rPr>
        <w:footnoteReference w:id="2695"/>
      </w:r>
      <w:r>
        <w:rPr>
          <w:rFonts w:ascii="Amiri" w:hAnsi="Amiri" w:eastAsia="Amiri" w:cs="Amiri"/>
          <w:color w:val="111111"/>
          <w:sz w:val="28"/>
          <w:sz w:val="28"/>
          <w:szCs w:val="28"/>
          <w:rtl w:val="true"/>
          <w:lang w:bidi="ar-SA"/>
        </w:rPr>
        <w:t>ما يُعمَلُ عليه و يُجمَعُ‌</w:t>
      </w:r>
      <w:r>
        <w:rPr>
          <w:rStyle w:val="FootnoteAnchor"/>
          <w:rtl w:val="true"/>
        </w:rPr>
        <w:footnoteReference w:id="2696"/>
      </w:r>
      <w:r>
        <w:rPr>
          <w:rFonts w:ascii="Amiri" w:hAnsi="Amiri" w:eastAsia="Amiri" w:cs="Amiri"/>
          <w:color w:val="111111"/>
          <w:sz w:val="28"/>
          <w:sz w:val="28"/>
          <w:szCs w:val="28"/>
          <w:rtl w:val="true"/>
          <w:lang w:bidi="ar-SA"/>
        </w:rPr>
        <w:t>علَى الإخبارِ به مِن أوّلِ وَهلةٍ و بأيسَرِ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حالُه لا بُدَّ أن يَظهَرَ ظُهوراً يَشتَرِكُ‌</w:t>
      </w:r>
      <w:r>
        <w:rPr>
          <w:rStyle w:val="FootnoteAnchor"/>
          <w:rtl w:val="true"/>
        </w:rPr>
        <w:footnoteReference w:id="2697"/>
      </w:r>
      <w:r>
        <w:rPr>
          <w:rFonts w:ascii="Amiri" w:hAnsi="Amiri" w:eastAsia="Amiri" w:cs="Amiri"/>
          <w:color w:val="111111"/>
          <w:sz w:val="28"/>
          <w:sz w:val="28"/>
          <w:szCs w:val="28"/>
          <w:rtl w:val="true"/>
          <w:lang w:bidi="ar-SA"/>
        </w:rPr>
        <w:t xml:space="preserve">كُلُّ مَن كانَ له اختلاطٌ بالقَومِ في المعرفةِ </w:t>
      </w:r>
      <w:r>
        <w:rPr>
          <w:rStyle w:val="FootnoteAnchor"/>
          <w:rtl w:val="true"/>
        </w:rPr>
        <w:footnoteReference w:id="2698"/>
      </w:r>
      <w:r>
        <w:rPr>
          <w:rFonts w:ascii="Amiri" w:hAnsi="Amiri" w:eastAsia="Amiri" w:cs="Amiri"/>
          <w:color w:val="111111"/>
          <w:sz w:val="28"/>
          <w:sz w:val="28"/>
          <w:szCs w:val="28"/>
          <w:rtl w:val="true"/>
          <w:lang w:bidi="ar-SA"/>
        </w:rPr>
        <w:t>به؛ حتّىٰ يَجِبُ عندَ عدمِ ظُهورِه القَطعُ علَى انتفائِه</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ما يَقَعُ مِن تَواطؤِ الجماعةِ واجبٌ في الجماعةِ القليلةِ العددِ أيضاً، حتّىٰ إنّ مَن خالَطَها علىٰ قِلّةِ عَدَدِها لا بُدَّ أن يَقِفَ علىٰ ذلكَ إن وقَعَ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وَجَبَ ظُهورُ ما ذَكرناه فيمَن قَلَّ عَدَدُه مِن الجماعاتِ </w:t>
      </w:r>
      <w:r>
        <w:rPr>
          <w:rStyle w:val="FootnoteAnchor"/>
          <w:rtl w:val="true"/>
        </w:rPr>
        <w:footnoteReference w:id="2700"/>
      </w:r>
      <w:r>
        <w:rPr>
          <w:rFonts w:ascii="Amiri" w:hAnsi="Amiri" w:eastAsia="Amiri" w:cs="Amiri"/>
          <w:color w:val="111111"/>
          <w:sz w:val="28"/>
          <w:sz w:val="28"/>
          <w:szCs w:val="28"/>
          <w:rtl w:val="true"/>
          <w:lang w:bidi="ar-SA"/>
        </w:rPr>
        <w:t xml:space="preserve">، فهو في العَدَدِ الكَثيرِ أَوجَبُ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الجماعةَ رُبَّما بَلَغَت في الكَثرةِ مَبلَغاً يَستَحيلُ معه</w:t>
      </w:r>
      <w:r>
        <w:rPr>
          <w:rStyle w:val="FootnoteAnchor"/>
          <w:rtl w:val="true"/>
        </w:rPr>
        <w:footnoteReference w:id="2701"/>
      </w:r>
      <w:r>
        <w:rPr>
          <w:rFonts w:ascii="Amiri" w:hAnsi="Amiri" w:eastAsia="Amiri" w:cs="Amiri"/>
          <w:color w:val="111111"/>
          <w:sz w:val="28"/>
          <w:sz w:val="28"/>
          <w:szCs w:val="28"/>
          <w:rtl w:val="true"/>
          <w:lang w:bidi="ar-SA"/>
        </w:rPr>
        <w:t xml:space="preserve">عَلَيها التواطؤُ </w:t>
      </w:r>
    </w:p>
    <w:p>
      <w:pPr>
        <w:pStyle w:val="BookText"/>
        <w:rPr/>
      </w:pPr>
      <w:r>
        <w:rPr>
          <w:rFonts w:ascii="Amiri" w:hAnsi="Amiri" w:eastAsia="Amiri" w:cs="Amiri"/>
          <w:color w:val="111111"/>
          <w:sz w:val="28"/>
          <w:sz w:val="28"/>
          <w:szCs w:val="28"/>
          <w:rtl w:val="true"/>
          <w:lang w:bidi="ar-SA"/>
        </w:rPr>
        <w:t>جُملةً‌، و يُقطَعُ‌</w:t>
      </w:r>
      <w:r>
        <w:rPr>
          <w:rStyle w:val="FootnoteAnchor"/>
          <w:rtl w:val="true"/>
        </w:rPr>
        <w:footnoteReference w:id="2702"/>
      </w:r>
      <w:r>
        <w:rPr>
          <w:rFonts w:ascii="Amiri" w:hAnsi="Amiri" w:eastAsia="Amiri" w:cs="Amiri"/>
          <w:color w:val="111111"/>
          <w:sz w:val="28"/>
          <w:sz w:val="28"/>
          <w:szCs w:val="28"/>
          <w:rtl w:val="true"/>
          <w:lang w:bidi="ar-SA"/>
        </w:rPr>
        <w:t>علىٰ تَعذُّرِه؛ لأنّا نَعلَمُ أنّ أهلَ بَغدادَ بأسرِهم لا يَجوزُ أن يُواطئوا جميعَ‌</w:t>
      </w:r>
      <w:r>
        <w:rPr>
          <w:rStyle w:val="FootnoteAnchor"/>
          <w:rtl w:val="true"/>
        </w:rPr>
        <w:footnoteReference w:id="2703"/>
      </w:r>
      <w:r>
        <w:rPr>
          <w:rFonts w:ascii="Amiri" w:hAnsi="Amiri" w:eastAsia="Amiri" w:cs="Amiri"/>
          <w:color w:val="111111"/>
          <w:sz w:val="28"/>
          <w:sz w:val="28"/>
          <w:szCs w:val="28"/>
          <w:rtl w:val="true"/>
          <w:lang w:bidi="ar-SA"/>
        </w:rPr>
        <w:t xml:space="preserve">أهلِ خُراسانَ‌؛ لا بِاجتماعٍ </w:t>
      </w:r>
      <w:r>
        <w:rPr>
          <w:rStyle w:val="FootnoteAnchor"/>
          <w:rtl w:val="true"/>
        </w:rPr>
        <w:footnoteReference w:id="2704"/>
      </w:r>
      <w:r>
        <w:rPr>
          <w:rFonts w:ascii="Amiri" w:hAnsi="Amiri" w:eastAsia="Amiri" w:cs="Amiri"/>
          <w:color w:val="111111"/>
          <w:sz w:val="28"/>
          <w:sz w:val="28"/>
          <w:szCs w:val="28"/>
          <w:rtl w:val="true"/>
          <w:lang w:bidi="ar-SA"/>
        </w:rPr>
        <w:t xml:space="preserve">و مُشافَهةٍ ، و لا بمُكاتَبةٍ و مُراسَلةٍ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الأسبابُ الجامعةُ علَى الأفعالِ القائمةُ مَقامَ التواطؤِ كتَخويفِ السُّلطانِ و إرهابِه، فلا بُدَّ أيضاً مِن ظُهورِها و وقوفِ الناسِ عَلَيها؛ لأنّه لَيسَ يَجمَعُ الجماعةَ علَى الأمرِ الواحدِ مِن خَوفِ السُّلطانِ إلّاما ظَهَرَ لهُم ظُهوراً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في</w:t>
      </w:r>
      <w:r>
        <w:rPr>
          <w:rStyle w:val="FootnoteAnchor"/>
          <w:rtl w:val="true"/>
        </w:rPr>
        <w:footnoteReference w:id="2705"/>
      </w:r>
      <w:r>
        <w:rPr>
          <w:rFonts w:ascii="Amiri" w:hAnsi="Amiri" w:eastAsia="Amiri" w:cs="Amiri"/>
          <w:color w:val="111111"/>
          <w:sz w:val="28"/>
          <w:sz w:val="28"/>
          <w:szCs w:val="28"/>
          <w:rtl w:val="true"/>
          <w:lang w:bidi="ar-SA"/>
        </w:rPr>
        <w:t xml:space="preserve">الظهورِ هذا المَبلَغَ لا بُدَّ أن يَكونَ معروفاً، فمتىٰ لَم تَكُنِ </w:t>
      </w:r>
      <w:r>
        <w:rPr>
          <w:rStyle w:val="FootnoteAnchor"/>
          <w:rtl w:val="true"/>
        </w:rPr>
        <w:footnoteReference w:id="2706"/>
      </w:r>
      <w:r>
        <w:rPr>
          <w:rFonts w:ascii="Amiri" w:hAnsi="Amiri" w:eastAsia="Amiri" w:cs="Amiri"/>
          <w:color w:val="111111"/>
          <w:sz w:val="28"/>
          <w:sz w:val="28"/>
          <w:szCs w:val="28"/>
          <w:rtl w:val="true"/>
          <w:lang w:bidi="ar-SA"/>
        </w:rPr>
        <w:t>المَعرفةُ به حاصلةً وَجَبَ القطعُ علَى 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يُعلَمُ به زوالُ‌</w:t>
      </w:r>
      <w:r>
        <w:rPr>
          <w:rStyle w:val="FootnoteAnchor"/>
          <w:rtl w:val="true"/>
        </w:rPr>
        <w:footnoteReference w:id="2707"/>
      </w:r>
      <w:r>
        <w:rPr>
          <w:rFonts w:ascii="Amiri" w:hAnsi="Amiri" w:eastAsia="Amiri" w:cs="Amiri"/>
          <w:color w:val="111111"/>
          <w:sz w:val="28"/>
          <w:sz w:val="28"/>
          <w:szCs w:val="28"/>
          <w:rtl w:val="true"/>
          <w:lang w:bidi="ar-SA"/>
        </w:rPr>
        <w:t xml:space="preserve">الشُّبهةِ و اللَّبسِ عمّا خبَّرَت عنه الجماعةُ‌، فهو أنّ الشُّبهةَ إنّما تدخُلُ فيما يَرجِعُ إلَى المَذاهبِ و الاعتقاداتِ‌، و تَخرُجُ </w:t>
      </w:r>
      <w:r>
        <w:rPr>
          <w:rStyle w:val="FootnoteAnchor"/>
          <w:rtl w:val="true"/>
        </w:rPr>
        <w:footnoteReference w:id="2708"/>
      </w:r>
      <w:r>
        <w:rPr>
          <w:rFonts w:ascii="Amiri" w:hAnsi="Amiri" w:eastAsia="Amiri" w:cs="Amiri"/>
          <w:color w:val="111111"/>
          <w:sz w:val="28"/>
          <w:sz w:val="28"/>
          <w:szCs w:val="28"/>
          <w:rtl w:val="true"/>
          <w:lang w:bidi="ar-SA"/>
        </w:rPr>
        <w:t>عن بابِ ما</w:t>
      </w:r>
    </w:p>
    <w:p>
      <w:pPr>
        <w:pStyle w:val="BookText"/>
        <w:rPr/>
      </w:pPr>
      <w:r>
        <w:rPr>
          <w:rFonts w:ascii="Amiri" w:hAnsi="Amiri" w:eastAsia="Amiri" w:cs="Amiri"/>
          <w:color w:val="111111"/>
          <w:sz w:val="28"/>
          <w:sz w:val="28"/>
          <w:szCs w:val="28"/>
          <w:rtl w:val="true"/>
          <w:lang w:bidi="ar-SA"/>
        </w:rPr>
        <w:t xml:space="preserve">يُعلَمُ ضَرورةً </w:t>
      </w:r>
      <w:r>
        <w:rPr>
          <w:rStyle w:val="FootnoteAnchor"/>
          <w:rtl w:val="true"/>
        </w:rPr>
        <w:footnoteReference w:id="2709"/>
      </w:r>
      <w:r>
        <w:rPr>
          <w:rFonts w:ascii="Amiri" w:hAnsi="Amiri" w:eastAsia="Amiri" w:cs="Amiri"/>
          <w:color w:val="111111"/>
          <w:sz w:val="28"/>
          <w:sz w:val="28"/>
          <w:szCs w:val="28"/>
          <w:rtl w:val="true"/>
          <w:lang w:bidi="ar-SA"/>
        </w:rPr>
        <w:t xml:space="preserve">علَى الوجهِ الذي ذَكرناه فيما تَقدَّمَ ، فإذا كانَ خبرُ الجماعةِ عن أمرٍ معلومٍ بالمُشاهَدةِ ضَرورةً خَرَجَ عن هذا البابِ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تدخُلُ الشُّبهةُ </w:t>
      </w:r>
      <w:r>
        <w:rPr>
          <w:rStyle w:val="FootnoteAnchor"/>
          <w:rtl w:val="true"/>
        </w:rPr>
        <w:footnoteReference w:id="2710"/>
      </w:r>
      <w:r>
        <w:rPr>
          <w:rFonts w:ascii="Amiri" w:hAnsi="Amiri" w:eastAsia="Amiri" w:cs="Amiri"/>
          <w:color w:val="111111"/>
          <w:sz w:val="28"/>
          <w:sz w:val="28"/>
          <w:szCs w:val="28"/>
          <w:rtl w:val="true"/>
          <w:lang w:bidi="ar-SA"/>
        </w:rPr>
        <w:t xml:space="preserve">و يَقَعُ الالتباسُ أيضاً في الأشياءِ </w:t>
      </w:r>
      <w:r>
        <w:rPr>
          <w:rStyle w:val="FootnoteAnchor"/>
          <w:rtl w:val="true"/>
        </w:rPr>
        <w:footnoteReference w:id="2711"/>
      </w:r>
      <w:r>
        <w:rPr>
          <w:rFonts w:ascii="Amiri" w:hAnsi="Amiri" w:eastAsia="Amiri" w:cs="Amiri"/>
          <w:color w:val="111111"/>
          <w:sz w:val="28"/>
          <w:sz w:val="28"/>
          <w:szCs w:val="28"/>
          <w:rtl w:val="true"/>
          <w:lang w:bidi="ar-SA"/>
        </w:rPr>
        <w:t xml:space="preserve">المُدرَكةِ </w:t>
      </w:r>
      <w:r>
        <w:rPr>
          <w:rStyle w:val="FootnoteAnchor"/>
          <w:rtl w:val="true"/>
        </w:rPr>
        <w:footnoteReference w:id="2712"/>
      </w:r>
      <w:r>
        <w:rPr>
          <w:rFonts w:ascii="Amiri" w:hAnsi="Amiri" w:eastAsia="Amiri" w:cs="Amiri"/>
          <w:color w:val="111111"/>
          <w:sz w:val="28"/>
          <w:sz w:val="28"/>
          <w:szCs w:val="28"/>
          <w:rtl w:val="true"/>
          <w:lang w:bidi="ar-SA"/>
        </w:rPr>
        <w:t xml:space="preserve">علىٰ بعضِ </w:t>
      </w:r>
      <w:bookmarkStart w:id="473" w:name="pg20015_285049"/>
    </w:p>
    <w:p>
      <w:pPr>
        <w:pStyle w:val="BookText"/>
        <w:rPr/>
      </w:pPr>
      <w:bookmarkEnd w:id="473"/>
      <w:r>
        <w:rPr>
          <w:rFonts w:ascii="Amiri" w:hAnsi="Amiri" w:eastAsia="Amiri" w:cs="Amiri"/>
          <w:color w:val="111111"/>
          <w:sz w:val="28"/>
          <w:sz w:val="28"/>
          <w:szCs w:val="28"/>
          <w:rtl w:val="true"/>
          <w:lang w:bidi="ar-SA"/>
        </w:rPr>
        <w:t>الوجوهِ ؛ لأنّ المُشاهِدَ</w:t>
      </w:r>
      <w:r>
        <w:rPr>
          <w:rStyle w:val="FootnoteAnchor"/>
          <w:rtl w:val="true"/>
        </w:rPr>
        <w:footnoteReference w:id="2713"/>
      </w:r>
      <w:r>
        <w:rPr>
          <w:rFonts w:ascii="Amiri" w:hAnsi="Amiri" w:eastAsia="Amiri" w:cs="Amiri"/>
          <w:color w:val="111111"/>
          <w:sz w:val="28"/>
          <w:sz w:val="28"/>
          <w:szCs w:val="28"/>
          <w:rtl w:val="true"/>
          <w:lang w:bidi="ar-SA"/>
        </w:rPr>
        <w:t>للشيءِ مِن بُعدٍ رُبَّما اشتَبَهَ عَلَيه أمرُه حتّىٰ يَعتَقِدَ فيه خِلافَ الحقِّ ، كما يُصيبُ مَن شاهَدَ السَّرابَ فَاعتَقَدَ</w:t>
      </w:r>
      <w:r>
        <w:rPr>
          <w:rStyle w:val="FootnoteAnchor"/>
          <w:rtl w:val="true"/>
        </w:rPr>
        <w:footnoteReference w:id="2714"/>
      </w:r>
      <w:r>
        <w:rPr>
          <w:rFonts w:ascii="Amiri" w:hAnsi="Amiri" w:eastAsia="Amiri" w:cs="Amiri"/>
          <w:color w:val="111111"/>
          <w:sz w:val="28"/>
          <w:sz w:val="28"/>
          <w:szCs w:val="28"/>
          <w:rtl w:val="true"/>
          <w:lang w:bidi="ar-SA"/>
        </w:rPr>
        <w:t xml:space="preserve">أنّه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قد يُسمَعُ الكلامُ مِن بُعدٍ فيَشتَبِهُ علَى السامعِ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نُفَرِّقُ بَينَ أحوالِ المُدرَكاتِ‌، و نُمَيِّزُ بَينَ ما يَصِحُّ اعتراضُ </w:t>
      </w:r>
      <w:r>
        <w:rPr>
          <w:rStyle w:val="FootnoteAnchor"/>
          <w:rtl w:val="true"/>
        </w:rPr>
        <w:footnoteReference w:id="2715"/>
      </w:r>
      <w:r>
        <w:rPr>
          <w:rFonts w:ascii="Amiri" w:hAnsi="Amiri" w:eastAsia="Amiri" w:cs="Amiri"/>
          <w:color w:val="111111"/>
          <w:sz w:val="28"/>
          <w:sz w:val="28"/>
          <w:szCs w:val="28"/>
          <w:rtl w:val="true"/>
          <w:lang w:bidi="ar-SA"/>
        </w:rPr>
        <w:t xml:space="preserve">الشُّبهةِ فيه و ما لا يَصِحُّ أن يَعترِضَه شُبهةٌ ؛ فمتىٰ كانَ الخبرُ مُتَناوِلاً لحالٍ لا تدخُلُ </w:t>
      </w:r>
      <w:r>
        <w:rPr>
          <w:rStyle w:val="FootnoteAnchor"/>
          <w:rtl w:val="true"/>
        </w:rPr>
        <w:footnoteReference w:id="2716"/>
      </w:r>
      <w:r>
        <w:rPr>
          <w:rFonts w:ascii="Amiri" w:hAnsi="Amiri" w:eastAsia="Amiri" w:cs="Amiri"/>
          <w:color w:val="111111"/>
          <w:sz w:val="28"/>
          <w:sz w:val="28"/>
          <w:szCs w:val="28"/>
          <w:rtl w:val="true"/>
          <w:lang w:bidi="ar-SA"/>
        </w:rPr>
        <w:t>الشُّبهةُ في مِثلِها، و تكامَلَت شروطُه</w:t>
      </w:r>
      <w:r>
        <w:rPr>
          <w:rStyle w:val="FootnoteAnchor"/>
          <w:rtl w:val="true"/>
        </w:rPr>
        <w:footnoteReference w:id="2717"/>
      </w:r>
      <w:r>
        <w:rPr>
          <w:rFonts w:ascii="Amiri" w:hAnsi="Amiri" w:eastAsia="Amiri" w:cs="Amiri"/>
          <w:color w:val="111111"/>
          <w:sz w:val="28"/>
          <w:sz w:val="28"/>
          <w:szCs w:val="28"/>
          <w:rtl w:val="true"/>
          <w:lang w:bidi="ar-SA"/>
        </w:rPr>
        <w:t>الباقيةُ ، قَطَعنا علىٰ صحّتِه</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95053_2320776876"/>
      <w:bookmarkStart w:id="475" w:name="_Toc168"/>
      <w:bookmarkEnd w:id="474"/>
      <w:r>
        <w:rPr>
          <w:rtl w:val="true"/>
        </w:rPr>
        <w:t>الطريق إلى العلم بحصول شروط التواتر في جميع الطبقات</w:t>
      </w:r>
      <w:bookmarkEnd w:id="47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حُصولُ الشرائطِ</w:t>
      </w:r>
      <w:r>
        <w:rPr>
          <w:rStyle w:val="FootnoteAnchor"/>
          <w:rtl w:val="true"/>
        </w:rPr>
        <w:footnoteReference w:id="2718"/>
      </w:r>
      <w:r>
        <w:rPr>
          <w:rFonts w:ascii="Amiri" w:hAnsi="Amiri" w:eastAsia="Amiri" w:cs="Amiri"/>
          <w:color w:val="111111"/>
          <w:sz w:val="28"/>
          <w:sz w:val="28"/>
          <w:szCs w:val="28"/>
          <w:rtl w:val="true"/>
          <w:lang w:bidi="ar-SA"/>
        </w:rPr>
        <w:t xml:space="preserve">المذكورةِ في جميعِ الطبقاتِ ، فيُعلَمُ </w:t>
      </w:r>
      <w:r>
        <w:rPr>
          <w:rStyle w:val="FootnoteAnchor"/>
          <w:rtl w:val="true"/>
        </w:rPr>
        <w:footnoteReference w:id="2719"/>
      </w:r>
      <w:r>
        <w:rPr>
          <w:rFonts w:ascii="Amiri" w:hAnsi="Amiri" w:eastAsia="Amiri" w:cs="Amiri"/>
          <w:color w:val="111111"/>
          <w:sz w:val="28"/>
          <w:sz w:val="28"/>
          <w:szCs w:val="28"/>
          <w:rtl w:val="true"/>
          <w:lang w:bidi="ar-SA"/>
        </w:rPr>
        <w:t>بما يَرجِعُ إلَى العادةِ أيضاً؛ لأنّها جاريةٌ بأنّ الأقوالَ التي تَظهَرُ و تَنتَشِرُ</w:t>
      </w:r>
      <w:r>
        <w:rPr>
          <w:rStyle w:val="FootnoteAnchor"/>
          <w:rtl w:val="true"/>
        </w:rPr>
        <w:footnoteReference w:id="2720"/>
      </w:r>
      <w:r>
        <w:rPr>
          <w:rFonts w:ascii="Amiri" w:hAnsi="Amiri" w:eastAsia="Amiri" w:cs="Amiri"/>
          <w:color w:val="111111"/>
          <w:sz w:val="28"/>
          <w:sz w:val="28"/>
          <w:szCs w:val="28"/>
          <w:rtl w:val="true"/>
          <w:lang w:bidi="ar-SA"/>
        </w:rPr>
        <w:t>بَعدَ أن لَم تَكُن</w:t>
      </w:r>
      <w:r>
        <w:rPr>
          <w:rStyle w:val="FootnoteAnchor"/>
          <w:rtl w:val="true"/>
        </w:rPr>
        <w:footnoteReference w:id="2721"/>
      </w:r>
      <w:r>
        <w:rPr>
          <w:rFonts w:ascii="Amiri" w:hAnsi="Amiri" w:eastAsia="Amiri" w:cs="Amiri"/>
          <w:color w:val="111111"/>
          <w:sz w:val="28"/>
          <w:sz w:val="28"/>
          <w:szCs w:val="28"/>
          <w:rtl w:val="true"/>
          <w:lang w:bidi="ar-SA"/>
        </w:rPr>
        <w:t xml:space="preserve">كذلكَ لا بُدَّ أن يُعرَفَ </w:t>
      </w:r>
      <w:r>
        <w:rPr>
          <w:rStyle w:val="FootnoteAnchor"/>
          <w:rtl w:val="true"/>
        </w:rPr>
        <w:footnoteReference w:id="2722"/>
      </w:r>
      <w:r>
        <w:rPr>
          <w:rFonts w:ascii="Amiri" w:hAnsi="Amiri" w:eastAsia="Amiri" w:cs="Amiri"/>
          <w:color w:val="111111"/>
          <w:sz w:val="28"/>
          <w:sz w:val="28"/>
          <w:szCs w:val="28"/>
          <w:rtl w:val="true"/>
          <w:lang w:bidi="ar-SA"/>
        </w:rPr>
        <w:t>ذلكَ مِن حالِها، حتّىٰ يُعلَمَ الزمانُ الذي ابتَدأَت فيه بعَينِه، و الرجالُ الذينَ ابتَدَعوها</w:t>
      </w:r>
      <w:r>
        <w:rPr>
          <w:rStyle w:val="FootnoteAnchor"/>
          <w:rtl w:val="true"/>
        </w:rPr>
        <w:footnoteReference w:id="2723"/>
      </w:r>
      <w:r>
        <w:rPr>
          <w:rFonts w:ascii="Amiri" w:hAnsi="Amiri" w:eastAsia="Amiri" w:cs="Amiri"/>
          <w:color w:val="111111"/>
          <w:sz w:val="28"/>
          <w:sz w:val="28"/>
          <w:szCs w:val="28"/>
          <w:rtl w:val="true"/>
          <w:lang w:bidi="ar-SA"/>
        </w:rPr>
        <w:t>و تَولَّوا إظهارَها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حُكمُ الأخبارِ التي يَقوىٰ فُروعُها</w:t>
      </w:r>
      <w:r>
        <w:rPr>
          <w:rStyle w:val="FootnoteAnchor"/>
          <w:rtl w:val="true"/>
        </w:rPr>
        <w:footnoteReference w:id="2724"/>
      </w:r>
      <w:r>
        <w:rPr>
          <w:rFonts w:ascii="Amiri" w:hAnsi="Amiri" w:eastAsia="Amiri" w:cs="Amiri"/>
          <w:color w:val="111111"/>
          <w:sz w:val="28"/>
          <w:sz w:val="28"/>
          <w:szCs w:val="28"/>
          <w:rtl w:val="true"/>
          <w:lang w:bidi="ar-SA"/>
        </w:rPr>
        <w:t>و يَرجِعُ نَقلُها إلىٰ آحادٍ أو جماعةٍ قليلةِ العَدَدِ هذا الحُكمُ‌، و لا بُدَّ فيمَن كانَت له خِلْطةٌ بأهلِ الأخبارِ مِن أن يَكونَ عارفاً بحالتَي ضَعفِها و قوّتِها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جَرَت العاداتُ‌</w:t>
      </w:r>
      <w:r>
        <w:rPr>
          <w:rStyle w:val="FootnoteAnchor"/>
          <w:rtl w:val="true"/>
        </w:rPr>
        <w:footnoteReference w:id="2725"/>
      </w:r>
      <w:r>
        <w:rPr>
          <w:rFonts w:ascii="Amiri" w:hAnsi="Amiri" w:eastAsia="Amiri" w:cs="Amiri"/>
          <w:color w:val="111111"/>
          <w:sz w:val="28"/>
          <w:sz w:val="28"/>
          <w:szCs w:val="28"/>
          <w:rtl w:val="true"/>
          <w:lang w:bidi="ar-SA"/>
        </w:rPr>
        <w:t xml:space="preserve">في المَذاهبِ و الأقوالِ الحادثةِ بَعدَ أن كانَت مفقودةً‌، و القَويّةِ بَعدَ الضَّعفِ ، كما عَلِمناه مِن حالِ الخَوارجِ </w:t>
      </w:r>
      <w:r>
        <w:rPr>
          <w:rStyle w:val="FootnoteAnchor"/>
          <w:rtl w:val="true"/>
        </w:rPr>
        <w:footnoteReference w:id="2726"/>
      </w:r>
      <w:r>
        <w:rPr>
          <w:rFonts w:ascii="Amiri" w:hAnsi="Amiri" w:eastAsia="Amiri" w:cs="Amiri"/>
          <w:color w:val="111111"/>
          <w:sz w:val="28"/>
          <w:sz w:val="28"/>
          <w:szCs w:val="28"/>
          <w:rtl w:val="true"/>
          <w:lang w:bidi="ar-SA"/>
        </w:rPr>
        <w:t xml:space="preserve">و الجَهميّةِ </w:t>
      </w:r>
      <w:r>
        <w:rPr>
          <w:rStyle w:val="FootnoteAnchor"/>
          <w:rtl w:val="true"/>
        </w:rPr>
        <w:footnoteReference w:id="2727"/>
      </w:r>
      <w:r>
        <w:rPr>
          <w:rFonts w:ascii="Amiri" w:hAnsi="Amiri" w:eastAsia="Amiri" w:cs="Amiri"/>
          <w:color w:val="111111"/>
          <w:sz w:val="28"/>
          <w:sz w:val="28"/>
          <w:szCs w:val="28"/>
          <w:rtl w:val="true"/>
          <w:lang w:bidi="ar-SA"/>
        </w:rPr>
        <w:t xml:space="preserve">و النَّجّاريّةِ </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 xml:space="preserve">و مَن جَرىٰ مَجراهم ممّن أحدَثَ مَقالةً لَم تَتقَدَّمْ </w:t>
      </w:r>
      <w:r>
        <w:rPr>
          <w:rStyle w:val="FootnoteAnchor"/>
          <w:rtl w:val="true"/>
        </w:rPr>
        <w:footnoteReference w:id="2729"/>
      </w:r>
      <w:r>
        <w:rPr>
          <w:rFonts w:ascii="Amiri" w:hAnsi="Amiri" w:eastAsia="Amiri" w:cs="Amiri"/>
          <w:color w:val="111111"/>
          <w:sz w:val="28"/>
          <w:sz w:val="28"/>
          <w:szCs w:val="28"/>
          <w:rtl w:val="true"/>
          <w:lang w:bidi="ar-SA"/>
        </w:rPr>
        <w:t xml:space="preserve">، حتّىٰ فَرَّقَ أهلُ الأخبارِ بأسرِهم بَينَ زمانِ حُدوثِ أقوالِهم و الزمانِ الذي كانَت فيه أقوالُهم مفقودةً ، و بَينَ الأحوالِ التي تَظاهَرَت فيه مَذاهبُهم و انتَشَرَت في الجماعاتِ و الأحوالِ التي كانَت فيها مقصورةً علَى العَدَدِ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بابِه يَجري في وجوبِ الظهورِ مَجرىٰ ما نوجِبُه</w:t>
      </w:r>
      <w:r>
        <w:rPr>
          <w:rStyle w:val="FootnoteAnchor"/>
          <w:rtl w:val="true"/>
        </w:rPr>
        <w:footnoteReference w:id="2730"/>
      </w:r>
      <w:r>
        <w:rPr>
          <w:rFonts w:ascii="Amiri" w:hAnsi="Amiri" w:eastAsia="Amiri" w:cs="Amiri"/>
          <w:color w:val="111111"/>
          <w:sz w:val="28"/>
          <w:sz w:val="28"/>
          <w:szCs w:val="28"/>
          <w:rtl w:val="true"/>
          <w:lang w:bidi="ar-SA"/>
        </w:rPr>
        <w:t xml:space="preserve">مِن ظُهورِ التواطؤِ متىٰ وَقَعَ مِن الجماعاتِ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ما يُعلَمُ به استيفاءُ الجماعاتِ </w:t>
      </w:r>
      <w:r>
        <w:rPr>
          <w:rStyle w:val="FootnoteAnchor"/>
          <w:rtl w:val="true"/>
        </w:rPr>
        <w:footnoteReference w:id="2731"/>
      </w:r>
      <w:r>
        <w:rPr>
          <w:rFonts w:ascii="Amiri" w:hAnsi="Amiri" w:eastAsia="Amiri" w:cs="Amiri"/>
          <w:color w:val="111111"/>
          <w:sz w:val="28"/>
          <w:sz w:val="28"/>
          <w:szCs w:val="28"/>
          <w:rtl w:val="true"/>
          <w:lang w:bidi="ar-SA"/>
        </w:rPr>
        <w:t xml:space="preserve">المتوسِّطةِ في النقلِ للشروطِ أن تَنقُلَ </w:t>
      </w:r>
      <w:r>
        <w:rPr>
          <w:rStyle w:val="FootnoteAnchor"/>
          <w:rtl w:val="true"/>
        </w:rPr>
        <w:footnoteReference w:id="2732"/>
      </w:r>
      <w:r>
        <w:rPr>
          <w:rFonts w:ascii="Amiri" w:hAnsi="Amiri" w:eastAsia="Amiri" w:cs="Amiri"/>
          <w:color w:val="111111"/>
          <w:sz w:val="28"/>
          <w:sz w:val="28"/>
          <w:szCs w:val="28"/>
          <w:rtl w:val="true"/>
          <w:lang w:bidi="ar-SA"/>
        </w:rPr>
        <w:t>إلينا الجماعةُ التي تَلينا أنّها أخَذَت الخبرَ المخصوصَ عن جماعةٍ لها</w:t>
      </w:r>
      <w:r>
        <w:rPr>
          <w:rStyle w:val="FootnoteAnchor"/>
          <w:rtl w:val="true"/>
        </w:rPr>
        <w:footnoteReference w:id="2733"/>
      </w:r>
      <w:r>
        <w:rPr>
          <w:rFonts w:ascii="Amiri" w:hAnsi="Amiri" w:eastAsia="Amiri" w:cs="Amiri"/>
          <w:color w:val="111111"/>
          <w:sz w:val="28"/>
          <w:sz w:val="28"/>
          <w:szCs w:val="28"/>
          <w:rtl w:val="true"/>
          <w:lang w:bidi="ar-SA"/>
        </w:rPr>
        <w:t>مِثلُ صفتِها، و أنّ تلكَ الجماعةَ أخبَرَتها</w:t>
      </w:r>
      <w:r>
        <w:rPr>
          <w:rStyle w:val="FootnoteAnchor"/>
          <w:rtl w:val="true"/>
        </w:rPr>
        <w:footnoteReference w:id="2734"/>
      </w:r>
      <w:r>
        <w:rPr>
          <w:rFonts w:ascii="Amiri" w:hAnsi="Amiri" w:eastAsia="Amiri" w:cs="Amiri"/>
          <w:color w:val="111111"/>
          <w:sz w:val="28"/>
          <w:sz w:val="28"/>
          <w:szCs w:val="28"/>
          <w:rtl w:val="true"/>
          <w:lang w:bidi="ar-SA"/>
        </w:rPr>
        <w:t>بأنّها أخَذَت أيضاً الخبرَ عن جماعةٍ هذه صفتُها، حتّىٰ يَتَّصِلَ النقلُ بالمُخبَرِ عنه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اكتساب العباد، و الوعد و الوعيد، و إمامة أبي بكر، و وافق المعتزلة في نفي الصفات، و خلق القرآن، و نفي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 بآراء،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في مسألة خلق القرآن بين ما إذا قرئ فهو عرض، و إذا كتب فهم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الإيمان بالتصديق، و أنّ من ارتكب الكبيرة و مات عليها عوقب على ذلك و لكنّه يجب أن يخرج من النار امتيازاً له عن الكفّار الخالدين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الكلام، و المخلوق، و إثبات الرسل، و الإرجاء، و القضاء و القدر، و الثواب و العقاب،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مقالات الإسلاميّين،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الملل و النحل للشهرستاني،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وجهٌ‌؛ لأنّ العِلمَ بحالِ الجماعةِ‌</w:t>
      </w:r>
      <w:r>
        <w:rPr>
          <w:rStyle w:val="FootnoteAnchor"/>
          <w:rtl w:val="true"/>
        </w:rPr>
        <w:footnoteReference w:id="2735"/>
      </w:r>
      <w:r>
        <w:rPr>
          <w:rFonts w:ascii="Amiri" w:hAnsi="Amiri" w:eastAsia="Amiri" w:cs="Amiri"/>
          <w:color w:val="111111"/>
          <w:sz w:val="28"/>
          <w:sz w:val="28"/>
          <w:szCs w:val="28"/>
          <w:rtl w:val="true"/>
          <w:lang w:bidi="ar-SA"/>
        </w:rPr>
        <w:t>في امتناعِ التواطؤِ و الاتّفاقِ علَى الكَذِبِ فيها</w:t>
      </w:r>
      <w:r>
        <w:rPr>
          <w:rStyle w:val="FootnoteAnchor"/>
          <w:rtl w:val="true"/>
        </w:rPr>
        <w:footnoteReference w:id="2736"/>
      </w:r>
      <w:r>
        <w:rPr>
          <w:rFonts w:ascii="Amiri" w:hAnsi="Amiri" w:eastAsia="Amiri" w:cs="Amiri"/>
          <w:color w:val="111111"/>
          <w:sz w:val="28"/>
          <w:sz w:val="28"/>
          <w:szCs w:val="28"/>
          <w:rtl w:val="true"/>
          <w:lang w:bidi="ar-SA"/>
        </w:rPr>
        <w:t>ضَروريٌّ‌، يَحصُلُ لكُلِّ مَن خالَطَهم و اختَبَرَ العادةَ في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العِلمُ بحالِهم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خَبَّرَت الجماعةُ التي تَلينا عن تلكَ الحالِ‌، و قد عَرَفنا ثُبوتَ الشروطِ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تَكونَ صادقةً‌، و جَرىٰ خبرُها عن حالِ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نقَلَت عنها في أنّه لا يَكونُ إلّاصِدقاً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نفسِ الخبرِ الذي تَلَقَّته</w:t>
      </w:r>
      <w:r>
        <w:rPr>
          <w:rStyle w:val="FootnoteAnchor"/>
          <w:rtl w:val="true"/>
        </w:rPr>
        <w:footnoteReference w:id="2737"/>
      </w:r>
      <w:r>
        <w:rPr>
          <w:rFonts w:ascii="IRNazanin" w:hAnsi="IRNazanin" w:eastAsia="IRNazanin"/>
          <w:color w:val="111111"/>
          <w:sz w:val="28"/>
          <w:sz w:val="28"/>
          <w:szCs w:val="28"/>
          <w:rtl w:val="true"/>
          <w:lang w:bidi="fa-IR"/>
        </w:rPr>
        <w:t>عن</w:t>
      </w:r>
      <w:r>
        <w:rPr>
          <w:rStyle w:val="FootnoteAnchor"/>
          <w:rtl w:val="true"/>
        </w:rPr>
        <w:footnoteReference w:id="2738"/>
      </w:r>
      <w:r>
        <w:rPr>
          <w:rFonts w:ascii="Amiri" w:hAnsi="Amiri" w:eastAsia="Amiri" w:cs="Amiri"/>
          <w:color w:val="111111"/>
          <w:sz w:val="28"/>
          <w:sz w:val="28"/>
          <w:szCs w:val="28"/>
          <w:rtl w:val="true"/>
          <w:lang w:bidi="ar-SA"/>
        </w:rPr>
        <w:t>الجماعةِ‌؛ فكما لا يَجوزُ أن تَكونَ كاذبةً في أنّها تَلقَّت</w:t>
      </w:r>
      <w:r>
        <w:rPr>
          <w:rStyle w:val="FootnoteAnchor"/>
          <w:rtl w:val="true"/>
        </w:rPr>
        <w:footnoteReference w:id="2739"/>
      </w:r>
      <w:r>
        <w:rPr>
          <w:rFonts w:ascii="Amiri" w:hAnsi="Amiri" w:eastAsia="Amiri" w:cs="Amiri"/>
          <w:color w:val="111111"/>
          <w:sz w:val="28"/>
          <w:sz w:val="28"/>
          <w:szCs w:val="28"/>
          <w:rtl w:val="true"/>
          <w:lang w:bidi="ar-SA"/>
        </w:rPr>
        <w:t>ذلكَ عن غَيرِها و سَمِعَته</w:t>
      </w:r>
      <w:r>
        <w:rPr>
          <w:rStyle w:val="FootnoteAnchor"/>
          <w:rtl w:val="true"/>
        </w:rPr>
        <w:footnoteReference w:id="2740"/>
      </w:r>
      <w:r>
        <w:rPr>
          <w:rFonts w:ascii="Amiri" w:hAnsi="Amiri" w:eastAsia="Amiri" w:cs="Amiri"/>
          <w:color w:val="111111"/>
          <w:sz w:val="28"/>
          <w:sz w:val="28"/>
          <w:szCs w:val="28"/>
          <w:rtl w:val="true"/>
          <w:lang w:bidi="ar-SA"/>
        </w:rPr>
        <w:t xml:space="preserve">منه، فكذلكَ </w:t>
      </w:r>
      <w:r>
        <w:rPr>
          <w:rStyle w:val="FootnoteAnchor"/>
          <w:rtl w:val="true"/>
        </w:rPr>
        <w:footnoteReference w:id="2741"/>
      </w:r>
      <w:r>
        <w:rPr>
          <w:rFonts w:ascii="Amiri" w:hAnsi="Amiri" w:eastAsia="Amiri" w:cs="Amiri"/>
          <w:color w:val="111111"/>
          <w:sz w:val="28"/>
          <w:sz w:val="28"/>
          <w:szCs w:val="28"/>
          <w:rtl w:val="true"/>
          <w:lang w:bidi="ar-SA"/>
        </w:rPr>
        <w:t xml:space="preserve">لا يَجوزُ أن تَكونَ كاذبةً فيما خَبَّرَت به مِن صفتِه؛ لأنّ الأمرَينِ جميعاً يَرجِعان إلَى الضرورةِ ، و لَيسَ ممّا يَصِحُّ أن تَعتَرِضَ </w:t>
      </w:r>
      <w:r>
        <w:rPr>
          <w:rStyle w:val="FootnoteAnchor"/>
          <w:rtl w:val="true"/>
        </w:rPr>
        <w:footnoteReference w:id="2742"/>
      </w:r>
      <w:r>
        <w:rPr>
          <w:rFonts w:ascii="Amiri" w:hAnsi="Amiri" w:eastAsia="Amiri" w:cs="Amiri"/>
          <w:color w:val="111111"/>
          <w:sz w:val="28"/>
          <w:sz w:val="28"/>
          <w:szCs w:val="28"/>
          <w:rtl w:val="true"/>
          <w:lang w:bidi="ar-SA"/>
        </w:rPr>
        <w:t xml:space="preserve">فيه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يُبطِلُ‌ قَولَ مَن اعترَضَ هذا الوجهَ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غالِطونَ فيما خَبَّروا به مِن صفةِ الجماعةِ ، و متوهِّمونَ </w:t>
      </w:r>
      <w:r>
        <w:rPr>
          <w:rStyle w:val="FootnoteAnchor"/>
          <w:rtl w:val="true"/>
        </w:rPr>
        <w:footnoteReference w:id="2743"/>
      </w:r>
      <w:r>
        <w:rPr>
          <w:rFonts w:ascii="Amiri" w:hAnsi="Amiri" w:eastAsia="Amiri" w:cs="Amiri"/>
          <w:color w:val="111111"/>
          <w:sz w:val="28"/>
          <w:sz w:val="28"/>
          <w:szCs w:val="28"/>
          <w:rtl w:val="true"/>
          <w:lang w:bidi="ar-SA"/>
        </w:rPr>
        <w:t>ما لا أصلَ 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يُبطِلُ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العِلمِ بتَساوي الجماعاتِ في العَدَدِ، و هو أمرٌ غَيرُ مُنضَبِطٍ و لا مُنحَصِرٍ؟ و مِن أيِّ وجهٍ يَعلَمُ الجماعةُ التي تَليها</w:t>
      </w:r>
      <w:r>
        <w:rPr>
          <w:rStyle w:val="FootnoteAnchor"/>
          <w:rtl w:val="true"/>
        </w:rPr>
        <w:footnoteReference w:id="2744"/>
      </w:r>
      <w:r>
        <w:rPr>
          <w:rFonts w:ascii="Amiri" w:hAnsi="Amiri" w:eastAsia="Amiri" w:cs="Amiri"/>
          <w:color w:val="111111"/>
          <w:sz w:val="28"/>
          <w:sz w:val="28"/>
          <w:szCs w:val="28"/>
          <w:rtl w:val="true"/>
          <w:lang w:bidi="ar-SA"/>
        </w:rPr>
        <w:t xml:space="preserve">مُساواةَ مَن نَقَلَت عنه لها في الكَثرةِ و العَدَدِ؟ </w:t>
      </w:r>
      <w:bookmarkStart w:id="476" w:name="pg20015_285053"/>
    </w:p>
    <w:p>
      <w:pPr>
        <w:pStyle w:val="BookText"/>
        <w:rPr/>
      </w:pPr>
      <w:bookmarkEnd w:id="476"/>
      <w:r>
        <w:rPr>
          <w:rFonts w:ascii="Amiri" w:hAnsi="Amiri" w:eastAsia="Amiri" w:cs="Amiri"/>
          <w:color w:val="111111"/>
          <w:sz w:val="28"/>
          <w:sz w:val="28"/>
          <w:szCs w:val="28"/>
          <w:rtl w:val="true"/>
          <w:lang w:bidi="ar-SA"/>
        </w:rPr>
        <w:t xml:space="preserve">لأنّا لَم نَعتَمِدْ علىٰ ما ظَنَّه مِن تَساوي العَدَدِ و الكَثرةِ ، و إنّما اعتَبَرنا أن تُخبِرَ الجماعةُ بأنّ لِمَن نَقَلَت عنه مِثلَ صفتِها في استحالةِ التواطؤِ و الاتّفاقِ علَى الكَذِبِ ، و هذا معلومٌ ضَرورةً علىٰ ما تَقدَّمَ </w:t>
      </w:r>
      <w:r>
        <w:rPr>
          <w:rStyle w:val="FootnoteAnchor"/>
          <w:rtl w:val="true"/>
        </w:rPr>
        <w:footnoteReference w:id="2745"/>
      </w:r>
      <w:r>
        <w:rPr>
          <w:rFonts w:ascii="Amiri" w:hAnsi="Amiri" w:eastAsia="Amiri" w:cs="Amiri"/>
          <w:color w:val="111111"/>
          <w:sz w:val="28"/>
          <w:sz w:val="28"/>
          <w:szCs w:val="28"/>
          <w:rtl w:val="true"/>
          <w:lang w:bidi="ar-SA"/>
        </w:rPr>
        <w:t>، و لا اعتبارَ معه بزيادةِ العَدَدِ و لا بنُقصانِه</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895055_2320776876"/>
      <w:bookmarkStart w:id="478" w:name="_Toc169"/>
      <w:bookmarkEnd w:id="477"/>
      <w:r>
        <w:rPr>
          <w:rtl w:val="true"/>
        </w:rPr>
        <w:t>ثبوتُ شروط التواتر في نقل الشيعة للنصّ الجليّ</w:t>
      </w:r>
      <w:bookmarkEnd w:id="478"/>
    </w:p>
    <w:p>
      <w:pPr>
        <w:pStyle w:val="BookText"/>
        <w:rPr/>
      </w:pPr>
      <w:r>
        <w:rPr>
          <w:rFonts w:ascii="Amiri" w:hAnsi="Amiri" w:eastAsia="Amiri" w:cs="Amiri"/>
          <w:color w:val="111111"/>
          <w:sz w:val="28"/>
          <w:sz w:val="28"/>
          <w:szCs w:val="28"/>
          <w:rtl w:val="true"/>
          <w:lang w:bidi="ar-SA"/>
        </w:rPr>
        <w:t xml:space="preserve">فإن قالَ </w:t>
      </w:r>
      <w:r>
        <w:rPr>
          <w:rStyle w:val="FootnoteAnchor"/>
          <w:rtl w:val="true"/>
        </w:rPr>
        <w:footnoteReference w:id="2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ثُبوتِ الشروطِ التي ذَكَرتموها فيمَن نَقَلَ النَّصَّ مِن الشيعةِ كما وَعَدتم</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2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w:t>
      </w:r>
      <w:r>
        <w:rPr>
          <w:rStyle w:val="FootnoteAnchor"/>
          <w:rtl w:val="true"/>
        </w:rPr>
        <w:footnoteReference w:id="2751"/>
      </w:r>
      <w:r>
        <w:rPr>
          <w:rFonts w:ascii="Amiri" w:hAnsi="Amiri" w:eastAsia="Amiri" w:cs="Amiri"/>
          <w:color w:val="111111"/>
          <w:sz w:val="28"/>
          <w:sz w:val="28"/>
          <w:szCs w:val="28"/>
          <w:rtl w:val="true"/>
          <w:lang w:bidi="ar-SA"/>
        </w:rPr>
        <w:t>الشيعةَ في هذه الأزمانِ‌</w:t>
      </w:r>
      <w:r>
        <w:rPr>
          <w:rStyle w:val="FootnoteAnchor"/>
          <w:rtl w:val="true"/>
        </w:rPr>
        <w:footnoteReference w:id="2752"/>
      </w:r>
      <w:r>
        <w:rPr>
          <w:rFonts w:ascii="Amiri" w:hAnsi="Amiri" w:eastAsia="Amiri" w:cs="Amiri"/>
          <w:color w:val="111111"/>
          <w:sz w:val="28"/>
          <w:sz w:val="28"/>
          <w:szCs w:val="28"/>
          <w:rtl w:val="true"/>
          <w:lang w:bidi="ar-SA"/>
        </w:rPr>
        <w:t>قد بَلَغوا مِن الكَثرةِ و الانتشارِ و التفَرُّقِ في البُلدانِ إلىٰ حَدٍّ معلومٍ ضَرورةً‌</w:t>
      </w:r>
      <w:r>
        <w:rPr>
          <w:rStyle w:val="FootnoteAnchor"/>
          <w:rtl w:val="true"/>
        </w:rPr>
        <w:footnoteReference w:id="2753"/>
      </w:r>
      <w:r>
        <w:rPr>
          <w:rFonts w:ascii="Amiri" w:hAnsi="Amiri" w:eastAsia="Amiri" w:cs="Amiri"/>
          <w:color w:val="111111"/>
          <w:sz w:val="28"/>
          <w:sz w:val="28"/>
          <w:szCs w:val="28"/>
          <w:rtl w:val="true"/>
          <w:lang w:bidi="ar-SA"/>
        </w:rPr>
        <w:t>أنّه لا يَبلُغُه مَن يَجوزُ عَلَيه التواطؤُ و الاتّفاقُ علَى الكَذِبِ عن المُخبَرِ الواحدِ، و انتفاءُ ذلكَ عن جماعاتِ الشيعةِ‌</w:t>
      </w:r>
      <w:r>
        <w:rPr>
          <w:rStyle w:val="FootnoteAnchor"/>
          <w:rtl w:val="true"/>
        </w:rPr>
        <w:footnoteReference w:id="2754"/>
      </w:r>
      <w:r>
        <w:rPr>
          <w:rFonts w:ascii="Amiri" w:hAnsi="Amiri" w:eastAsia="Amiri" w:cs="Amiri"/>
          <w:color w:val="111111"/>
          <w:sz w:val="28"/>
          <w:sz w:val="28"/>
          <w:szCs w:val="28"/>
          <w:rtl w:val="true"/>
          <w:lang w:bidi="ar-SA"/>
        </w:rPr>
        <w:t xml:space="preserve">في وَقتِنا، بل عن بعضِ طوائفِهم ممّا لا يَصِحُّ أن يَشُكَّ فيه عاقلٌ خالَطَهم و كانَ عارفاً بالعاداتِ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التواطؤَ لَو وَقَعَ مِنهم بمُراسَلةٍ أو بمُكاتَبةٍ </w:t>
      </w:r>
      <w:r>
        <w:rPr>
          <w:rStyle w:val="FootnoteAnchor"/>
          <w:rtl w:val="true"/>
        </w:rPr>
        <w:footnoteReference w:id="2755"/>
      </w:r>
      <w:r>
        <w:rPr>
          <w:rFonts w:ascii="Amiri" w:hAnsi="Amiri" w:eastAsia="Amiri" w:cs="Amiri"/>
          <w:color w:val="111111"/>
          <w:sz w:val="28"/>
          <w:sz w:val="28"/>
          <w:szCs w:val="28"/>
          <w:rtl w:val="true"/>
          <w:lang w:bidi="ar-SA"/>
        </w:rPr>
        <w:t xml:space="preserve">أو علىٰ وجهٍ مِن الوجوهِ لَم </w:t>
      </w:r>
    </w:p>
    <w:p>
      <w:pPr>
        <w:pStyle w:val="BookText"/>
        <w:rPr/>
      </w:pPr>
      <w:r>
        <w:rPr>
          <w:rFonts w:ascii="Amiri" w:hAnsi="Amiri" w:eastAsia="Amiri" w:cs="Amiri"/>
          <w:color w:val="111111"/>
          <w:sz w:val="28"/>
          <w:sz w:val="28"/>
          <w:szCs w:val="28"/>
          <w:rtl w:val="true"/>
          <w:lang w:bidi="ar-SA"/>
        </w:rPr>
        <w:t>يَكُن بُدٌّ مِن ظُهورِه؛ لأنّ العادةَ جاريةٌ بظُهورِ ذلكَ إذا وَقَعَ مِن الجماعةِ التي لا تَبلُغُ في الظهورِ و التفَرُّقِ مَبلَغَ الشيعةِ‌، لا سِيَّما مع تَتَبُّعِ مخالِفيهم الشديدِ لهُم</w:t>
      </w:r>
      <w:r>
        <w:rPr>
          <w:rStyle w:val="FootnoteAnchor"/>
          <w:rtl w:val="true"/>
        </w:rPr>
        <w:footnoteReference w:id="2756"/>
      </w:r>
      <w:r>
        <w:rPr>
          <w:rFonts w:ascii="Amiri" w:hAnsi="Amiri" w:eastAsia="Amiri" w:cs="Amiri"/>
          <w:color w:val="111111"/>
          <w:sz w:val="28"/>
          <w:sz w:val="28"/>
          <w:szCs w:val="28"/>
          <w:rtl w:val="true"/>
          <w:lang w:bidi="ar-SA"/>
        </w:rPr>
        <w:t>و تطَلُّبِ عَثَراتِهم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ما يَجمَعُ علَى الفِعلِ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إكراهِ السُّلطانِ و تَخويفِه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2757"/>
      </w:r>
      <w:r>
        <w:rPr>
          <w:rFonts w:ascii="Amiri" w:hAnsi="Amiri" w:eastAsia="Amiri" w:cs="Amiri"/>
          <w:color w:val="111111"/>
          <w:sz w:val="28"/>
          <w:sz w:val="28"/>
          <w:szCs w:val="28"/>
          <w:rtl w:val="true"/>
          <w:lang w:bidi="ar-SA"/>
        </w:rPr>
        <w:t>كانَ اتَّفَقَ لهُم لَوَجَبَ ظُهورُه</w:t>
      </w:r>
      <w:r>
        <w:rPr>
          <w:rStyle w:val="FootnoteAnchor"/>
          <w:rtl w:val="true"/>
        </w:rPr>
        <w:footnoteReference w:id="2758"/>
      </w:r>
      <w:r>
        <w:rPr>
          <w:rFonts w:ascii="Amiri" w:hAnsi="Amiri" w:eastAsia="Amiri" w:cs="Amiri"/>
          <w:color w:val="111111"/>
          <w:sz w:val="28"/>
          <w:sz w:val="28"/>
          <w:szCs w:val="28"/>
          <w:rtl w:val="true"/>
          <w:lang w:bidi="ar-SA"/>
        </w:rPr>
        <w:t>علىٰ مَجرَى العادةِ‌، و إن كانَ العِلمُ بارتفاعِ إكراهِ‌</w:t>
      </w:r>
    </w:p>
    <w:p>
      <w:pPr>
        <w:pStyle w:val="BookText"/>
        <w:rPr/>
      </w:pPr>
      <w:r>
        <w:rPr>
          <w:rFonts w:ascii="Amiri" w:hAnsi="Amiri" w:eastAsia="Amiri" w:cs="Amiri"/>
          <w:color w:val="111111"/>
          <w:sz w:val="28"/>
          <w:sz w:val="28"/>
          <w:szCs w:val="28"/>
          <w:rtl w:val="true"/>
          <w:lang w:bidi="ar-SA"/>
        </w:rPr>
        <w:t>السُّلطانِ‌</w:t>
      </w:r>
      <w:r>
        <w:rPr>
          <w:rStyle w:val="FootnoteAnchor"/>
          <w:rtl w:val="true"/>
        </w:rPr>
        <w:footnoteReference w:id="2759"/>
      </w:r>
      <w:r>
        <w:rPr>
          <w:rFonts w:ascii="Amiri" w:hAnsi="Amiri" w:eastAsia="Amiri" w:cs="Amiri"/>
          <w:color w:val="111111"/>
          <w:sz w:val="28"/>
          <w:sz w:val="28"/>
          <w:szCs w:val="28"/>
          <w:rtl w:val="true"/>
          <w:lang w:bidi="ar-SA"/>
        </w:rPr>
        <w:t>و حَملِه علَى النَّصِّ معلوماً</w:t>
      </w:r>
      <w:r>
        <w:rPr>
          <w:rStyle w:val="FootnoteAnchor"/>
          <w:rtl w:val="true"/>
        </w:rPr>
        <w:footnoteReference w:id="2760"/>
      </w:r>
      <w:r>
        <w:rPr>
          <w:rFonts w:ascii="Amiri" w:hAnsi="Amiri" w:eastAsia="Amiri" w:cs="Amiri"/>
          <w:color w:val="111111"/>
          <w:sz w:val="28"/>
          <w:sz w:val="28"/>
          <w:szCs w:val="28"/>
          <w:rtl w:val="true"/>
          <w:lang w:bidi="ar-SA"/>
        </w:rPr>
        <w:t xml:space="preserve">لجميعِ العُقَلاءِ‌؛ لأنّ الظاهرَ مِن أحوالِ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نَفَذَ أمرُهم و نهيُهم، و تَمكَّنوا مِن بُلوغِ مُرادِهم، و كانوا بحَيثُ يَحمِلُ تَخويفُهم علَى الأخبارِ، و يُلجئُ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النَّصِّ و بُلوغُ الغايةِ في قَصدِ</w:t>
      </w:r>
      <w:r>
        <w:rPr>
          <w:rStyle w:val="FootnoteAnchor"/>
          <w:rtl w:val="true"/>
        </w:rPr>
        <w:footnoteReference w:id="2761"/>
      </w:r>
      <w:r>
        <w:rPr>
          <w:rFonts w:ascii="Amiri" w:hAnsi="Amiri" w:eastAsia="Amiri" w:cs="Amiri"/>
          <w:color w:val="111111"/>
          <w:sz w:val="28"/>
          <w:sz w:val="28"/>
          <w:szCs w:val="28"/>
          <w:rtl w:val="true"/>
          <w:lang w:bidi="ar-SA"/>
        </w:rPr>
        <w:t>مُعتَقِدِه و راويهِ ؛ فأسبابُ الخَوفِ و الحَملِ قد حَصَلَت علىٰ ما ذَكرناه في العُدولِ عن نَقلِ النَّصِّ ، لا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حُصولِ العِلمِ بتَعذُّرِ</w:t>
      </w:r>
      <w:r>
        <w:rPr>
          <w:rStyle w:val="FootnoteAnchor"/>
          <w:rtl w:val="true"/>
        </w:rPr>
        <w:footnoteReference w:id="2762"/>
      </w:r>
      <w:r>
        <w:rPr>
          <w:rFonts w:ascii="Amiri" w:hAnsi="Amiri" w:eastAsia="Amiri" w:cs="Amiri"/>
          <w:color w:val="111111"/>
          <w:sz w:val="28"/>
          <w:sz w:val="28"/>
          <w:szCs w:val="28"/>
          <w:rtl w:val="true"/>
          <w:lang w:bidi="ar-SA"/>
        </w:rPr>
        <w:t>الإشارةِ إلىٰ زَمَنٍ بعَينِه وَقَعَ التواطؤُ فيه</w:t>
      </w:r>
      <w:r>
        <w:rPr>
          <w:rStyle w:val="FootnoteAnchor"/>
          <w:rtl w:val="true"/>
        </w:rPr>
        <w:footnoteReference w:id="2763"/>
      </w:r>
      <w:r>
        <w:rPr>
          <w:rFonts w:ascii="Amiri" w:hAnsi="Amiri" w:eastAsia="Amiri" w:cs="Amiri"/>
          <w:color w:val="111111"/>
          <w:sz w:val="28"/>
          <w:sz w:val="28"/>
          <w:szCs w:val="28"/>
          <w:rtl w:val="true"/>
          <w:lang w:bidi="ar-SA"/>
        </w:rPr>
        <w:t xml:space="preserve">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ظُهورِه لَو كانَ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هذه صفةُ الشيعةِ ، و وَجَدناهم يَذكُرونَ أنّهم وَجَدوا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فيما ذَكرناه علىٰ مِثلِ صفتِهم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يَنقُلونَ عن أسلافِهم، و هذه صفتُهم إلىٰ أن يَتَّصِلَ </w:t>
      </w:r>
    </w:p>
    <w:p>
      <w:pPr>
        <w:pStyle w:val="BookText"/>
        <w:rPr/>
      </w:pPr>
      <w:r>
        <w:rPr>
          <w:rFonts w:ascii="Amiri" w:hAnsi="Amiri" w:eastAsia="Amiri" w:cs="Amiri"/>
          <w:color w:val="111111"/>
          <w:sz w:val="28"/>
          <w:sz w:val="28"/>
          <w:szCs w:val="28"/>
          <w:rtl w:val="true"/>
          <w:lang w:bidi="ar-SA"/>
        </w:rPr>
        <w:t>النقلُ بالنبيِّ صَلَّى اللّٰهُ عليه و آلِه أنّه نَصَّ علىٰ أميرِ المؤمِنينَ عليه السلامُ بالإمامةِ بَعدَه، و استَخلَفَه علىٰ أُمّتِه بألفاظٍ مخصوصةٍ نَقَلوها؛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و قَولُه صَلَّى اللّٰهُ عليه و آلِه</w:t>
      </w:r>
      <w:r>
        <w:rPr>
          <w:rStyle w:val="FootnoteAnchor"/>
          <w:rtl w:val="true"/>
        </w:rPr>
        <w:footnoteReference w:id="2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إليه عليه السلامُ‌</w:t>
      </w:r>
      <w:r>
        <w:rPr>
          <w:rStyle w:val="FootnoteAnchor"/>
          <w:rtl w:val="true"/>
        </w:rPr>
        <w:footnoteReference w:id="2767"/>
      </w:r>
      <w:r>
        <w:rPr>
          <w:rFonts w:ascii="Amiri" w:hAnsi="Amiri" w:eastAsia="Amiri" w:cs="Amiri"/>
          <w:color w:val="111111"/>
          <w:sz w:val="28"/>
          <w:sz w:val="28"/>
          <w:szCs w:val="28"/>
          <w:rtl w:val="true"/>
          <w:lang w:bidi="ar-SA"/>
        </w:rPr>
        <w:t xml:space="preserve">و آخِذاً 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فيكم مِن بَعدي، فاسمَعوا له و أطيعوا</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و قَولُه صَلَّى اللّٰهُ عليه و آلِه</w:t>
      </w:r>
      <w:r>
        <w:rPr>
          <w:rStyle w:val="FootnoteAnchor"/>
          <w:rtl w:val="true"/>
        </w:rPr>
        <w:footnoteReference w:id="2769"/>
      </w:r>
      <w:r>
        <w:rPr>
          <w:rFonts w:ascii="Amiri" w:hAnsi="Amiri" w:eastAsia="Amiri" w:cs="Amiri"/>
          <w:color w:val="111111"/>
          <w:sz w:val="28"/>
          <w:sz w:val="28"/>
          <w:szCs w:val="28"/>
          <w:rtl w:val="true"/>
          <w:lang w:bidi="ar-SA"/>
        </w:rPr>
        <w:t>في يَومِ الدّارِ، و قد جَمَعَ بَني عَبدِ المُطَّلِبِ و تَكلَّمَ بكلامٍ مشهورٍ،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يؤازِرُني، علىٰ ما جاءَت به الروايةُ </w:t>
      </w:r>
      <w:r>
        <w:rPr>
          <w:rStyle w:val="FootnoteAnchor"/>
          <w:rtl w:val="true"/>
        </w:rPr>
        <w:footnoteReference w:id="2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w:t>
      </w:r>
      <w:r>
        <w:rPr>
          <w:rStyle w:val="FootnoteAnchor"/>
          <w:rtl w:val="true"/>
        </w:rPr>
        <w:footnoteReference w:id="2771"/>
      </w:r>
      <w:r>
        <w:rPr>
          <w:rFonts w:ascii="Amiri" w:hAnsi="Amiri" w:eastAsia="Amiri" w:cs="Amiri"/>
          <w:color w:val="111111"/>
          <w:sz w:val="28"/>
          <w:sz w:val="28"/>
          <w:szCs w:val="28"/>
          <w:rtl w:val="true"/>
          <w:lang w:bidi="ar-SA"/>
        </w:rPr>
        <w:t>أخي و وَصيّي و 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عليه 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w:t>
      </w:r>
      <w:r>
        <w:rPr>
          <w:rStyle w:val="FootnoteAnchor"/>
          <w:rtl w:val="true"/>
        </w:rPr>
        <w:footnoteReference w:id="2772"/>
      </w:r>
      <w:r>
        <w:rPr>
          <w:rFonts w:ascii="Amiri" w:hAnsi="Amiri" w:eastAsia="Amiri" w:cs="Amiri"/>
          <w:color w:val="111111"/>
          <w:sz w:val="28"/>
          <w:sz w:val="28"/>
          <w:szCs w:val="28"/>
          <w:rtl w:val="true"/>
          <w:lang w:bidi="ar-SA"/>
        </w:rPr>
        <w:t xml:space="preserve">مِن الجَماعةِ سِوىٰ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فلَيسَ يَخلونَ فيما نَقَلوه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كاذِبينَ أو صادِقينَ‌</w:t>
      </w:r>
      <w:r>
        <w:rPr>
          <w:rFonts w:eastAsia="Amiri" w:cs="Amiri" w:ascii="Amiri" w:hAnsi="Amiri"/>
          <w:color w:val="111111"/>
          <w:sz w:val="28"/>
          <w:szCs w:val="28"/>
          <w:rtl w:val="true"/>
          <w:lang w:bidi="ar-SA"/>
        </w:rPr>
        <w:t>.</w:t>
      </w:r>
      <w:r>
        <w:rPr>
          <w:rStyle w:val="FootnoteAnchor"/>
          <w:rtl w:val="true"/>
        </w:rPr>
        <w:footnoteReference w:id="2774"/>
      </w:r>
      <w:r>
        <w:rPr>
          <w:rFonts w:ascii="Amiri" w:hAnsi="Amiri" w:eastAsia="Amiri" w:cs="Amiri"/>
          <w:color w:val="111111"/>
          <w:sz w:val="28"/>
          <w:sz w:val="28"/>
          <w:szCs w:val="28"/>
          <w:rtl w:val="true"/>
          <w:lang w:bidi="ar-SA"/>
        </w:rPr>
        <w:t>فإن كانوا كاذِبينَ فيما نَقَلوه</w:t>
      </w:r>
      <w:r>
        <w:rPr>
          <w:rStyle w:val="FootnoteAnchor"/>
          <w:rtl w:val="true"/>
        </w:rPr>
        <w:footnoteReference w:id="2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الكَذِبَ لا يُفعَلُ إلّالغرضٍ زائدٍ، و أنّه لا يَجري مَجرَى الصِّدقِ‌، و أنّه لا يَخرُجُ عن الأقسامِ التي قَدَّمناها؛ و هي التواطؤُ و ما جَرىٰ مَجراه، أو الشُّبهةُ‌</w:t>
      </w:r>
      <w:r>
        <w:rPr>
          <w:rStyle w:val="FootnoteAnchor"/>
          <w:rtl w:val="true"/>
        </w:rPr>
        <w:footnoteReference w:id="2776"/>
      </w:r>
      <w:r>
        <w:rPr>
          <w:rFonts w:ascii="Amiri" w:hAnsi="Amiri" w:eastAsia="Amiri" w:cs="Amiri"/>
          <w:color w:val="111111"/>
          <w:sz w:val="28"/>
          <w:sz w:val="28"/>
          <w:szCs w:val="28"/>
          <w:rtl w:val="true"/>
          <w:lang w:bidi="ar-SA"/>
        </w:rPr>
        <w:t xml:space="preserve">، أو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إذا عَلِمنا انتفاءَ الأقسامِ الثلاثةِ عن خبرِهم أن نَقطَعَ‌</w:t>
      </w:r>
      <w:r>
        <w:rPr>
          <w:rStyle w:val="FootnoteAnchor"/>
          <w:rtl w:val="true"/>
        </w:rPr>
        <w:footnoteReference w:id="2777"/>
      </w:r>
      <w:r>
        <w:rPr>
          <w:rFonts w:ascii="Amiri" w:hAnsi="Amiri" w:eastAsia="Amiri" w:cs="Amiri"/>
          <w:color w:val="111111"/>
          <w:sz w:val="28"/>
          <w:sz w:val="28"/>
          <w:szCs w:val="28"/>
          <w:rtl w:val="true"/>
          <w:lang w:bidi="ar-SA"/>
        </w:rPr>
        <w:t>علىٰ صِدقِهم؛ لأنّه لا مَنزِلَة في الخبرِ بَينَ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استحالةَ التواطؤِ و ما قامَ مَقامَه فيهم، و بيّنّا أيضاً استحالةَ وقوعِ الخبرِ مِنهم اتّفاقاً، و هذا ممّا لا يَكادُ يَشتَبِهُ علىٰ عاقلٍ‌؛ لأنّه معلومٌ مِن حالِهم ضَرورةً عند اختبارِها، و إنّما المشتَبِهُ غَيرُه ممّا سنوضِحُه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الشُّبهةُ و الالتباسُ فمعلومٌ أيضاً ارتفاعُهما</w:t>
      </w:r>
      <w:r>
        <w:rPr>
          <w:rStyle w:val="FootnoteAnchor"/>
          <w:rtl w:val="true"/>
        </w:rPr>
        <w:footnoteReference w:id="2778"/>
      </w:r>
      <w:r>
        <w:rPr>
          <w:rFonts w:ascii="Amiri" w:hAnsi="Amiri" w:eastAsia="Amiri" w:cs="Amiri"/>
          <w:color w:val="111111"/>
          <w:sz w:val="28"/>
          <w:sz w:val="28"/>
          <w:szCs w:val="28"/>
          <w:rtl w:val="true"/>
          <w:lang w:bidi="ar-SA"/>
        </w:rPr>
        <w:t>لأنّهم لَم يُخبِروا عن أمرٍ يُرجَعُ فيه إلَى النظَرِ و الاستدلالِ فيَصِحَّ دخولُ الشُّبهةِ عَلَيهم، بَل خَبَّروا عن أمرٍ مُدرَكٍ يُعلَمُ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يَصِحُّ </w:t>
      </w:r>
      <w:r>
        <w:rPr>
          <w:rStyle w:val="FootnoteAnchor"/>
          <w:rtl w:val="true"/>
        </w:rPr>
        <w:footnoteReference w:id="2779"/>
      </w:r>
      <w:r>
        <w:rPr>
          <w:rFonts w:ascii="Amiri" w:hAnsi="Amiri" w:eastAsia="Amiri" w:cs="Amiri"/>
          <w:color w:val="111111"/>
          <w:sz w:val="28"/>
          <w:sz w:val="28"/>
          <w:szCs w:val="28"/>
          <w:rtl w:val="true"/>
          <w:lang w:bidi="ar-SA"/>
        </w:rPr>
        <w:t xml:space="preserve">أيضاً التباسُه بغَيرِه؛ لأنّهم عارفونَ بالنبيِّ صَلَّى اللّٰهُ عليه و آلِه و بأميرِ المؤمِنينَ </w:t>
      </w:r>
      <w:r>
        <w:rPr>
          <w:rStyle w:val="FootnoteAnchor"/>
          <w:rtl w:val="true"/>
        </w:rPr>
        <w:footnoteReference w:id="2780"/>
      </w:r>
      <w:r>
        <w:rPr>
          <w:rFonts w:ascii="Amiri" w:hAnsi="Amiri" w:eastAsia="Amiri" w:cs="Amiri"/>
          <w:color w:val="111111"/>
          <w:sz w:val="28"/>
          <w:sz w:val="28"/>
          <w:szCs w:val="28"/>
          <w:rtl w:val="true"/>
          <w:lang w:bidi="ar-SA"/>
        </w:rPr>
        <w:t>عليه السلامُ معرفةً تُزيلُ الشكَّ و تُحيلُ أن يَكونوا</w:t>
      </w:r>
      <w:r>
        <w:rPr>
          <w:rStyle w:val="FootnoteAnchor"/>
          <w:rtl w:val="true"/>
        </w:rPr>
        <w:footnoteReference w:id="2781"/>
      </w:r>
      <w:r>
        <w:rPr>
          <w:rFonts w:ascii="Amiri" w:hAnsi="Amiri" w:eastAsia="Amiri" w:cs="Amiri"/>
          <w:color w:val="111111"/>
          <w:sz w:val="28"/>
          <w:sz w:val="28"/>
          <w:szCs w:val="28"/>
          <w:rtl w:val="true"/>
          <w:lang w:bidi="ar-SA"/>
        </w:rPr>
        <w:t>اعتَقَدوا في القائلِ أو المَقولِ فيه</w:t>
      </w:r>
      <w:r>
        <w:rPr>
          <w:rStyle w:val="FootnoteAnchor"/>
          <w:rtl w:val="true"/>
        </w:rPr>
        <w:footnoteReference w:id="2782"/>
      </w:r>
      <w:r>
        <w:rPr>
          <w:rFonts w:ascii="Amiri" w:hAnsi="Amiri" w:eastAsia="Amiri" w:cs="Amiri"/>
          <w:color w:val="111111"/>
          <w:sz w:val="28"/>
          <w:sz w:val="28"/>
          <w:szCs w:val="28"/>
          <w:rtl w:val="true"/>
          <w:lang w:bidi="ar-SA"/>
        </w:rPr>
        <w:t xml:space="preserve">خِلافَ الحَقِّ ، و لَم يَكُنِ القَولُ </w:t>
      </w:r>
      <w:bookmarkStart w:id="479" w:name="pg20015_285057"/>
    </w:p>
    <w:p>
      <w:pPr>
        <w:pStyle w:val="BookText"/>
        <w:rPr/>
      </w:pPr>
      <w:bookmarkEnd w:id="479"/>
      <w:r>
        <w:rPr>
          <w:rFonts w:ascii="Amiri" w:hAnsi="Amiri" w:eastAsia="Amiri" w:cs="Amiri"/>
          <w:color w:val="111111"/>
          <w:sz w:val="28"/>
          <w:sz w:val="28"/>
          <w:szCs w:val="28"/>
          <w:rtl w:val="true"/>
          <w:lang w:bidi="ar-SA"/>
        </w:rPr>
        <w:t>المسموعُ مِن بُعدٍ فيَجوزَ أن يَتوهَّموا فيه خِلافَ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2783"/>
      </w:r>
      <w:r>
        <w:rPr>
          <w:rFonts w:ascii="Amiri" w:hAnsi="Amiri" w:eastAsia="Amiri" w:cs="Amiri"/>
          <w:color w:val="111111"/>
          <w:sz w:val="28"/>
          <w:sz w:val="28"/>
          <w:szCs w:val="28"/>
          <w:rtl w:val="true"/>
          <w:lang w:bidi="ar-SA"/>
        </w:rPr>
        <w:t xml:space="preserve">كانَت جميعُ أسبابِ الشُّبهةِ و اللَّبسِ و مَظانِّهما مرتفِعةً ، لَم يَكُن لِتجويزِ الاشتباهِ وجهٌ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895057_2320776876"/>
      <w:bookmarkStart w:id="481" w:name="_Toc170"/>
      <w:bookmarkEnd w:id="480"/>
      <w:r>
        <w:rPr>
          <w:rtl w:val="true"/>
        </w:rPr>
        <w:t>ثبوت شروط التواتر في جميع طبقات الشيعة</w:t>
      </w:r>
      <w:bookmarkEnd w:id="481"/>
    </w:p>
    <w:p>
      <w:pPr>
        <w:pStyle w:val="BookText"/>
        <w:rPr/>
      </w:pPr>
      <w:r>
        <w:rPr>
          <w:rFonts w:ascii="Amiri" w:hAnsi="Amiri" w:eastAsia="Amiri" w:cs="Amiri"/>
          <w:color w:val="111111"/>
          <w:sz w:val="28"/>
          <w:sz w:val="28"/>
          <w:szCs w:val="28"/>
          <w:rtl w:val="true"/>
          <w:lang w:bidi="ar-SA"/>
        </w:rPr>
        <w:t xml:space="preserve">و لَم يَبقَ إلّاأن يُدَلَّ </w:t>
      </w:r>
      <w:r>
        <w:rPr>
          <w:rStyle w:val="FootnoteAnchor"/>
          <w:rtl w:val="true"/>
        </w:rPr>
        <w:footnoteReference w:id="2784"/>
      </w:r>
      <w:r>
        <w:rPr>
          <w:rFonts w:ascii="Amiri" w:hAnsi="Amiri" w:eastAsia="Amiri" w:cs="Amiri"/>
          <w:color w:val="111111"/>
          <w:sz w:val="28"/>
          <w:sz w:val="28"/>
          <w:szCs w:val="28"/>
          <w:rtl w:val="true"/>
          <w:lang w:bidi="ar-SA"/>
        </w:rPr>
        <w:t>علىٰ حُصولِ ما شَرَطناه</w:t>
      </w:r>
      <w:r>
        <w:rPr>
          <w:rStyle w:val="FootnoteAnchor"/>
          <w:rtl w:val="true"/>
        </w:rPr>
        <w:footnoteReference w:id="2785"/>
      </w:r>
      <w:r>
        <w:rPr>
          <w:rFonts w:ascii="Amiri" w:hAnsi="Amiri" w:eastAsia="Amiri" w:cs="Amiri"/>
          <w:color w:val="111111"/>
          <w:sz w:val="28"/>
          <w:sz w:val="28"/>
          <w:szCs w:val="28"/>
          <w:rtl w:val="true"/>
          <w:lang w:bidi="ar-SA"/>
        </w:rPr>
        <w:t>في أسلافِ الشيعةِ كحُصولِه في أخلافِهم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w:t>
      </w:r>
      <w:r>
        <w:rPr>
          <w:rStyle w:val="FootnoteAnchor"/>
          <w:rtl w:val="true"/>
        </w:rPr>
        <w:footnoteReference w:id="2786"/>
      </w:r>
      <w:r>
        <w:rPr>
          <w:rFonts w:ascii="Amiri" w:hAnsi="Amiri" w:eastAsia="Amiri" w:cs="Amiri"/>
          <w:color w:val="111111"/>
          <w:sz w:val="28"/>
          <w:sz w:val="28"/>
          <w:szCs w:val="28"/>
          <w:rtl w:val="true"/>
          <w:lang w:bidi="ar-SA"/>
        </w:rPr>
        <w:t>ذلكَ بالوجهَينِ اللّذَينِ قَدَّمناهما</w:t>
      </w:r>
      <w:r>
        <w:rPr>
          <w:rFonts w:eastAsia="Amiri" w:cs="Amiri" w:ascii="Amiri" w:hAnsi="Amiri"/>
          <w:color w:val="111111"/>
          <w:sz w:val="28"/>
          <w:szCs w:val="28"/>
          <w:rtl w:val="true"/>
          <w:lang w:bidi="ar-SA"/>
        </w:rPr>
        <w:t>:</w:t>
      </w:r>
      <w:r>
        <w:rPr>
          <w:rStyle w:val="FootnoteAnchor"/>
          <w:rtl w:val="true"/>
        </w:rPr>
        <w:footnoteReference w:id="2787"/>
      </w:r>
    </w:p>
    <w:p>
      <w:pPr>
        <w:pStyle w:val="BookText"/>
        <w:rPr/>
      </w:pPr>
      <w:r>
        <w:rPr>
          <w:rFonts w:ascii="Amiri" w:hAnsi="Amiri" w:eastAsia="Amiri" w:cs="Amiri"/>
          <w:color w:val="111111"/>
          <w:sz w:val="28"/>
          <w:sz w:val="28"/>
          <w:szCs w:val="28"/>
          <w:rtl w:val="true"/>
          <w:lang w:bidi="ar-SA"/>
        </w:rPr>
        <w:t>أ 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النَّصِّ لَو كانَ يَنتَهي في أصلِه إلىٰ فِرقةٍ قليلةِ العَدَدِ، أو آحادٍ وَلَّدوه و أحدَثوا الاحتجاجَ به بَعدَ أن لَم يَكُن معروفاً و نَشَروه في الجماعاتِ‌، لَوَجَبَ بمقتَضَى العادةِ أن يَظهَرَ ظُهوراً لا يُمكِنُ دَفعُه</w:t>
      </w:r>
      <w:r>
        <w:rPr>
          <w:rStyle w:val="FootnoteAnchor"/>
          <w:rtl w:val="true"/>
        </w:rPr>
        <w:footnoteReference w:id="2788"/>
      </w:r>
      <w:r>
        <w:rPr>
          <w:rFonts w:ascii="Amiri" w:hAnsi="Amiri" w:eastAsia="Amiri" w:cs="Amiri"/>
          <w:color w:val="111111"/>
          <w:sz w:val="28"/>
          <w:sz w:val="28"/>
          <w:szCs w:val="28"/>
          <w:rtl w:val="true"/>
          <w:lang w:bidi="ar-SA"/>
        </w:rPr>
        <w:t>، و يَشتَرِكَ كُلُّ مَن كانَت له معرفةٌ بالأخبارِ و الاختلاطِ بأهلِها في العِلمِ به، و لَكانَ الزمانُ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ظهَرَ فيه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و الرجالُ الذينَ أبدَعوا</w:t>
      </w:r>
      <w:r>
        <w:rPr>
          <w:rStyle w:val="FootnoteAnchor"/>
          <w:rtl w:val="true"/>
        </w:rPr>
        <w:footnoteReference w:id="2789"/>
      </w:r>
      <w:r>
        <w:rPr>
          <w:rFonts w:ascii="Amiri" w:hAnsi="Amiri" w:eastAsia="Amiri" w:cs="Amiri"/>
          <w:color w:val="111111"/>
          <w:sz w:val="28"/>
          <w:sz w:val="28"/>
          <w:szCs w:val="28"/>
          <w:rtl w:val="true"/>
          <w:lang w:bidi="ar-SA"/>
        </w:rPr>
        <w:t xml:space="preserve">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يَدَّعوها</w:t>
      </w:r>
      <w:r>
        <w:rPr>
          <w:rStyle w:val="FootnoteAnchor"/>
          <w:rtl w:val="true"/>
        </w:rPr>
        <w:footnoteReference w:id="2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معلومينَ بأعيانِهم، مُشاراً</w:t>
      </w:r>
      <w:r>
        <w:rPr>
          <w:rStyle w:val="FootnoteAnchor"/>
          <w:rtl w:val="true"/>
        </w:rPr>
        <w:footnoteReference w:id="2791"/>
      </w:r>
      <w:r>
        <w:rPr>
          <w:rFonts w:ascii="Amiri" w:hAnsi="Amiri" w:eastAsia="Amiri" w:cs="Amiri"/>
          <w:color w:val="111111"/>
          <w:sz w:val="28"/>
          <w:sz w:val="28"/>
          <w:szCs w:val="28"/>
          <w:rtl w:val="true"/>
          <w:lang w:bidi="ar-SA"/>
        </w:rPr>
        <w:t xml:space="preserve">إليهم بأسمائهم، علَى الوجهِ الذي وَجَبَ </w:t>
      </w:r>
      <w:r>
        <w:rPr>
          <w:rStyle w:val="FootnoteAnchor"/>
          <w:rtl w:val="true"/>
        </w:rPr>
        <w:footnoteReference w:id="2792"/>
      </w:r>
      <w:r>
        <w:rPr>
          <w:rFonts w:ascii="Amiri" w:hAnsi="Amiri" w:eastAsia="Amiri" w:cs="Amiri"/>
          <w:color w:val="111111"/>
          <w:sz w:val="28"/>
          <w:sz w:val="28"/>
          <w:szCs w:val="28"/>
          <w:rtl w:val="true"/>
          <w:lang w:bidi="ar-SA"/>
        </w:rPr>
        <w:t xml:space="preserve">في الفِرَقِ </w:t>
      </w:r>
      <w:r>
        <w:rPr>
          <w:rStyle w:val="FootnoteAnchor"/>
          <w:rtl w:val="true"/>
        </w:rPr>
        <w:footnoteReference w:id="2793"/>
      </w:r>
      <w:r>
        <w:rPr>
          <w:rFonts w:ascii="Amiri" w:hAnsi="Amiri" w:eastAsia="Amiri" w:cs="Amiri"/>
          <w:color w:val="111111"/>
          <w:sz w:val="28"/>
          <w:sz w:val="28"/>
          <w:szCs w:val="28"/>
          <w:rtl w:val="true"/>
          <w:lang w:bidi="ar-SA"/>
        </w:rPr>
        <w:t xml:space="preserve">الناشئةِ و المَذاهبِ الحادثةِ التي قَدَّمنا </w:t>
      </w:r>
    </w:p>
    <w:p>
      <w:pPr>
        <w:pStyle w:val="BookText"/>
        <w:rPr/>
      </w:pP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r>
        <w:rPr>
          <w:rStyle w:val="FootnoteAnchor"/>
          <w:rtl w:val="true"/>
        </w:rPr>
        <w:footnoteReference w:id="2794"/>
      </w:r>
      <w:r>
        <w:rPr>
          <w:rFonts w:ascii="Amiri" w:hAnsi="Amiri" w:eastAsia="Amiri" w:cs="Amiri"/>
          <w:color w:val="111111"/>
          <w:sz w:val="28"/>
          <w:sz w:val="28"/>
          <w:szCs w:val="28"/>
          <w:rtl w:val="true"/>
          <w:lang w:bidi="ar-SA"/>
        </w:rPr>
        <w:t xml:space="preserve">و في ارتفاعِ العِلمِ بشيءٍ ممّا ذَكرناه في نَقلِ الشيعةِ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إشارةِ مَن حمَلَ نفسَه مِن مُخالِفيها علَى ادّعاءِ ذلكَ عَلَيهم إلىٰ زمانٍ بعَينِه و رِجالٍ بأسمائهم، و اقتصارِهم علَى التظَنّي</w:t>
      </w:r>
      <w:r>
        <w:rPr>
          <w:rStyle w:val="FootnoteAnchor"/>
          <w:rtl w:val="true"/>
        </w:rPr>
        <w:footnoteReference w:id="2795"/>
      </w:r>
      <w:r>
        <w:rPr>
          <w:rFonts w:ascii="Amiri" w:hAnsi="Amiri" w:eastAsia="Amiri" w:cs="Amiri"/>
          <w:color w:val="111111"/>
          <w:sz w:val="28"/>
          <w:sz w:val="28"/>
          <w:szCs w:val="28"/>
          <w:rtl w:val="true"/>
          <w:lang w:bidi="ar-SA"/>
        </w:rPr>
        <w:t xml:space="preserve">و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سَلامةِ نَقلِهم مِن الاختلالِ‌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قَضَينا به في نَقلِ الشيعةِ أَوجَبُ مِنه في نَقلِ سائرِ الفِرَقِ‌؛ لأنّه لَم تُمنَ‌</w:t>
      </w:r>
      <w:r>
        <w:rPr>
          <w:rStyle w:val="FootnoteAnchor"/>
          <w:rtl w:val="true"/>
        </w:rPr>
        <w:footnoteReference w:id="2796"/>
      </w:r>
      <w:r>
        <w:rPr>
          <w:rFonts w:ascii="Amiri" w:hAnsi="Amiri" w:eastAsia="Amiri" w:cs="Amiri"/>
          <w:color w:val="111111"/>
          <w:sz w:val="28"/>
          <w:sz w:val="28"/>
          <w:szCs w:val="28"/>
          <w:rtl w:val="true"/>
          <w:lang w:bidi="ar-SA"/>
        </w:rPr>
        <w:t>فِرقةٌ‌، و لا بُليَ أهلُ مَذهبٍ بما بُليَت به الشيعةُ مِن التتَبُّعِ و القَصدِ و ظُهورِ كلمةِ أهلِ الخِلافِ‌، حتّىٰ أنّا لا نَكادُ نَعرِفُ‌</w:t>
      </w:r>
      <w:r>
        <w:rPr>
          <w:rStyle w:val="FootnoteAnchor"/>
          <w:rtl w:val="true"/>
        </w:rPr>
        <w:footnoteReference w:id="2797"/>
      </w:r>
      <w:r>
        <w:rPr>
          <w:rFonts w:ascii="Amiri" w:hAnsi="Amiri" w:eastAsia="Amiri" w:cs="Amiri"/>
          <w:color w:val="111111"/>
          <w:sz w:val="28"/>
          <w:sz w:val="28"/>
          <w:szCs w:val="28"/>
          <w:rtl w:val="true"/>
          <w:lang w:bidi="ar-SA"/>
        </w:rPr>
        <w:t>زماناً تَقدَّمَ سَلِمَت فيه الشيعةُ مِن الخُمولِ‌</w:t>
      </w:r>
      <w:r>
        <w:rPr>
          <w:rStyle w:val="FootnoteAnchor"/>
          <w:rtl w:val="true"/>
        </w:rPr>
        <w:footnoteReference w:id="2798"/>
      </w:r>
      <w:r>
        <w:rPr>
          <w:rFonts w:ascii="Amiri" w:hAnsi="Amiri" w:eastAsia="Amiri" w:cs="Amiri"/>
          <w:color w:val="111111"/>
          <w:sz w:val="28"/>
          <w:sz w:val="28"/>
          <w:szCs w:val="28"/>
          <w:rtl w:val="true"/>
          <w:lang w:bidi="ar-SA"/>
        </w:rPr>
        <w:t>و لُزومِ التقيّةِ‌، و لا حالاً عَرِيَت فيها مِن قَصدِ السُّلطان و عَصَبيّتِه و مَيلِه و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كَثرةِ ما جَرىٰ بَينَها و بَينَ خُصومِها؛ مِن الخَوضِ‌</w:t>
      </w:r>
      <w:r>
        <w:rPr>
          <w:rStyle w:val="FootnoteAnchor"/>
          <w:rtl w:val="true"/>
        </w:rPr>
        <w:footnoteReference w:id="2799"/>
      </w:r>
      <w:r>
        <w:rPr>
          <w:rFonts w:ascii="Amiri" w:hAnsi="Amiri" w:eastAsia="Amiri" w:cs="Amiri"/>
          <w:color w:val="111111"/>
          <w:sz w:val="28"/>
          <w:sz w:val="28"/>
          <w:szCs w:val="28"/>
          <w:rtl w:val="true"/>
          <w:lang w:bidi="ar-SA"/>
        </w:rPr>
        <w:t>في النَّصِّ علىٰ مَرِّ الدَّهرِ، و اجتهادِ</w:t>
      </w:r>
      <w:r>
        <w:rPr>
          <w:rStyle w:val="FootnoteAnchor"/>
          <w:rtl w:val="true"/>
        </w:rPr>
        <w:footnoteReference w:id="2800"/>
      </w:r>
      <w:r>
        <w:rPr>
          <w:rFonts w:ascii="Amiri" w:hAnsi="Amiri" w:eastAsia="Amiri" w:cs="Amiri"/>
          <w:color w:val="111111"/>
          <w:sz w:val="28"/>
          <w:sz w:val="28"/>
          <w:szCs w:val="28"/>
          <w:rtl w:val="true"/>
          <w:lang w:bidi="ar-SA"/>
        </w:rPr>
        <w:t>جماعةِ مُخالِفيها</w:t>
      </w:r>
      <w:r>
        <w:rPr>
          <w:rStyle w:val="FootnoteAnchor"/>
          <w:rtl w:val="true"/>
        </w:rPr>
        <w:footnoteReference w:id="2801"/>
      </w:r>
      <w:r>
        <w:rPr>
          <w:rFonts w:ascii="Amiri" w:hAnsi="Amiri" w:eastAsia="Amiri" w:cs="Amiri"/>
          <w:color w:val="111111"/>
          <w:sz w:val="28"/>
          <w:sz w:val="28"/>
          <w:szCs w:val="28"/>
          <w:rtl w:val="true"/>
          <w:lang w:bidi="ar-SA"/>
        </w:rPr>
        <w:t>في الطَّعنِ عَلَيه و الثَّلمِ له و تَطلُّبِ ما يَدحَضُه</w:t>
      </w:r>
      <w:r>
        <w:rPr>
          <w:rStyle w:val="FootnoteAnchor"/>
          <w:rtl w:val="true"/>
        </w:rPr>
        <w:footnoteReference w:id="2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هذه الأُمورِ يَكشِفُ‌</w:t>
      </w:r>
      <w:r>
        <w:rPr>
          <w:rStyle w:val="FootnoteAnchor"/>
          <w:rtl w:val="true"/>
        </w:rPr>
        <w:footnoteReference w:id="2803"/>
      </w:r>
      <w:r>
        <w:rPr>
          <w:rFonts w:ascii="Amiri" w:hAnsi="Amiri" w:eastAsia="Amiri" w:cs="Amiri"/>
          <w:color w:val="111111"/>
          <w:sz w:val="28"/>
          <w:sz w:val="28"/>
          <w:szCs w:val="28"/>
          <w:rtl w:val="true"/>
          <w:lang w:bidi="ar-SA"/>
        </w:rPr>
        <w:t>السَّرائرَ و يُظهِرُ</w:t>
      </w:r>
      <w:r>
        <w:rPr>
          <w:rStyle w:val="FootnoteAnchor"/>
          <w:rtl w:val="true"/>
        </w:rPr>
        <w:footnoteReference w:id="2804"/>
      </w:r>
      <w:r>
        <w:rPr>
          <w:rFonts w:ascii="Amiri" w:hAnsi="Amiri" w:eastAsia="Amiri" w:cs="Amiri"/>
          <w:color w:val="111111"/>
          <w:sz w:val="28"/>
          <w:sz w:val="28"/>
          <w:szCs w:val="28"/>
          <w:rtl w:val="true"/>
          <w:lang w:bidi="ar-SA"/>
        </w:rPr>
        <w:t xml:space="preserve">الضَّمائرَ، و لا يَلبَثُ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معها ضَعفُ الخبرِ أن يَظهَرَ، و زمانُ حُدوثِه أن يُعرَفَ‌، حتّىٰ لا يَشُكَّ فيه اثنانِ‌، و لا يَمتَري</w:t>
      </w:r>
      <w:r>
        <w:rPr>
          <w:rStyle w:val="FootnoteAnchor"/>
          <w:rtl w:val="true"/>
        </w:rPr>
        <w:footnoteReference w:id="2806"/>
      </w:r>
      <w:r>
        <w:rPr>
          <w:rFonts w:ascii="Amiri" w:hAnsi="Amiri" w:eastAsia="Amiri" w:cs="Amiri"/>
          <w:color w:val="111111"/>
          <w:sz w:val="28"/>
          <w:sz w:val="28"/>
          <w:szCs w:val="28"/>
          <w:rtl w:val="true"/>
          <w:lang w:bidi="ar-SA"/>
        </w:rPr>
        <w:t xml:space="preserve">لِسانانِ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وَقَعَ مِن ذَوي العِزِّ و التمَكُّنِ و قُوّةِ السُّلطانِ و كَثرةِ</w:t>
      </w:r>
    </w:p>
    <w:p>
      <w:pPr>
        <w:pStyle w:val="BookText"/>
        <w:rPr/>
      </w:pPr>
      <w:r>
        <w:rPr>
          <w:rFonts w:ascii="Amiri" w:hAnsi="Amiri" w:eastAsia="Amiri" w:cs="Amiri"/>
          <w:color w:val="111111"/>
          <w:sz w:val="28"/>
          <w:sz w:val="28"/>
          <w:szCs w:val="28"/>
          <w:rtl w:val="true"/>
          <w:lang w:bidi="ar-SA"/>
        </w:rPr>
        <w:t xml:space="preserve">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2807"/>
      </w:r>
      <w:r>
        <w:rPr>
          <w:rFonts w:ascii="Amiri" w:hAnsi="Amiri" w:eastAsia="Amiri" w:cs="Amiri"/>
          <w:color w:val="111111"/>
          <w:sz w:val="28"/>
          <w:sz w:val="28"/>
          <w:szCs w:val="28"/>
          <w:rtl w:val="true"/>
          <w:lang w:bidi="ar-SA"/>
        </w:rPr>
        <w:t xml:space="preserve">حَكَمنا بظُهورِ أمثالِه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و يَنكَتِمُ ، فكَيفَ بما يقَعُ مِن فِرقةٍ مغمورةٍ مقهورةٍ قد</w:t>
      </w:r>
      <w:r>
        <w:rPr>
          <w:rStyle w:val="FootnoteAnchor"/>
          <w:rtl w:val="true"/>
        </w:rPr>
        <w:footnoteReference w:id="2808"/>
      </w:r>
      <w:r>
        <w:rPr>
          <w:rFonts w:ascii="Amiri" w:hAnsi="Amiri" w:eastAsia="Amiri" w:cs="Amiri"/>
          <w:color w:val="111111"/>
          <w:sz w:val="28"/>
          <w:sz w:val="28"/>
          <w:szCs w:val="28"/>
          <w:rtl w:val="true"/>
          <w:lang w:bidi="ar-SA"/>
        </w:rPr>
        <w:t xml:space="preserve">تَظافَرَ عَلَيها المفتَرِقونَ </w:t>
      </w:r>
      <w:r>
        <w:rPr>
          <w:rStyle w:val="FootnoteAnchor"/>
          <w:rtl w:val="true"/>
        </w:rPr>
        <w:footnoteReference w:id="2809"/>
      </w:r>
      <w:r>
        <w:rPr>
          <w:rFonts w:ascii="Amiri" w:hAnsi="Amiri" w:eastAsia="Amiri" w:cs="Amiri"/>
          <w:color w:val="111111"/>
          <w:sz w:val="28"/>
          <w:sz w:val="28"/>
          <w:szCs w:val="28"/>
          <w:rtl w:val="true"/>
          <w:lang w:bidi="ar-SA"/>
        </w:rPr>
        <w:t>، و اصطَلَحَ في قَصدِها المختلِفونَ؟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صورةَ الشيعةِ بعَينِ مُنصِفٍ عَلِمَ صحّةَ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مَن يَلينا</w:t>
      </w:r>
      <w:r>
        <w:rPr>
          <w:rStyle w:val="FootnoteAnchor"/>
          <w:rtl w:val="true"/>
        </w:rPr>
        <w:footnoteReference w:id="2810"/>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الشروطُ التي اعتَبَرناها حاصلةٌ بغَيرِ شَكٍّ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أنّهم تَلَقَّوا خبرَ النَّصِّ‌</w:t>
      </w:r>
      <w:r>
        <w:rPr>
          <w:rStyle w:val="FootnoteAnchor"/>
          <w:rtl w:val="true"/>
        </w:rPr>
        <w:footnoteReference w:id="2811"/>
      </w:r>
      <w:r>
        <w:rPr>
          <w:rFonts w:ascii="Amiri" w:hAnsi="Amiri" w:eastAsia="Amiri" w:cs="Amiri"/>
          <w:color w:val="111111"/>
          <w:sz w:val="28"/>
          <w:sz w:val="28"/>
          <w:szCs w:val="28"/>
          <w:rtl w:val="true"/>
          <w:lang w:bidi="ar-SA"/>
        </w:rPr>
        <w:t>عمّن صفتُه في امتناعِ التواطؤِ و الاتّفاقِ كصفتِهم، فلا بُدَّ أن يَكونوا صادقينَ ؛ لأنّ تجويزَ الكَذِبِ عَلَيهم في صفةِ مَن أخَذوا الخبرَ عنه كتجويزِه في سَماعِ الخبرِ</w:t>
      </w:r>
      <w:r>
        <w:rPr>
          <w:rStyle w:val="FootnoteAnchor"/>
          <w:rtl w:val="true"/>
        </w:rPr>
        <w:footnoteReference w:id="2812"/>
      </w:r>
      <w:r>
        <w:rPr>
          <w:rFonts w:ascii="Amiri" w:hAnsi="Amiri" w:eastAsia="Amiri" w:cs="Amiri"/>
          <w:color w:val="111111"/>
          <w:sz w:val="28"/>
          <w:sz w:val="28"/>
          <w:szCs w:val="28"/>
          <w:rtl w:val="true"/>
          <w:lang w:bidi="ar-SA"/>
        </w:rPr>
        <w:t xml:space="preserve">لأنّا قد بيّنّا أنّ الأمرَينِ جميعاً يَعودانِ إلىٰ عِلمِ الضرورةِ </w:t>
      </w:r>
      <w:r>
        <w:rPr>
          <w:rFonts w:eastAsia="Amiri" w:cs="Amiri" w:ascii="Amiri" w:hAnsi="Amiri"/>
          <w:color w:val="111111"/>
          <w:sz w:val="28"/>
          <w:szCs w:val="28"/>
          <w:rtl w:val="true"/>
          <w:lang w:bidi="ar-SA"/>
        </w:rPr>
        <w:t>.</w:t>
      </w:r>
      <w:r>
        <w:rPr>
          <w:rStyle w:val="FootnoteAnchor"/>
          <w:rtl w:val="true"/>
        </w:rPr>
        <w:footnoteReference w:id="281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2814"/>
      </w:r>
      <w:r>
        <w:rPr>
          <w:rFonts w:ascii="Amiri" w:hAnsi="Amiri" w:eastAsia="Amiri" w:cs="Amiri"/>
          <w:color w:val="111111"/>
          <w:sz w:val="28"/>
          <w:sz w:val="28"/>
          <w:szCs w:val="28"/>
          <w:rtl w:val="true"/>
          <w:lang w:bidi="ar-SA"/>
        </w:rPr>
        <w:t>ثَبَتَت</w:t>
      </w:r>
      <w:r>
        <w:rPr>
          <w:rStyle w:val="FootnoteAnchor"/>
          <w:rtl w:val="true"/>
        </w:rPr>
        <w:footnoteReference w:id="2815"/>
      </w:r>
      <w:r>
        <w:rPr>
          <w:rFonts w:ascii="Amiri" w:hAnsi="Amiri" w:eastAsia="Amiri" w:cs="Amiri"/>
          <w:color w:val="111111"/>
          <w:sz w:val="28"/>
          <w:sz w:val="28"/>
          <w:szCs w:val="28"/>
          <w:rtl w:val="true"/>
          <w:lang w:bidi="ar-SA"/>
        </w:rPr>
        <w:t>الجُملةُ التي قَدَّمناها فقَد وَضَحَ كَونُ خبرِ النَّصِّ صِدقاً، و وَجَبَ المَصيرُ إليه و العملُ عَلَيه</w:t>
      </w:r>
      <w:r>
        <w:rPr>
          <w:rFonts w:eastAsia="Amiri" w:cs="Amiri" w:ascii="Amiri" w:hAnsi="Amiri"/>
          <w:color w:val="111111"/>
          <w:sz w:val="28"/>
          <w:szCs w:val="28"/>
          <w:rtl w:val="true"/>
          <w:lang w:bidi="ar-SA"/>
        </w:rPr>
        <w:t xml:space="preserve">. </w:t>
      </w:r>
      <w:bookmarkStart w:id="482" w:name="pg20015_285060"/>
    </w:p>
    <w:p>
      <w:pPr>
        <w:pStyle w:val="Heading3"/>
        <w:numPr>
          <w:ilvl w:val="2"/>
          <w:numId w:val="1"/>
        </w:numPr>
        <w:rPr/>
      </w:pPr>
      <w:bookmarkStart w:id="483" w:name="__RefHeading___Toc895059_2320776876"/>
      <w:bookmarkStart w:id="484" w:name="_Toc171"/>
      <w:bookmarkEnd w:id="482"/>
      <w:bookmarkEnd w:id="483"/>
      <w:r>
        <w:rPr>
          <w:rtl w:val="true"/>
        </w:rPr>
        <w:t>الكلام في حصول العلم بالنصّ</w:t>
      </w:r>
      <w:bookmarkEnd w:id="484"/>
    </w:p>
    <w:p>
      <w:pPr>
        <w:pStyle w:val="Heading4"/>
        <w:numPr>
          <w:ilvl w:val="3"/>
          <w:numId w:val="1"/>
        </w:numPr>
        <w:rPr/>
      </w:pPr>
      <w:bookmarkStart w:id="485" w:name="__RefHeading___Toc895061_2320776876"/>
      <w:bookmarkStart w:id="486" w:name="_Toc172"/>
      <w:bookmarkEnd w:id="485"/>
      <w:r>
        <w:rPr>
          <w:rtl w:val="true"/>
        </w:rPr>
        <w:t>عدم لزوم عموم العلم بالنصّ المتواتر</w:t>
      </w:r>
      <w:bookmarkEnd w:id="48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 حَقّاً، و نَقلُكم له متّصِلاً، و وقوعُه في الأصلِ ظاهراً، لَوَجَبَ أن يقَعَ العِلمُ به لكُلِّ مَن سَمِعَ الأخبارَ، علىٰ حَدِّ وقوعِه بنَصِّ النبيِّ صَلَّى اللّٰهُ عليه و آلِه علىٰ أنّ الكَعبةَ قِبلةٌ‌، و علىٰ صيامِ شَهرِ رَمَضانَ‌، و ما أشبَهَهما</w:t>
      </w:r>
      <w:r>
        <w:rPr>
          <w:rStyle w:val="FootnoteAnchor"/>
          <w:rtl w:val="true"/>
        </w:rPr>
        <w:footnoteReference w:id="2816"/>
      </w:r>
      <w:r>
        <w:rPr>
          <w:rFonts w:ascii="Amiri" w:hAnsi="Amiri" w:eastAsia="Amiri" w:cs="Amiri"/>
          <w:color w:val="111111"/>
          <w:sz w:val="28"/>
          <w:sz w:val="28"/>
          <w:szCs w:val="28"/>
          <w:rtl w:val="true"/>
          <w:lang w:bidi="ar-SA"/>
        </w:rPr>
        <w:t xml:space="preserve">مِن أركانِ العِباداتِ </w:t>
      </w:r>
      <w:r>
        <w:rPr>
          <w:rStyle w:val="FootnoteAnchor"/>
          <w:rtl w:val="true"/>
        </w:rPr>
        <w:footnoteReference w:id="2817"/>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في وجوبِ حُصولِ العِلمِ به مَجرىٰ تأميرِه عليه السلامُ زيدَ بنَ حارثةَ </w:t>
      </w:r>
      <w:r>
        <w:rPr>
          <w:rStyle w:val="FootnoteAnchor"/>
          <w:rtl w:val="true"/>
        </w:rPr>
        <w:footnoteReference w:id="2818"/>
      </w:r>
      <w:r>
        <w:rPr>
          <w:rFonts w:ascii="Amiri" w:hAnsi="Amiri" w:eastAsia="Amiri" w:cs="Amiri"/>
          <w:color w:val="111111"/>
          <w:sz w:val="28"/>
          <w:sz w:val="28"/>
          <w:szCs w:val="28"/>
          <w:rtl w:val="true"/>
          <w:lang w:bidi="ar-SA"/>
        </w:rPr>
        <w:t xml:space="preserve">و خالدَ بنَ </w:t>
      </w:r>
    </w:p>
    <w:p>
      <w:pPr>
        <w:pStyle w:val="BookText"/>
        <w:rPr/>
      </w:pPr>
      <w:r>
        <w:rPr>
          <w:rFonts w:ascii="Amiri" w:hAnsi="Amiri" w:eastAsia="Amiri" w:cs="Amiri"/>
          <w:color w:val="111111"/>
          <w:sz w:val="28"/>
          <w:sz w:val="28"/>
          <w:szCs w:val="28"/>
          <w:rtl w:val="true"/>
          <w:lang w:bidi="ar-SA"/>
        </w:rPr>
        <w:t>الوليدِ</w:t>
      </w:r>
      <w:r>
        <w:rPr>
          <w:rStyle w:val="FootnoteAnchor"/>
          <w:rtl w:val="true"/>
        </w:rPr>
        <w:footnoteReference w:id="2819"/>
      </w:r>
      <w:r>
        <w:rPr>
          <w:rFonts w:ascii="Amiri" w:hAnsi="Amiri" w:eastAsia="Amiri" w:cs="Amiri"/>
          <w:color w:val="111111"/>
          <w:sz w:val="28"/>
          <w:sz w:val="28"/>
          <w:szCs w:val="28"/>
          <w:rtl w:val="true"/>
          <w:lang w:bidi="ar-SA"/>
        </w:rPr>
        <w:t>، إلىٰ غَيرِ مَن ذَكرناه</w:t>
      </w:r>
      <w:r>
        <w:rPr>
          <w:rStyle w:val="FootnoteAnchor"/>
          <w:rtl w:val="true"/>
        </w:rPr>
        <w:footnoteReference w:id="2820"/>
      </w:r>
      <w:r>
        <w:rPr>
          <w:rFonts w:ascii="Amiri" w:hAnsi="Amiri" w:eastAsia="Amiri" w:cs="Amiri"/>
          <w:color w:val="111111"/>
          <w:sz w:val="28"/>
          <w:sz w:val="28"/>
          <w:szCs w:val="28"/>
          <w:rtl w:val="true"/>
          <w:lang w:bidi="ar-SA"/>
        </w:rPr>
        <w:t>مِن وُلاتِه و قُضاتِه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عِلمِنا بالفَرقِ بَينَ النَّصِّ و بَينَ هذه الأُمورِ في بابِ العِلمِ ، دليلٌ علَى الفَرقِ بَينَه و بَينَها في صحّةِ النَّقلِ و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إذا كانَ النَّصُّ حَقّاً و المُخبِرُ عنه صادقاً و الخبرُ به</w:t>
      </w:r>
      <w:r>
        <w:rPr>
          <w:rStyle w:val="FootnoteAnchor"/>
          <w:rtl w:val="true"/>
        </w:rPr>
        <w:footnoteReference w:id="2821"/>
      </w:r>
      <w:r>
        <w:rPr>
          <w:rFonts w:ascii="Amiri" w:hAnsi="Amiri" w:eastAsia="Amiri" w:cs="Amiri"/>
          <w:color w:val="111111"/>
          <w:sz w:val="28"/>
          <w:sz w:val="28"/>
          <w:szCs w:val="28"/>
          <w:rtl w:val="true"/>
          <w:lang w:bidi="ar-SA"/>
        </w:rPr>
        <w:t>مُتَواتِراً أن يَجريَ مَجرىٰ كُلِّ ما كانَ بهذه الصفةِ في عُمومِ العِلمِ به و ارتفاعِ الشكِّ فيه</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لأنّا و إن كُنّا عالِمينَ بمُساواةِ النَّصِّ </w:t>
      </w:r>
      <w:r>
        <w:rPr>
          <w:rStyle w:val="FootnoteAnchor"/>
          <w:rtl w:val="true"/>
        </w:rPr>
        <w:footnoteReference w:id="2823"/>
      </w:r>
      <w:r>
        <w:rPr>
          <w:rFonts w:ascii="Amiri" w:hAnsi="Amiri" w:eastAsia="Amiri" w:cs="Amiri"/>
          <w:color w:val="111111"/>
          <w:sz w:val="28"/>
          <w:sz w:val="28"/>
          <w:szCs w:val="28"/>
          <w:rtl w:val="true"/>
          <w:lang w:bidi="ar-SA"/>
        </w:rPr>
        <w:t>لِما</w:t>
      </w:r>
      <w:r>
        <w:rPr>
          <w:rStyle w:val="FootnoteAnchor"/>
          <w:rtl w:val="true"/>
        </w:rPr>
        <w:footnoteReference w:id="2824"/>
      </w:r>
      <w:r>
        <w:rPr>
          <w:rFonts w:ascii="Amiri" w:hAnsi="Amiri" w:eastAsia="Amiri" w:cs="Amiri"/>
          <w:color w:val="111111"/>
          <w:sz w:val="28"/>
          <w:sz w:val="28"/>
          <w:szCs w:val="28"/>
          <w:rtl w:val="true"/>
          <w:lang w:bidi="ar-SA"/>
        </w:rPr>
        <w:t>ذَكَرتَه</w:t>
      </w:r>
      <w:r>
        <w:rPr>
          <w:rStyle w:val="FootnoteAnchor"/>
          <w:rtl w:val="true"/>
        </w:rPr>
        <w:footnoteReference w:id="2825"/>
      </w:r>
      <w:r>
        <w:rPr>
          <w:rFonts w:ascii="Amiri" w:hAnsi="Amiri" w:eastAsia="Amiri" w:cs="Amiri"/>
          <w:color w:val="111111"/>
          <w:sz w:val="28"/>
          <w:sz w:val="28"/>
          <w:szCs w:val="28"/>
          <w:rtl w:val="true"/>
          <w:lang w:bidi="ar-SA"/>
        </w:rPr>
        <w:t>في الصحّةِ و سَلامةِ النَّقلِ ، فقَد عَلِمنا أيضاً أنّ النَّصَّ قد اتّفَقَ فيه ما لم يَتَّفِقْ في سائرِ ما قَصَصتَه</w:t>
      </w:r>
      <w:r>
        <w:rPr>
          <w:rStyle w:val="FootnoteAnchor"/>
          <w:rtl w:val="true"/>
        </w:rPr>
        <w:footnoteReference w:id="2826"/>
      </w:r>
      <w:r>
        <w:rPr>
          <w:rFonts w:ascii="Amiri" w:hAnsi="Amiri" w:eastAsia="Amiri" w:cs="Amiri"/>
          <w:color w:val="111111"/>
          <w:sz w:val="28"/>
          <w:sz w:val="28"/>
          <w:szCs w:val="28"/>
          <w:rtl w:val="true"/>
          <w:lang w:bidi="ar-SA"/>
        </w:rPr>
        <w:t>لأنّ النَّصَّ علَى الكعبةِ و إيجابِ صَومِ شَهرِ رَمَضانَ و تأميرِ فُلانٍ و فُلانٍ ممّا لَم يَدعُ أحَداً في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ماضٍ و لا مُستَقبَلٍ داعٍ إلىٰ كِتمانِه</w:t>
      </w:r>
      <w:r>
        <w:rPr>
          <w:rStyle w:val="FootnoteAnchor"/>
          <w:rtl w:val="true"/>
        </w:rPr>
        <w:footnoteReference w:id="2827"/>
      </w:r>
      <w:r>
        <w:rPr>
          <w:rFonts w:ascii="Amiri" w:hAnsi="Amiri" w:eastAsia="Amiri" w:cs="Amiri"/>
          <w:color w:val="111111"/>
          <w:sz w:val="28"/>
          <w:sz w:val="28"/>
          <w:szCs w:val="28"/>
          <w:rtl w:val="true"/>
          <w:lang w:bidi="ar-SA"/>
        </w:rPr>
        <w:t>، و لا انعقَدَت رئاسةٌ علىٰ إبطالِه، و لا قوبِلَ راويهِ‌</w:t>
      </w:r>
      <w:r>
        <w:rPr>
          <w:rStyle w:val="FootnoteAnchor"/>
          <w:rtl w:val="true"/>
        </w:rPr>
        <w:footnoteReference w:id="2828"/>
      </w:r>
      <w:r>
        <w:rPr>
          <w:rFonts w:ascii="Amiri" w:hAnsi="Amiri" w:eastAsia="Amiri" w:cs="Amiri"/>
          <w:color w:val="111111"/>
          <w:sz w:val="28"/>
          <w:sz w:val="28"/>
          <w:szCs w:val="28"/>
          <w:rtl w:val="true"/>
          <w:lang w:bidi="ar-SA"/>
        </w:rPr>
        <w:t>في أصلِه أو فَرعِه بالتكذيبِ‌، أو لُقيَ بالتبديعِ‌</w:t>
      </w:r>
      <w:r>
        <w:rPr>
          <w:rStyle w:val="FootnoteAnchor"/>
          <w:rtl w:val="true"/>
        </w:rPr>
        <w:footnoteReference w:id="2829"/>
      </w:r>
      <w:r>
        <w:rPr>
          <w:rFonts w:ascii="Amiri" w:hAnsi="Amiri" w:eastAsia="Amiri" w:cs="Amiri"/>
          <w:color w:val="111111"/>
          <w:sz w:val="28"/>
          <w:sz w:val="28"/>
          <w:szCs w:val="28"/>
          <w:rtl w:val="true"/>
          <w:lang w:bidi="ar-SA"/>
        </w:rPr>
        <w:t>، بَل سلَّمَ له جميعُ الناسِ‌، عالِمُهم و جاهلُهم، مِلّيُّهم و ذِمّيُّهم</w:t>
      </w:r>
      <w:r>
        <w:rPr>
          <w:rStyle w:val="FootnoteAnchor"/>
          <w:rtl w:val="true"/>
        </w:rPr>
        <w:footnoteReference w:id="2830"/>
      </w:r>
      <w:r>
        <w:rPr>
          <w:rFonts w:ascii="Amiri" w:hAnsi="Amiri" w:eastAsia="Amiri" w:cs="Amiri"/>
          <w:color w:val="111111"/>
          <w:sz w:val="28"/>
          <w:sz w:val="28"/>
          <w:szCs w:val="28"/>
          <w:rtl w:val="true"/>
          <w:lang w:bidi="ar-SA"/>
        </w:rPr>
        <w:t>، فاتَّضَحَ لذلكَ طريقُ العِلمِ به، و ارتفَعَ كُلُّ شكٍّ فيه</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هذه</w:t>
      </w:r>
      <w:r>
        <w:rPr>
          <w:rStyle w:val="FootnoteAnchor"/>
          <w:rtl w:val="true"/>
        </w:rPr>
        <w:footnoteReference w:id="2832"/>
      </w:r>
      <w:r>
        <w:rPr>
          <w:rFonts w:ascii="Amiri" w:hAnsi="Amiri" w:eastAsia="Amiri" w:cs="Amiri"/>
          <w:color w:val="111111"/>
          <w:sz w:val="28"/>
          <w:sz w:val="28"/>
          <w:szCs w:val="28"/>
          <w:rtl w:val="true"/>
          <w:lang w:bidi="ar-SA"/>
        </w:rPr>
        <w:t xml:space="preserve">حالَ النَّصِّ‌، فإنّ جميعَ ما عدَّدناه اتّفَقَ فيه و عرَضَ </w:t>
      </w:r>
      <w:r>
        <w:rPr>
          <w:rStyle w:val="FootnoteAnchor"/>
          <w:rtl w:val="true"/>
        </w:rPr>
        <w:footnoteReference w:id="2833"/>
      </w:r>
      <w:r>
        <w:rPr>
          <w:rFonts w:ascii="Amiri" w:hAnsi="Amiri" w:eastAsia="Amiri" w:cs="Amiri"/>
          <w:color w:val="111111"/>
          <w:sz w:val="28"/>
          <w:sz w:val="28"/>
          <w:szCs w:val="28"/>
          <w:rtl w:val="true"/>
          <w:lang w:bidi="ar-SA"/>
        </w:rPr>
        <w:t>في أُصولِه و فُروعِه</w:t>
      </w:r>
      <w:r>
        <w:rPr>
          <w:rStyle w:val="FootnoteAnchor"/>
          <w:rtl w:val="true"/>
        </w:rPr>
        <w:footnoteReference w:id="2834"/>
      </w:r>
      <w:r>
        <w:rPr>
          <w:rFonts w:ascii="Amiri" w:hAnsi="Amiri" w:eastAsia="Amiri" w:cs="Amiri"/>
          <w:color w:val="111111"/>
          <w:sz w:val="28"/>
          <w:sz w:val="28"/>
          <w:szCs w:val="28"/>
          <w:rtl w:val="true"/>
          <w:lang w:bidi="ar-SA"/>
        </w:rPr>
        <w:t xml:space="preserve">، و في اتّفاقِ بعضِه ما يَقتَضي الرَّيبَ و تَطرُّقَ الشُّبهةِ </w:t>
      </w:r>
      <w:r>
        <w:rPr>
          <w:rStyle w:val="FootnoteAnchor"/>
          <w:rtl w:val="true"/>
        </w:rPr>
        <w:footnoteReference w:id="2835"/>
      </w:r>
      <w:r>
        <w:rPr>
          <w:rFonts w:ascii="Amiri" w:hAnsi="Amiri" w:eastAsia="Amiri" w:cs="Amiri"/>
          <w:color w:val="111111"/>
          <w:sz w:val="28"/>
          <w:sz w:val="28"/>
          <w:szCs w:val="28"/>
          <w:rtl w:val="true"/>
          <w:lang w:bidi="ar-SA"/>
        </w:rPr>
        <w:t xml:space="preserve">، و يَمنَعُ مِن مساواةِ ما اجتُمِعَ </w:t>
      </w:r>
      <w:r>
        <w:rPr>
          <w:rStyle w:val="FootnoteAnchor"/>
          <w:rtl w:val="true"/>
        </w:rPr>
        <w:footnoteReference w:id="2836"/>
      </w:r>
      <w:r>
        <w:rPr>
          <w:rFonts w:ascii="Amiri" w:hAnsi="Amiri" w:eastAsia="Amiri" w:cs="Amiri"/>
          <w:color w:val="111111"/>
          <w:sz w:val="28"/>
          <w:sz w:val="28"/>
          <w:szCs w:val="28"/>
          <w:rtl w:val="true"/>
          <w:lang w:bidi="ar-SA"/>
        </w:rPr>
        <w:t xml:space="preserve">علىٰ تسليمِه و تصديقِ راويهِ ممّا تَقدَّمَ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يبيِّنُ أنّ حُصولَ اليقينِ بما ذَكرَه السائلُ و ارتفاعَ الشُّكوكِ عنه لَم يَكُن لأجلِ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ظُهورِه في أصلِه، أو عُمومِ فَرضِه، أو لُزومِ الحُجّةِ به، علىٰ ما يَظُنُّه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لَوجَبَ حُصولُ اليقينِ و زَوالُ الشُّبهةِ في كُلِّ ما جَرىٰ مَجراه في وقوعِ النَّصِّ عَلَيه</w:t>
      </w:r>
      <w:r>
        <w:rPr>
          <w:rStyle w:val="FootnoteAnchor"/>
          <w:rtl w:val="true"/>
        </w:rPr>
        <w:footnoteReference w:id="2837"/>
      </w:r>
      <w:r>
        <w:rPr>
          <w:rFonts w:ascii="Amiri" w:hAnsi="Amiri" w:eastAsia="Amiri" w:cs="Amiri"/>
          <w:color w:val="111111"/>
          <w:sz w:val="28"/>
          <w:sz w:val="28"/>
          <w:szCs w:val="28"/>
          <w:rtl w:val="true"/>
          <w:lang w:bidi="ar-SA"/>
        </w:rPr>
        <w:t>، و لُزومِ الحُجّةِ به، و عُمومِ فَرضِه و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واجباً لَكانَ عِلمُنا بكَيفيّةِ الصلاةِ و الطهارةِ و صفاتِ الحَجِّ </w:t>
      </w:r>
    </w:p>
    <w:p>
      <w:pPr>
        <w:pStyle w:val="BookText"/>
        <w:rPr/>
      </w:pPr>
      <w:r>
        <w:rPr>
          <w:rFonts w:ascii="Amiri" w:hAnsi="Amiri" w:eastAsia="Amiri" w:cs="Amiri"/>
          <w:color w:val="111111"/>
          <w:sz w:val="28"/>
          <w:sz w:val="28"/>
          <w:szCs w:val="28"/>
          <w:rtl w:val="true"/>
          <w:lang w:bidi="ar-SA"/>
        </w:rPr>
        <w:t xml:space="preserve">و حُدودِ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ذَكرناه مِن العِباداتِ الشرعيّةِ‌</w:t>
      </w:r>
      <w:r>
        <w:rPr>
          <w:rStyle w:val="FootnoteAnchor"/>
          <w:rtl w:val="true"/>
        </w:rPr>
        <w:footnoteReference w:id="2838"/>
      </w:r>
      <w:r>
        <w:rPr>
          <w:rFonts w:ascii="Amiri" w:hAnsi="Amiri" w:eastAsia="Amiri" w:cs="Amiri"/>
          <w:color w:val="111111"/>
          <w:sz w:val="28"/>
          <w:sz w:val="28"/>
          <w:szCs w:val="28"/>
          <w:rtl w:val="true"/>
          <w:lang w:bidi="ar-SA"/>
        </w:rPr>
        <w:t xml:space="preserve">المنصوصِ علىٰ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عِلمِنا بوقوعِ النَّصِّ في الجُملةِ علىٰ وجوبِها، و علىٰ حَدِّ عِلمِنا بسائرِ ما تَعدَّدَ مِن أحوالِ النبيِّ صَلَّى اللّٰهُ عليه و آلِه الظاهرةِ‌، كتأميرِه أُمَراءَه، و حَجّتِه، و هِجرتِه، و غَزَواتِه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w:t>
      </w:r>
      <w:r>
        <w:rPr>
          <w:rStyle w:val="FootnoteAnchor"/>
          <w:rtl w:val="true"/>
        </w:rPr>
        <w:footnoteReference w:id="2839"/>
      </w:r>
      <w:r>
        <w:rPr>
          <w:rFonts w:ascii="Amiri" w:hAnsi="Amiri" w:eastAsia="Amiri" w:cs="Amiri"/>
          <w:color w:val="111111"/>
          <w:sz w:val="28"/>
          <w:sz w:val="28"/>
          <w:szCs w:val="28"/>
          <w:rtl w:val="true"/>
          <w:lang w:bidi="ar-SA"/>
        </w:rPr>
        <w:t>كانَ العِلمُ بسائرِ هذه الأُمورِ عامّاً لا طريقَ للشكِّ عَلَيه و لا مَجالَ للشُّبهةِ فيه، و العِلمُ بحُدودِ العِباداتِ التي ذَكرناها و كَيفيّةِ أحكامِها خاصّاً قد تَنازَعَه أهلُ‌</w:t>
      </w:r>
    </w:p>
    <w:p>
      <w:pPr>
        <w:pStyle w:val="BookText"/>
        <w:rPr/>
      </w:pPr>
      <w:r>
        <w:rPr>
          <w:rFonts w:ascii="Amiri" w:hAnsi="Amiri" w:eastAsia="Amiri" w:cs="Amiri"/>
          <w:color w:val="111111"/>
          <w:sz w:val="28"/>
          <w:sz w:val="28"/>
          <w:szCs w:val="28"/>
          <w:rtl w:val="true"/>
          <w:lang w:bidi="ar-SA"/>
        </w:rPr>
        <w:t>العِلمِ و تَجاذَبوه</w:t>
      </w:r>
      <w:r>
        <w:rPr>
          <w:rStyle w:val="FootnoteAnchor"/>
          <w:rtl w:val="true"/>
        </w:rPr>
        <w:footnoteReference w:id="2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اعتَقَدَت كُلُّ فِرقةٍ فيه مَذهَباً يُخالِفُ مَذهَبَ الأُخرىٰ‌، و كُلُّ مَن</w:t>
      </w:r>
      <w:r>
        <w:rPr>
          <w:rStyle w:val="FootnoteAnchor"/>
          <w:rtl w:val="true"/>
        </w:rPr>
        <w:footnoteReference w:id="2841"/>
      </w:r>
      <w:r>
        <w:rPr>
          <w:rFonts w:ascii="Amiri" w:hAnsi="Amiri" w:eastAsia="Amiri" w:cs="Amiri"/>
          <w:color w:val="111111"/>
          <w:sz w:val="28"/>
          <w:sz w:val="28"/>
          <w:szCs w:val="28"/>
          <w:rtl w:val="true"/>
          <w:lang w:bidi="ar-SA"/>
        </w:rPr>
        <w:t xml:space="preserve">تَمسَّكَ في ذلكَ بطريقةٍ </w:t>
      </w:r>
      <w:r>
        <w:rPr>
          <w:rStyle w:val="FootnoteAnchor"/>
          <w:rtl w:val="true"/>
        </w:rPr>
        <w:footnoteReference w:id="2842"/>
      </w:r>
      <w:r>
        <w:rPr>
          <w:rFonts w:ascii="Amiri" w:hAnsi="Amiri" w:eastAsia="Amiri" w:cs="Amiri"/>
          <w:color w:val="111111"/>
          <w:sz w:val="28"/>
          <w:sz w:val="28"/>
          <w:szCs w:val="28"/>
          <w:rtl w:val="true"/>
          <w:lang w:bidi="ar-SA"/>
        </w:rPr>
        <w:t>يَرىٰ أنّ الحُجّةَ هَدَته إليها، و أنّ الشُّبهةَ صرَفَت مُخالِفيه</w:t>
      </w:r>
      <w:r>
        <w:rPr>
          <w:rStyle w:val="FootnoteAnchor"/>
          <w:rtl w:val="true"/>
        </w:rPr>
        <w:footnoteReference w:id="2843"/>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أن يَكونَ ما اشترَكَ في وقوعِ النَّصِّ أو عُمومِ الفَرضِ </w:t>
      </w:r>
      <w:r>
        <w:rPr>
          <w:rStyle w:val="FootnoteAnchor"/>
          <w:rtl w:val="true"/>
        </w:rPr>
        <w:footnoteReference w:id="2844"/>
      </w:r>
      <w:r>
        <w:rPr>
          <w:rFonts w:ascii="Amiri" w:hAnsi="Amiri" w:eastAsia="Amiri" w:cs="Amiri"/>
          <w:color w:val="111111"/>
          <w:sz w:val="28"/>
          <w:sz w:val="28"/>
          <w:szCs w:val="28"/>
          <w:rtl w:val="true"/>
          <w:lang w:bidi="ar-SA"/>
        </w:rPr>
        <w:t>أو لُزومِ الحُجّةِ به</w:t>
      </w:r>
      <w:r>
        <w:rPr>
          <w:rStyle w:val="FootnoteAnchor"/>
          <w:rtl w:val="true"/>
        </w:rPr>
        <w:footnoteReference w:id="2845"/>
      </w:r>
      <w:r>
        <w:rPr>
          <w:rFonts w:ascii="Amiri" w:hAnsi="Amiri" w:eastAsia="Amiri" w:cs="Amiri"/>
          <w:color w:val="111111"/>
          <w:sz w:val="28"/>
          <w:sz w:val="28"/>
          <w:szCs w:val="28"/>
          <w:rtl w:val="true"/>
          <w:lang w:bidi="ar-SA"/>
        </w:rPr>
        <w:t xml:space="preserve">يَجِبُ اشتراكُه في حُصولِ العِلمِ و زَوالِ الشَّكِّ ، و ثبَتَ أنّ الاعتبارَ الذي اعتَبَرناه هو الواجبُ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يُمكِنُ أحَداً أن يَدفَعَ وقوعَ النَّصِّ علىٰ شُروطِ جميعِ ما ذَكرناه مِن العباداتِ و كَيفيّاتِها؛ لأنّه لا سَبيلَ إلَى امتثالِها إلّابَعدَ بيانِ أحكامِها و كيفيّةِ فِعلِها، </w:t>
      </w:r>
    </w:p>
    <w:p>
      <w:pPr>
        <w:pStyle w:val="BookText"/>
        <w:rPr/>
      </w:pPr>
      <w:r>
        <w:rPr>
          <w:rFonts w:ascii="Amiri" w:hAnsi="Amiri" w:eastAsia="Amiri" w:cs="Amiri"/>
          <w:color w:val="111111"/>
          <w:sz w:val="28"/>
          <w:sz w:val="28"/>
          <w:szCs w:val="28"/>
          <w:rtl w:val="true"/>
          <w:lang w:bidi="ar-SA"/>
        </w:rPr>
        <w:t xml:space="preserve">فما يوجِبُ بيانَ فَرضِها و وجوبِها علَى الجُملةِ يوجِبُ بيانَ أحكامِها؛ لأنّ ارتفاعَ أحَدِ البيانَينِ مُخِلٌّ بالامتثالِ ، و لأنّ كَثيراً مِن أحكامِ ما عدَّدناه لا طريقَ للِاجتهادِ فيه، بَل المَرجِعُ في العِلمِ به إلَى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أحكامِ هذه العِباداتِ وقَعَ في الأصلِ مُختَلِفاً، فنُقِلَ علَى اختلافِه، و لَم يَقَعِ العِلمُ بطريقةٍ واحدةٍ فيه كما وقَعَ بما ذُكِرَ</w:t>
      </w:r>
      <w:r>
        <w:rPr>
          <w:rStyle w:val="FootnoteAnchor"/>
          <w:rtl w:val="true"/>
        </w:rPr>
        <w:footnoteReference w:id="2846"/>
      </w:r>
      <w:r>
        <w:rPr>
          <w:rFonts w:ascii="Amiri" w:hAnsi="Amiri" w:eastAsia="Amiri" w:cs="Amiri"/>
          <w:color w:val="111111"/>
          <w:sz w:val="28"/>
          <w:sz w:val="28"/>
          <w:szCs w:val="28"/>
          <w:rtl w:val="true"/>
          <w:lang w:bidi="ar-SA"/>
        </w:rPr>
        <w:t>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لا يُمكِنُ أن يُقالَ في جميعِ ما اختُلِفَ فيه، و إنّما يُذكَرُ في الأذانِ‌؛ فإنّ‌</w:t>
      </w:r>
      <w:r>
        <w:rPr>
          <w:rStyle w:val="FootnoteAnchor"/>
          <w:rtl w:val="true"/>
        </w:rPr>
        <w:footnoteReference w:id="2847"/>
      </w:r>
      <w:r>
        <w:rPr>
          <w:rFonts w:ascii="Amiri" w:hAnsi="Amiri" w:eastAsia="Amiri" w:cs="Amiri"/>
          <w:color w:val="111111"/>
          <w:sz w:val="28"/>
          <w:sz w:val="28"/>
          <w:szCs w:val="28"/>
          <w:rtl w:val="true"/>
          <w:lang w:bidi="ar-SA"/>
        </w:rPr>
        <w:t>أذانَ مؤذِّنيه عليه السلامُ وقَعَ مختَلِفاً</w:t>
      </w:r>
      <w:r>
        <w:rPr>
          <w:rStyle w:val="FootnoteAnchor"/>
          <w:rtl w:val="true"/>
        </w:rPr>
        <w:footnoteReference w:id="2848"/>
      </w:r>
      <w:r>
        <w:rPr>
          <w:rFonts w:ascii="Amiri" w:hAnsi="Amiri" w:eastAsia="Amiri" w:cs="Amiri"/>
          <w:color w:val="111111"/>
          <w:sz w:val="28"/>
          <w:sz w:val="28"/>
          <w:szCs w:val="28"/>
          <w:rtl w:val="true"/>
          <w:lang w:bidi="ar-SA"/>
        </w:rPr>
        <w:t>، و إن ذُكِرَ في غَيرِه فلا بُدَّ أن يَكونَ ممّا</w:t>
      </w:r>
      <w:r>
        <w:rPr>
          <w:rStyle w:val="FootnoteAnchor"/>
          <w:rtl w:val="true"/>
        </w:rPr>
        <w:footnoteReference w:id="2849"/>
      </w:r>
      <w:r>
        <w:rPr>
          <w:rFonts w:ascii="Amiri" w:hAnsi="Amiri" w:eastAsia="Amiri" w:cs="Amiri"/>
          <w:color w:val="111111"/>
          <w:sz w:val="28"/>
          <w:sz w:val="28"/>
          <w:szCs w:val="28"/>
          <w:rtl w:val="true"/>
          <w:lang w:bidi="ar-SA"/>
        </w:rPr>
        <w:t>طريقُه التخييرُ، أو ممّا يَسوغُ فيه اختلافُ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غَيرُ دافعٍ‌</w:t>
      </w:r>
      <w:r>
        <w:rPr>
          <w:rStyle w:val="FootnoteAnchor"/>
          <w:rtl w:val="true"/>
        </w:rPr>
        <w:footnoteReference w:id="2850"/>
      </w:r>
      <w:r>
        <w:rPr>
          <w:rFonts w:ascii="Amiri" w:hAnsi="Amiri" w:eastAsia="Amiri" w:cs="Amiri"/>
          <w:color w:val="111111"/>
          <w:sz w:val="28"/>
          <w:sz w:val="28"/>
          <w:szCs w:val="28"/>
          <w:rtl w:val="true"/>
          <w:lang w:bidi="ar-SA"/>
        </w:rPr>
        <w:t>للكلامِ‌؛ لأنّ هذه الأحكامَ إن كانَ بيانُها وقَعَ في الأصلِ‌</w:t>
      </w:r>
      <w:r>
        <w:rPr>
          <w:rStyle w:val="FootnoteAnchor"/>
          <w:rtl w:val="true"/>
        </w:rPr>
        <w:footnoteReference w:id="2851"/>
      </w:r>
      <w:r>
        <w:rPr>
          <w:rFonts w:ascii="Amiri" w:hAnsi="Amiri" w:eastAsia="Amiri" w:cs="Amiri"/>
          <w:color w:val="111111"/>
          <w:sz w:val="28"/>
          <w:sz w:val="28"/>
          <w:szCs w:val="28"/>
          <w:rtl w:val="true"/>
          <w:lang w:bidi="ar-SA"/>
        </w:rPr>
        <w:t>علىٰ وجهٍ‌</w:t>
      </w:r>
      <w:r>
        <w:rPr>
          <w:rStyle w:val="FootnoteAnchor"/>
          <w:rtl w:val="true"/>
        </w:rPr>
        <w:footnoteReference w:id="2852"/>
      </w:r>
      <w:r>
        <w:rPr>
          <w:rFonts w:ascii="Amiri" w:hAnsi="Amiri" w:eastAsia="Amiri" w:cs="Amiri"/>
          <w:color w:val="111111"/>
          <w:sz w:val="28"/>
          <w:sz w:val="28"/>
          <w:szCs w:val="28"/>
          <w:rtl w:val="true"/>
          <w:lang w:bidi="ar-SA"/>
        </w:rPr>
        <w:t>واحدٍ، فالاعتراضُ بها لازمٌ للقَومِ ظاهرُ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وقَعَ مختَلِفاً لإباحةٍ أو تخييرٍ أو غَيرِهما، فلَيسَ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عارَضْنا به، و يَكفي أن يَكونَ في جُملتِه</w:t>
      </w:r>
      <w:r>
        <w:rPr>
          <w:rStyle w:val="FootnoteAnchor"/>
          <w:rtl w:val="true"/>
        </w:rPr>
        <w:footnoteReference w:id="2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واحدٌ يُخالفُ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مُعارَضتَنا تَكونُ مُتوجِّهةً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وقوعَ الجميعِ مُختَلِفاً لَكانَ الكلامُ أيضاً لازِماً؛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w:t>
      </w:r>
    </w:p>
    <w:p>
      <w:pPr>
        <w:pStyle w:val="BookText"/>
        <w:rPr/>
      </w:pPr>
      <w:r>
        <w:rPr>
          <w:rFonts w:ascii="Amiri" w:hAnsi="Amiri" w:eastAsia="Amiri" w:cs="Amiri"/>
          <w:color w:val="111111"/>
          <w:sz w:val="28"/>
          <w:sz w:val="28"/>
          <w:szCs w:val="28"/>
          <w:rtl w:val="true"/>
          <w:lang w:bidi="ar-SA"/>
        </w:rPr>
        <w:t>أن يُعلَمَ وقوعُه علَى الوجهِ الذي وقَعَ عَلَيه مِن الاختلافِ‌، كما عَلِمنا سائرَ ما ذُكِرَ</w:t>
      </w:r>
      <w:r>
        <w:rPr>
          <w:rStyle w:val="FootnoteAnchor"/>
          <w:rtl w:val="true"/>
        </w:rPr>
        <w:footnoteReference w:id="2855"/>
      </w:r>
      <w:r>
        <w:rPr>
          <w:rFonts w:ascii="Amiri" w:hAnsi="Amiri" w:eastAsia="Amiri" w:cs="Amiri"/>
          <w:color w:val="111111"/>
          <w:sz w:val="28"/>
          <w:sz w:val="28"/>
          <w:szCs w:val="28"/>
          <w:rtl w:val="true"/>
          <w:lang w:bidi="ar-SA"/>
        </w:rPr>
        <w:t xml:space="preserve">ممّا وقَعَ متَّفِقاً؛ لأنّه 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يُظهِرَ بيانَ الحُكمِ و يكرِّرَه</w:t>
      </w:r>
      <w:r>
        <w:rPr>
          <w:rStyle w:val="FootnoteAnchor"/>
          <w:rtl w:val="true"/>
        </w:rPr>
        <w:footnoteReference w:id="2856"/>
      </w:r>
      <w:r>
        <w:rPr>
          <w:rFonts w:ascii="Amiri" w:hAnsi="Amiri" w:eastAsia="Amiri" w:cs="Amiri"/>
          <w:color w:val="111111"/>
          <w:sz w:val="28"/>
          <w:sz w:val="28"/>
          <w:szCs w:val="28"/>
          <w:rtl w:val="true"/>
          <w:lang w:bidi="ar-SA"/>
        </w:rPr>
        <w:t>متَّفِقاً، و بَينَ أن يُظهِرَه و يكرِّرَه</w:t>
      </w:r>
      <w:r>
        <w:rPr>
          <w:rStyle w:val="FootnoteAnchor"/>
          <w:rtl w:val="true"/>
        </w:rPr>
        <w:footnoteReference w:id="2857"/>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العِلمَ بحالِه في الاختلافِ و الاتّفاقِ يَجِبُ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أن نَكونَ 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الأذانِ مَثنىٰ و وقوعِه مُفرَداً</w:t>
      </w:r>
      <w:r>
        <w:rPr>
          <w:rStyle w:val="FootnoteAnchor"/>
          <w:rtl w:val="true"/>
        </w:rPr>
        <w:footnoteReference w:id="2858"/>
      </w:r>
      <w:r>
        <w:rPr>
          <w:rFonts w:ascii="Amiri" w:hAnsi="Amiri" w:eastAsia="Amiri" w:cs="Amiri"/>
          <w:color w:val="111111"/>
          <w:sz w:val="28"/>
          <w:sz w:val="28"/>
          <w:szCs w:val="28"/>
          <w:rtl w:val="true"/>
          <w:lang w:bidi="ar-SA"/>
        </w:rPr>
        <w:t>، و بأنّه صَلَّى اللّٰهُ عليه و آلِه قطَعَ السارقَ مِن مَواضِعَ مختَلِفةٍ‌، إلىٰ جميعِ ما وقَعَ الاختلافُ فيه و كانَ مَرجِعُه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عِلمِنا بوجوبِ الأذانِ في الجُملةِ و نَصِّه علَى الكَعبةِ و صيامِ الشهرِ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عَدَمِ العِلمِ بأحَدِ الأمرَينِ و دخولِ الشُّبهةِ فيه و حُصولِه في الآخَرِ و انتفائها عنه دَلالةٌ علىٰ صحّةِ قَولِنا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لهُم ما لا يَزالونَ يَقولونَه عندَ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التي أشَرتم إليها و وقَعَ اختلافُ الناسِ فيها، لَم يَكُن مِن الرسولِ صَلَّى اللّٰهُ عليه و آلِه نَصٌّ فيها و لا</w:t>
      </w:r>
      <w:r>
        <w:rPr>
          <w:rStyle w:val="FootnoteAnchor"/>
          <w:rtl w:val="true"/>
        </w:rPr>
        <w:footnoteReference w:id="2859"/>
      </w:r>
      <w:r>
        <w:rPr>
          <w:rFonts w:ascii="Amiri" w:hAnsi="Amiri" w:eastAsia="Amiri" w:cs="Amiri"/>
          <w:color w:val="111111"/>
          <w:sz w:val="28"/>
          <w:sz w:val="28"/>
          <w:szCs w:val="28"/>
          <w:rtl w:val="true"/>
          <w:lang w:bidi="ar-SA"/>
        </w:rPr>
        <w:t xml:space="preserve">تَوقيفٌ عَلَيها، و إنّما وكَلَ فيها أُمَّتَه إلَى الاستدلالِ و الاجتهادِ، و إن كُنّا قد بيّنّا فَسادَه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معنىٰ كلامِنا هذا</w:t>
      </w:r>
      <w:r>
        <w:rPr>
          <w:rStyle w:val="FootnoteAnchor"/>
          <w:rtl w:val="true"/>
        </w:rPr>
        <w:footnoteReference w:id="2860"/>
      </w:r>
      <w:r>
        <w:rPr>
          <w:rFonts w:ascii="Amiri" w:hAnsi="Amiri" w:eastAsia="Amiri" w:cs="Amiri"/>
          <w:color w:val="111111"/>
          <w:sz w:val="28"/>
          <w:sz w:val="28"/>
          <w:szCs w:val="28"/>
          <w:rtl w:val="true"/>
          <w:lang w:bidi="ar-SA"/>
        </w:rPr>
        <w:t>أيضاً مُبطِلاً له؛ لأنّ مِن جُملِة ما ذَكرناه مِن الأحكامِ ما عَلِمنا حُدوثَه علىٰ عهدِ الرسولِ‌</w:t>
      </w:r>
      <w:r>
        <w:rPr>
          <w:rStyle w:val="FootnoteAnchor"/>
          <w:rtl w:val="true"/>
        </w:rPr>
        <w:footnoteReference w:id="2861"/>
      </w:r>
      <w:r>
        <w:rPr>
          <w:rFonts w:ascii="Amiri" w:hAnsi="Amiri" w:eastAsia="Amiri" w:cs="Amiri"/>
          <w:color w:val="111111"/>
          <w:sz w:val="28"/>
          <w:sz w:val="28"/>
          <w:szCs w:val="28"/>
          <w:rtl w:val="true"/>
          <w:lang w:bidi="ar-SA"/>
        </w:rPr>
        <w:t>صَلَّى اللّٰهُ عليه و آلِه، و أنّه قد كانَ مِنه عليه السلامُ فيه</w:t>
      </w:r>
      <w:r>
        <w:rPr>
          <w:rStyle w:val="FootnoteAnchor"/>
          <w:rtl w:val="true"/>
        </w:rPr>
        <w:footnoteReference w:id="2862"/>
      </w:r>
      <w:r>
        <w:rPr>
          <w:rFonts w:ascii="Amiri" w:hAnsi="Amiri" w:eastAsia="Amiri" w:cs="Amiri"/>
          <w:color w:val="111111"/>
          <w:sz w:val="28"/>
          <w:sz w:val="28"/>
          <w:szCs w:val="28"/>
          <w:rtl w:val="true"/>
          <w:lang w:bidi="ar-SA"/>
        </w:rPr>
        <w:t xml:space="preserve">فِعلٌ مخصوصٌ ، كعِلمِنا بأنّه عليه السلامُ قد كانَ يَتطهَّرُ </w:t>
      </w:r>
    </w:p>
    <w:p>
      <w:pPr>
        <w:pStyle w:val="BookText"/>
        <w:rPr/>
      </w:pPr>
      <w:r>
        <w:rPr>
          <w:rFonts w:ascii="Amiri" w:hAnsi="Amiri" w:eastAsia="Amiri" w:cs="Amiri"/>
          <w:color w:val="111111"/>
          <w:sz w:val="28"/>
          <w:sz w:val="28"/>
          <w:szCs w:val="28"/>
          <w:rtl w:val="true"/>
          <w:lang w:bidi="ar-SA"/>
        </w:rPr>
        <w:t>في كَثيرٍ مِن الأوقاتِ بَينَ أصحابِه في السفَرِ و الحَضَرِ و يُصلّي بهم بحَيثُ يُشاهِدونَه، و يؤذَّنُ له</w:t>
      </w:r>
      <w:r>
        <w:rPr>
          <w:rStyle w:val="FootnoteAnchor"/>
          <w:rtl w:val="true"/>
        </w:rPr>
        <w:footnoteReference w:id="2863"/>
      </w:r>
      <w:r>
        <w:rPr>
          <w:rFonts w:ascii="Amiri" w:hAnsi="Amiri" w:eastAsia="Amiri" w:cs="Amiri"/>
          <w:color w:val="111111"/>
          <w:sz w:val="28"/>
          <w:sz w:val="28"/>
          <w:szCs w:val="28"/>
          <w:rtl w:val="true"/>
          <w:lang w:bidi="ar-SA"/>
        </w:rPr>
        <w:t>في اليَومِ و الليلةِ‌</w:t>
      </w:r>
      <w:r>
        <w:rPr>
          <w:rStyle w:val="FootnoteAnchor"/>
          <w:rtl w:val="true"/>
        </w:rPr>
        <w:footnoteReference w:id="2864"/>
      </w:r>
      <w:r>
        <w:rPr>
          <w:rFonts w:ascii="Amiri" w:hAnsi="Amiri" w:eastAsia="Amiri" w:cs="Amiri"/>
          <w:color w:val="111111"/>
          <w:sz w:val="28"/>
          <w:sz w:val="28"/>
          <w:szCs w:val="28"/>
          <w:rtl w:val="true"/>
          <w:lang w:bidi="ar-SA"/>
        </w:rPr>
        <w:t>خَمسَ دَفَعاتٍ أذاناً ظاهراً، و قد قطَعَ</w:t>
      </w:r>
    </w:p>
    <w:p>
      <w:pPr>
        <w:pStyle w:val="BookText"/>
        <w:rPr/>
      </w:pPr>
      <w:r>
        <w:rPr>
          <w:rFonts w:ascii="Amiri" w:hAnsi="Amiri" w:eastAsia="Amiri" w:cs="Amiri"/>
          <w:color w:val="111111"/>
          <w:sz w:val="28"/>
          <w:sz w:val="28"/>
          <w:szCs w:val="28"/>
          <w:rtl w:val="true"/>
          <w:lang w:bidi="ar-SA"/>
        </w:rPr>
        <w:t xml:space="preserve">عليه السلامُ بعضَ السُّرّاقِ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أنّ للِاجتهادِ مَجالاً في تفصيلِ أحكامِ العِباداتِ و حُدودِها، ما بالُنا لا نَعلَمُ صفةَ فِعلِه عليه السلامُ لِما ذَكرناه مِن صَلاةٍ و طَهارةٍ </w:t>
      </w:r>
      <w:r>
        <w:rPr>
          <w:rStyle w:val="FootnoteAnchor"/>
          <w:rtl w:val="true"/>
        </w:rPr>
        <w:footnoteReference w:id="2865"/>
      </w:r>
      <w:r>
        <w:rPr>
          <w:rFonts w:ascii="Amiri" w:hAnsi="Amiri" w:eastAsia="Amiri" w:cs="Amiri"/>
          <w:color w:val="111111"/>
          <w:sz w:val="28"/>
          <w:sz w:val="28"/>
          <w:szCs w:val="28"/>
          <w:rtl w:val="true"/>
          <w:lang w:bidi="ar-SA"/>
        </w:rPr>
        <w:t>و أذانٍ و قَطعٍ؟ و كَيفَ ذَهَبت</w:t>
      </w:r>
      <w:r>
        <w:rPr>
          <w:rStyle w:val="FootnoteAnchor"/>
          <w:rtl w:val="true"/>
        </w:rPr>
        <w:footnoteReference w:id="2866"/>
      </w:r>
      <w:r>
        <w:rPr>
          <w:rFonts w:ascii="Amiri" w:hAnsi="Amiri" w:eastAsia="Amiri" w:cs="Amiri"/>
          <w:color w:val="111111"/>
          <w:sz w:val="28"/>
          <w:sz w:val="28"/>
          <w:szCs w:val="28"/>
          <w:rtl w:val="true"/>
          <w:lang w:bidi="ar-SA"/>
        </w:rPr>
        <w:t>الأُمّةُ عن نَقلِ ذلكَ علىٰ وجهِه إن كانَت لَم تَنقُلْه ؟ أو كَيفَ ذهَبَت عن عِلمِه إن كانَ نُقِلَ؟ و ألّا جَرىٰ عِلمُنا بصفةِ طَهارتِه و صَلاتِه و ما عَدَّدناه مِن أفعالِه مَجرىٰ عِلمِنا بنَصِّه في الجُملةِ علَى الصَّلاةِ و الطَّهورِ و كَذا و كَذا</w:t>
      </w:r>
      <w:r>
        <w:rPr>
          <w:rStyle w:val="FootnoteAnchor"/>
          <w:rtl w:val="true"/>
        </w:rPr>
        <w:footnoteReference w:id="28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فعَلَه النبيُّ صَلَّى اللّٰهُ عليه و آلِه</w:t>
      </w:r>
      <w:r>
        <w:rPr>
          <w:rStyle w:val="FootnoteAnchor"/>
          <w:rtl w:val="true"/>
        </w:rPr>
        <w:footnoteReference w:id="2868"/>
      </w:r>
      <w:r>
        <w:rPr>
          <w:rFonts w:ascii="Amiri" w:hAnsi="Amiri" w:eastAsia="Amiri" w:cs="Amiri"/>
          <w:color w:val="111111"/>
          <w:sz w:val="28"/>
          <w:sz w:val="28"/>
          <w:szCs w:val="28"/>
          <w:rtl w:val="true"/>
          <w:lang w:bidi="ar-SA"/>
        </w:rPr>
        <w:t xml:space="preserve">ممّا ذَكَرتموه و رُويَ عنه، لا اختلافَ في ثُبوتِ الروايةِ به، و إنّما ذهَبَ المختَلِفونَ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بصفةِ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خِلافِ ما فعَلَه، لتأويلِ آياتٍ أو لطُرُقٍ‌</w:t>
      </w:r>
      <w:r>
        <w:rPr>
          <w:rStyle w:val="FootnoteAnchor"/>
          <w:rtl w:val="true"/>
        </w:rPr>
        <w:footnoteReference w:id="2869"/>
      </w:r>
      <w:r>
        <w:rPr>
          <w:rFonts w:ascii="Amiri" w:hAnsi="Amiri" w:eastAsia="Amiri" w:cs="Amiri"/>
          <w:color w:val="111111"/>
          <w:sz w:val="28"/>
          <w:sz w:val="28"/>
          <w:szCs w:val="28"/>
          <w:rtl w:val="true"/>
          <w:lang w:bidi="ar-SA"/>
        </w:rPr>
        <w:t>مِن الاستدلالِ ؛ لأنّه لَم يَصِحَّ عندَهم أنّ الرسولَ صَلَّى اللّٰهُ عليه و آلِه</w:t>
      </w:r>
      <w:r>
        <w:rPr>
          <w:rStyle w:val="FootnoteAnchor"/>
          <w:rtl w:val="true"/>
        </w:rPr>
        <w:footnoteReference w:id="2870"/>
      </w:r>
      <w:r>
        <w:rPr>
          <w:rFonts w:ascii="Amiri" w:hAnsi="Amiri" w:eastAsia="Amiri" w:cs="Amiri"/>
          <w:color w:val="111111"/>
          <w:sz w:val="28"/>
          <w:sz w:val="28"/>
          <w:szCs w:val="28"/>
          <w:rtl w:val="true"/>
          <w:lang w:bidi="ar-SA"/>
        </w:rPr>
        <w:t>حظَرَ أن يُفعَلَ في هذه العِباداتِ خِلافُ ما</w:t>
      </w:r>
      <w:r>
        <w:rPr>
          <w:rStyle w:val="FootnoteAnchor"/>
          <w:rtl w:val="true"/>
        </w:rPr>
        <w:footnoteReference w:id="2871"/>
      </w:r>
      <w:r>
        <w:rPr>
          <w:rFonts w:ascii="Amiri" w:hAnsi="Amiri" w:eastAsia="Amiri" w:cs="Amiri"/>
          <w:color w:val="111111"/>
          <w:sz w:val="28"/>
          <w:sz w:val="28"/>
          <w:szCs w:val="28"/>
          <w:rtl w:val="true"/>
          <w:lang w:bidi="ar-SA"/>
        </w:rPr>
        <w:t xml:space="preserve">فعَلَه كما صَحَّ </w:t>
      </w:r>
      <w:r>
        <w:rPr>
          <w:rStyle w:val="FootnoteAnchor"/>
          <w:rtl w:val="true"/>
        </w:rPr>
        <w:footnoteReference w:id="2872"/>
      </w:r>
      <w:r>
        <w:rPr>
          <w:rFonts w:ascii="Amiri" w:hAnsi="Amiri" w:eastAsia="Amiri" w:cs="Amiri"/>
          <w:color w:val="111111"/>
          <w:sz w:val="28"/>
          <w:sz w:val="28"/>
          <w:szCs w:val="28"/>
          <w:rtl w:val="true"/>
          <w:lang w:bidi="ar-SA"/>
        </w:rPr>
        <w:t>عندَهم صفةُ ما فعَلَه مِنها، و لأنّ وقوعَ العِلمِ بفِعلِه</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علىٰ بعضِ الصفاتِ إنّما يدُلُّ علىٰ صوابِ اتّباعِه في تلكَ الصفةِ‌، و لا يَمنَعُ‌</w:t>
      </w:r>
      <w:r>
        <w:rPr>
          <w:rStyle w:val="FootnoteAnchor"/>
          <w:rtl w:val="true"/>
        </w:rPr>
        <w:footnoteReference w:id="2874"/>
      </w:r>
      <w:r>
        <w:rPr>
          <w:rFonts w:ascii="Amiri" w:hAnsi="Amiri" w:eastAsia="Amiri" w:cs="Amiri"/>
          <w:color w:val="111111"/>
          <w:sz w:val="28"/>
          <w:sz w:val="28"/>
          <w:szCs w:val="28"/>
          <w:rtl w:val="true"/>
          <w:lang w:bidi="ar-SA"/>
        </w:rPr>
        <w:t>مِن قيامِ دَلالةٍ أُخرىٰ علىٰ جوازِ إيقاعِه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ورَدَت به الروايةُ‌</w:t>
      </w:r>
      <w:r>
        <w:rPr>
          <w:rStyle w:val="FootnoteAnchor"/>
          <w:rtl w:val="true"/>
        </w:rPr>
        <w:footnoteReference w:id="2875"/>
      </w:r>
      <w:r>
        <w:rPr>
          <w:rFonts w:ascii="Amiri" w:hAnsi="Amiri" w:eastAsia="Amiri" w:cs="Amiri"/>
          <w:color w:val="111111"/>
          <w:sz w:val="28"/>
          <w:sz w:val="28"/>
          <w:szCs w:val="28"/>
          <w:rtl w:val="true"/>
          <w:lang w:bidi="ar-SA"/>
        </w:rPr>
        <w:t>في طَهارتِه غَسلُ الرِّجلَينِ لا مَسحُهما، و مَسحُ جميعِ الرأسِ لا بعضِه، و في القَطعِ أنّه قطَعَ السارقَ مِن الرُّسغِ‌</w:t>
      </w:r>
      <w:r>
        <w:rPr>
          <w:rStyle w:val="FootnoteAnchor"/>
          <w:rtl w:val="true"/>
        </w:rPr>
        <w:footnoteReference w:id="2876"/>
      </w:r>
      <w:r>
        <w:rPr>
          <w:rFonts w:ascii="Amiri" w:hAnsi="Amiri" w:eastAsia="Amiri" w:cs="Amiri"/>
          <w:color w:val="111111"/>
          <w:sz w:val="28"/>
          <w:sz w:val="28"/>
          <w:szCs w:val="28"/>
          <w:rtl w:val="true"/>
          <w:lang w:bidi="ar-SA"/>
        </w:rPr>
        <w:t xml:space="preserve">، و لَيسَ يُخالِفُ في هذا عنه عليه السلامُ مَن خالَفَ في جوازِ المَسحِ علَى الرِّجلَينِ و ببعضِ الرأسِ ، و قطَعَ السارقَ مِن الأصابعِ أو المَنكِبِ </w:t>
      </w:r>
      <w:r>
        <w:rPr>
          <w:rStyle w:val="FootnoteAnchor"/>
          <w:rtl w:val="true"/>
        </w:rPr>
        <w:footnoteReference w:id="2877"/>
      </w:r>
      <w:r>
        <w:rPr>
          <w:rFonts w:ascii="Amiri" w:hAnsi="Amiri" w:eastAsia="Amiri" w:cs="Amiri"/>
          <w:color w:val="111111"/>
          <w:sz w:val="28"/>
          <w:sz w:val="28"/>
          <w:szCs w:val="28"/>
          <w:rtl w:val="true"/>
          <w:lang w:bidi="ar-SA"/>
        </w:rPr>
        <w:t>، مِن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مِن قائلِه نِهايةُ المُكابَرةِ‌؛ لأنّا نَعلَمُ ضَرورةً أنّ مَن خالَفَ في مَسحِ‌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w:t>
      </w:r>
      <w:r>
        <w:rPr>
          <w:rStyle w:val="FootnoteAnchor"/>
          <w:rtl w:val="true"/>
        </w:rPr>
        <w:footnoteReference w:id="2878"/>
      </w:r>
      <w:r>
        <w:rPr>
          <w:rFonts w:ascii="Amiri" w:hAnsi="Amiri" w:eastAsia="Amiri" w:cs="Amiri"/>
          <w:color w:val="111111"/>
          <w:sz w:val="28"/>
          <w:sz w:val="28"/>
          <w:szCs w:val="28"/>
          <w:rtl w:val="true"/>
          <w:lang w:bidi="ar-SA"/>
        </w:rPr>
        <w:t xml:space="preserve">الرأسِ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غَسلِ الرِّجلَينِ بَدَلاً مِن مَسحِهما، و خالَفَ مِنهم</w:t>
      </w:r>
      <w:r>
        <w:rPr>
          <w:rStyle w:val="FootnoteAnchor"/>
          <w:rtl w:val="true"/>
        </w:rPr>
        <w:footnoteReference w:id="2879"/>
      </w:r>
      <w:r>
        <w:rPr>
          <w:rFonts w:ascii="Amiri" w:hAnsi="Amiri" w:eastAsia="Amiri" w:cs="Amiri"/>
          <w:color w:val="111111"/>
          <w:sz w:val="28"/>
          <w:sz w:val="28"/>
          <w:szCs w:val="28"/>
          <w:rtl w:val="true"/>
          <w:lang w:bidi="ar-SA"/>
        </w:rPr>
        <w:t xml:space="preserve">في قَطعِ السارقِ و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الروايةَ عن النبيِّ صَلَّى اللّٰهُ عليه و آلِه </w:t>
      </w:r>
    </w:p>
    <w:p>
      <w:pPr>
        <w:pStyle w:val="BookText"/>
        <w:rPr/>
      </w:pPr>
      <w:r>
        <w:rPr>
          <w:rFonts w:ascii="Amiri" w:hAnsi="Amiri" w:eastAsia="Amiri" w:cs="Amiri"/>
          <w:color w:val="111111"/>
          <w:sz w:val="28"/>
          <w:sz w:val="28"/>
          <w:szCs w:val="28"/>
          <w:rtl w:val="true"/>
          <w:lang w:bidi="ar-SA"/>
        </w:rPr>
        <w:t xml:space="preserve">بخِلافِ مَذهَبِه، و لا يُسلِّمُ أنّه عليه السلامُ فعَلَ شيئاً مِن ذلكَ إلّاعلَى الوجهِ الذي ذَهَب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مُخالِفيه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يَتوهَّمُ هذا عاقلٌ و هو يَعلَمُ أنّ الشيعةَ تُبَدِّعُ مَن مَسَحَ جميعَ رأسِه</w:t>
      </w:r>
      <w:r>
        <w:rPr>
          <w:rStyle w:val="FootnoteAnchor"/>
          <w:rtl w:val="true"/>
        </w:rPr>
        <w:footnoteReference w:id="2881"/>
      </w:r>
      <w:r>
        <w:rPr>
          <w:rFonts w:ascii="Amiri" w:hAnsi="Amiri" w:eastAsia="Amiri" w:cs="Amiri"/>
          <w:color w:val="111111"/>
          <w:sz w:val="28"/>
          <w:sz w:val="28"/>
          <w:szCs w:val="28"/>
          <w:rtl w:val="true"/>
          <w:lang w:bidi="ar-SA"/>
        </w:rPr>
        <w:t xml:space="preserve">أو غَسَلَ رِجلَيه،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غَسلَ الرِّجلَينِ لا يُجزئُ عن مَسحِهما، و لا صَلاةَ لِمَن استعمَلَ الغَسلَ بَدَلاً مِن المَسحِ ، و كذلكَ لا صَلاةَ لِمَن مسَحَ جميعَ رأسِه مُعتَقِداً أنّ الفَرضَ لا يَتِمُّ </w:t>
      </w:r>
      <w:r>
        <w:rPr>
          <w:rStyle w:val="FootnoteAnchor"/>
          <w:rtl w:val="true"/>
        </w:rPr>
        <w:footnoteReference w:id="2882"/>
      </w:r>
      <w:r>
        <w:rPr>
          <w:rFonts w:ascii="Amiri" w:hAnsi="Amiri" w:eastAsia="Amiri" w:cs="Amiri"/>
          <w:color w:val="111111"/>
          <w:sz w:val="28"/>
          <w:sz w:val="28"/>
          <w:szCs w:val="28"/>
          <w:rtl w:val="true"/>
          <w:lang w:bidi="ar-SA"/>
        </w:rPr>
        <w:t>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أنّ النبيَّ صَلَّى اللّٰهُ عليه و آلِه لَم يَستَعمِلْ قَطُّ في رِجلَيه إلّاالمَسحَ دونَ الغَسلِ ، و لا قطَعَ السارقَ إلّامِن حَيثُ يَقتَضي مَذهَبُهم قَطْعَه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فإذا جازَ أن يَكونَ الروايةُ بذلكَ ظاهرةً عن النبيِّ صَلَّى اللّٰهُ عليه و آلِه مُستَفيضةً مع خِلافِ الشيعةِ فيها و تديُّنِهم ببُطلانِها، جازَ أن يَكونَ النَّصُّ </w:t>
      </w:r>
      <w:r>
        <w:rPr>
          <w:rStyle w:val="FootnoteAnchor"/>
          <w:rtl w:val="true"/>
        </w:rPr>
        <w:footnoteReference w:id="2883"/>
      </w:r>
      <w:r>
        <w:rPr>
          <w:rFonts w:ascii="Amiri" w:hAnsi="Amiri" w:eastAsia="Amiri" w:cs="Amiri"/>
          <w:color w:val="111111"/>
          <w:sz w:val="28"/>
          <w:sz w:val="28"/>
          <w:szCs w:val="28"/>
          <w:rtl w:val="true"/>
          <w:lang w:bidi="ar-SA"/>
        </w:rPr>
        <w:t xml:space="preserve">صَحيحاً </w:t>
      </w:r>
    </w:p>
    <w:p>
      <w:pPr>
        <w:pStyle w:val="BookText"/>
        <w:rPr/>
      </w:pPr>
      <w:r>
        <w:rPr>
          <w:rFonts w:ascii="Amiri" w:hAnsi="Amiri" w:eastAsia="Amiri" w:cs="Amiri"/>
          <w:color w:val="111111"/>
          <w:sz w:val="28"/>
          <w:sz w:val="28"/>
          <w:szCs w:val="28"/>
          <w:rtl w:val="true"/>
          <w:lang w:bidi="ar-SA"/>
        </w:rPr>
        <w:t xml:space="preserve">و الخبرُ به حَقّاً مع خِلافِ مَن خالَفَ فيه، و أيُّ شيءٍ قيلَ في خِلافِ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قَذفٍ لهُم بالمكابَرةِ‌، و دَفعِ المعلومِ‌، أو دخولِ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يَقولَ الشيعةُ مِثلَه</w:t>
      </w:r>
    </w:p>
    <w:p>
      <w:pPr>
        <w:pStyle w:val="BookText"/>
        <w:rPr/>
      </w:pPr>
      <w:r>
        <w:rPr>
          <w:rFonts w:ascii="Amiri" w:hAnsi="Amiri" w:eastAsia="Amiri" w:cs="Amiri"/>
          <w:color w:val="111111"/>
          <w:sz w:val="28"/>
          <w:sz w:val="28"/>
          <w:szCs w:val="28"/>
          <w:rtl w:val="true"/>
          <w:lang w:bidi="ar-SA"/>
        </w:rPr>
        <w:t xml:space="preserve">لِمُخالِفيهم في النَّصِّ‌، و كانَ لهُم أن يَقولوا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بخِلافِ‌</w:t>
      </w:r>
      <w:r>
        <w:rPr>
          <w:rStyle w:val="FootnoteAnchor"/>
          <w:rtl w:val="true"/>
        </w:rPr>
        <w:footnoteReference w:id="2884"/>
      </w:r>
      <w:r>
        <w:rPr>
          <w:rFonts w:ascii="Amiri" w:hAnsi="Amiri" w:eastAsia="Amiri" w:cs="Amiri"/>
          <w:color w:val="111111"/>
          <w:sz w:val="28"/>
          <w:sz w:val="28"/>
          <w:szCs w:val="28"/>
          <w:rtl w:val="true"/>
          <w:lang w:bidi="ar-SA"/>
        </w:rPr>
        <w:t xml:space="preserve">مَذهَبِكم في المَسحِ و غَيرِه، و لكِنَّكم ذَهَبتم عن عِلمِ ذلكَ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أمكَنَ أن تدخُلَ الشُّبهةُ عَلَينا في هذا</w:t>
      </w:r>
      <w:r>
        <w:rPr>
          <w:rStyle w:val="FootnoteAnchor"/>
          <w:rtl w:val="true"/>
        </w:rPr>
        <w:footnoteReference w:id="2885"/>
      </w:r>
      <w:r>
        <w:rPr>
          <w:rFonts w:ascii="Amiri" w:hAnsi="Amiri" w:eastAsia="Amiri" w:cs="Amiri"/>
          <w:color w:val="111111"/>
          <w:sz w:val="28"/>
          <w:sz w:val="28"/>
          <w:szCs w:val="28"/>
          <w:rtl w:val="true"/>
          <w:lang w:bidi="ar-SA"/>
        </w:rPr>
        <w:t xml:space="preserve">و لَم تدخُلْ في العِلمِ بالوضوءِ علَى الجُملةِ؟ و ألّا عَلِمنا صفةَ وضوئه عليه السلامُ و مَوضِعَ قَطعِه للسارقِ </w:t>
      </w:r>
      <w:r>
        <w:rPr>
          <w:rStyle w:val="FootnoteAnchor"/>
          <w:rtl w:val="true"/>
        </w:rPr>
        <w:footnoteReference w:id="2886"/>
      </w:r>
      <w:r>
        <w:rPr>
          <w:rFonts w:ascii="Amiri" w:hAnsi="Amiri" w:eastAsia="Amiri" w:cs="Amiri"/>
          <w:color w:val="111111"/>
          <w:sz w:val="28"/>
          <w:sz w:val="28"/>
          <w:szCs w:val="28"/>
          <w:rtl w:val="true"/>
          <w:lang w:bidi="ar-SA"/>
        </w:rPr>
        <w:t>كما عَلِمنا</w:t>
      </w:r>
      <w:r>
        <w:rPr>
          <w:rStyle w:val="FootnoteAnchor"/>
          <w:rtl w:val="true"/>
        </w:rPr>
        <w:footnoteReference w:id="2887"/>
      </w:r>
      <w:r>
        <w:rPr>
          <w:rFonts w:ascii="Amiri" w:hAnsi="Amiri" w:eastAsia="Amiri" w:cs="Amiri"/>
          <w:color w:val="111111"/>
          <w:sz w:val="28"/>
          <w:sz w:val="28"/>
          <w:szCs w:val="28"/>
          <w:rtl w:val="true"/>
          <w:lang w:bidi="ar-SA"/>
        </w:rPr>
        <w:t>أنّه عليه السلامُ توضَّأَ و قطَعَ؟ و إن جازَ أن يَختَلِفَ هذانِ العِلمانِ ، جازَ أن يُخالِفَ العِلمُ بالنَّصِّ سائرَ</w:t>
      </w:r>
      <w:r>
        <w:rPr>
          <w:rStyle w:val="FootnoteAnchor"/>
          <w:rtl w:val="true"/>
        </w:rPr>
        <w:footnoteReference w:id="2888"/>
      </w:r>
      <w:r>
        <w:rPr>
          <w:rFonts w:ascii="Amiri" w:hAnsi="Amiri" w:eastAsia="Amiri" w:cs="Amiri"/>
          <w:color w:val="111111"/>
          <w:sz w:val="28"/>
          <w:sz w:val="28"/>
          <w:szCs w:val="28"/>
          <w:rtl w:val="true"/>
          <w:lang w:bidi="ar-SA"/>
        </w:rPr>
        <w:t>ما ذُكِرَ مِن تأميرِ الأُمَراءِ ، و النَّصِّ علَى الكَعبةِ ،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مِن النبيِّ صَلَّى اللّٰهُ عليه و آلِه و إن كانَ واقعاً علىٰ أحكامِ ما ذَكَرتموه مِن العِباداتِ و تفصيلِ حُدودِها، فلَم يَقَعْ ذلكَ مِنه ظاهراً بحَضرةِ جميعِ أصحابِه، بَل اختَصَّ بمعرفةِ بيانِه عليه السلامُ لهذه الأحكامِ آحادٌ و جماعاتٌ قليلةٌ ، و لَيسَ هذا مذهبَكم في النَّصِّ ؛ لأنّكم تَدَّعونَ ظُهورَه لِجميعِ الأُمّةِ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نَعلَمُ وجوبَ حُدودِ العِباداتِ المذكورةِ و شُروطِها عَلَينا، و لُزومُ العملِ لنا</w:t>
      </w:r>
      <w:r>
        <w:rPr>
          <w:rStyle w:val="FootnoteAnchor"/>
          <w:rtl w:val="true"/>
        </w:rPr>
        <w:footnoteReference w:id="2889"/>
      </w:r>
      <w:r>
        <w:rPr>
          <w:rFonts w:ascii="Amiri" w:hAnsi="Amiri" w:eastAsia="Amiri" w:cs="Amiri"/>
          <w:color w:val="111111"/>
          <w:sz w:val="28"/>
          <w:sz w:val="28"/>
          <w:szCs w:val="28"/>
          <w:rtl w:val="true"/>
          <w:lang w:bidi="ar-SA"/>
        </w:rPr>
        <w:t>بها علىٰ حَدِّ لُزومِها و وجوبِها علىٰ مَن شَهِدَ النبيَّ صَلَّى اللّٰهُ عليه و آلِه</w:t>
      </w:r>
      <w:r>
        <w:rPr>
          <w:rStyle w:val="FootnoteAnchor"/>
          <w:rtl w:val="true"/>
        </w:rPr>
        <w:footnoteReference w:id="2890"/>
      </w:r>
      <w:r>
        <w:rPr>
          <w:rFonts w:ascii="Amiri" w:hAnsi="Amiri" w:eastAsia="Amiri" w:cs="Amiri"/>
          <w:color w:val="111111"/>
          <w:sz w:val="28"/>
          <w:sz w:val="28"/>
          <w:szCs w:val="28"/>
          <w:rtl w:val="true"/>
          <w:lang w:bidi="ar-SA"/>
        </w:rPr>
        <w:t xml:space="preserve">، فلا بُدَّ أن </w:t>
      </w:r>
    </w:p>
    <w:p>
      <w:pPr>
        <w:pStyle w:val="BookText"/>
        <w:rPr/>
      </w:pPr>
      <w:r>
        <w:rPr>
          <w:rFonts w:ascii="Amiri" w:hAnsi="Amiri" w:eastAsia="Amiri" w:cs="Amiri"/>
          <w:color w:val="111111"/>
          <w:sz w:val="28"/>
          <w:sz w:val="28"/>
          <w:szCs w:val="28"/>
          <w:rtl w:val="true"/>
          <w:lang w:bidi="ar-SA"/>
        </w:rPr>
        <w:t>يقَعَ بيانُه عليه السلامُ‌</w:t>
      </w:r>
      <w:r>
        <w:rPr>
          <w:rStyle w:val="FootnoteAnchor"/>
          <w:rtl w:val="true"/>
        </w:rPr>
        <w:footnoteReference w:id="2891"/>
      </w:r>
      <w:r>
        <w:rPr>
          <w:rFonts w:ascii="Amiri" w:hAnsi="Amiri" w:eastAsia="Amiri" w:cs="Amiri"/>
          <w:color w:val="111111"/>
          <w:sz w:val="28"/>
          <w:sz w:val="28"/>
          <w:szCs w:val="28"/>
          <w:rtl w:val="true"/>
          <w:lang w:bidi="ar-SA"/>
        </w:rPr>
        <w:t>لها في الأصلِ علىٰ حَدٍّ يَنقَطِعُ به عُذرُ الحاضِرينَ‌</w:t>
      </w:r>
      <w:r>
        <w:rPr>
          <w:rStyle w:val="FootnoteAnchor"/>
          <w:rtl w:val="true"/>
        </w:rPr>
        <w:footnoteReference w:id="2892"/>
      </w:r>
      <w:r>
        <w:rPr>
          <w:rFonts w:ascii="Amiri" w:hAnsi="Amiri" w:eastAsia="Amiri" w:cs="Amiri"/>
          <w:color w:val="111111"/>
          <w:sz w:val="28"/>
          <w:sz w:val="28"/>
          <w:szCs w:val="28"/>
          <w:rtl w:val="true"/>
          <w:lang w:bidi="ar-SA"/>
        </w:rPr>
        <w:t>و الغائبينَ و مَن شَهِدَ عَصرَه صَلَّى اللّٰهُ عليه و آلِه</w:t>
      </w:r>
      <w:r>
        <w:rPr>
          <w:rStyle w:val="FootnoteAnchor"/>
          <w:rtl w:val="true"/>
        </w:rPr>
        <w:footnoteReference w:id="2893"/>
      </w:r>
      <w:r>
        <w:rPr>
          <w:rFonts w:ascii="Amiri" w:hAnsi="Amiri" w:eastAsia="Amiri" w:cs="Amiri"/>
          <w:color w:val="111111"/>
          <w:sz w:val="28"/>
          <w:sz w:val="28"/>
          <w:szCs w:val="28"/>
          <w:rtl w:val="true"/>
          <w:lang w:bidi="ar-SA"/>
        </w:rPr>
        <w:t>و مَن لَم يَلحَقْ بعَصرِه ممّن يأتي مِن بَعدُ؛ لأنّ التكليفَ عامٌّ في كُلِّ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نوجِبْ‌</w:t>
      </w:r>
      <w:r>
        <w:rPr>
          <w:rStyle w:val="FootnoteAnchor"/>
          <w:rtl w:val="true"/>
        </w:rPr>
        <w:footnoteReference w:id="2894"/>
      </w:r>
      <w:r>
        <w:rPr>
          <w:rFonts w:ascii="Amiri" w:hAnsi="Amiri" w:eastAsia="Amiri" w:cs="Amiri"/>
          <w:color w:val="111111"/>
          <w:sz w:val="28"/>
          <w:sz w:val="28"/>
          <w:szCs w:val="28"/>
          <w:rtl w:val="true"/>
          <w:lang w:bidi="ar-SA"/>
        </w:rPr>
        <w:t>وقوعَ بيانِه عليه السلامُ لِما ذَكرناه بحَضرةِ جميعِ الأُمّةِ أو أكثَرِهم، بَل الذي نوجِبُه</w:t>
      </w:r>
      <w:r>
        <w:rPr>
          <w:rStyle w:val="FootnoteAnchor"/>
          <w:rtl w:val="true"/>
        </w:rPr>
        <w:footnoteReference w:id="2895"/>
      </w:r>
      <w:r>
        <w:rPr>
          <w:rFonts w:ascii="Amiri" w:hAnsi="Amiri" w:eastAsia="Amiri" w:cs="Amiri"/>
          <w:color w:val="111111"/>
          <w:sz w:val="28"/>
          <w:sz w:val="28"/>
          <w:szCs w:val="28"/>
          <w:rtl w:val="true"/>
          <w:lang w:bidi="ar-SA"/>
        </w:rPr>
        <w:t>أن يقَعَ علىٰ وَجهٍ‌</w:t>
      </w:r>
      <w:r>
        <w:rPr>
          <w:rStyle w:val="FootnoteAnchor"/>
          <w:rtl w:val="true"/>
        </w:rPr>
        <w:footnoteReference w:id="2896"/>
      </w:r>
      <w:r>
        <w:rPr>
          <w:rFonts w:ascii="Amiri" w:hAnsi="Amiri" w:eastAsia="Amiri" w:cs="Amiri"/>
          <w:color w:val="111111"/>
          <w:sz w:val="28"/>
          <w:sz w:val="28"/>
          <w:szCs w:val="28"/>
          <w:rtl w:val="true"/>
          <w:lang w:bidi="ar-SA"/>
        </w:rPr>
        <w:t>تَقومُ‌</w:t>
      </w:r>
      <w:r>
        <w:rPr>
          <w:rStyle w:val="FootnoteAnchor"/>
          <w:rtl w:val="true"/>
        </w:rPr>
        <w:footnoteReference w:id="2897"/>
      </w:r>
      <w:r>
        <w:rPr>
          <w:rFonts w:ascii="Amiri" w:hAnsi="Amiri" w:eastAsia="Amiri" w:cs="Amiri"/>
          <w:color w:val="111111"/>
          <w:sz w:val="28"/>
          <w:sz w:val="28"/>
          <w:szCs w:val="28"/>
          <w:rtl w:val="true"/>
          <w:lang w:bidi="ar-SA"/>
        </w:rPr>
        <w:t>به الحُجّةُ و يَنقَطِعُ العُذرُ، و قد يَقَعُ كذلكَ و إن اختَصَّ بحُضورِه</w:t>
      </w:r>
      <w:r>
        <w:rPr>
          <w:rStyle w:val="FootnoteAnchor"/>
          <w:rtl w:val="true"/>
        </w:rPr>
        <w:footnoteReference w:id="2898"/>
      </w:r>
      <w:r>
        <w:rPr>
          <w:rFonts w:ascii="Amiri" w:hAnsi="Amiri" w:eastAsia="Amiri" w:cs="Amiri"/>
          <w:color w:val="111111"/>
          <w:sz w:val="28"/>
          <w:sz w:val="28"/>
          <w:szCs w:val="28"/>
          <w:rtl w:val="true"/>
          <w:lang w:bidi="ar-SA"/>
        </w:rPr>
        <w:t>بعضُ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ظُهورُه علىٰ وجهِ الحُجّةِ واجباً فقَد ساوىٰ ما نَقولُه في النَّصِّ‌؛ لأنّا لا نَذهَبُ إلىٰ أنّ النبيَّ صَلَّى اللّٰهُ عليه و آلِه نَصَّ علىٰ أميرِ المؤمِنينَ عليه السلامُ النَّصَّ الذي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عَلِمَ حاضِروه مُرادَه مِنه باضطرارٍ</w:t>
      </w:r>
      <w:r>
        <w:rPr>
          <w:rStyle w:val="FootnoteAnchor"/>
          <w:rtl w:val="true"/>
        </w:rPr>
        <w:footnoteReference w:id="2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جميعِ الأُمّةِ ؛ بَل نَذهَبُ إلىٰ أنّه وقَعَ بمَشهَدٍ ممّن تَقومُ </w:t>
      </w:r>
      <w:r>
        <w:rPr>
          <w:rStyle w:val="FootnoteAnchor"/>
          <w:rtl w:val="true"/>
        </w:rPr>
        <w:footnoteReference w:id="2900"/>
      </w:r>
      <w:r>
        <w:rPr>
          <w:rFonts w:ascii="Amiri" w:hAnsi="Amiri" w:eastAsia="Amiri" w:cs="Amiri"/>
          <w:color w:val="111111"/>
          <w:sz w:val="28"/>
          <w:sz w:val="28"/>
          <w:szCs w:val="28"/>
          <w:rtl w:val="true"/>
          <w:lang w:bidi="ar-SA"/>
        </w:rPr>
        <w:t>الحُجّةُ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يَجِبْ عندَ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المُخالِفِ حُصولُ العِلمِ بكَيفيّةِ ما عدَّدناه مِن العِباداتِ علىٰ حَدِّ حُصولِه بوجوبِها و لُزومِ العِبادةِ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بيانَ كَيفيّتِها لَم يَقَعْ بحَضرةِ جماعةِ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يَجِبُ وقوعُ العِلمِ بالنَّصِّ علىٰ حَدِّ وقوعِه بإيجابِ الصلاةِ في الجُملةِ </w:t>
      </w:r>
      <w:r>
        <w:rPr>
          <w:rStyle w:val="FootnoteAnchor"/>
          <w:rtl w:val="true"/>
        </w:rPr>
        <w:footnoteReference w:id="2901"/>
      </w:r>
      <w:r>
        <w:rPr>
          <w:rFonts w:ascii="Amiri" w:hAnsi="Amiri" w:eastAsia="Amiri" w:cs="Amiri"/>
          <w:color w:val="111111"/>
          <w:sz w:val="28"/>
          <w:sz w:val="28"/>
          <w:szCs w:val="28"/>
          <w:rtl w:val="true"/>
          <w:lang w:bidi="ar-SA"/>
        </w:rPr>
        <w:t xml:space="preserve">و النَّصِّ </w:t>
      </w:r>
    </w:p>
    <w:p>
      <w:pPr>
        <w:pStyle w:val="BookText"/>
        <w:rPr/>
      </w:pPr>
      <w:r>
        <w:rPr>
          <w:rFonts w:ascii="Amiri" w:hAnsi="Amiri" w:eastAsia="Amiri" w:cs="Amiri"/>
          <w:color w:val="111111"/>
          <w:sz w:val="28"/>
          <w:sz w:val="28"/>
          <w:szCs w:val="28"/>
          <w:rtl w:val="true"/>
          <w:lang w:bidi="ar-SA"/>
        </w:rPr>
        <w:t xml:space="preserve">علَى الكَعبةِ ؛ لأنّ النَّصَّ لَم يَقَعْ بحَضرةِ جماعةِ الأُمّةِ ، و إن كانَ واقعاً بحَضرةِ مَن تَقومُ </w:t>
      </w:r>
      <w:r>
        <w:rPr>
          <w:rStyle w:val="FootnoteAnchor"/>
          <w:rtl w:val="true"/>
        </w:rPr>
        <w:footnoteReference w:id="2902"/>
      </w:r>
      <w:r>
        <w:rPr>
          <w:rFonts w:ascii="Amiri" w:hAnsi="Amiri" w:eastAsia="Amiri" w:cs="Amiri"/>
          <w:color w:val="111111"/>
          <w:sz w:val="28"/>
          <w:sz w:val="28"/>
          <w:szCs w:val="28"/>
          <w:rtl w:val="true"/>
          <w:lang w:bidi="ar-SA"/>
        </w:rPr>
        <w:t>الحُجّةُ به</w:t>
      </w:r>
      <w:r>
        <w:rPr>
          <w:rStyle w:val="FootnoteAnchor"/>
          <w:rtl w:val="true"/>
        </w:rPr>
        <w:footnoteReference w:id="2903"/>
      </w:r>
      <w:r>
        <w:rPr>
          <w:rFonts w:ascii="Amiri" w:hAnsi="Amiri" w:eastAsia="Amiri" w:cs="Amiri"/>
          <w:color w:val="111111"/>
          <w:sz w:val="28"/>
          <w:sz w:val="28"/>
          <w:szCs w:val="28"/>
          <w:rtl w:val="true"/>
          <w:lang w:bidi="ar-SA"/>
        </w:rPr>
        <w:t>مِن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يُخالِفُ أحكامَ العِباداتِ ؛ لأنّ فَرْضَه عامٌّ لِكُلِّ مكلَّفٍ ، و فُروضَ العِباداتِ يَدخُلُها الاختصاصُ ؛ لأنّها بأَسرِها تَسقُطُ في كَثيرٍ مِن الأحوالِ و عندَ ضُروبٍ مِن الأعذارِ، و إنّما أَلزَمناكم عُمومَ العِلمِ بالنَّصِّ و ارتفاعَ الشُّبهةِ عنه و حُصولَه علىٰ حَدِّ الضرورةِ لعُمومِ فَرضِه، فمُعارَضَتُكم بما</w:t>
      </w:r>
      <w:r>
        <w:rPr>
          <w:rStyle w:val="FootnoteAnchor"/>
          <w:rtl w:val="true"/>
        </w:rPr>
        <w:footnoteReference w:id="2904"/>
      </w:r>
      <w:r>
        <w:rPr>
          <w:rFonts w:ascii="Amiri" w:hAnsi="Amiri" w:eastAsia="Amiri" w:cs="Amiri"/>
          <w:color w:val="111111"/>
          <w:sz w:val="28"/>
          <w:sz w:val="28"/>
          <w:szCs w:val="28"/>
          <w:rtl w:val="true"/>
          <w:lang w:bidi="ar-SA"/>
        </w:rPr>
        <w:t xml:space="preserve">ذَكَرتموه مِن أحكامِ العِباداتِ غَيرُ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خُصوصَ ما ذُكِرَ مِن العِباداتِ و سُقوطَه</w:t>
      </w:r>
      <w:r>
        <w:rPr>
          <w:rStyle w:val="FootnoteAnchor"/>
          <w:rtl w:val="true"/>
        </w:rPr>
        <w:footnoteReference w:id="2905"/>
      </w:r>
      <w:r>
        <w:rPr>
          <w:rFonts w:ascii="Amiri" w:hAnsi="Amiri" w:eastAsia="Amiri" w:cs="Amiri"/>
          <w:color w:val="111111"/>
          <w:sz w:val="28"/>
          <w:sz w:val="28"/>
          <w:szCs w:val="28"/>
          <w:rtl w:val="true"/>
          <w:lang w:bidi="ar-SA"/>
        </w:rPr>
        <w:t>في بعضِ الأحوالِ بالعُذرِ غَيرُ مدفوعٍ‌، إلّاأنّه عامٌّ مِن وجهٍ آخَرَ؛ لأنّ للصلاةِ و الطهارةِ مِن العُمومِ ما لَيسَ للزكاةِ و الحَجِّ و الجهادِ، فلَيسَ‌</w:t>
      </w:r>
      <w:r>
        <w:rPr>
          <w:rStyle w:val="FootnoteAnchor"/>
          <w:rtl w:val="true"/>
        </w:rPr>
        <w:footnoteReference w:id="2906"/>
      </w:r>
      <w:r>
        <w:rPr>
          <w:rFonts w:ascii="Amiri" w:hAnsi="Amiri" w:eastAsia="Amiri" w:cs="Amiri"/>
          <w:color w:val="111111"/>
          <w:sz w:val="28"/>
          <w:sz w:val="28"/>
          <w:szCs w:val="28"/>
          <w:rtl w:val="true"/>
          <w:lang w:bidi="ar-SA"/>
        </w:rPr>
        <w:t xml:space="preserve">فيها إلّاما يدخُلُه العُمومُ و الخُصوصُ بحَسَبِ الإضافاتِ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بالنَّصِّ قد يدخُلُه الخُصوصُ علىٰ وجهٍ مِن الوجوهِ ؛ لأنّه قد يَسقُطُ</w:t>
      </w:r>
      <w:r>
        <w:rPr>
          <w:rStyle w:val="FootnoteAnchor"/>
          <w:rtl w:val="true"/>
        </w:rPr>
        <w:footnoteReference w:id="2907"/>
      </w:r>
      <w:r>
        <w:rPr>
          <w:rFonts w:ascii="Amiri" w:hAnsi="Amiri" w:eastAsia="Amiri" w:cs="Amiri"/>
          <w:color w:val="111111"/>
          <w:sz w:val="28"/>
          <w:sz w:val="28"/>
          <w:szCs w:val="28"/>
          <w:rtl w:val="true"/>
          <w:lang w:bidi="ar-SA"/>
        </w:rPr>
        <w:t xml:space="preserve">مع فَقدِ العقلِ </w:t>
      </w:r>
      <w:r>
        <w:rPr>
          <w:rStyle w:val="FootnoteAnchor"/>
          <w:rtl w:val="true"/>
        </w:rPr>
        <w:footnoteReference w:id="2908"/>
      </w:r>
      <w:r>
        <w:rPr>
          <w:rFonts w:ascii="Amiri" w:hAnsi="Amiri" w:eastAsia="Amiri" w:cs="Amiri"/>
          <w:color w:val="111111"/>
          <w:sz w:val="28"/>
          <w:sz w:val="28"/>
          <w:szCs w:val="28"/>
          <w:rtl w:val="true"/>
          <w:lang w:bidi="ar-SA"/>
        </w:rPr>
        <w:t>أو نُقصانِه عن الحَدِّ الذي يُتوصَّلُ به إلىٰ معرفتِه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يَدخُلْه الخُصوصُ جُملةً و خالَفَ سائرَ العِباداتِ الشرعيّةِ لَكانَ كلامُنا مُتَوجِّهاً أيضاً؛ لأنّه كانَ يَجِبُ أن يَعُمَّ العِلمُ بحُدودِ الصلاةِ 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أشبَهَهما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كَيفيّتِهما جميعَ مَن عَمَّه فَرضُهما و لَزِمَه</w:t>
      </w:r>
      <w:r>
        <w:rPr>
          <w:rStyle w:val="FootnoteAnchor"/>
          <w:rtl w:val="true"/>
        </w:rPr>
        <w:footnoteReference w:id="2909"/>
      </w:r>
      <w:r>
        <w:rPr>
          <w:rFonts w:ascii="Amiri" w:hAnsi="Amiri" w:eastAsia="Amiri" w:cs="Amiri"/>
          <w:color w:val="111111"/>
          <w:sz w:val="28"/>
          <w:sz w:val="28"/>
          <w:szCs w:val="28"/>
          <w:rtl w:val="true"/>
          <w:lang w:bidi="ar-SA"/>
        </w:rPr>
        <w:t xml:space="preserve">العملُ </w:t>
      </w:r>
    </w:p>
    <w:p>
      <w:pPr>
        <w:pStyle w:val="BookText"/>
        <w:rPr/>
      </w:pPr>
      <w:r>
        <w:rPr>
          <w:rFonts w:ascii="IRNazanin" w:hAnsi="IRNazanin" w:eastAsia="IRNazanin"/>
          <w:color w:val="111111"/>
          <w:sz w:val="28"/>
          <w:sz w:val="28"/>
          <w:szCs w:val="28"/>
          <w:rtl w:val="true"/>
          <w:lang w:bidi="fa-IR"/>
        </w:rPr>
        <w:t>بهما</w:t>
      </w:r>
      <w:r>
        <w:rPr>
          <w:rStyle w:val="FootnoteAnchor"/>
          <w:rtl w:val="true"/>
        </w:rPr>
        <w:footnoteReference w:id="2910"/>
      </w:r>
      <w:r>
        <w:rPr>
          <w:rFonts w:ascii="Amiri" w:hAnsi="Amiri" w:eastAsia="Amiri" w:cs="Amiri"/>
          <w:color w:val="111111"/>
          <w:sz w:val="28"/>
          <w:sz w:val="28"/>
          <w:szCs w:val="28"/>
          <w:rtl w:val="true"/>
          <w:lang w:bidi="ar-SA"/>
        </w:rPr>
        <w:t>، حتّىٰ يَشتَرِكَ جميعُ مَن وجَبَت عَلَيه الطهارةُ و الصلاةُ في العِلمِ بما وقَعَ مِن بيانِ الرسولِ صَلَّى اللّٰهُ عليه و آلِه</w:t>
      </w:r>
      <w:r>
        <w:rPr>
          <w:rStyle w:val="FootnoteAnchor"/>
          <w:rtl w:val="true"/>
        </w:rPr>
        <w:footnoteReference w:id="2911"/>
      </w:r>
      <w:r>
        <w:rPr>
          <w:rFonts w:ascii="Amiri" w:hAnsi="Amiri" w:eastAsia="Amiri" w:cs="Amiri"/>
          <w:color w:val="111111"/>
          <w:sz w:val="28"/>
          <w:sz w:val="28"/>
          <w:szCs w:val="28"/>
          <w:rtl w:val="true"/>
          <w:lang w:bidi="ar-SA"/>
        </w:rPr>
        <w:t>فيهما و صفةِ فِعلِه لهما</w:t>
      </w:r>
      <w:r>
        <w:rPr>
          <w:rStyle w:val="FootnoteAnchor"/>
          <w:rtl w:val="true"/>
        </w:rPr>
        <w:footnoteReference w:id="2912"/>
      </w:r>
      <w:r>
        <w:rPr>
          <w:rFonts w:ascii="Amiri" w:hAnsi="Amiri" w:eastAsia="Amiri" w:cs="Amiri"/>
          <w:color w:val="111111"/>
          <w:sz w:val="28"/>
          <w:sz w:val="28"/>
          <w:szCs w:val="28"/>
          <w:rtl w:val="true"/>
          <w:lang w:bidi="ar-SA"/>
        </w:rPr>
        <w:t>، كما اشتَرَكوا في العِلمِ علَى الجُملةِ بوجوبِهما، و قد عَلِمنا 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العِلمَ بوجوبِ الطهارةِ و الصلاةِ قد عَمَّ مَن لَزِمَته هذه العِباداتُ و مَن 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تَلزَمْه؛ لأنّ مَن سقَطَ عنه فَرضُ الطهارةِ أو فَرضُ الصلاةِ لِضَربٍ مِن العُذرِ</w:t>
      </w:r>
      <w:r>
        <w:rPr>
          <w:rStyle w:val="FootnoteAnchor"/>
          <w:rtl w:val="true"/>
        </w:rPr>
        <w:footnoteReference w:id="2913"/>
      </w:r>
      <w:r>
        <w:rPr>
          <w:rFonts w:ascii="Amiri" w:hAnsi="Amiri" w:eastAsia="Amiri" w:cs="Amiri"/>
          <w:color w:val="111111"/>
          <w:sz w:val="28"/>
          <w:sz w:val="28"/>
          <w:szCs w:val="28"/>
          <w:rtl w:val="true"/>
          <w:lang w:bidi="ar-SA"/>
        </w:rPr>
        <w:t>فإنّه</w:t>
      </w:r>
      <w:r>
        <w:rPr>
          <w:rStyle w:val="FootnoteAnchor"/>
          <w:rtl w:val="true"/>
        </w:rPr>
        <w:footnoteReference w:id="2914"/>
      </w:r>
      <w:r>
        <w:rPr>
          <w:rFonts w:ascii="Amiri" w:hAnsi="Amiri" w:eastAsia="Amiri" w:cs="Amiri"/>
          <w:color w:val="111111"/>
          <w:sz w:val="28"/>
          <w:sz w:val="28"/>
          <w:szCs w:val="28"/>
          <w:rtl w:val="true"/>
          <w:lang w:bidi="ar-SA"/>
        </w:rPr>
        <w:t>يَعلَمُ وجوبَ هاتَينِ العِبادتَينِ عَلَيه</w:t>
      </w:r>
      <w:r>
        <w:rPr>
          <w:rStyle w:val="FootnoteAnchor"/>
          <w:rtl w:val="true"/>
        </w:rPr>
        <w:footnoteReference w:id="2915"/>
      </w:r>
      <w:r>
        <w:rPr>
          <w:rFonts w:ascii="Amiri" w:hAnsi="Amiri" w:eastAsia="Amiri" w:cs="Amiri"/>
          <w:color w:val="111111"/>
          <w:sz w:val="28"/>
          <w:sz w:val="28"/>
          <w:szCs w:val="28"/>
          <w:rtl w:val="true"/>
          <w:lang w:bidi="ar-SA"/>
        </w:rPr>
        <w:t>مِن دِينِ الرسولِ صَلَّى اللّٰهُ عليه و آلِه</w:t>
      </w:r>
      <w:r>
        <w:rPr>
          <w:rStyle w:val="FootnoteAnchor"/>
          <w:rtl w:val="true"/>
        </w:rPr>
        <w:footnoteReference w:id="2916"/>
      </w:r>
      <w:r>
        <w:rPr>
          <w:rFonts w:ascii="Amiri" w:hAnsi="Amiri" w:eastAsia="Amiri" w:cs="Amiri"/>
          <w:color w:val="111111"/>
          <w:sz w:val="28"/>
          <w:sz w:val="28"/>
          <w:szCs w:val="28"/>
          <w:rtl w:val="true"/>
          <w:lang w:bidi="ar-SA"/>
        </w:rPr>
        <w:t>علىٰ حَدِّ عِلمِه بسائرِ الأُمورِ الظاهرةِ‌، و لَم يُخرِجْه سُقوطُ فَرضِهما</w:t>
      </w:r>
      <w:r>
        <w:rPr>
          <w:rStyle w:val="FootnoteAnchor"/>
          <w:rtl w:val="true"/>
        </w:rPr>
        <w:footnoteReference w:id="2917"/>
      </w:r>
      <w:r>
        <w:rPr>
          <w:rFonts w:ascii="Amiri" w:hAnsi="Amiri" w:eastAsia="Amiri" w:cs="Amiri"/>
          <w:color w:val="111111"/>
          <w:sz w:val="28"/>
          <w:sz w:val="28"/>
          <w:szCs w:val="28"/>
          <w:rtl w:val="true"/>
          <w:lang w:bidi="ar-SA"/>
        </w:rPr>
        <w:t>عنه عن عُمومِ عِلمِهما</w:t>
      </w:r>
      <w:r>
        <w:rPr>
          <w:rStyle w:val="FootnoteAnchor"/>
          <w:rtl w:val="true"/>
        </w:rPr>
        <w:footnoteReference w:id="2918"/>
      </w:r>
      <w:r>
        <w:rPr>
          <w:rFonts w:ascii="Amiri" w:hAnsi="Amiri" w:eastAsia="Amiri" w:cs="Amiri"/>
          <w:color w:val="111111"/>
          <w:sz w:val="28"/>
          <w:sz w:val="28"/>
          <w:szCs w:val="28"/>
          <w:rtl w:val="true"/>
          <w:lang w:bidi="ar-SA"/>
        </w:rPr>
        <w:t>له، و هذا يوجِبُ أنّ عُمومَ العِلمِ غَيرُ تابعٍ لعُمومِ الفَرضِ‌، و يُبطِلُ اعتبارَ مَن اعتبَرَ في هذا البابِ عُمومَ الفَرضِ و فرَّقَ بَينَ النَّصِّ و بَينَ‌</w:t>
      </w:r>
      <w:r>
        <w:rPr>
          <w:rStyle w:val="FootnoteAnchor"/>
          <w:rtl w:val="true"/>
        </w:rPr>
        <w:footnoteReference w:id="2919"/>
      </w:r>
      <w:r>
        <w:rPr>
          <w:rFonts w:ascii="Amiri" w:hAnsi="Amiri" w:eastAsia="Amiri" w:cs="Amiri"/>
          <w:color w:val="111111"/>
          <w:sz w:val="28"/>
          <w:sz w:val="28"/>
          <w:szCs w:val="28"/>
          <w:rtl w:val="true"/>
          <w:lang w:bidi="ar-SA"/>
        </w:rPr>
        <w:t xml:space="preserve">العِباداتِ </w:t>
      </w:r>
      <w:r>
        <w:rPr>
          <w:rStyle w:val="FootnoteAnchor"/>
          <w:rtl w:val="true"/>
        </w:rPr>
        <w:footnoteReference w:id="2920"/>
      </w:r>
      <w:r>
        <w:rPr>
          <w:rFonts w:ascii="Amiri" w:hAnsi="Amiri" w:eastAsia="Amiri" w:cs="Amiri"/>
          <w:color w:val="111111"/>
          <w:sz w:val="28"/>
          <w:sz w:val="28"/>
          <w:szCs w:val="28"/>
          <w:rtl w:val="true"/>
          <w:lang w:bidi="ar-SA"/>
        </w:rPr>
        <w:t xml:space="preserve">بذلكَ ، و يُحقِّقُ </w:t>
      </w:r>
      <w:r>
        <w:rPr>
          <w:rStyle w:val="FootnoteAnchor"/>
          <w:rtl w:val="true"/>
        </w:rPr>
        <w:footnoteReference w:id="2921"/>
      </w:r>
      <w:r>
        <w:rPr>
          <w:rFonts w:ascii="Amiri" w:hAnsi="Amiri" w:eastAsia="Amiri" w:cs="Amiri"/>
          <w:color w:val="111111"/>
          <w:sz w:val="28"/>
          <w:sz w:val="28"/>
          <w:szCs w:val="28"/>
          <w:rtl w:val="true"/>
          <w:lang w:bidi="ar-SA"/>
        </w:rPr>
        <w:t>معارَضتَنا</w:t>
      </w:r>
      <w:r>
        <w:rPr>
          <w:rStyle w:val="FootnoteAnchor"/>
          <w:rtl w:val="true"/>
        </w:rPr>
        <w:footnoteReference w:id="2922"/>
      </w:r>
      <w:r>
        <w:rPr>
          <w:rFonts w:ascii="Amiri" w:hAnsi="Amiri" w:eastAsia="Amiri" w:cs="Amiri"/>
          <w:color w:val="111111"/>
          <w:sz w:val="28"/>
          <w:sz w:val="28"/>
          <w:szCs w:val="28"/>
          <w:rtl w:val="true"/>
          <w:lang w:bidi="ar-SA"/>
        </w:rPr>
        <w:t>لأنّا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بعُمومِ فَرضِ الطهارةِ و الصلاةِ و ما أشبَهَهما عامّاً لكُلِّ مَن لَزِمَه فِعلُهما و مَن لَم يَلزَمْه، فألّا عَمَّ العِلمُ </w:t>
      </w:r>
    </w:p>
    <w:p>
      <w:pPr>
        <w:pStyle w:val="BookText"/>
        <w:rPr/>
      </w:pPr>
      <w:r>
        <w:rPr>
          <w:rFonts w:ascii="Amiri" w:hAnsi="Amiri" w:eastAsia="Amiri" w:cs="Amiri"/>
          <w:color w:val="111111"/>
          <w:sz w:val="28"/>
          <w:sz w:val="28"/>
          <w:szCs w:val="28"/>
          <w:rtl w:val="true"/>
          <w:lang w:bidi="ar-SA"/>
        </w:rPr>
        <w:t xml:space="preserve">بصفاتِ </w:t>
      </w:r>
      <w:r>
        <w:rPr>
          <w:rStyle w:val="FootnoteAnchor"/>
          <w:rtl w:val="true"/>
        </w:rPr>
        <w:footnoteReference w:id="2923"/>
      </w:r>
      <w:r>
        <w:rPr>
          <w:rFonts w:ascii="Amiri" w:hAnsi="Amiri" w:eastAsia="Amiri" w:cs="Amiri"/>
          <w:color w:val="111111"/>
          <w:sz w:val="28"/>
          <w:sz w:val="28"/>
          <w:szCs w:val="28"/>
          <w:rtl w:val="true"/>
          <w:lang w:bidi="ar-SA"/>
        </w:rPr>
        <w:t>هذه العِباداتِ أيضاً و أحكامِها مَن لَزِمَته و مَن لَم تَلزَمْه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 العِلمُ بوجوبِ هذه</w:t>
      </w:r>
      <w:r>
        <w:rPr>
          <w:rStyle w:val="FootnoteAnchor"/>
          <w:rtl w:val="true"/>
        </w:rPr>
        <w:footnoteReference w:id="2924"/>
      </w:r>
      <w:r>
        <w:rPr>
          <w:rFonts w:ascii="Amiri" w:hAnsi="Amiri" w:eastAsia="Amiri" w:cs="Amiri"/>
          <w:color w:val="111111"/>
          <w:sz w:val="28"/>
          <w:sz w:val="28"/>
          <w:szCs w:val="28"/>
          <w:rtl w:val="true"/>
          <w:lang w:bidi="ar-SA"/>
        </w:rPr>
        <w:t xml:space="preserve">العِباداتِ التي ذَكَرتموها لِمَن سقَطَ عنه فِعلُها بالعُذرِ و مَن لَم يَسقُطْ عنه؛ مِن جهةِ أنّ </w:t>
      </w:r>
      <w:r>
        <w:rPr>
          <w:rStyle w:val="FootnoteAnchor"/>
          <w:rtl w:val="true"/>
        </w:rPr>
        <w:footnoteReference w:id="2925"/>
      </w:r>
      <w:r>
        <w:rPr>
          <w:rFonts w:ascii="Amiri" w:hAnsi="Amiri" w:eastAsia="Amiri" w:cs="Amiri"/>
          <w:color w:val="111111"/>
          <w:sz w:val="28"/>
          <w:sz w:val="28"/>
          <w:szCs w:val="28"/>
          <w:rtl w:val="true"/>
          <w:lang w:bidi="ar-SA"/>
        </w:rPr>
        <w:t xml:space="preserve">مَن سقَطَ عنه فَرضُ العملِ بها لَم يَسقُطْ عنه فَرضُ العِلمِ ، و عُذرَه في الإخلالِ بالعملِ لا يَكونُ عُذراً في الإخلالِ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لَحِقَ </w:t>
      </w:r>
      <w:r>
        <w:rPr>
          <w:rStyle w:val="FootnoteAnchor"/>
          <w:rtl w:val="true"/>
        </w:rPr>
        <w:footnoteReference w:id="2926"/>
      </w:r>
      <w:r>
        <w:rPr>
          <w:rFonts w:ascii="Amiri" w:hAnsi="Amiri" w:eastAsia="Amiri" w:cs="Amiri"/>
          <w:color w:val="111111"/>
          <w:sz w:val="28"/>
          <w:sz w:val="28"/>
          <w:szCs w:val="28"/>
          <w:rtl w:val="true"/>
          <w:lang w:bidi="ar-SA"/>
        </w:rPr>
        <w:t xml:space="preserve">إذَن العِلمُ بهذه العِباداتِ و أحكامِها في العُمومِ بالنَّصِّ علَى الإمامِ ، و بطَلَ فَرقُهم بَينَ العِلمِ بها و بَينَ العِلمِ بالإمامِ بالخُصوصِ و العُمومِ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لَم نُعارَضْ إلّابوجوبِ العِلمِ لا بوجوبِ العملِ ؛ فإذا</w:t>
      </w:r>
      <w:r>
        <w:rPr>
          <w:rStyle w:val="FootnoteAnchor"/>
          <w:rtl w:val="true"/>
        </w:rPr>
        <w:footnoteReference w:id="2928"/>
      </w:r>
      <w:r>
        <w:rPr>
          <w:rFonts w:ascii="Amiri" w:hAnsi="Amiri" w:eastAsia="Amiri" w:cs="Amiri"/>
          <w:color w:val="111111"/>
          <w:sz w:val="28"/>
          <w:sz w:val="28"/>
          <w:szCs w:val="28"/>
          <w:rtl w:val="true"/>
          <w:lang w:bidi="ar-SA"/>
        </w:rPr>
        <w:t xml:space="preserve">وقَعَ الاعترافُ بأنّ العِلمَ بالعِباداتِ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سقَطَ العملُ بها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حَملُ النَّصِّ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يَمنَعُ مِن وقوعِ العِلمِ بالنَّصِّ علىٰ حَدِّ وقوعِه بالأُمورِ الظاهرةِ التي أَلزَمناكم وجوبَ مُساواتِه لها لَو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أسباباً مَبنيّةً علىٰ مذهبِكم في النَّصِّ ، كقَولِكم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النَّصَّ عدَلَ عنه الجُمهورُ، و لُقيَ راويهِ بالتكذيبِ و رُميَ بالتضليلِ </w:t>
      </w:r>
      <w:r>
        <w:rPr>
          <w:rStyle w:val="FootnoteAnchor"/>
          <w:rtl w:val="true"/>
        </w:rPr>
        <w:footnoteReference w:id="2929"/>
      </w:r>
      <w:r>
        <w:rPr>
          <w:rFonts w:ascii="Amiri" w:hAnsi="Amiri" w:eastAsia="Amiri" w:cs="Amiri"/>
          <w:color w:val="111111"/>
          <w:sz w:val="28"/>
          <w:sz w:val="28"/>
          <w:szCs w:val="28"/>
          <w:rtl w:val="true"/>
          <w:lang w:bidi="ar-SA"/>
        </w:rPr>
        <w:t>، و انعقَدَت الرئاساتُ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ما قَدَّمتموه في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كلامِكم</w:t>
      </w:r>
      <w:r>
        <w:rPr>
          <w:rStyle w:val="FootnoteAnchor"/>
          <w:rtl w:val="true"/>
        </w:rPr>
        <w:footnoteReference w:id="2930"/>
      </w:r>
      <w:r>
        <w:rPr>
          <w:rFonts w:ascii="Amiri" w:hAnsi="Amiri" w:eastAsia="Amiri" w:cs="Amiri"/>
          <w:color w:val="111111"/>
          <w:sz w:val="28"/>
          <w:sz w:val="28"/>
          <w:szCs w:val="28"/>
          <w:rtl w:val="true"/>
          <w:lang w:bidi="ar-SA"/>
        </w:rPr>
        <w:t xml:space="preserve">، و هذا غَيرُ مسلَّمٍ لكم؛ لأنّه كالتابعِ لصحّةِ النَّصِّ ؛ فكَيفَ يَصِحُّ أن </w:t>
      </w:r>
    </w:p>
    <w:p>
      <w:pPr>
        <w:pStyle w:val="BookText"/>
        <w:rPr/>
      </w:pPr>
      <w:r>
        <w:rPr>
          <w:rFonts w:ascii="Amiri" w:hAnsi="Amiri" w:eastAsia="Amiri" w:cs="Amiri"/>
          <w:color w:val="111111"/>
          <w:sz w:val="28"/>
          <w:sz w:val="28"/>
          <w:szCs w:val="28"/>
          <w:rtl w:val="true"/>
          <w:lang w:bidi="ar-SA"/>
        </w:rPr>
        <w:t>تَجعَلوه</w:t>
      </w:r>
      <w:r>
        <w:rPr>
          <w:rStyle w:val="FootnoteAnchor"/>
          <w:rtl w:val="true"/>
        </w:rPr>
        <w:footnoteReference w:id="2931"/>
      </w:r>
      <w:r>
        <w:rPr>
          <w:rFonts w:ascii="Amiri" w:hAnsi="Amiri" w:eastAsia="Amiri" w:cs="Amiri"/>
          <w:color w:val="111111"/>
          <w:sz w:val="28"/>
          <w:sz w:val="28"/>
          <w:szCs w:val="28"/>
          <w:rtl w:val="true"/>
          <w:lang w:bidi="ar-SA"/>
        </w:rPr>
        <w:t>عُذراً في ارتفاعِ العِلمِ به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غَلِطتَ عَلَينا غَلَطاً ظاهراً؛ لأنّا لَم نَذكُرْ في جُملةِ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المانعةِ مِن حُصولِ العِلمِ بالنَّصِّ و زَوالِ الرَّيبِ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هو معلومٌ مسلَّمٌ‌</w:t>
      </w:r>
      <w:r>
        <w:rPr>
          <w:rStyle w:val="FootnoteAnchor"/>
          <w:rtl w:val="true"/>
        </w:rPr>
        <w:footnoteReference w:id="2932"/>
      </w:r>
      <w:r>
        <w:rPr>
          <w:rFonts w:ascii="Amiri" w:hAnsi="Amiri" w:eastAsia="Amiri" w:cs="Amiri"/>
          <w:color w:val="111111"/>
          <w:sz w:val="28"/>
          <w:sz w:val="28"/>
          <w:szCs w:val="28"/>
          <w:rtl w:val="true"/>
          <w:lang w:bidi="ar-SA"/>
        </w:rPr>
        <w:t>، و إنّما الخِلافُ في كَونِه سبباً</w:t>
      </w:r>
      <w:r>
        <w:rPr>
          <w:rStyle w:val="FootnoteAnchor"/>
          <w:rtl w:val="true"/>
        </w:rPr>
        <w:footnoteReference w:id="2933"/>
      </w:r>
      <w:r>
        <w:rPr>
          <w:rFonts w:ascii="Amiri" w:hAnsi="Amiri" w:eastAsia="Amiri" w:cs="Amiri"/>
          <w:color w:val="111111"/>
          <w:sz w:val="28"/>
          <w:sz w:val="28"/>
          <w:szCs w:val="28"/>
          <w:rtl w:val="true"/>
          <w:lang w:bidi="ar-SA"/>
        </w:rPr>
        <w:t>مانعاً مِن العِلمِ بالنَّصِّ و مُخِلاًّ بوقوعِ العِلمِ به علَى الحَدِّ المذكورِ، أو</w:t>
      </w:r>
      <w:r>
        <w:rPr>
          <w:rStyle w:val="FootnoteAnchor"/>
          <w:rtl w:val="true"/>
        </w:rPr>
        <w:footnoteReference w:id="2934"/>
      </w:r>
      <w:r>
        <w:rPr>
          <w:rFonts w:ascii="Amiri" w:hAnsi="Amiri" w:eastAsia="Amiri" w:cs="Amiri"/>
          <w:color w:val="111111"/>
          <w:sz w:val="28"/>
          <w:sz w:val="28"/>
          <w:szCs w:val="28"/>
          <w:rtl w:val="true"/>
          <w:lang w:bidi="ar-SA"/>
        </w:rPr>
        <w:t>في وقوعِه علىٰ جهةِ الصوابِ و الوجوبِ‌؛ لأنّه لا خِلافَ في أنّ العملَ بَعدَ الرسولِ صَلَّى اللّٰهُ عليه و آلِه</w:t>
      </w:r>
      <w:r>
        <w:rPr>
          <w:rStyle w:val="FootnoteAnchor"/>
          <w:rtl w:val="true"/>
        </w:rPr>
        <w:footnoteReference w:id="2935"/>
      </w:r>
      <w:r>
        <w:rPr>
          <w:rFonts w:ascii="Amiri" w:hAnsi="Amiri" w:eastAsia="Amiri" w:cs="Amiri"/>
          <w:color w:val="111111"/>
          <w:sz w:val="28"/>
          <w:sz w:val="28"/>
          <w:szCs w:val="28"/>
          <w:rtl w:val="true"/>
          <w:lang w:bidi="ar-SA"/>
        </w:rPr>
        <w:t>وقَعَ مِن أكثَرِ الأُمّةِ بخِلافِ النَّصِّ‌، و الرئاسةَ المُنعَقِدَةَ لِمَن انعقَدَت له في تلكَ الحالِ كانَت مَبنيّةً علىٰ رَدِّ النَّصِّ و إبطالِه، و أنّ مَن ادَّعاه و أظهَرَ التديُّنَ به في مستقبَلِ الأحوالِ عندَ التمَكُّنِ من إظهارِه، كانَ مُكذَّباً مُهَجَّناً</w:t>
      </w:r>
      <w:r>
        <w:rPr>
          <w:rStyle w:val="FootnoteAnchor"/>
          <w:rtl w:val="true"/>
        </w:rPr>
        <w:footnoteReference w:id="2936"/>
      </w:r>
      <w:r>
        <w:rPr>
          <w:rFonts w:ascii="Amiri" w:hAnsi="Amiri" w:eastAsia="Amiri" w:cs="Amiri"/>
          <w:color w:val="111111"/>
          <w:sz w:val="28"/>
          <w:sz w:val="28"/>
          <w:szCs w:val="28"/>
          <w:rtl w:val="true"/>
          <w:lang w:bidi="ar-SA"/>
        </w:rPr>
        <w:t xml:space="preserve">، يُصدِّقُه واحدٌ و يُكذِّبُه ألفٌ‌، و أنّه لَم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وَقَعَ‌</w:t>
      </w:r>
      <w:r>
        <w:rPr>
          <w:rStyle w:val="FootnoteAnchor"/>
          <w:rtl w:val="true"/>
        </w:rPr>
        <w:footnoteReference w:id="2937"/>
      </w:r>
      <w:r>
        <w:rPr>
          <w:rFonts w:ascii="Amiri" w:hAnsi="Amiri" w:eastAsia="Amiri" w:cs="Amiri"/>
          <w:color w:val="111111"/>
          <w:sz w:val="28"/>
          <w:sz w:val="28"/>
          <w:szCs w:val="28"/>
          <w:rtl w:val="true"/>
          <w:lang w:bidi="ar-SA"/>
        </w:rPr>
        <w:t>النَّصُّ و إلىٰ‌</w:t>
      </w:r>
      <w:r>
        <w:rPr>
          <w:rStyle w:val="FootnoteAnchor"/>
          <w:rtl w:val="true"/>
        </w:rPr>
        <w:footnoteReference w:id="2938"/>
      </w:r>
      <w:r>
        <w:rPr>
          <w:rFonts w:ascii="Amiri" w:hAnsi="Amiri" w:eastAsia="Amiri" w:cs="Amiri"/>
          <w:color w:val="111111"/>
          <w:sz w:val="28"/>
          <w:sz w:val="28"/>
          <w:szCs w:val="28"/>
          <w:rtl w:val="true"/>
          <w:lang w:bidi="ar-SA"/>
        </w:rPr>
        <w:t xml:space="preserve">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واحدٌ سلَّمَته الأُمّةُ فيه، أو أمسَكَت عن تكذيبِ راويهِ ، أو كانَ المُسلِّمُ أو المُمسِكُ </w:t>
      </w:r>
      <w:r>
        <w:rPr>
          <w:rStyle w:val="FootnoteAnchor"/>
          <w:rtl w:val="true"/>
        </w:rPr>
        <w:footnoteReference w:id="2939"/>
      </w:r>
      <w:r>
        <w:rPr>
          <w:rFonts w:ascii="Amiri" w:hAnsi="Amiri" w:eastAsia="Amiri" w:cs="Amiri"/>
          <w:color w:val="111111"/>
          <w:sz w:val="28"/>
          <w:sz w:val="28"/>
          <w:szCs w:val="28"/>
          <w:rtl w:val="true"/>
          <w:lang w:bidi="ar-SA"/>
        </w:rPr>
        <w:t xml:space="preserve">أكثَرَ مِن المُكذِّبِ المُنازِعِ </w:t>
      </w:r>
      <w:r>
        <w:rPr>
          <w:rStyle w:val="FootnoteAnchor"/>
          <w:rtl w:val="true"/>
        </w:rPr>
        <w:footnoteReference w:id="2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أنّه لَم يَتَّفِقْ فيما عورِضنا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بالنَّصِّ علَى الكَعبةِ و ما جَرىٰ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Style w:val="FootnoteAnchor"/>
          <w:rtl w:val="true"/>
        </w:rPr>
        <w:footnoteReference w:id="2941"/>
      </w:r>
      <w:r>
        <w:rPr>
          <w:rFonts w:ascii="Amiri" w:hAnsi="Amiri" w:eastAsia="Amiri" w:cs="Amiri"/>
          <w:color w:val="111111"/>
          <w:sz w:val="28"/>
          <w:sz w:val="28"/>
          <w:szCs w:val="28"/>
          <w:rtl w:val="true"/>
          <w:lang w:bidi="ar-SA"/>
        </w:rPr>
        <w:t>ممّا ذَكرناه</w:t>
      </w:r>
      <w:r>
        <w:rPr>
          <w:rStyle w:val="FootnoteAnchor"/>
          <w:rtl w:val="true"/>
        </w:rPr>
        <w:footnoteReference w:id="2942"/>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الحاصلُ فيه عكسُ هذه الأُمورِ و أضدادُها، مِن التسليمِ و الإجماعِ‌</w:t>
      </w:r>
      <w:r>
        <w:rPr>
          <w:rStyle w:val="FootnoteAnchor"/>
          <w:rtl w:val="true"/>
        </w:rPr>
        <w:footnoteReference w:id="2943"/>
      </w:r>
      <w:r>
        <w:rPr>
          <w:rFonts w:ascii="Amiri" w:hAnsi="Amiri" w:eastAsia="Amiri" w:cs="Amiri"/>
          <w:color w:val="111111"/>
          <w:sz w:val="28"/>
          <w:sz w:val="28"/>
          <w:szCs w:val="28"/>
          <w:rtl w:val="true"/>
          <w:lang w:bidi="ar-SA"/>
        </w:rPr>
        <w:t>و التصديقِ و وقوعِ العملِ في الأصلِ و الفَرعِ‌</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يُمكِنُ أحَداً أن يَدفَعَ شيئاً ممّا عَدَّدناه، أو يُشيرَ إلىٰ خِلافٍ فيه؛ لأنّ وقوعَ العملِ بِخلافِ النَّصِّ لا يُنكِرُه أحَدٌ مِن مُخالِفي الشيعةِ‌، و لا أحَدٌ ممّن اختَلَطَ بأهلِ الأخبارِ مِن الخارجينَ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مُخالِفو الشيعةِ يَزيدونَ في ذلكَ عَلَيهم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بخِلافِ النَّصِّ وقَعَ مِن جميعِ الأُمّةِ‌، و إنّهم ما فَعَلوا مِن العملِ بخِلافِه إلّاالواجبَ الذي لهُم أن</w:t>
      </w:r>
    </w:p>
    <w:p>
      <w:pPr>
        <w:pStyle w:val="BookText"/>
        <w:rPr/>
      </w:pPr>
      <w:r>
        <w:rPr>
          <w:rFonts w:ascii="Amiri" w:hAnsi="Amiri" w:eastAsia="Amiri" w:cs="Amiri"/>
          <w:color w:val="111111"/>
          <w:sz w:val="28"/>
          <w:sz w:val="28"/>
          <w:szCs w:val="28"/>
          <w:rtl w:val="true"/>
          <w:lang w:bidi="ar-SA"/>
        </w:rPr>
        <w:t>يَفعَلوه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945"/>
      </w:r>
      <w:r>
        <w:rPr>
          <w:rFonts w:ascii="Amiri" w:hAnsi="Amiri" w:eastAsia="Amiri" w:cs="Amiri"/>
          <w:color w:val="111111"/>
          <w:sz w:val="28"/>
          <w:sz w:val="28"/>
          <w:szCs w:val="28"/>
          <w:rtl w:val="true"/>
          <w:lang w:bidi="ar-SA"/>
        </w:rPr>
        <w:t>هذا زيادةٌ علىٰ قَولِ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الأكثَرَ 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اقتصَرَت الشيعةُ علىٰ ذِكرِ الأكثَرِ لِما صَحَّ عندَها</w:t>
      </w:r>
      <w:r>
        <w:rPr>
          <w:rStyle w:val="FootnoteAnchor"/>
          <w:rtl w:val="true"/>
        </w:rPr>
        <w:footnoteReference w:id="2946"/>
      </w:r>
      <w:r>
        <w:rPr>
          <w:rFonts w:ascii="Amiri" w:hAnsi="Amiri" w:eastAsia="Amiri" w:cs="Amiri"/>
          <w:color w:val="111111"/>
          <w:sz w:val="28"/>
          <w:sz w:val="28"/>
          <w:szCs w:val="28"/>
          <w:rtl w:val="true"/>
          <w:lang w:bidi="ar-SA"/>
        </w:rPr>
        <w:t>مِن اعتقادِ جماعةٍ مِن القَومِ صحّةَ النَّصِّ و العملِ عَلَيه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 للشيعةِ أيضاً يَعتَرِفُ‌</w:t>
      </w:r>
      <w:r>
        <w:rPr>
          <w:rStyle w:val="FootnoteAnchor"/>
          <w:rtl w:val="true"/>
        </w:rPr>
        <w:footnoteReference w:id="2947"/>
      </w:r>
      <w:r>
        <w:rPr>
          <w:rFonts w:ascii="Amiri" w:hAnsi="Amiri" w:eastAsia="Amiri" w:cs="Amiri"/>
          <w:color w:val="111111"/>
          <w:sz w:val="28"/>
          <w:sz w:val="28"/>
          <w:szCs w:val="28"/>
          <w:rtl w:val="true"/>
          <w:lang w:bidi="ar-SA"/>
        </w:rPr>
        <w:t xml:space="preserve">بأنّ مَن ادَّعَى النَّصَّ و أظهَرَ القَولَ به في جميعِ الأزمانِ‌، كانَ مُكذَّباً مَرمِيّاً بالبِدعةِ و خِلافِ </w:t>
      </w:r>
      <w:r>
        <w:rPr>
          <w:rStyle w:val="FootnoteAnchor"/>
          <w:rtl w:val="true"/>
        </w:rPr>
        <w:footnoteReference w:id="2948"/>
      </w:r>
      <w:r>
        <w:rPr>
          <w:rFonts w:ascii="Amiri" w:hAnsi="Amiri" w:eastAsia="Amiri" w:cs="Amiri"/>
          <w:color w:val="111111"/>
          <w:sz w:val="28"/>
          <w:sz w:val="28"/>
          <w:szCs w:val="28"/>
          <w:rtl w:val="true"/>
          <w:lang w:bidi="ar-SA"/>
        </w:rPr>
        <w:t xml:space="preserve">الجماعةِ ، و إن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التهجينَ له و التكذيبَ واقعٌ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لا خِلافَ في حُصولِ ما ذَكرناه، و إنّما يَرجِعُ الخِلافُ إلىٰ وقوعِه صَواباً و واجباً، أو علىٰ جهةِ الخَطإ و القَبيحِ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قَرَّرتموه</w:t>
      </w:r>
      <w:r>
        <w:rPr>
          <w:rStyle w:val="FootnoteAnchor"/>
          <w:rtl w:val="true"/>
        </w:rPr>
        <w:footnoteReference w:id="2949"/>
      </w:r>
      <w:r>
        <w:rPr>
          <w:rFonts w:ascii="Amiri" w:hAnsi="Amiri" w:eastAsia="Amiri" w:cs="Amiri"/>
          <w:color w:val="111111"/>
          <w:sz w:val="28"/>
          <w:sz w:val="28"/>
          <w:szCs w:val="28"/>
          <w:rtl w:val="true"/>
          <w:lang w:bidi="ar-SA"/>
        </w:rPr>
        <w:t xml:space="preserve">مِن عملِ الأُمّةِ بخِلافِ النَّصِّ </w:t>
      </w:r>
    </w:p>
    <w:p>
      <w:pPr>
        <w:pStyle w:val="BookText"/>
        <w:rPr/>
      </w:pPr>
      <w:r>
        <w:rPr>
          <w:rFonts w:ascii="Amiri" w:hAnsi="Amiri" w:eastAsia="Amiri" w:cs="Amiri"/>
          <w:color w:val="111111"/>
          <w:sz w:val="28"/>
          <w:sz w:val="28"/>
          <w:szCs w:val="28"/>
          <w:rtl w:val="true"/>
          <w:lang w:bidi="ar-SA"/>
        </w:rPr>
        <w:t xml:space="preserve">و إظهارِهم ما يَقتَضي إبطالَه دالٌّ علىٰ عَدَمِ النَّصِّ ؛ لأنّه لَو كانَ حَقّاً لَما جازَ أن تَعمَلَ </w:t>
      </w:r>
      <w:r>
        <w:rPr>
          <w:rStyle w:val="FootnoteAnchor"/>
          <w:rtl w:val="true"/>
        </w:rPr>
        <w:footnoteReference w:id="2950"/>
      </w:r>
      <w:r>
        <w:rPr>
          <w:rFonts w:ascii="Amiri" w:hAnsi="Amiri" w:eastAsia="Amiri" w:cs="Amiri"/>
          <w:color w:val="111111"/>
          <w:sz w:val="28"/>
          <w:sz w:val="28"/>
          <w:szCs w:val="28"/>
          <w:rtl w:val="true"/>
          <w:lang w:bidi="ar-SA"/>
        </w:rPr>
        <w:t>الأُمُّة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عُدولٌ عن السؤالِ الذي أجَبنا عنه، و إنّما وقَعَ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 حَقّاً لَساوَى</w:t>
      </w:r>
      <w:r>
        <w:rPr>
          <w:rStyle w:val="FootnoteAnchor"/>
          <w:rtl w:val="true"/>
        </w:rPr>
        <w:footnoteReference w:id="2951"/>
      </w:r>
      <w:r>
        <w:rPr>
          <w:rFonts w:ascii="Amiri" w:hAnsi="Amiri" w:eastAsia="Amiri" w:cs="Amiri"/>
          <w:color w:val="111111"/>
          <w:sz w:val="28"/>
          <w:sz w:val="28"/>
          <w:szCs w:val="28"/>
          <w:rtl w:val="true"/>
          <w:lang w:bidi="ar-SA"/>
        </w:rPr>
        <w:t>العِلمُ به العِلمَ بالنَّصِّ علَى الكَعبةِ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بيّنّا</w:t>
      </w:r>
      <w:r>
        <w:rPr>
          <w:rStyle w:val="FootnoteAnchor"/>
          <w:rtl w:val="true"/>
        </w:rPr>
        <w:footnoteReference w:id="2952"/>
      </w:r>
      <w:r>
        <w:rPr>
          <w:rFonts w:ascii="Amiri" w:hAnsi="Amiri" w:eastAsia="Amiri" w:cs="Amiri"/>
          <w:color w:val="111111"/>
          <w:sz w:val="28"/>
          <w:sz w:val="28"/>
          <w:szCs w:val="28"/>
          <w:rtl w:val="true"/>
          <w:lang w:bidi="ar-SA"/>
        </w:rPr>
        <w:t>الفَرقَ بَينَ الأمرَينِ ، و ما يَمنَعُ مِن تَساوي العِلمَينِ ، لَم يَكُن لهُم أن يَعدِلوا إلىٰ سؤالٍ آخَرَ لَم يَتضمَّنْ ما سَألوا عنه مَعناه</w:t>
      </w:r>
      <w:r>
        <w:rPr>
          <w:rStyle w:val="FootnoteAnchor"/>
          <w:rtl w:val="true"/>
        </w:rPr>
        <w:footnoteReference w:id="2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الجوابُ عن هذه الشُّبهةِ و ما ماثَلَها فيما بَعدُ عندَ النَّقضِ علىٰ صاحبِ الكتابِ ، بعَونِ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العِلمِ بأنّ النبيَّ صَلَّى اللّٰهُ عليه و آلِه لَم يَنُصَّ علىٰ أميرِ المؤمِنينَ عليه السلامُ بالإمامةِ‌، و كَذِبِ مَن ادَّعىٰ ذلكَ غَيرَ حاصلٍ علىٰ حَدِّ حُصولِ العِلمِ بأنّه لَم يَنُصَّ بالإمامةِ علىٰ أبي هُرَيرةَ أو المُغِيرَةِ </w:t>
      </w:r>
      <w:r>
        <w:rPr>
          <w:rStyle w:val="FootnoteAnchor"/>
          <w:rtl w:val="true"/>
        </w:rPr>
        <w:footnoteReference w:id="2954"/>
      </w:r>
      <w:r>
        <w:rPr>
          <w:rFonts w:ascii="Amiri" w:hAnsi="Amiri" w:eastAsia="Amiri" w:cs="Amiri"/>
          <w:color w:val="111111"/>
          <w:sz w:val="28"/>
          <w:sz w:val="28"/>
          <w:szCs w:val="28"/>
          <w:rtl w:val="true"/>
          <w:lang w:bidi="ar-SA"/>
        </w:rPr>
        <w:t>بنِ شُعبةَ ، و أنّه لَم يَنُصَّ علىٰ قِبلةٍ تُخالِفُ جهةَ الكَعبةِ ، و صَومِ شَهرٍ آخَرَ غَيرِ شَهرِ</w:t>
      </w:r>
      <w:r>
        <w:rPr>
          <w:rStyle w:val="FootnoteAnchor"/>
          <w:rtl w:val="true"/>
        </w:rPr>
        <w:footnoteReference w:id="2955"/>
      </w:r>
      <w:r>
        <w:rPr>
          <w:rFonts w:ascii="Amiri" w:hAnsi="Amiri" w:eastAsia="Amiri" w:cs="Amiri"/>
          <w:color w:val="111111"/>
          <w:sz w:val="28"/>
          <w:sz w:val="28"/>
          <w:szCs w:val="28"/>
          <w:rtl w:val="true"/>
          <w:lang w:bidi="ar-SA"/>
        </w:rPr>
        <w:t>رَمَضانَ؟ و ما بالُ العِلمِ بنَفيِ النَّصِّ الذي ادَّعَته الشيعةُ لَم يَعُمَّ جميعَ مَن عَمَّه العِلمُ بنَفيِ الأُمورِ التي عَدَّدناها، و عندَكم أنّ انتفاءَ النَّصِّ عن الجميعِ بمَنزِلةٍ واحدةٍ؟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2956"/>
      </w:r>
      <w:r>
        <w:rPr>
          <w:rFonts w:ascii="Amiri" w:hAnsi="Amiri" w:eastAsia="Amiri" w:cs="Amiri"/>
          <w:color w:val="111111"/>
          <w:sz w:val="28"/>
          <w:sz w:val="28"/>
          <w:szCs w:val="28"/>
          <w:rtl w:val="true"/>
          <w:lang w:bidi="ar-SA"/>
        </w:rPr>
        <w:t xml:space="preserve">جازَ أن يَنتَفيَ النَّصُّ عن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انتفاءَه عن أحَدِهما قَومٌ دونَ قَومٍ </w:t>
      </w:r>
    </w:p>
    <w:p>
      <w:pPr>
        <w:pStyle w:val="BookText"/>
        <w:rPr/>
      </w:pPr>
      <w:r>
        <w:rPr>
          <w:rFonts w:ascii="Amiri" w:hAnsi="Amiri" w:eastAsia="Amiri" w:cs="Amiri"/>
          <w:color w:val="111111"/>
          <w:sz w:val="28"/>
          <w:sz w:val="28"/>
          <w:szCs w:val="28"/>
          <w:rtl w:val="true"/>
          <w:lang w:bidi="ar-SA"/>
        </w:rPr>
        <w:t xml:space="preserve">و علىٰ حَدٍّ دونَ حَدٍّ، و لا يَعُمَّ </w:t>
      </w:r>
      <w:r>
        <w:rPr>
          <w:rStyle w:val="FootnoteAnchor"/>
          <w:rtl w:val="true"/>
        </w:rPr>
        <w:footnoteReference w:id="2957"/>
      </w:r>
      <w:r>
        <w:rPr>
          <w:rFonts w:ascii="Amiri" w:hAnsi="Amiri" w:eastAsia="Amiri" w:cs="Amiri"/>
          <w:color w:val="111111"/>
          <w:sz w:val="28"/>
          <w:sz w:val="28"/>
          <w:szCs w:val="28"/>
          <w:rtl w:val="true"/>
          <w:lang w:bidi="ar-SA"/>
        </w:rPr>
        <w:t>العِلمُ بانتفائه</w:t>
      </w:r>
      <w:r>
        <w:rPr>
          <w:rStyle w:val="FootnoteAnchor"/>
          <w:rtl w:val="true"/>
        </w:rPr>
        <w:footnoteReference w:id="2958"/>
      </w:r>
      <w:r>
        <w:rPr>
          <w:rFonts w:ascii="Amiri" w:hAnsi="Amiri" w:eastAsia="Amiri" w:cs="Amiri"/>
          <w:color w:val="111111"/>
          <w:sz w:val="28"/>
          <w:sz w:val="28"/>
          <w:szCs w:val="28"/>
          <w:rtl w:val="true"/>
          <w:lang w:bidi="ar-SA"/>
        </w:rPr>
        <w:t xml:space="preserve">جميعَ مَن عَمَّه العِلمُ بِانتفاءِ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w:t>
      </w:r>
      <w:r>
        <w:rPr>
          <w:rStyle w:val="FootnoteAnchor"/>
          <w:rtl w:val="true"/>
        </w:rPr>
        <w:footnoteReference w:id="2959"/>
      </w:r>
      <w:r>
        <w:rPr>
          <w:rFonts w:ascii="Amiri" w:hAnsi="Amiri" w:eastAsia="Amiri" w:cs="Amiri"/>
          <w:color w:val="111111"/>
          <w:sz w:val="28"/>
          <w:sz w:val="28"/>
          <w:szCs w:val="28"/>
          <w:rtl w:val="true"/>
          <w:lang w:bidi="ar-SA"/>
        </w:rPr>
        <w:t>أن يقَعَ النَّصُّ علىٰ أمرَينِ ، فيَعُمَّ العِلمُ بأحَدِهما و لا يَعُمَّ العِلمُ بالآخَرِ، و يقَعَ العِلمُ بأحَدِهما علىٰ وجهٍ لا يقَعُ العِلمُ بالآخَرِ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جَعَلتم كَونَ العِلمِ بالنَّصِّ علىٰ أميرِ المؤمِنينَ عليه السلامُ مُخالِفاً للعِلمِ بما ذَكَرتموه مِن النُّصوصِ دليلاً علىٰ بُطلانِه، و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حَقّاً لَساوَى</w:t>
      </w:r>
      <w:r>
        <w:rPr>
          <w:rStyle w:val="FootnoteAnchor"/>
          <w:rtl w:val="true"/>
        </w:rPr>
        <w:footnoteReference w:id="2960"/>
      </w:r>
      <w:r>
        <w:rPr>
          <w:rFonts w:ascii="Amiri" w:hAnsi="Amiri" w:eastAsia="Amiri" w:cs="Amiri"/>
          <w:color w:val="111111"/>
          <w:sz w:val="28"/>
          <w:sz w:val="28"/>
          <w:szCs w:val="28"/>
          <w:rtl w:val="true"/>
          <w:lang w:bidi="ar-SA"/>
        </w:rPr>
        <w:t>العِلمُ به سائرَ</w:t>
      </w:r>
      <w:r>
        <w:rPr>
          <w:rStyle w:val="FootnoteAnchor"/>
          <w:rtl w:val="true"/>
        </w:rPr>
        <w:footnoteReference w:id="2961"/>
      </w:r>
      <w:r>
        <w:rPr>
          <w:rFonts w:ascii="Amiri" w:hAnsi="Amiri" w:eastAsia="Amiri" w:cs="Amiri"/>
          <w:color w:val="111111"/>
          <w:sz w:val="28"/>
          <w:sz w:val="28"/>
          <w:szCs w:val="28"/>
          <w:rtl w:val="true"/>
          <w:lang w:bidi="ar-SA"/>
        </w:rPr>
        <w:t>ما وقَعَ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فانفَصِلوا ممّن جعَلَ كَونَ ما يُدَّعىٰ مِن العِلمِ بانتفاءِ النَّصِّ مُخالِفاً للعِلمِ بانتفاءِ ما ذَكرناه مِن النُّصوصِ التي عَلِمنا انتفاءَها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علىٰ أبي هُرَيرةَ و علىٰ خِلافِ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صحّةِ النَّصِّ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باطلاً لَساوَى</w:t>
      </w:r>
      <w:r>
        <w:rPr>
          <w:rStyle w:val="FootnoteAnchor"/>
          <w:rtl w:val="true"/>
        </w:rPr>
        <w:footnoteReference w:id="2962"/>
      </w:r>
      <w:r>
        <w:rPr>
          <w:rFonts w:ascii="Amiri" w:hAnsi="Amiri" w:eastAsia="Amiri" w:cs="Amiri"/>
          <w:color w:val="111111"/>
          <w:sz w:val="28"/>
          <w:sz w:val="28"/>
          <w:szCs w:val="28"/>
          <w:rtl w:val="true"/>
          <w:lang w:bidi="ar-SA"/>
        </w:rPr>
        <w:t xml:space="preserve">العِلمُ ببُطلانِه العِلمَ ببُطلانِ </w:t>
      </w:r>
      <w:r>
        <w:rPr>
          <w:rStyle w:val="FootnoteAnchor"/>
          <w:rtl w:val="true"/>
        </w:rPr>
        <w:footnoteReference w:id="2963"/>
      </w:r>
      <w:r>
        <w:rPr>
          <w:rFonts w:ascii="Amiri" w:hAnsi="Amiri" w:eastAsia="Amiri" w:cs="Amiri"/>
          <w:color w:val="111111"/>
          <w:sz w:val="28"/>
          <w:sz w:val="28"/>
          <w:szCs w:val="28"/>
          <w:rtl w:val="true"/>
          <w:lang w:bidi="ar-SA"/>
        </w:rPr>
        <w:t>سائرِ ما انتَفَى النَّصُّ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 و إن كانَ النَّصُّ الذي تَدَّعيهِ </w:t>
      </w:r>
      <w:r>
        <w:rPr>
          <w:rStyle w:val="FootnoteAnchor"/>
          <w:rtl w:val="true"/>
        </w:rPr>
        <w:footnoteReference w:id="2964"/>
      </w:r>
      <w:r>
        <w:rPr>
          <w:rFonts w:ascii="Amiri" w:hAnsi="Amiri" w:eastAsia="Amiri" w:cs="Amiri"/>
          <w:color w:val="111111"/>
          <w:sz w:val="28"/>
          <w:sz w:val="28"/>
          <w:szCs w:val="28"/>
          <w:rtl w:val="true"/>
          <w:lang w:bidi="ar-SA"/>
        </w:rPr>
        <w:t xml:space="preserve">الشيعةُ مُنتَفياً، أن يَعلَمَ انتفاءَه كُلُّ مَن عَلِمَ انتفاءَ غَيرِه علىٰ حَدٍّ واحدٍ؛ لأنّ هذا غَيرُ واجبٍ فيما لَم يَكُن، و إن كانَ واجباً فيما كانَ و وقَعَ مِن النُّصوصِ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انفَصِلوا ممّن عكَسَ القَضيّةَ </w:t>
      </w:r>
      <w:r>
        <w:rPr>
          <w:rStyle w:val="FootnoteAnchor"/>
          <w:rtl w:val="true"/>
        </w:rPr>
        <w:footnoteReference w:id="296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 إذا كانَ النَّصُّ </w:t>
      </w:r>
    </w:p>
    <w:p>
      <w:pPr>
        <w:pStyle w:val="BookText"/>
        <w:rPr/>
      </w:pPr>
      <w:r>
        <w:rPr>
          <w:rFonts w:ascii="Amiri" w:hAnsi="Amiri" w:eastAsia="Amiri" w:cs="Amiri"/>
          <w:color w:val="111111"/>
          <w:sz w:val="28"/>
          <w:sz w:val="28"/>
          <w:szCs w:val="28"/>
          <w:rtl w:val="true"/>
          <w:lang w:bidi="ar-SA"/>
        </w:rPr>
        <w:t xml:space="preserve">الذي تَدَّعيهِ </w:t>
      </w:r>
      <w:r>
        <w:rPr>
          <w:rStyle w:val="FootnoteAnchor"/>
          <w:rtl w:val="true"/>
        </w:rPr>
        <w:footnoteReference w:id="2966"/>
      </w:r>
      <w:r>
        <w:rPr>
          <w:rFonts w:ascii="Amiri" w:hAnsi="Amiri" w:eastAsia="Amiri" w:cs="Amiri"/>
          <w:color w:val="111111"/>
          <w:sz w:val="28"/>
          <w:sz w:val="28"/>
          <w:szCs w:val="28"/>
          <w:rtl w:val="true"/>
          <w:lang w:bidi="ar-SA"/>
        </w:rPr>
        <w:t>الشيعةُ حَقّاً، أن يَعلَمَه كُلُّ مَن</w:t>
      </w:r>
      <w:r>
        <w:rPr>
          <w:rStyle w:val="FootnoteAnchor"/>
          <w:rtl w:val="true"/>
        </w:rPr>
        <w:footnoteReference w:id="2967"/>
      </w:r>
      <w:r>
        <w:rPr>
          <w:rFonts w:ascii="Amiri" w:hAnsi="Amiri" w:eastAsia="Amiri" w:cs="Amiri"/>
          <w:color w:val="111111"/>
          <w:sz w:val="28"/>
          <w:sz w:val="28"/>
          <w:szCs w:val="28"/>
          <w:rtl w:val="true"/>
          <w:lang w:bidi="ar-SA"/>
        </w:rPr>
        <w:t>عَلِمَ النَّصَّ علىٰ غَيرِه مِن الأُمورِ الظاهرةِ علىٰ حَدٍّ واحدٍ؛ لأنّ هذا لا يَجِبُ في كُلِّ ما كانَ ، و إن كانَ واجباً فيما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w:t>
      </w:r>
      <w:r>
        <w:rPr>
          <w:rStyle w:val="FootnoteAnchor"/>
          <w:rtl w:val="true"/>
        </w:rPr>
        <w:footnoteReference w:id="2968"/>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969"/>
      </w:r>
      <w:r>
        <w:rPr>
          <w:rFonts w:ascii="Amiri" w:hAnsi="Amiri" w:eastAsia="Amiri" w:cs="Amiri"/>
          <w:color w:val="111111"/>
          <w:sz w:val="28"/>
          <w:sz w:val="28"/>
          <w:szCs w:val="28"/>
          <w:rtl w:val="true"/>
          <w:lang w:bidi="ar-SA"/>
        </w:rPr>
        <w:t>العِلمَ بانتفاءِ النَّصِّ الذي تَدَّعونَه</w:t>
      </w:r>
      <w:r>
        <w:rPr>
          <w:rStyle w:val="FootnoteAnchor"/>
          <w:rtl w:val="true"/>
        </w:rPr>
        <w:footnoteReference w:id="2970"/>
      </w:r>
      <w:r>
        <w:rPr>
          <w:rFonts w:ascii="Amiri" w:hAnsi="Amiri" w:eastAsia="Amiri" w:cs="Amiri"/>
          <w:color w:val="111111"/>
          <w:sz w:val="28"/>
          <w:sz w:val="28"/>
          <w:szCs w:val="28"/>
          <w:rtl w:val="true"/>
          <w:lang w:bidi="ar-SA"/>
        </w:rPr>
        <w:t>كالعِلمِ بانتفاءِ النَّصِّ علىٰ أبي هُرَيرةَ بالإمامةِ و سائرِ ما عَدَّدتموه، و حالَ مَن ادَّعىٰ أحَدَهما كحالِ مَن ادَّعَى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بَلَغتم إلىٰ </w:t>
      </w:r>
      <w:r>
        <w:rPr>
          <w:rStyle w:val="FootnoteAnchor"/>
          <w:rtl w:val="true"/>
        </w:rPr>
        <w:footnoteReference w:id="2971"/>
      </w:r>
      <w:r>
        <w:rPr>
          <w:rFonts w:ascii="Amiri" w:hAnsi="Amiri" w:eastAsia="Amiri" w:cs="Amiri"/>
          <w:color w:val="111111"/>
          <w:sz w:val="28"/>
          <w:sz w:val="28"/>
          <w:szCs w:val="28"/>
          <w:rtl w:val="true"/>
          <w:lang w:bidi="ar-SA"/>
        </w:rPr>
        <w:t>هذا الحَدِّ بَلَغنا معكم إلىٰ مِثلِه، و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w:t>
      </w:r>
    </w:p>
    <w:p>
      <w:pPr>
        <w:pStyle w:val="BookText"/>
        <w:rPr/>
      </w:pPr>
      <w:r>
        <w:rPr>
          <w:rFonts w:ascii="Amiri" w:hAnsi="Amiri" w:eastAsia="Amiri" w:cs="Amiri"/>
          <w:color w:val="111111"/>
          <w:sz w:val="28"/>
          <w:sz w:val="28"/>
          <w:szCs w:val="28"/>
          <w:rtl w:val="true"/>
          <w:lang w:bidi="ar-SA"/>
        </w:rPr>
        <w:t>بثُبوتِ النَّصِّ الذي نَذهَبُ إليه في حُصولِ اليقينِ به و زَوالِ الشُّكوكِ عنه و بَهْتِ مَن دَفَعَه، كالعِلمِ بالنَّصِّ علَى الكَعبةِ و تأميرِ زيدٍ 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مَن ادَّعىٰ خِلافَه أو دَفَعَه، كحالِ مَن ادَّعىٰ خِلافَ النَّصِّ علَى الكَعبةِ ، أو دَفَعَ النَّصَّ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 هذا فيما يُخالِفُ فيه أمثالُنا؟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ما قُلتُموه فيما يُخالِفُ فيه أمثالُنا؟ و فينا الكَثرةُ التي لا يَصِحُّ عَلَيها دَفعُ مِثلِ ما ذَكَرتموه</w:t>
      </w:r>
      <w:r>
        <w:rPr>
          <w:rStyle w:val="FootnoteAnchor"/>
          <w:rtl w:val="true"/>
        </w:rPr>
        <w:footnoteReference w:id="2972"/>
      </w:r>
      <w:r>
        <w:rPr>
          <w:rFonts w:ascii="Amiri" w:hAnsi="Amiri" w:eastAsia="Amiri" w:cs="Amiri"/>
          <w:color w:val="111111"/>
          <w:sz w:val="28"/>
          <w:sz w:val="28"/>
          <w:szCs w:val="28"/>
          <w:rtl w:val="true"/>
          <w:lang w:bidi="ar-SA"/>
        </w:rPr>
        <w:t>، مع عِلمِكم بتَديُّنِ أكثَرِنا بمَذهَبِه ضرورةً و تَقرُّبِه</w:t>
      </w:r>
      <w:r>
        <w:rPr>
          <w:rStyle w:val="FootnoteAnchor"/>
          <w:rtl w:val="true"/>
        </w:rPr>
        <w:footnoteReference w:id="2973"/>
      </w:r>
      <w:r>
        <w:rPr>
          <w:rFonts w:ascii="Amiri" w:hAnsi="Amiri" w:eastAsia="Amiri" w:cs="Amiri"/>
          <w:color w:val="111111"/>
          <w:sz w:val="28"/>
          <w:sz w:val="28"/>
          <w:szCs w:val="28"/>
          <w:rtl w:val="true"/>
          <w:lang w:bidi="ar-SA"/>
        </w:rPr>
        <w:t>باعتقادِه إلىٰ رَبِّه جَلَّ و عَزَّ</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 xml:space="preserve">. </w:t>
      </w:r>
      <w:bookmarkStart w:id="487" w:name="pg20015_285079"/>
    </w:p>
    <w:p>
      <w:pPr>
        <w:pStyle w:val="BookText"/>
        <w:rPr/>
      </w:pPr>
      <w:bookmarkEnd w:id="487"/>
      <w:r>
        <w:rPr>
          <w:rFonts w:ascii="Amiri" w:hAnsi="Amiri" w:eastAsia="Amiri" w:cs="Amiri"/>
          <w:color w:val="111111"/>
          <w:sz w:val="28"/>
          <w:sz w:val="28"/>
          <w:szCs w:val="28"/>
          <w:rtl w:val="true"/>
          <w:lang w:bidi="ar-SA"/>
        </w:rPr>
        <w:t xml:space="preserve">و هذه المُعارَضةُ لا مَخلَصَ مِنها للقَومِ الدافِعينَ للنَّصِّ و المُعتَمِدينَ علىٰ ما تَضمَّنَه السؤالُ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95063_2320776876"/>
      <w:bookmarkStart w:id="489" w:name="_Toc173"/>
      <w:bookmarkEnd w:id="488"/>
      <w:r>
        <w:rPr>
          <w:rtl w:val="true"/>
        </w:rPr>
        <w:t>عدم لزوم حصول العلم الضروريّ بالنصّ المتواتر لكلّ مَن سمعه</w:t>
      </w:r>
      <w:bookmarkEnd w:id="489"/>
    </w:p>
    <w:p>
      <w:pPr>
        <w:pStyle w:val="BookText"/>
        <w:rPr/>
      </w:pPr>
      <w:r>
        <w:rPr>
          <w:rFonts w:ascii="Amiri" w:hAnsi="Amiri" w:eastAsia="Amiri" w:cs="Amiri"/>
          <w:color w:val="111111"/>
          <w:sz w:val="28"/>
          <w:sz w:val="28"/>
          <w:szCs w:val="28"/>
          <w:rtl w:val="true"/>
          <w:lang w:bidi="ar-SA"/>
        </w:rPr>
        <w:t>و رُبَّما سَألوا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الخبرُ مُتَواتِراً بالنَّصِّ لَوقَعَ العِلمُ الضروريُّ به لِكُلِّ مَن سَمِعَه؛ لأنّ الخبرَ إذا ورَدَ مِن كَثرةٍ لها</w:t>
      </w:r>
      <w:r>
        <w:rPr>
          <w:rStyle w:val="FootnoteAnchor"/>
          <w:rtl w:val="true"/>
        </w:rPr>
        <w:footnoteReference w:id="2975"/>
      </w:r>
      <w:r>
        <w:rPr>
          <w:rFonts w:ascii="Amiri" w:hAnsi="Amiri" w:eastAsia="Amiri" w:cs="Amiri"/>
          <w:color w:val="111111"/>
          <w:sz w:val="28"/>
          <w:sz w:val="28"/>
          <w:szCs w:val="28"/>
          <w:rtl w:val="true"/>
          <w:lang w:bidi="ar-SA"/>
        </w:rPr>
        <w:t>الشُّروطُ التي تَدَّعونَها فلا بُدَّ مِن وقوعِ العِلمِ الضروريِّ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المُتقدِّم</w:t>
      </w:r>
      <w:r>
        <w:rPr>
          <w:rStyle w:val="FootnoteAnchor"/>
          <w:rtl w:val="true"/>
        </w:rPr>
        <w:footnoteReference w:id="2976"/>
      </w:r>
      <w:r>
        <w:rPr>
          <w:rFonts w:ascii="Amiri" w:hAnsi="Amiri" w:eastAsia="Amiri" w:cs="Amiri"/>
          <w:color w:val="111111"/>
          <w:sz w:val="28"/>
          <w:sz w:val="28"/>
          <w:szCs w:val="28"/>
          <w:rtl w:val="true"/>
          <w:lang w:bidi="ar-SA"/>
        </w:rPr>
        <w:t>الذي شَرَحناه و أَحكَمناه هو جوابٌ عن هذا السؤالِ‌؛ لأنّ معناهما مُتَشابِهٌ‌، و إن كانَ يُحتاجُ عندَ ذِكرِ الضرورةِ‌</w:t>
      </w:r>
      <w:r>
        <w:rPr>
          <w:rStyle w:val="FootnoteAnchor"/>
          <w:rtl w:val="true"/>
        </w:rPr>
        <w:footnoteReference w:id="2977"/>
      </w:r>
      <w:r>
        <w:rPr>
          <w:rFonts w:ascii="Amiri" w:hAnsi="Amiri" w:eastAsia="Amiri" w:cs="Amiri"/>
          <w:color w:val="111111"/>
          <w:sz w:val="28"/>
          <w:sz w:val="28"/>
          <w:szCs w:val="28"/>
          <w:rtl w:val="true"/>
          <w:lang w:bidi="ar-SA"/>
        </w:rPr>
        <w:t>علىٰ هذا الوجهِ إلىٰ ضَربٍ مِن التفصيلِ و نَوعٍ مِن الكلامِ لا يُحتاجُ إليه فيما تَقدَّمَ‌، و نحنُ نَستَوفيهِ عندَ النَّقضِ علىٰ صاحبِ الكتابِ‌؛ فقَد تَعلَّقَ به</w:t>
      </w:r>
      <w:r>
        <w:rPr>
          <w:rFonts w:eastAsia="Amiri" w:cs="Amiri" w:ascii="Amiri" w:hAnsi="Amiri"/>
          <w:color w:val="111111"/>
          <w:sz w:val="28"/>
          <w:szCs w:val="28"/>
          <w:rtl w:val="true"/>
          <w:lang w:bidi="ar-SA"/>
        </w:rPr>
        <w:t>.</w:t>
      </w:r>
      <w:r>
        <w:rPr>
          <w:rStyle w:val="FootnoteAnchor"/>
          <w:rtl w:val="true"/>
        </w:rPr>
        <w:footnoteReference w:id="297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أيضاً عن جميعِ ما يَسألونَ‌</w:t>
      </w:r>
      <w:r>
        <w:rPr>
          <w:rStyle w:val="FootnoteAnchor"/>
          <w:rtl w:val="true"/>
        </w:rPr>
        <w:footnoteReference w:id="2979"/>
      </w:r>
      <w:r>
        <w:rPr>
          <w:rFonts w:ascii="Amiri" w:hAnsi="Amiri" w:eastAsia="Amiri" w:cs="Amiri"/>
          <w:color w:val="111111"/>
          <w:sz w:val="28"/>
          <w:sz w:val="28"/>
          <w:szCs w:val="28"/>
          <w:rtl w:val="true"/>
          <w:lang w:bidi="ar-SA"/>
        </w:rPr>
        <w:t>عنه،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النَّصُّ حَقّاً لَما كتَمَته الأُمّةُ و أظهَرَت خِلافَه، و لَطالَبَ به أميرُ المؤمِنينَ عليه السلامُ و نازَعَ القَومَ فيه، و لَما دخَلَ في الشورىٰ‌، و لا فعَلَ كَذا و كَذا</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1"/>
      </w:r>
      <w:r>
        <w:rPr>
          <w:rFonts w:ascii="Amiri" w:hAnsi="Amiri" w:eastAsia="Amiri" w:cs="Amiri"/>
          <w:color w:val="111111"/>
          <w:sz w:val="28"/>
          <w:sz w:val="28"/>
          <w:szCs w:val="28"/>
          <w:rtl w:val="true"/>
          <w:lang w:bidi="ar-SA"/>
        </w:rPr>
        <w:t>، و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فَرقٍ بَينَ ادّعائكم للنَّصِّ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bookmarkStart w:id="490" w:name="pg20015_285080"/>
    </w:p>
    <w:p>
      <w:pPr>
        <w:pStyle w:val="BookText"/>
        <w:rPr/>
      </w:pPr>
      <w:bookmarkEnd w:id="490"/>
      <w:r>
        <w:rPr>
          <w:rFonts w:ascii="Amiri" w:hAnsi="Amiri" w:eastAsia="Amiri" w:cs="Amiri"/>
          <w:color w:val="111111"/>
          <w:sz w:val="28"/>
          <w:sz w:val="28"/>
          <w:szCs w:val="28"/>
          <w:rtl w:val="true"/>
          <w:lang w:bidi="ar-SA"/>
        </w:rPr>
        <w:t>و دَعوَى البَكريّةِ و العَبّاسيّةِ‌</w:t>
      </w:r>
      <w:r>
        <w:rPr>
          <w:rStyle w:val="FootnoteAnchor"/>
          <w:rtl w:val="true"/>
        </w:rPr>
        <w:footnoteReference w:id="2983"/>
      </w:r>
      <w:r>
        <w:rPr>
          <w:rFonts w:ascii="Amiri" w:hAnsi="Amiri" w:eastAsia="Amiri" w:cs="Amiri"/>
          <w:color w:val="111111"/>
          <w:sz w:val="28"/>
          <w:sz w:val="28"/>
          <w:szCs w:val="28"/>
          <w:rtl w:val="true"/>
          <w:lang w:bidi="ar-SA"/>
        </w:rPr>
        <w:t>للنَّصِّ‌</w:t>
      </w:r>
      <w:r>
        <w:rPr>
          <w:rStyle w:val="FootnoteAnchor"/>
          <w:rtl w:val="true"/>
        </w:rPr>
        <w:footnoteReference w:id="2984"/>
      </w:r>
      <w:r>
        <w:rPr>
          <w:rFonts w:ascii="Amiri" w:hAnsi="Amiri" w:eastAsia="Amiri" w:cs="Amiri"/>
          <w:color w:val="111111"/>
          <w:sz w:val="28"/>
          <w:sz w:val="28"/>
          <w:szCs w:val="28"/>
          <w:rtl w:val="true"/>
          <w:lang w:bidi="ar-SA"/>
        </w:rPr>
        <w:t>علىٰ صاحِبَيهما</w:t>
      </w:r>
      <w:r>
        <w:rPr>
          <w:rStyle w:val="FootnoteAnchor"/>
          <w:rtl w:val="true"/>
        </w:rPr>
        <w:footnoteReference w:id="2985"/>
      </w:r>
      <w:r>
        <w:rPr>
          <w:rFonts w:ascii="IRNazanin" w:hAnsi="IRNazanin" w:eastAsia="IRNazanin"/>
          <w:color w:val="111111"/>
          <w:sz w:val="28"/>
          <w:sz w:val="28"/>
          <w:szCs w:val="28"/>
          <w:rtl w:val="true"/>
          <w:lang w:bidi="fa-IR"/>
        </w:rPr>
        <w:t>؟</w:t>
      </w:r>
      <w:r>
        <w:rPr>
          <w:rStyle w:val="FootnoteAnchor"/>
          <w:rtl w:val="true"/>
        </w:rPr>
        <w:footnoteReference w:id="2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شُبَهِهم؛ فقَد ذكَرَ صاحبُ الكتابِ مِنها طَرَفاً نحنُ </w:t>
      </w:r>
      <w:r>
        <w:rPr>
          <w:rStyle w:val="FootnoteAnchor"/>
          <w:rtl w:val="true"/>
        </w:rPr>
        <w:footnoteReference w:id="2987"/>
      </w:r>
      <w:r>
        <w:rPr>
          <w:rFonts w:ascii="Amiri" w:hAnsi="Amiri" w:eastAsia="Amiri" w:cs="Amiri"/>
          <w:color w:val="111111"/>
          <w:sz w:val="28"/>
          <w:sz w:val="28"/>
          <w:szCs w:val="28"/>
          <w:rtl w:val="true"/>
          <w:lang w:bidi="ar-SA"/>
        </w:rPr>
        <w:t xml:space="preserve">نُجيبُ عنه عند الانتهاءِ إليه، و نَستَوفي ذِكرَ ما أخَلَّ به مِن زيادةٍ قَويّةٍ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w:t>
      </w:r>
      <w:r>
        <w:rPr>
          <w:rStyle w:val="FootnoteAnchor"/>
          <w:rtl w:val="true"/>
        </w:rPr>
        <w:footnoteReference w:id="2988"/>
      </w:r>
      <w:r>
        <w:rPr>
          <w:rFonts w:ascii="Amiri" w:hAnsi="Amiri" w:eastAsia="Amiri" w:cs="Amiri"/>
          <w:color w:val="111111"/>
          <w:sz w:val="28"/>
          <w:sz w:val="28"/>
          <w:szCs w:val="28"/>
          <w:rtl w:val="true"/>
          <w:lang w:bidi="ar-SA"/>
        </w:rPr>
        <w:t xml:space="preserve">قد انتَهىٰ ما أرَدنا تقديمَه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نَعودُ إلىٰ حِكايةِ كلامِ صاحبِ الكتابِ في الفَصلِ ، و النَّقضِ عَلَيه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895065_2320776876"/>
      <w:bookmarkStart w:id="492" w:name="_Toc174"/>
      <w:bookmarkEnd w:id="491"/>
      <w:r>
        <w:rPr>
          <w:rtl w:val="true"/>
        </w:rPr>
        <w:t>في بيان حصول العلم الضروريّ بالنصّ الجليّ أو عدم حصوله</w:t>
      </w:r>
      <w:bookmarkEnd w:id="49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الخِلافَ في النَّصِّ ، و ما يُمكِنُ أن يَنقَسِمَ إليه قَولُ مُدَّعيهِ مِن ضَرورةٍ أو 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w:t>
      </w:r>
      <w:r>
        <w:rPr>
          <w:rStyle w:val="FootnoteAnchor"/>
          <w:rtl w:val="true"/>
        </w:rPr>
        <w:footnoteReference w:id="2989"/>
      </w:r>
      <w:r>
        <w:rPr>
          <w:rFonts w:ascii="Amiri" w:hAnsi="Amiri" w:eastAsia="Amiri" w:cs="Amiri"/>
          <w:color w:val="111111"/>
          <w:sz w:val="28"/>
          <w:sz w:val="28"/>
          <w:szCs w:val="28"/>
          <w:rtl w:val="true"/>
          <w:lang w:bidi="ar-SA"/>
        </w:rPr>
        <w:t>يدُلُّ علىٰ بُطلانِ النَّصِّ علىٰ وجهٍ يُعلَمُ مُرادُه عليه السلامُ فيه باضطرارٍ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كانَ ثابتاً لَكانَ كُلُّ مَن عَلِمَ صحّةَ نُبوّتِه عليه السلامُ يَعلَمُ ذلكَ حَتّىٰ لا يَصِحُّ أن يَشُكَّ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العِلمُ بوجوبِ الصلاةِ و صَومِ شَهرِ رمضانَ </w:t>
      </w:r>
      <w:r>
        <w:rPr>
          <w:rStyle w:val="FootnoteAnchor"/>
          <w:rtl w:val="true"/>
        </w:rPr>
        <w:footnoteReference w:id="2990"/>
      </w:r>
      <w:r>
        <w:rPr>
          <w:rFonts w:ascii="Amiri" w:hAnsi="Amiri" w:eastAsia="Amiri" w:cs="Amiri"/>
          <w:color w:val="111111"/>
          <w:sz w:val="28"/>
          <w:sz w:val="28"/>
          <w:szCs w:val="28"/>
          <w:rtl w:val="true"/>
          <w:lang w:bidi="ar-SA"/>
        </w:rPr>
        <w:t>و تحريمِ الخَمرِ إلىٰ غَيرِ ذلكَ ضَروريّاً علَى الحَدّ</w:t>
      </w:r>
      <w:r>
        <w:rPr>
          <w:rStyle w:val="FootnoteAnchor"/>
          <w:rtl w:val="true"/>
        </w:rPr>
        <w:footnoteReference w:id="2991"/>
      </w:r>
      <w:r>
        <w:rPr>
          <w:rFonts w:ascii="Amiri" w:hAnsi="Amiri" w:eastAsia="Amiri" w:cs="Amiri"/>
          <w:color w:val="111111"/>
          <w:sz w:val="28"/>
          <w:sz w:val="28"/>
          <w:szCs w:val="28"/>
          <w:rtl w:val="true"/>
          <w:lang w:bidi="ar-SA"/>
        </w:rPr>
        <w:t xml:space="preserve">الذي ذَكرناه، لَم يَجُز أن </w:t>
      </w:r>
    </w:p>
    <w:p>
      <w:pPr>
        <w:pStyle w:val="BookText"/>
        <w:rPr/>
      </w:pPr>
      <w:r>
        <w:rPr>
          <w:rFonts w:ascii="Amiri" w:hAnsi="Amiri" w:eastAsia="Amiri" w:cs="Amiri"/>
          <w:color w:val="111111"/>
          <w:sz w:val="28"/>
          <w:sz w:val="28"/>
          <w:szCs w:val="28"/>
          <w:rtl w:val="true"/>
          <w:lang w:bidi="ar-SA"/>
        </w:rPr>
        <w:t>يَشُكَّ فيه أحَدٌ يَعلَمُ نُبوّتَه، حَتّىٰ إنّا نَجعَلُ إظهارَ</w:t>
      </w:r>
      <w:r>
        <w:rPr>
          <w:rStyle w:val="FootnoteAnchor"/>
          <w:rtl w:val="true"/>
        </w:rPr>
        <w:footnoteReference w:id="2992"/>
      </w:r>
      <w:r>
        <w:rPr>
          <w:rFonts w:ascii="Amiri" w:hAnsi="Amiri" w:eastAsia="Amiri" w:cs="Amiri"/>
          <w:color w:val="111111"/>
          <w:sz w:val="28"/>
          <w:sz w:val="28"/>
          <w:szCs w:val="28"/>
          <w:rtl w:val="true"/>
          <w:lang w:bidi="ar-SA"/>
        </w:rPr>
        <w:t>الشكِّ في ذلكَ أو</w:t>
      </w:r>
      <w:r>
        <w:rPr>
          <w:rStyle w:val="FootnoteAnchor"/>
          <w:rtl w:val="true"/>
        </w:rPr>
        <w:footnoteReference w:id="2993"/>
      </w:r>
      <w:r>
        <w:rPr>
          <w:rFonts w:ascii="Amiri" w:hAnsi="Amiri" w:eastAsia="Amiri" w:cs="Amiri"/>
          <w:color w:val="111111"/>
          <w:sz w:val="28"/>
          <w:sz w:val="28"/>
          <w:szCs w:val="28"/>
          <w:rtl w:val="true"/>
          <w:lang w:bidi="ar-SA"/>
        </w:rPr>
        <w:t>شيءٍ مِنه دَلالةَ الكُفرِ و تكذيبِ الرسولِ عليه السلامُ‌</w:t>
      </w:r>
      <w:r>
        <w:rPr>
          <w:rStyle w:val="FootnoteAnchor"/>
          <w:rtl w:val="true"/>
        </w:rPr>
        <w:footnoteReference w:id="29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بيّنّاه مِن قَبلُ‌</w:t>
      </w:r>
      <w:r>
        <w:rPr>
          <w:rFonts w:eastAsia="Amiri" w:cs="Amiri" w:ascii="Amiri" w:hAnsi="Amiri"/>
          <w:color w:val="111111"/>
          <w:sz w:val="28"/>
          <w:szCs w:val="28"/>
          <w:rtl w:val="true"/>
          <w:lang w:bidi="ar-SA"/>
        </w:rPr>
        <w:t>]</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الأمرُ كذلكَ لَوَجَبَ أن نَعلَمَ‌</w:t>
      </w:r>
      <w:r>
        <w:rPr>
          <w:rStyle w:val="FootnoteAnchor"/>
          <w:rtl w:val="true"/>
        </w:rPr>
        <w:footnoteReference w:id="2996"/>
      </w:r>
      <w:r>
        <w:rPr>
          <w:rFonts w:ascii="Amiri" w:hAnsi="Amiri" w:eastAsia="Amiri" w:cs="Amiri"/>
          <w:color w:val="111111"/>
          <w:sz w:val="28"/>
          <w:sz w:val="28"/>
          <w:szCs w:val="28"/>
          <w:rtl w:val="true"/>
          <w:lang w:bidi="ar-SA"/>
        </w:rPr>
        <w:t>هذا النَّصَّ و لا نَشُكَّ‌</w:t>
      </w:r>
      <w:r>
        <w:rPr>
          <w:rStyle w:val="FootnoteAnchor"/>
          <w:rtl w:val="true"/>
        </w:rPr>
        <w:footnoteReference w:id="2997"/>
      </w:r>
      <w:r>
        <w:rPr>
          <w:rFonts w:ascii="Amiri" w:hAnsi="Amiri" w:eastAsia="Amiri" w:cs="Amiri"/>
          <w:color w:val="111111"/>
          <w:sz w:val="28"/>
          <w:sz w:val="28"/>
          <w:szCs w:val="28"/>
          <w:rtl w:val="true"/>
          <w:lang w:bidi="ar-SA"/>
        </w:rPr>
        <w:t>فيه، و كذلكَ سائرُ أهلِ القِبلةِ‌؛ بَل كانَ يَجِبُ أن لا يَشُكَّ في ذلكَ مَن يَعتَقِدُ صحّةَ نُبوّتِه و إن لَم يَعلَمْها؛ لأنّ ذلكَ مُمتَنِعٌ‌</w:t>
      </w:r>
      <w:r>
        <w:rPr>
          <w:rStyle w:val="FootnoteAnchor"/>
          <w:rtl w:val="true"/>
        </w:rPr>
        <w:footnoteReference w:id="2998"/>
      </w:r>
      <w:r>
        <w:rPr>
          <w:rFonts w:ascii="Amiri" w:hAnsi="Amiri" w:eastAsia="Amiri" w:cs="Amiri"/>
          <w:color w:val="111111"/>
          <w:sz w:val="28"/>
          <w:sz w:val="28"/>
          <w:szCs w:val="28"/>
          <w:rtl w:val="true"/>
          <w:lang w:bidi="ar-SA"/>
        </w:rPr>
        <w:t>في</w:t>
      </w:r>
      <w:r>
        <w:rPr>
          <w:rStyle w:val="FootnoteAnchor"/>
          <w:rtl w:val="true"/>
        </w:rPr>
        <w:footnoteReference w:id="2999"/>
      </w:r>
      <w:r>
        <w:rPr>
          <w:rFonts w:ascii="Amiri" w:hAnsi="Amiri" w:eastAsia="Amiri" w:cs="Amiri"/>
          <w:color w:val="111111"/>
          <w:sz w:val="28"/>
          <w:sz w:val="28"/>
          <w:szCs w:val="28"/>
          <w:rtl w:val="true"/>
          <w:lang w:bidi="ar-SA"/>
        </w:rPr>
        <w:t>الاعتقادِ</w:t>
      </w:r>
      <w:r>
        <w:rPr>
          <w:rStyle w:val="FootnoteAnchor"/>
          <w:rtl w:val="true"/>
        </w:rPr>
        <w:footnoteReference w:id="3000"/>
      </w:r>
      <w:r>
        <w:rPr>
          <w:rFonts w:ascii="Amiri" w:hAnsi="Amiri" w:eastAsia="Amiri" w:cs="Amiri"/>
          <w:color w:val="111111"/>
          <w:sz w:val="28"/>
          <w:sz w:val="28"/>
          <w:szCs w:val="28"/>
          <w:rtl w:val="true"/>
          <w:lang w:bidi="ar-SA"/>
        </w:rPr>
        <w:t>و إن كانَ امتناعُه في العِلمِ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ذلكَ يبيِّنُ فَسادَ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يُمكِنُهم أن يَدَّعوا عَلَينا أنّا نَعرِفُ ذلكَ‌؛ لأنّا نَعرِفُ‌</w:t>
      </w:r>
      <w:r>
        <w:rPr>
          <w:rStyle w:val="FootnoteAnchor"/>
          <w:rtl w:val="true"/>
        </w:rPr>
        <w:footnoteReference w:id="3001"/>
      </w:r>
      <w:r>
        <w:rPr>
          <w:rFonts w:ascii="Amiri" w:hAnsi="Amiri" w:eastAsia="Amiri" w:cs="Amiri"/>
          <w:color w:val="111111"/>
          <w:sz w:val="28"/>
          <w:sz w:val="28"/>
          <w:szCs w:val="28"/>
          <w:rtl w:val="true"/>
          <w:lang w:bidi="ar-SA"/>
        </w:rPr>
        <w:t>باضطرارٍ خِلافَ‌</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مِن أنفُسِنا، بَل يَعلَمونَ مِن حالِنا أنّا نَعتَقِدُ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قد ثبَتَ أنّ الجَمعَ العَظيمَ لا يَجوزُ أن يَجحَدوا ما يَعلَمونَ أو يُظهِروا خِلافَه، و قد بيّنّا صحّةَ هذه الطريقةِ في بابِ المَعارفِ </w:t>
      </w:r>
      <w:r>
        <w:rPr>
          <w:rFonts w:eastAsia="Amiri" w:cs="Amiri" w:ascii="Amiri" w:hAnsi="Amiri"/>
          <w:color w:val="111111"/>
          <w:sz w:val="28"/>
          <w:szCs w:val="28"/>
          <w:rtl w:val="true"/>
          <w:lang w:bidi="ar-SA"/>
        </w:rPr>
        <w:t>....</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صَدرِ كلامِنا ما نَذهَبُ إليه في النَّصِّ‌</w:t>
      </w:r>
      <w:r>
        <w:rPr>
          <w:rStyle w:val="FootnoteAnchor"/>
          <w:rtl w:val="true"/>
        </w:rPr>
        <w:footnoteReference w:id="3003"/>
      </w:r>
      <w:r>
        <w:rPr>
          <w:rFonts w:ascii="Amiri" w:hAnsi="Amiri" w:eastAsia="Amiri" w:cs="Amiri"/>
          <w:color w:val="111111"/>
          <w:sz w:val="28"/>
          <w:sz w:val="28"/>
          <w:szCs w:val="28"/>
          <w:rtl w:val="true"/>
          <w:lang w:bidi="ar-SA"/>
        </w:rPr>
        <w:t>، و ذَكَرنا أنّ طَريقَ العِلمِ به و بالمُرادِ مِنه</w:t>
      </w:r>
      <w:r>
        <w:rPr>
          <w:rStyle w:val="FootnoteAnchor"/>
          <w:rtl w:val="true"/>
        </w:rPr>
        <w:footnoteReference w:id="3004"/>
      </w:r>
      <w:r>
        <w:rPr>
          <w:rFonts w:ascii="Amiri" w:hAnsi="Amiri" w:eastAsia="Amiri" w:cs="Amiri"/>
          <w:color w:val="111111"/>
          <w:sz w:val="28"/>
          <w:sz w:val="28"/>
          <w:szCs w:val="28"/>
          <w:rtl w:val="true"/>
          <w:lang w:bidi="ar-SA"/>
        </w:rPr>
        <w:t>لِمَن</w:t>
      </w:r>
      <w:r>
        <w:rPr>
          <w:rStyle w:val="FootnoteAnchor"/>
          <w:rtl w:val="true"/>
        </w:rPr>
        <w:footnoteReference w:id="3005"/>
      </w:r>
      <w:r>
        <w:rPr>
          <w:rFonts w:ascii="Amiri" w:hAnsi="Amiri" w:eastAsia="Amiri" w:cs="Amiri"/>
          <w:color w:val="111111"/>
          <w:sz w:val="28"/>
          <w:sz w:val="28"/>
          <w:szCs w:val="28"/>
          <w:rtl w:val="true"/>
          <w:lang w:bidi="ar-SA"/>
        </w:rPr>
        <w:t>لَم يَسمَعْه مِن الرسولِ صَلَّى اللّٰهُ عليه و آلِه هو الاستدلالُ دونَ الاضطرارِ، و إن كانَ مَن سَمِعَه مِنه عليه السلامُ مُضطَرّاً إلىٰ مُرادِه</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و لَيسَ نَقطَعُ‌</w:t>
      </w:r>
      <w:r>
        <w:rPr>
          <w:rStyle w:val="FootnoteAnchor"/>
          <w:rtl w:val="true"/>
        </w:rPr>
        <w:footnoteReference w:id="3007"/>
      </w:r>
      <w:r>
        <w:rPr>
          <w:rFonts w:ascii="Amiri" w:hAnsi="Amiri" w:eastAsia="Amiri" w:cs="Amiri"/>
          <w:color w:val="111111"/>
          <w:sz w:val="28"/>
          <w:sz w:val="28"/>
          <w:szCs w:val="28"/>
          <w:rtl w:val="true"/>
          <w:lang w:bidi="ar-SA"/>
        </w:rPr>
        <w:t>في شيءٍ مِن الأخبارِ علىٰ حُصولِ العِلمِ الضَّروريِّ عندَه؛ لأنّا نجوِّزُ أن يَكونَ العِلمُ بإيجابِ الصلاةِ و تحريمِ الخَمرِ و سائرِ ما ذَكرتَه و بالبُلدانِ أيضاً واقعاً عن ضَربٍ مِن الاستدلالِ قَريبٍ‌، و أن لا يَكونَ مِن فِعلِ اللّٰهِ تَعالىٰ فينا، و إن كُنّا</w:t>
      </w:r>
      <w:r>
        <w:rPr>
          <w:rStyle w:val="FootnoteAnchor"/>
          <w:rtl w:val="true"/>
        </w:rPr>
        <w:footnoteReference w:id="3008"/>
      </w:r>
      <w:r>
        <w:rPr>
          <w:rFonts w:ascii="Amiri" w:hAnsi="Amiri" w:eastAsia="Amiri" w:cs="Amiri"/>
          <w:color w:val="111111"/>
          <w:sz w:val="28"/>
          <w:sz w:val="28"/>
          <w:szCs w:val="28"/>
          <w:rtl w:val="true"/>
          <w:lang w:bidi="ar-SA"/>
        </w:rPr>
        <w:t xml:space="preserve">لا نَشُكُّ في مُفارَقةِ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بهذه الأُمورِ في طَريقِه</w:t>
      </w:r>
      <w:r>
        <w:rPr>
          <w:rStyle w:val="FootnoteAnchor"/>
          <w:rtl w:val="true"/>
        </w:rPr>
        <w:footnoteReference w:id="3009"/>
      </w:r>
      <w:r>
        <w:rPr>
          <w:rFonts w:ascii="Amiri" w:hAnsi="Amiri" w:eastAsia="Amiri" w:cs="Amiri"/>
          <w:color w:val="111111"/>
          <w:sz w:val="28"/>
          <w:sz w:val="28"/>
          <w:szCs w:val="28"/>
          <w:rtl w:val="true"/>
          <w:lang w:bidi="ar-SA"/>
        </w:rPr>
        <w:t xml:space="preserve">، و امتناعِ دُخولِ الشُّكوكِ </w:t>
      </w:r>
      <w:r>
        <w:rPr>
          <w:rStyle w:val="FootnoteAnchor"/>
          <w:rtl w:val="true"/>
        </w:rPr>
        <w:footnoteReference w:id="3010"/>
      </w:r>
      <w:r>
        <w:rPr>
          <w:rFonts w:ascii="Amiri" w:hAnsi="Amiri" w:eastAsia="Amiri" w:cs="Amiri"/>
          <w:color w:val="111111"/>
          <w:sz w:val="28"/>
          <w:sz w:val="28"/>
          <w:szCs w:val="28"/>
          <w:rtl w:val="true"/>
          <w:lang w:bidi="ar-SA"/>
        </w:rPr>
        <w:t>و الشُّبهاتِ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مِن العُلومِ بمُخبَرِ</w:t>
      </w:r>
      <w:r>
        <w:rPr>
          <w:rStyle w:val="FootnoteAnchor"/>
          <w:rtl w:val="true"/>
        </w:rPr>
        <w:footnoteReference w:id="3011"/>
      </w:r>
      <w:r>
        <w:rPr>
          <w:rFonts w:ascii="Amiri" w:hAnsi="Amiri" w:eastAsia="Amiri" w:cs="Amiri"/>
          <w:color w:val="111111"/>
          <w:sz w:val="28"/>
          <w:sz w:val="28"/>
          <w:szCs w:val="28"/>
          <w:rtl w:val="true"/>
          <w:lang w:bidi="ar-SA"/>
        </w:rPr>
        <w:t>الأخبارِ التي لا يَجري</w:t>
      </w:r>
      <w:r>
        <w:rPr>
          <w:rStyle w:val="FootnoteAnchor"/>
          <w:rtl w:val="true"/>
        </w:rPr>
        <w:footnoteReference w:id="3012"/>
      </w:r>
      <w:r>
        <w:rPr>
          <w:rFonts w:ascii="Amiri" w:hAnsi="Amiri" w:eastAsia="Amiri" w:cs="Amiri"/>
          <w:color w:val="111111"/>
          <w:sz w:val="28"/>
          <w:sz w:val="28"/>
          <w:szCs w:val="28"/>
          <w:rtl w:val="true"/>
          <w:lang w:bidi="ar-SA"/>
        </w:rPr>
        <w:t xml:space="preserve">مَجراه؛ لأنّ امتناعَ اعتراضِ الشُّبهةِ و دُخولِ الشكِّ في بعضِ العُلومِ لَيسَ يَجِبُ أن يَكونَ دَلالةً علىٰ أنّه مِن فِعلِ اللّٰهِ تَعالىٰ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3013"/>
      </w:r>
      <w:r>
        <w:rPr>
          <w:rFonts w:ascii="Amiri" w:hAnsi="Amiri" w:eastAsia="Amiri" w:cs="Amiri"/>
          <w:color w:val="111111"/>
          <w:sz w:val="28"/>
          <w:sz w:val="28"/>
          <w:szCs w:val="28"/>
          <w:rtl w:val="true"/>
          <w:lang w:bidi="ar-SA"/>
        </w:rPr>
        <w:t>في</w:t>
      </w:r>
      <w:r>
        <w:rPr>
          <w:rStyle w:val="FootnoteAnchor"/>
          <w:rtl w:val="true"/>
        </w:rPr>
        <w:footnoteReference w:id="3014"/>
      </w:r>
      <w:r>
        <w:rPr>
          <w:rFonts w:ascii="Amiri" w:hAnsi="Amiri" w:eastAsia="Amiri" w:cs="Amiri"/>
          <w:color w:val="111111"/>
          <w:sz w:val="28"/>
          <w:sz w:val="28"/>
          <w:szCs w:val="28"/>
          <w:rtl w:val="true"/>
          <w:lang w:bidi="ar-SA"/>
        </w:rPr>
        <w:t xml:space="preserve">هَل العِلمُ بالبُلدانِ و ما أشبَهَها ضَروريٌّ </w:t>
      </w:r>
    </w:p>
    <w:p>
      <w:pPr>
        <w:pStyle w:val="BookText"/>
        <w:rPr/>
      </w:pP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Style w:val="FootnoteAnchor"/>
          <w:rtl w:val="true"/>
        </w:rPr>
        <w:footnoteReference w:id="3015"/>
      </w:r>
      <w:r>
        <w:rPr>
          <w:rFonts w:ascii="Amiri" w:hAnsi="Amiri" w:eastAsia="Amiri" w:cs="Amiri"/>
          <w:color w:val="111111"/>
          <w:sz w:val="28"/>
          <w:sz w:val="28"/>
          <w:szCs w:val="28"/>
          <w:rtl w:val="true"/>
          <w:lang w:bidi="ar-SA"/>
        </w:rPr>
        <w:t>فأمّا العِلمُ بالنَّصِّ فلا نَظَرَ لنا في</w:t>
      </w:r>
      <w:r>
        <w:rPr>
          <w:rStyle w:val="FootnoteAnchor"/>
          <w:rtl w:val="true"/>
        </w:rPr>
        <w:footnoteReference w:id="3016"/>
      </w:r>
      <w:r>
        <w:rPr>
          <w:rFonts w:ascii="Amiri" w:hAnsi="Amiri" w:eastAsia="Amiri" w:cs="Amiri"/>
          <w:color w:val="111111"/>
          <w:sz w:val="28"/>
          <w:sz w:val="28"/>
          <w:szCs w:val="28"/>
          <w:rtl w:val="true"/>
          <w:lang w:bidi="ar-SA"/>
        </w:rPr>
        <w:t>أنّ العِلمَ به الآنَ مِن طريقِ الاستدلالِ و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تَخطَّينا الخِلافَ في هذا المَوضِعِ‌</w:t>
      </w:r>
      <w:r>
        <w:rPr>
          <w:rStyle w:val="FootnoteAnchor"/>
          <w:rtl w:val="true"/>
        </w:rPr>
        <w:footnoteReference w:id="3017"/>
      </w:r>
      <w:r>
        <w:rPr>
          <w:rFonts w:ascii="Amiri" w:hAnsi="Amiri" w:eastAsia="Amiri" w:cs="Amiri"/>
          <w:color w:val="111111"/>
          <w:sz w:val="28"/>
          <w:sz w:val="28"/>
          <w:szCs w:val="28"/>
          <w:rtl w:val="true"/>
          <w:lang w:bidi="ar-SA"/>
        </w:rPr>
        <w:t>، و سَلَّمنا لكَ أنّ العِلمَ بالبُلدانِ و ما ماثَلَها ضَروريٌّ‌</w:t>
      </w:r>
      <w:r>
        <w:rPr>
          <w:rStyle w:val="FootnoteAnchor"/>
          <w:rtl w:val="true"/>
        </w:rPr>
        <w:footnoteReference w:id="3018"/>
      </w:r>
      <w:r>
        <w:rPr>
          <w:rFonts w:ascii="Amiri" w:hAnsi="Amiri" w:eastAsia="Amiri" w:cs="Amiri"/>
          <w:color w:val="111111"/>
          <w:sz w:val="28"/>
          <w:sz w:val="28"/>
          <w:szCs w:val="28"/>
          <w:rtl w:val="true"/>
          <w:lang w:bidi="ar-SA"/>
        </w:rPr>
        <w:t>، لَأمكَنَ أن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w:t>
      </w:r>
      <w:r>
        <w:rPr>
          <w:rStyle w:val="FootnoteAnchor"/>
          <w:rtl w:val="true"/>
        </w:rPr>
        <w:footnoteReference w:id="3019"/>
      </w:r>
      <w:r>
        <w:rPr>
          <w:rFonts w:ascii="Amiri" w:hAnsi="Amiri" w:eastAsia="Amiri" w:cs="Amiri"/>
          <w:color w:val="111111"/>
          <w:sz w:val="28"/>
          <w:sz w:val="28"/>
          <w:szCs w:val="28"/>
          <w:rtl w:val="true"/>
          <w:lang w:bidi="ar-SA"/>
        </w:rPr>
        <w:t>تَدفَعُ‌</w:t>
      </w:r>
      <w:r>
        <w:rPr>
          <w:rStyle w:val="FootnoteAnchor"/>
          <w:rtl w:val="true"/>
        </w:rPr>
        <w:footnoteReference w:id="3020"/>
      </w:r>
      <w:r>
        <w:rPr>
          <w:rFonts w:ascii="Amiri" w:hAnsi="Amiri" w:eastAsia="Amiri" w:cs="Amiri"/>
          <w:color w:val="111111"/>
          <w:sz w:val="28"/>
          <w:sz w:val="28"/>
          <w:szCs w:val="28"/>
          <w:rtl w:val="true"/>
          <w:lang w:bidi="ar-SA"/>
        </w:rPr>
        <w:t xml:space="preserve">أن يَكونَ إيجابُ الصلاةِ و الصومِ و ما ذَكرتَه مِن العباداتِ إنّما عَلِمَه كُلُّ مَن عَلِمَ صحّةَ نُبوّتِه عليه السلامُ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 أن يقَعَ شكٌّ فيه؛ مِن قِبَلِ أنّ أحَداً لَم يَعتَرِضْه بتكذيبٍ و رَدٍّ</w:t>
      </w:r>
    </w:p>
    <w:p>
      <w:pPr>
        <w:pStyle w:val="BookText"/>
        <w:rPr/>
      </w:pPr>
      <w:r>
        <w:rPr>
          <w:rFonts w:ascii="Amiri" w:hAnsi="Amiri" w:eastAsia="Amiri" w:cs="Amiri"/>
          <w:color w:val="111111"/>
          <w:sz w:val="28"/>
          <w:sz w:val="28"/>
          <w:szCs w:val="28"/>
          <w:rtl w:val="true"/>
          <w:lang w:bidi="ar-SA"/>
        </w:rPr>
        <w:t xml:space="preserve">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خبرُ النَّصِّ ممّا يَصِحُّ أن يُعلَمَ المُرادُ مِنه باضطرارٍ لَو</w:t>
      </w:r>
      <w:r>
        <w:rPr>
          <w:rStyle w:val="FootnoteAnchor"/>
          <w:rtl w:val="true"/>
        </w:rPr>
        <w:footnoteReference w:id="3021"/>
      </w:r>
      <w:r>
        <w:rPr>
          <w:rFonts w:ascii="Amiri" w:hAnsi="Amiri" w:eastAsia="Amiri" w:cs="Amiri"/>
          <w:color w:val="111111"/>
          <w:sz w:val="28"/>
          <w:sz w:val="28"/>
          <w:szCs w:val="28"/>
          <w:rtl w:val="true"/>
          <w:lang w:bidi="ar-SA"/>
        </w:rPr>
        <w:t>سَلِمَ مِن تكذيبِ الجماعاتِ به و سَبقِهم إلَى الاعتقاداتِ الباطلةِ فيه، فلمّا لَم يَسلَمْ‌</w:t>
      </w:r>
      <w:r>
        <w:rPr>
          <w:rStyle w:val="FootnoteAnchor"/>
          <w:rtl w:val="true"/>
        </w:rPr>
        <w:footnoteReference w:id="3022"/>
      </w:r>
      <w:r>
        <w:rPr>
          <w:rFonts w:ascii="Amiri" w:hAnsi="Amiri" w:eastAsia="Amiri" w:cs="Amiri"/>
          <w:color w:val="111111"/>
          <w:sz w:val="28"/>
          <w:sz w:val="28"/>
          <w:szCs w:val="28"/>
          <w:rtl w:val="true"/>
          <w:lang w:bidi="ar-SA"/>
        </w:rPr>
        <w:t>مِن ذلكَ لَم يَقَعِ العِلمُ به ضرورةً كما وَقَعَ بسائرِ ما عَدَّدتَه‌؟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يُمكِنُكَ أن تُحيلَ هذا الإلزامَ أو تَستَبعِدَه؛ لأنّ العِلمَ الضروريَّ عندَ خبرِ المُخبِرينَ إذا كانَ عندَكَ مِن فِعلِ اللّٰهِ تَعالىٰ و متعلِّقاً بالعادةِ ، جازَ أن يُجريَ </w:t>
      </w:r>
      <w:r>
        <w:rPr>
          <w:rStyle w:val="FootnoteAnchor"/>
          <w:rtl w:val="true"/>
        </w:rPr>
        <w:footnoteReference w:id="3023"/>
      </w:r>
      <w:r>
        <w:rPr>
          <w:rFonts w:ascii="Amiri" w:hAnsi="Amiri" w:eastAsia="Amiri" w:cs="Amiri"/>
          <w:color w:val="111111"/>
          <w:sz w:val="28"/>
          <w:sz w:val="28"/>
          <w:szCs w:val="28"/>
          <w:rtl w:val="true"/>
          <w:lang w:bidi="ar-SA"/>
        </w:rPr>
        <w:t xml:space="preserve">العادةَ فيه بأن يَفعَلَه إذا لَم يَقَعْ تكذيبٌ مِن الجماعاتِ به و سَبقٌ إلَى اعتقادِ فَسادِه، و متىٰ </w:t>
      </w:r>
    </w:p>
    <w:p>
      <w:pPr>
        <w:pStyle w:val="BookText"/>
        <w:rPr/>
      </w:pPr>
      <w:r>
        <w:rPr>
          <w:rFonts w:ascii="Amiri" w:hAnsi="Amiri" w:eastAsia="Amiri" w:cs="Amiri"/>
          <w:color w:val="111111"/>
          <w:sz w:val="28"/>
          <w:sz w:val="28"/>
          <w:szCs w:val="28"/>
          <w:rtl w:val="true"/>
          <w:lang w:bidi="ar-SA"/>
        </w:rPr>
        <w:t xml:space="preserve">وَقَعَ ذلكَ لَم يَفعَله كما جازَ أن يَفعَلَه عندَ خبرِ عَدَدٍ دونَ عَدَدٍ، و عندَ خبرِ المُضطَرّينَ إلىٰ ما أُخبِروا عنه دونَ المستَدِلّينَ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المعتَبَرُ في وجودِ</w:t>
      </w:r>
      <w:r>
        <w:rPr>
          <w:rStyle w:val="FootnoteAnchor"/>
          <w:rtl w:val="true"/>
        </w:rPr>
        <w:footnoteReference w:id="3024"/>
      </w:r>
      <w:r>
        <w:rPr>
          <w:rFonts w:ascii="Amiri" w:hAnsi="Amiri" w:eastAsia="Amiri" w:cs="Amiri"/>
          <w:color w:val="111111"/>
          <w:sz w:val="28"/>
          <w:sz w:val="28"/>
          <w:szCs w:val="28"/>
          <w:rtl w:val="true"/>
          <w:lang w:bidi="ar-SA"/>
        </w:rPr>
        <w:t>العِلمِ الضروريِّ بمُخبَرِ</w:t>
      </w:r>
      <w:r>
        <w:rPr>
          <w:rStyle w:val="FootnoteAnchor"/>
          <w:rtl w:val="true"/>
        </w:rPr>
        <w:footnoteReference w:id="3025"/>
      </w:r>
      <w:r>
        <w:rPr>
          <w:rFonts w:ascii="Amiri" w:hAnsi="Amiri" w:eastAsia="Amiri" w:cs="Amiri"/>
          <w:color w:val="111111"/>
          <w:sz w:val="28"/>
          <w:sz w:val="28"/>
          <w:szCs w:val="28"/>
          <w:rtl w:val="true"/>
          <w:lang w:bidi="ar-SA"/>
        </w:rPr>
        <w:t>الأخبارِ و ارتفاعِه بالتكذيبِ ، لَوَجَبَ أن لا يَقَعَ عِلمٌ بشيءٍ مِن مُخبَرِ</w:t>
      </w:r>
      <w:r>
        <w:rPr>
          <w:rStyle w:val="FootnoteAnchor"/>
          <w:rtl w:val="true"/>
        </w:rPr>
        <w:footnoteReference w:id="3026"/>
      </w:r>
      <w:r>
        <w:rPr>
          <w:rFonts w:ascii="Amiri" w:hAnsi="Amiri" w:eastAsia="Amiri" w:cs="Amiri"/>
          <w:color w:val="111111"/>
          <w:sz w:val="28"/>
          <w:sz w:val="28"/>
          <w:szCs w:val="28"/>
          <w:rtl w:val="true"/>
          <w:lang w:bidi="ar-SA"/>
        </w:rPr>
        <w:t xml:space="preserve">الأخبارِ؛ لأنّ السُّمَنِيَّةَ </w:t>
      </w:r>
      <w:r>
        <w:rPr>
          <w:rStyle w:val="FootnoteAnchor"/>
          <w:rtl w:val="true"/>
        </w:rPr>
        <w:footnoteReference w:id="3027"/>
      </w:r>
      <w:r>
        <w:rPr>
          <w:rFonts w:ascii="Amiri" w:hAnsi="Amiri" w:eastAsia="Amiri" w:cs="Amiri"/>
          <w:color w:val="111111"/>
          <w:sz w:val="28"/>
          <w:sz w:val="28"/>
          <w:szCs w:val="28"/>
          <w:rtl w:val="true"/>
          <w:lang w:bidi="ar-SA"/>
        </w:rPr>
        <w:t xml:space="preserve">تُكذِّبُ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يؤثِّرُ تكذيبُ مَن عُلِمَ وجودُه و عُرِفَ تكذيبُه مِن العُقَلاءِ ، و نحنُ لَم نَرَ سُمَنيّاً قَطُّ، و إنّما نَسمَعُ بذِكرِهم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مُعتبَرَ في ارتفاعِ العِلمِ الضروريِّ بتكذيبِ الواحدِ و الاثنَينِ ، بَل بِرَدِّ الجماعاتِ و تكذيبِها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إذا كانَ المَرجِعُ فيه إلَى العادةِ جَوَّزنا ما ذَكرناه فيه و لَم يُستَنكَرْ</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التصديقُ شَرطاً في صحّةِ وقوعِ العِلمِ لَم يَخلُ التصديقُ مِن أن يَكونَ عن معرفةٍ‌، أو عن غَيرِ معرفةٍ‌؛ فإن كانَ عنها لَم تَخلُ </w:t>
      </w:r>
      <w:r>
        <w:rPr>
          <w:rStyle w:val="FootnoteAnchor"/>
          <w:rtl w:val="true"/>
        </w:rPr>
        <w:footnoteReference w:id="3029"/>
      </w:r>
      <w:r>
        <w:rPr>
          <w:rFonts w:ascii="Amiri" w:hAnsi="Amiri" w:eastAsia="Amiri" w:cs="Amiri"/>
          <w:color w:val="111111"/>
          <w:sz w:val="28"/>
          <w:sz w:val="28"/>
          <w:szCs w:val="28"/>
          <w:rtl w:val="true"/>
          <w:lang w:bidi="ar-SA"/>
        </w:rPr>
        <w:t xml:space="preserve">المعرفةُ مِن أن تَكونَ </w:t>
      </w:r>
      <w:r>
        <w:rPr>
          <w:rStyle w:val="FootnoteAnchor"/>
          <w:rtl w:val="true"/>
        </w:rPr>
        <w:footnoteReference w:id="3030"/>
      </w:r>
      <w:r>
        <w:rPr>
          <w:rFonts w:ascii="Amiri" w:hAnsi="Amiri" w:eastAsia="Amiri" w:cs="Amiri"/>
          <w:color w:val="111111"/>
          <w:sz w:val="28"/>
          <w:sz w:val="28"/>
          <w:szCs w:val="28"/>
          <w:rtl w:val="true"/>
          <w:lang w:bidi="ar-SA"/>
        </w:rPr>
        <w:t xml:space="preserve">إذَن لَم تَحصُلْ </w:t>
      </w:r>
      <w:r>
        <w:rPr>
          <w:rStyle w:val="FootnoteAnchor"/>
          <w:rtl w:val="true"/>
        </w:rPr>
        <w:footnoteReference w:id="3031"/>
      </w:r>
      <w:r>
        <w:rPr>
          <w:rFonts w:ascii="Amiri" w:hAnsi="Amiri" w:eastAsia="Amiri" w:cs="Amiri"/>
          <w:color w:val="111111"/>
          <w:sz w:val="28"/>
          <w:sz w:val="28"/>
          <w:szCs w:val="28"/>
          <w:rtl w:val="true"/>
          <w:lang w:bidi="ar-SA"/>
        </w:rPr>
        <w:t xml:space="preserve">عن مُشاهَدةٍ واقعةٍ </w:t>
      </w:r>
      <w:r>
        <w:rPr>
          <w:rStyle w:val="FootnoteAnchor"/>
          <w:rtl w:val="true"/>
        </w:rPr>
        <w:footnoteReference w:id="3032"/>
      </w:r>
      <w:r>
        <w:rPr>
          <w:rFonts w:ascii="IRNazanin" w:hAnsi="IRNazanin" w:eastAsia="IRNazanin"/>
          <w:color w:val="111111"/>
          <w:sz w:val="28"/>
          <w:sz w:val="28"/>
          <w:szCs w:val="28"/>
          <w:rtl w:val="true"/>
          <w:lang w:bidi="fa-IR"/>
        </w:rPr>
        <w:t xml:space="preserve">بهذا </w:t>
      </w:r>
    </w:p>
    <w:p>
      <w:pPr>
        <w:pStyle w:val="BookText"/>
        <w:rPr/>
      </w:pPr>
      <w:r>
        <w:rPr>
          <w:rFonts w:ascii="Amiri" w:hAnsi="Amiri" w:eastAsia="Amiri" w:cs="Amiri"/>
          <w:color w:val="111111"/>
          <w:sz w:val="28"/>
          <w:sz w:val="28"/>
          <w:szCs w:val="28"/>
          <w:rtl w:val="true"/>
          <w:lang w:bidi="ar-SA"/>
        </w:rPr>
        <w:t>الخبرِ أو</w:t>
      </w:r>
      <w:r>
        <w:rPr>
          <w:rStyle w:val="FootnoteAnchor"/>
          <w:rtl w:val="true"/>
        </w:rPr>
        <w:footnoteReference w:id="3033"/>
      </w:r>
      <w:r>
        <w:rPr>
          <w:rFonts w:ascii="Amiri" w:hAnsi="Amiri" w:eastAsia="Amiri" w:cs="Amiri"/>
          <w:color w:val="111111"/>
          <w:sz w:val="28"/>
          <w:sz w:val="28"/>
          <w:szCs w:val="28"/>
          <w:rtl w:val="true"/>
          <w:lang w:bidi="ar-SA"/>
        </w:rPr>
        <w:t>بغَيرِه</w:t>
      </w:r>
      <w:r>
        <w:rPr>
          <w:rStyle w:val="FootnoteAnchor"/>
          <w:rtl w:val="true"/>
        </w:rPr>
        <w:footnoteReference w:id="3034"/>
      </w:r>
      <w:r>
        <w:rPr>
          <w:rFonts w:ascii="Amiri" w:hAnsi="Amiri" w:eastAsia="Amiri" w:cs="Amiri"/>
          <w:color w:val="111111"/>
          <w:sz w:val="28"/>
          <w:sz w:val="28"/>
          <w:szCs w:val="28"/>
          <w:rtl w:val="true"/>
          <w:lang w:bidi="ar-SA"/>
        </w:rPr>
        <w:t>ممّا يَجري</w:t>
      </w:r>
      <w:r>
        <w:rPr>
          <w:rStyle w:val="FootnoteAnchor"/>
          <w:rtl w:val="true"/>
        </w:rPr>
        <w:footnoteReference w:id="3035"/>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حاصلةً عن</w:t>
      </w:r>
      <w:r>
        <w:rPr>
          <w:rStyle w:val="FootnoteAnchor"/>
          <w:rtl w:val="true"/>
        </w:rPr>
        <w:footnoteReference w:id="3036"/>
      </w:r>
      <w:r>
        <w:rPr>
          <w:rFonts w:ascii="IRNazanin" w:hAnsi="IRNazanin" w:eastAsia="IRNazanin"/>
          <w:color w:val="111111"/>
          <w:sz w:val="28"/>
          <w:sz w:val="28"/>
          <w:szCs w:val="28"/>
          <w:rtl w:val="true"/>
          <w:lang w:bidi="fa-IR"/>
        </w:rPr>
        <w:t>هذا الخبرِ أو</w:t>
      </w:r>
    </w:p>
    <w:p>
      <w:pPr>
        <w:pStyle w:val="BookText"/>
        <w:rPr/>
      </w:pPr>
      <w:r>
        <w:rPr>
          <w:rFonts w:ascii="Amiri" w:hAnsi="Amiri" w:eastAsia="Amiri" w:cs="Amiri"/>
          <w:color w:val="111111"/>
          <w:sz w:val="28"/>
          <w:sz w:val="28"/>
          <w:szCs w:val="28"/>
          <w:rtl w:val="true"/>
          <w:lang w:bidi="ar-SA"/>
        </w:rPr>
        <w:t>عمّا</w:t>
      </w:r>
      <w:r>
        <w:rPr>
          <w:rStyle w:val="FootnoteAnchor"/>
          <w:rtl w:val="true"/>
        </w:rPr>
        <w:footnoteReference w:id="3037"/>
      </w:r>
      <w:r>
        <w:rPr>
          <w:rFonts w:ascii="Amiri" w:hAnsi="Amiri" w:eastAsia="Amiri" w:cs="Amiri"/>
          <w:color w:val="111111"/>
          <w:sz w:val="28"/>
          <w:sz w:val="28"/>
          <w:szCs w:val="28"/>
          <w:rtl w:val="true"/>
          <w:lang w:bidi="ar-SA"/>
        </w:rPr>
        <w:t xml:space="preserve">جَرىٰ مَجراه فقَد صَحَّ أن نَعلَمَ </w:t>
      </w:r>
      <w:r>
        <w:rPr>
          <w:rStyle w:val="FootnoteAnchor"/>
          <w:rtl w:val="true"/>
        </w:rPr>
        <w:footnoteReference w:id="3038"/>
      </w:r>
      <w:r>
        <w:rPr>
          <w:rFonts w:ascii="Amiri" w:hAnsi="Amiri" w:eastAsia="Amiri" w:cs="Amiri"/>
          <w:color w:val="111111"/>
          <w:sz w:val="28"/>
          <w:sz w:val="28"/>
          <w:szCs w:val="28"/>
          <w:rtl w:val="true"/>
          <w:lang w:bidi="ar-SA"/>
        </w:rPr>
        <w:t xml:space="preserve">صحّةَ الخبرِ و إن لَم يَقَعْ تصديقٌ متقدِّمٌ ، و إذا جازَ هذا فيهم جازَ في غَيرِهم و استُغنيَ عن تَقدُّمِ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نُلزِمْكَ كَونَ التصديقِ شَرطاً في وقوعِ العِلمِ‌</w:t>
      </w:r>
      <w:r>
        <w:rPr>
          <w:rStyle w:val="FootnoteAnchor"/>
          <w:rtl w:val="true"/>
        </w:rPr>
        <w:footnoteReference w:id="3039"/>
      </w:r>
      <w:r>
        <w:rPr>
          <w:rFonts w:ascii="Amiri" w:hAnsi="Amiri" w:eastAsia="Amiri" w:cs="Amiri"/>
          <w:color w:val="111111"/>
          <w:sz w:val="28"/>
          <w:sz w:val="28"/>
          <w:szCs w:val="28"/>
          <w:rtl w:val="true"/>
          <w:lang w:bidi="ar-SA"/>
        </w:rPr>
        <w:t xml:space="preserve">، و إنّما أَلزَمناكَ أن يَكونَ </w:t>
      </w:r>
      <w:r>
        <w:rPr>
          <w:rStyle w:val="FootnoteAnchor"/>
          <w:rtl w:val="true"/>
        </w:rPr>
        <w:footnoteReference w:id="3040"/>
      </w:r>
      <w:r>
        <w:rPr>
          <w:rFonts w:ascii="Amiri" w:hAnsi="Amiri" w:eastAsia="Amiri" w:cs="Amiri"/>
          <w:color w:val="111111"/>
          <w:sz w:val="28"/>
          <w:sz w:val="28"/>
          <w:szCs w:val="28"/>
          <w:rtl w:val="true"/>
          <w:lang w:bidi="ar-SA"/>
        </w:rPr>
        <w:t>تكذيبُ الجماعةِ بالخبرِ مانعاً مِن حُصول العِلمِ الضروريِّ ، و ارتفاعُ هذا التكذيبِ مُصحِّحاً لوجودِه؛ فتَشاغُلُكَ بالتصديقِ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نَفيُكَ عن نفسِكَ و أصحابِكَ العِلمَ بالنَّصِّ فصَحيحٌ ، و لَيسَ ذلك ممّا يَدَّعيهِ عَلَيكَ عاقلٌ فتُفسِدَه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كلامي علىٰ مَن أَوجَبَ العِلمَ الضروريَّ بالنَّصِّ لكُلِّ مَن سَمِعَه، و ادَّعىٰ علَى الجميعِ الاضطرارَ إلىٰ صحّتِه، و لَم يُثبِتْ مانعاً مِن العِلمِ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فكلامُكَ إذَن علىٰ مذهبٍ لا يَذهَبُ إليه عاقلٌ ؛ فإنّنا</w:t>
      </w:r>
      <w:r>
        <w:rPr>
          <w:rStyle w:val="FootnoteAnchor"/>
          <w:rtl w:val="true"/>
        </w:rPr>
        <w:footnoteReference w:id="3041"/>
      </w:r>
      <w:r>
        <w:rPr>
          <w:rFonts w:ascii="Amiri" w:hAnsi="Amiri" w:eastAsia="Amiri" w:cs="Amiri"/>
          <w:color w:val="111111"/>
          <w:sz w:val="28"/>
          <w:sz w:val="28"/>
          <w:szCs w:val="28"/>
          <w:rtl w:val="true"/>
          <w:lang w:bidi="ar-SA"/>
        </w:rPr>
        <w:t>لا نَعرِفُ أحَداً هذا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يَتضمَّنُ الردَّ علىٰ مَن ادَّعىٰ عَلَيه و</w:t>
      </w:r>
      <w:r>
        <w:rPr>
          <w:rStyle w:val="FootnoteAnchor"/>
          <w:rtl w:val="true"/>
        </w:rPr>
        <w:footnoteReference w:id="3042"/>
      </w:r>
      <w:r>
        <w:rPr>
          <w:rFonts w:ascii="Amiri" w:hAnsi="Amiri" w:eastAsia="Amiri" w:cs="Amiri"/>
          <w:color w:val="111111"/>
          <w:sz w:val="28"/>
          <w:sz w:val="28"/>
          <w:szCs w:val="28"/>
          <w:rtl w:val="true"/>
          <w:lang w:bidi="ar-SA"/>
        </w:rPr>
        <w:t xml:space="preserve">علىٰ أصحابِه العِلمَ الضروريَّ بالنَّصِّ‌، لا حاجةَ بنا إلىٰ ذِكرِه؛ لأنّا لا نَدَّعي ذلكَ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w:t>
      </w:r>
      <w:r>
        <w:rPr>
          <w:rStyle w:val="FootnoteAnchor"/>
          <w:rtl w:val="true"/>
        </w:rPr>
        <w:footnoteReference w:id="3043"/>
      </w:r>
      <w:r>
        <w:rPr>
          <w:rFonts w:ascii="Amiri" w:hAnsi="Amiri" w:eastAsia="Amiri" w:cs="Amiri"/>
          <w:color w:val="111111"/>
          <w:sz w:val="28"/>
          <w:sz w:val="28"/>
          <w:szCs w:val="28"/>
          <w:rtl w:val="true"/>
          <w:lang w:bidi="ar-SA"/>
        </w:rPr>
        <w:t>ذلكَ لأنّ التواتُرَ لا يَضطَرُّ عندَنا، و إنّما يُعلَمُ‌</w:t>
      </w:r>
      <w:r>
        <w:rPr>
          <w:rStyle w:val="FootnoteAnchor"/>
          <w:rtl w:val="true"/>
        </w:rPr>
        <w:footnoteReference w:id="3044"/>
      </w:r>
      <w:r>
        <w:rPr>
          <w:rFonts w:ascii="Amiri" w:hAnsi="Amiri" w:eastAsia="Amiri" w:cs="Amiri"/>
          <w:color w:val="111111"/>
          <w:sz w:val="28"/>
          <w:sz w:val="28"/>
          <w:szCs w:val="28"/>
          <w:rtl w:val="true"/>
          <w:lang w:bidi="ar-SA"/>
        </w:rPr>
        <w:t>به الشيءُ مِن جهةِ الاكتسابِ‌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نَقَضوا نَفسَ الأصلِ الذي تَكلَّمنا عَلَيه؛ لأنّا إنّما نُريدُ إبطالَ قَولِ مَن يَدَّعي الاضطرارَ في ذلكَ ، و لأنّا قد بيّنّا مِن قَبلُ أنّ الصحيحَ في التواتُرِ أنّه</w:t>
      </w:r>
      <w:r>
        <w:rPr>
          <w:rStyle w:val="FootnoteAnchor"/>
          <w:rtl w:val="true"/>
        </w:rPr>
        <w:footnoteReference w:id="3045"/>
      </w:r>
      <w:r>
        <w:rPr>
          <w:rFonts w:ascii="Amiri" w:hAnsi="Amiri" w:eastAsia="Amiri" w:cs="Amiri"/>
          <w:color w:val="111111"/>
          <w:sz w:val="28"/>
          <w:sz w:val="28"/>
          <w:szCs w:val="28"/>
          <w:rtl w:val="true"/>
          <w:lang w:bidi="ar-SA"/>
        </w:rPr>
        <w:t xml:space="preserve">يَقتَضي العِلمَ الضَّروريَّ ، و أنّه لَيسَ بطريقٍ إلَى الاستدلالِ </w:t>
      </w:r>
      <w:r>
        <w:rPr>
          <w:rStyle w:val="FootnoteAnchor"/>
          <w:rtl w:val="true"/>
        </w:rPr>
        <w:footnoteReference w:id="3046"/>
      </w:r>
      <w:r>
        <w:rPr>
          <w:rFonts w:ascii="Amiri" w:hAnsi="Amiri" w:eastAsia="Amiri" w:cs="Amiri"/>
          <w:color w:val="111111"/>
          <w:sz w:val="28"/>
          <w:sz w:val="28"/>
          <w:szCs w:val="28"/>
          <w:rtl w:val="true"/>
          <w:lang w:bidi="ar-SA"/>
        </w:rPr>
        <w:t xml:space="preserve">، و أَوضَحنا القَولَ في ذلكَ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نَقولُه في العِلمِ بالنَّصِّ‌، و أنّه واقعٌ الآنَ مِن جهةِ الاستدلالِ ، لا مِن جهةِ الاضطرارِ</w:t>
      </w:r>
      <w:r>
        <w:rPr>
          <w:rFonts w:eastAsia="Amiri" w:cs="Amiri" w:ascii="Amiri" w:hAnsi="Amiri"/>
          <w:color w:val="111111"/>
          <w:sz w:val="28"/>
          <w:szCs w:val="28"/>
          <w:rtl w:val="true"/>
          <w:lang w:bidi="ar-SA"/>
        </w:rPr>
        <w:t>.</w:t>
      </w:r>
      <w:r>
        <w:rPr>
          <w:rStyle w:val="FootnoteAnchor"/>
          <w:rtl w:val="true"/>
        </w:rPr>
        <w:footnoteReference w:id="304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كلامي علىٰ مَن قالَ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به مَن يَدَّعي الاضطرارَ علَى الكُلِّ و لا يُشيرُ إلىٰ مانعٍ يَمنَعُ مِنه،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بمذهبٍ لعاقلٍ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أنّه ممّا يُعلَمُ باضطرارٍ و إن جازَ ثُبوتُ مانعٍ مِنه، فقَد تَكلَّمنا علىٰ هذا الوجهِ ، و أَلزَمناكَ ما لا انفِصالَ لكَ عنه</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 xml:space="preserve">. </w:t>
      </w:r>
      <w:bookmarkStart w:id="493" w:name="pg20015_285087"/>
    </w:p>
    <w:p>
      <w:pPr>
        <w:pStyle w:val="Heading4"/>
        <w:numPr>
          <w:ilvl w:val="3"/>
          <w:numId w:val="1"/>
        </w:numPr>
        <w:rPr/>
      </w:pPr>
      <w:bookmarkStart w:id="494" w:name="__RefHeading___Toc895067_2320776876"/>
      <w:bookmarkStart w:id="495" w:name="_Toc175"/>
      <w:bookmarkEnd w:id="493"/>
      <w:bookmarkEnd w:id="494"/>
      <w:r>
        <w:rPr>
          <w:rtl w:val="true"/>
        </w:rPr>
        <w:t>نفي حصول العلم الضروريّ من التواتر دائماً</w:t>
      </w:r>
      <w:bookmarkEnd w:id="495"/>
    </w:p>
    <w:p>
      <w:pPr>
        <w:pStyle w:val="BookText"/>
        <w:rPr/>
      </w:pPr>
      <w:r>
        <w:rPr>
          <w:rFonts w:ascii="Amiri" w:hAnsi="Amiri" w:eastAsia="Amiri" w:cs="Amiri"/>
          <w:color w:val="111111"/>
          <w:sz w:val="28"/>
          <w:sz w:val="28"/>
          <w:szCs w:val="28"/>
          <w:rtl w:val="true"/>
          <w:lang w:bidi="ar-SA"/>
        </w:rPr>
        <w:t>فأمّا قَولُكَ أنّكَ قد بَيَّنتَ أنّ التواتُرَ يوجِبُ العِلمَ الضروريَّ‌، فما وَجَدناكَ بَيَّنتَ ذلكَ بشيءٍ في المَوضِعِ‌</w:t>
      </w:r>
      <w:r>
        <w:rPr>
          <w:rStyle w:val="FootnoteAnchor"/>
          <w:rtl w:val="true"/>
        </w:rPr>
        <w:footnoteReference w:id="3050"/>
      </w:r>
      <w:r>
        <w:rPr>
          <w:rFonts w:ascii="Amiri" w:hAnsi="Amiri" w:eastAsia="Amiri" w:cs="Amiri"/>
          <w:color w:val="111111"/>
          <w:sz w:val="28"/>
          <w:sz w:val="28"/>
          <w:szCs w:val="28"/>
          <w:rtl w:val="true"/>
          <w:lang w:bidi="ar-SA"/>
        </w:rPr>
        <w:t>الذي أشَرتَ إليه مِن كتابِكَ‌، و لَم نَرَكَ قَد</w:t>
      </w:r>
      <w:r>
        <w:rPr>
          <w:rStyle w:val="FootnoteAnchor"/>
          <w:rtl w:val="true"/>
        </w:rPr>
        <w:footnoteReference w:id="3051"/>
      </w:r>
      <w:r>
        <w:rPr>
          <w:rFonts w:ascii="Amiri" w:hAnsi="Amiri" w:eastAsia="Amiri" w:cs="Amiri"/>
          <w:color w:val="111111"/>
          <w:sz w:val="28"/>
          <w:sz w:val="28"/>
          <w:szCs w:val="28"/>
          <w:rtl w:val="true"/>
          <w:lang w:bidi="ar-SA"/>
        </w:rPr>
        <w:t>عَوَّلتَ إلّاعلى أنّ خبرَ الجماعةِ إذا انتَهىٰ إلىٰ حَدٍّ يُمكِنُ معه أن يُستَدَلَّ‌</w:t>
      </w:r>
      <w:r>
        <w:rPr>
          <w:rStyle w:val="FootnoteAnchor"/>
          <w:rtl w:val="true"/>
        </w:rPr>
        <w:footnoteReference w:id="3052"/>
      </w:r>
      <w:r>
        <w:rPr>
          <w:rFonts w:ascii="Amiri" w:hAnsi="Amiri" w:eastAsia="Amiri" w:cs="Amiri"/>
          <w:color w:val="111111"/>
          <w:sz w:val="28"/>
          <w:sz w:val="28"/>
          <w:szCs w:val="28"/>
          <w:rtl w:val="true"/>
          <w:lang w:bidi="ar-SA"/>
        </w:rPr>
        <w:t>علىٰ صِدقِهم، فلا بُدَّ مِن وقوعِ العِلمِ الضروريِّ عندَ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دَعوىً مِنكَ لا بُرهانَ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أينَ قُلتَه‌؟ و ما أنكَرتَ‌</w:t>
      </w:r>
      <w:r>
        <w:rPr>
          <w:rStyle w:val="FootnoteAnchor"/>
          <w:rtl w:val="true"/>
        </w:rPr>
        <w:footnoteReference w:id="3053"/>
      </w:r>
      <w:r>
        <w:rPr>
          <w:rFonts w:ascii="Amiri" w:hAnsi="Amiri" w:eastAsia="Amiri" w:cs="Amiri"/>
          <w:color w:val="111111"/>
          <w:sz w:val="28"/>
          <w:sz w:val="28"/>
          <w:szCs w:val="28"/>
          <w:rtl w:val="true"/>
          <w:lang w:bidi="ar-SA"/>
        </w:rPr>
        <w:t>مِن أن يُجريَ اللّٰهُ تَعالَى</w:t>
      </w:r>
      <w:r>
        <w:rPr>
          <w:rStyle w:val="FootnoteAnchor"/>
          <w:rtl w:val="true"/>
        </w:rPr>
        <w:footnoteReference w:id="3054"/>
      </w:r>
      <w:r>
        <w:rPr>
          <w:rFonts w:ascii="Amiri" w:hAnsi="Amiri" w:eastAsia="Amiri" w:cs="Amiri"/>
          <w:color w:val="111111"/>
          <w:sz w:val="28"/>
          <w:sz w:val="28"/>
          <w:szCs w:val="28"/>
          <w:rtl w:val="true"/>
          <w:lang w:bidi="ar-SA"/>
        </w:rPr>
        <w:t xml:space="preserve">العادةَ بأن يَفعَلَ العِلمَ الضروريَّ عندَ خبرِ الجماعةِ إذا انتَهَوا إلىٰ عَدَدٍ معلومٍ‌، و يَكونَ مَن لَم يَبلُغْ عَدَدَهم مِن الجماعاتِ لا يَقَعُ العِلمُ الضروريُّ عندَ خبرِهم و إن أمكَنَ الاستدلالُ به علىٰ صِدقِهم ؟ أوَ لَيسَ قد حَكَيتَ عن أبي هاشمٍ في كتابِكَ هذا أنّه قالَ في بعضِ المَواضِعِ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يَمتَنِعُ أن يُستَدَلَّ بخبرِ الجماعةِ علىٰ صِدقِهم و إن لَم يَقَعِ العِلمُ الضروريُّ بخبرِهم؛ بأن لا يَكونوا بَلَغوا المَبلَغَ الذي أجرَى اللّٰهُ تَعالَى العادةَ بأن يَفعَلَ عندَه العِلمَ الضروريَّ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يَقُل ما حَكَيتَه أبو هاشمٍ </w:t>
      </w:r>
      <w:r>
        <w:rPr>
          <w:rStyle w:val="FootnoteAnchor"/>
          <w:rtl w:val="true"/>
        </w:rPr>
        <w:footnoteReference w:id="3055"/>
      </w:r>
      <w:r>
        <w:rPr>
          <w:rFonts w:ascii="Amiri" w:hAnsi="Amiri" w:eastAsia="Amiri" w:cs="Amiri"/>
          <w:color w:val="111111"/>
          <w:sz w:val="28"/>
          <w:sz w:val="28"/>
          <w:szCs w:val="28"/>
          <w:rtl w:val="true"/>
          <w:lang w:bidi="ar-SA"/>
        </w:rPr>
        <w:t>أيضاً</w:t>
      </w:r>
      <w:r>
        <w:rPr>
          <w:rStyle w:val="FootnoteAnchor"/>
          <w:rtl w:val="true"/>
        </w:rPr>
        <w:footnoteReference w:id="3056"/>
      </w:r>
      <w:r>
        <w:rPr>
          <w:rFonts w:ascii="Amiri" w:hAnsi="Amiri" w:eastAsia="Amiri" w:cs="Amiri"/>
          <w:color w:val="111111"/>
          <w:sz w:val="28"/>
          <w:sz w:val="28"/>
          <w:szCs w:val="28"/>
          <w:rtl w:val="true"/>
          <w:lang w:bidi="ar-SA"/>
        </w:rPr>
        <w:t>لَكانَ القياسُ يَقتَضيه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95069_2320776876"/>
      <w:bookmarkStart w:id="497" w:name="_Toc176"/>
      <w:bookmarkEnd w:id="496"/>
      <w:r>
        <w:rPr>
          <w:rtl w:val="true"/>
        </w:rPr>
        <w:t>عدم معذوريّة المنكرين للنصّ</w:t>
      </w:r>
      <w:bookmarkEnd w:id="49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نَدَّعي هذا الجِنسَ مِن الاضطرارِ لِمَن فَتَّشَ عن الأخبارِ </w:t>
      </w:r>
    </w:p>
    <w:p>
      <w:pPr>
        <w:pStyle w:val="BookText"/>
        <w:rPr/>
      </w:pPr>
      <w:r>
        <w:rPr>
          <w:rFonts w:ascii="Amiri" w:hAnsi="Amiri" w:eastAsia="Amiri" w:cs="Amiri"/>
          <w:color w:val="111111"/>
          <w:sz w:val="28"/>
          <w:sz w:val="28"/>
          <w:szCs w:val="28"/>
          <w:rtl w:val="true"/>
          <w:lang w:bidi="ar-SA"/>
        </w:rPr>
        <w:t>و أزالَ عن قَلبِه الشُّبهةَ و لَم يَسبِقْ إلَى اعتقادٍ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حَصَلَ فيه بعضُ هذه الوجوهِ لَم تَحصُلْ </w:t>
      </w:r>
      <w:r>
        <w:rPr>
          <w:rStyle w:val="FootnoteAnchor"/>
          <w:rtl w:val="true"/>
        </w:rPr>
        <w:footnoteReference w:id="3057"/>
      </w:r>
      <w:r>
        <w:rPr>
          <w:rFonts w:ascii="Amiri" w:hAnsi="Amiri" w:eastAsia="Amiri" w:cs="Amiri"/>
          <w:color w:val="111111"/>
          <w:sz w:val="28"/>
          <w:sz w:val="28"/>
          <w:szCs w:val="28"/>
          <w:rtl w:val="true"/>
          <w:lang w:bidi="ar-SA"/>
        </w:rPr>
        <w:t xml:space="preserve">له الضرورةُ ، و لذلكَ يَحصُلُ الاضطرارُ لِطَوائفِ الشيعةِ و لا يَحصُلُ للمُخالِفينَ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3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Style w:val="FootnoteAnchor"/>
          <w:rtl w:val="true"/>
        </w:rPr>
        <w:footnoteReference w:id="3059"/>
      </w:r>
      <w:r>
        <w:rPr>
          <w:rFonts w:ascii="Amiri" w:hAnsi="Amiri" w:eastAsia="Amiri" w:cs="Amiri"/>
          <w:color w:val="111111"/>
          <w:sz w:val="28"/>
          <w:sz w:val="28"/>
          <w:szCs w:val="28"/>
          <w:rtl w:val="true"/>
          <w:lang w:bidi="ar-SA"/>
        </w:rPr>
        <w:t xml:space="preserve">هو الحُجّةَ و قد أقرَرتم أنّه لا يَحصُلُ للمُخالِفينَ </w:t>
      </w:r>
      <w:r>
        <w:rPr>
          <w:rStyle w:val="FootnoteAnchor"/>
          <w:rtl w:val="true"/>
        </w:rPr>
        <w:footnoteReference w:id="3060"/>
      </w:r>
      <w:r>
        <w:rPr>
          <w:rFonts w:ascii="Amiri" w:hAnsi="Amiri" w:eastAsia="Amiri" w:cs="Amiri"/>
          <w:color w:val="111111"/>
          <w:sz w:val="28"/>
          <w:sz w:val="28"/>
          <w:szCs w:val="28"/>
          <w:rtl w:val="true"/>
          <w:lang w:bidi="ar-SA"/>
        </w:rPr>
        <w:t xml:space="preserve">، فيَجِبُ أن يَكونوا في أَوسَعِ العُذرِ في مُخالَفتِكم، و أن لا يَلحَقَهم الذَّمُّ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نَذُمُّهم مِن حَيثُ اعتَقَدوا إمامةَ غَيرِ أميرِ المؤمِنينَ عليه السلامُ بِشُبهةٍ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يَلحَقَ مَن شَكَّ في ذلكَ و تَوقَّفَ‌</w:t>
      </w:r>
      <w:r>
        <w:rPr>
          <w:rStyle w:val="FootnoteAnchor"/>
          <w:rtl w:val="true"/>
        </w:rPr>
        <w:footnoteReference w:id="3062"/>
      </w:r>
      <w:r>
        <w:rPr>
          <w:rFonts w:ascii="Amiri" w:hAnsi="Amiri" w:eastAsia="Amiri" w:cs="Amiri"/>
          <w:color w:val="111111"/>
          <w:sz w:val="28"/>
          <w:sz w:val="28"/>
          <w:szCs w:val="28"/>
          <w:rtl w:val="true"/>
          <w:lang w:bidi="ar-SA"/>
        </w:rPr>
        <w:t>الذَّمُّ‌، و يَكونَ‌</w:t>
      </w:r>
      <w:r>
        <w:rPr>
          <w:rStyle w:val="FootnoteAnchor"/>
          <w:rtl w:val="true"/>
        </w:rPr>
        <w:footnoteReference w:id="3063"/>
      </w:r>
      <w:r>
        <w:rPr>
          <w:rFonts w:ascii="Amiri" w:hAnsi="Amiri" w:eastAsia="Amiri" w:cs="Amiri"/>
          <w:color w:val="111111"/>
          <w:sz w:val="28"/>
          <w:sz w:val="28"/>
          <w:szCs w:val="28"/>
          <w:rtl w:val="true"/>
          <w:lang w:bidi="ar-SA"/>
        </w:rPr>
        <w:t>معذوراً في ذلكَ‌</w:t>
      </w:r>
      <w:r>
        <w:rPr>
          <w:rStyle w:val="FootnoteAnchor"/>
          <w:rtl w:val="true"/>
        </w:rPr>
        <w:footnoteReference w:id="3064"/>
      </w:r>
      <w:r>
        <w:rPr>
          <w:rFonts w:ascii="Amiri" w:hAnsi="Amiri" w:eastAsia="Amiri" w:cs="Amiri"/>
          <w:color w:val="111111"/>
          <w:sz w:val="28"/>
          <w:sz w:val="28"/>
          <w:szCs w:val="28"/>
          <w:rtl w:val="true"/>
          <w:lang w:bidi="ar-SA"/>
        </w:rPr>
        <w:t xml:space="preserve">، و ذلكَ يَنقُضُ أصلَهم في الإمامةِ ؛ لأنّهم يَجعَلونها مِن أعظَمِ أركانِ الدِّينِ ، و أصلاً لسائرِ الشرائعِ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أن لا يَعلَمَها مَن خالَفَهم مع عِلمِه بفُروعِ الدِّينِ التي هي الصلاةُ و الصيامُ و غَيرُ ذلك ؟</w:t>
      </w:r>
      <w:r>
        <w:rPr>
          <w:rFonts w:eastAsia="Amiri" w:cs="Amiri" w:ascii="Amiri" w:hAnsi="Amiri"/>
          <w:color w:val="111111"/>
          <w:sz w:val="28"/>
          <w:szCs w:val="28"/>
          <w:rtl w:val="true"/>
          <w:lang w:bidi="ar-SA"/>
        </w:rPr>
        <w:t>]</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أنّا لا نَدَّعي عِلمَ الضرورةِ‌</w:t>
      </w:r>
      <w:r>
        <w:rPr>
          <w:rStyle w:val="FootnoteAnchor"/>
          <w:rtl w:val="true"/>
        </w:rPr>
        <w:footnoteReference w:id="3067"/>
      </w:r>
      <w:r>
        <w:rPr>
          <w:rFonts w:ascii="Amiri" w:hAnsi="Amiri" w:eastAsia="Amiri" w:cs="Amiri"/>
          <w:color w:val="111111"/>
          <w:sz w:val="28"/>
          <w:sz w:val="28"/>
          <w:szCs w:val="28"/>
          <w:rtl w:val="true"/>
          <w:lang w:bidi="ar-SA"/>
        </w:rPr>
        <w:t>في النَّصِّ‌</w:t>
      </w:r>
      <w:r>
        <w:rPr>
          <w:rStyle w:val="FootnoteAnchor"/>
          <w:rtl w:val="true"/>
        </w:rPr>
        <w:footnoteReference w:id="3068"/>
      </w:r>
      <w:r>
        <w:rPr>
          <w:rFonts w:ascii="Amiri" w:hAnsi="Amiri" w:eastAsia="Amiri" w:cs="Amiri"/>
          <w:color w:val="111111"/>
          <w:sz w:val="28"/>
          <w:sz w:val="28"/>
          <w:szCs w:val="28"/>
          <w:rtl w:val="true"/>
          <w:lang w:bidi="ar-SA"/>
        </w:rPr>
        <w:t>، لا لأنفُسِنا و لا علىٰ مُخالِفينا، و ما نَعرفُ أحَداً مِن أصحابِنا صرَّحَ بادِّعاءِ ذلكَ‌، و لكِنّا نُكَلِّمُكَ علىٰ ما يَلزَمُكَ‌</w:t>
      </w:r>
      <w:r>
        <w:rPr>
          <w:rStyle w:val="FootnoteAnchor"/>
          <w:rtl w:val="true"/>
        </w:rPr>
        <w:footnoteReference w:id="3069"/>
      </w:r>
      <w:r>
        <w:rPr>
          <w:rFonts w:ascii="Amiri" w:hAnsi="Amiri" w:eastAsia="Amiri" w:cs="Amiri"/>
          <w:color w:val="111111"/>
          <w:sz w:val="28"/>
          <w:sz w:val="28"/>
          <w:szCs w:val="28"/>
          <w:rtl w:val="true"/>
          <w:lang w:bidi="ar-SA"/>
        </w:rPr>
        <w:t>، دونَ ما نَذهَبُ إليه و نَعتَقِدُه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ادّعاؤكَ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المُخالِفُ لنا في أَوسَعِ العُذرِ إذا لَم يَعرِفِ النَّصَّ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لا يَدخُلُ في مِثلِه شُبهةٌ علىٰ مِثلِكَ‌؛ لأنّا إنّما أَلزَمناكَ أن يَرتَفِعَ العِلمُ الضروريُّ عنهم بالنَّصِّ علىٰ وجهٍ كانوا فيه هُم المانِعينَ لأنفُسِهم</w:t>
      </w:r>
      <w:r>
        <w:rPr>
          <w:rStyle w:val="FootnoteAnchor"/>
          <w:rtl w:val="true"/>
        </w:rPr>
        <w:footnoteReference w:id="3070"/>
      </w:r>
      <w:r>
        <w:rPr>
          <w:rFonts w:ascii="Amiri" w:hAnsi="Amiri" w:eastAsia="Amiri" w:cs="Amiri"/>
          <w:color w:val="111111"/>
          <w:sz w:val="28"/>
          <w:sz w:val="28"/>
          <w:szCs w:val="28"/>
          <w:rtl w:val="true"/>
          <w:lang w:bidi="ar-SA"/>
        </w:rPr>
        <w:t>مِنه، و هُم مع كَونِهم مانِعينَ مِن وقوعِه مُتمكِّنونَ مِن إزالةِ المانعِ‌</w:t>
      </w:r>
      <w:r>
        <w:rPr>
          <w:rStyle w:val="FootnoteAnchor"/>
          <w:rtl w:val="true"/>
        </w:rPr>
        <w:footnoteReference w:id="3071"/>
      </w:r>
      <w:r>
        <w:rPr>
          <w:rFonts w:ascii="Amiri" w:hAnsi="Amiri" w:eastAsia="Amiri" w:cs="Amiri"/>
          <w:color w:val="111111"/>
          <w:sz w:val="28"/>
          <w:sz w:val="28"/>
          <w:szCs w:val="28"/>
          <w:rtl w:val="true"/>
          <w:lang w:bidi="ar-SA"/>
        </w:rPr>
        <w:t>، و الخُروجِ عمّا ارتفَعَ مِن أجلِه العِلمُ‌</w:t>
      </w:r>
      <w:r>
        <w:rPr>
          <w:rStyle w:val="FootnoteAnchor"/>
          <w:rtl w:val="true"/>
        </w:rPr>
        <w:footnoteReference w:id="3072"/>
      </w:r>
      <w:r>
        <w:rPr>
          <w:rFonts w:ascii="Amiri" w:hAnsi="Amiri" w:eastAsia="Amiri" w:cs="Amiri"/>
          <w:color w:val="111111"/>
          <w:sz w:val="28"/>
          <w:sz w:val="28"/>
          <w:szCs w:val="28"/>
          <w:rtl w:val="true"/>
          <w:lang w:bidi="ar-SA"/>
        </w:rPr>
        <w:t>بالنَّصِّ‌؛ مِن الشُّبهةِ أو السَّبقِ إلَى الاعتقادِ، و لَو شاؤوا لَفارَقوا ذلكَ فَوَقَعَ لَهُم العِلمُ الضروريُّ‌؛ فكَيفَ يَجِبُ علىٰ هذا أن يَكونوا معذورينَ؟</w:t>
      </w:r>
    </w:p>
    <w:p>
      <w:pPr>
        <w:pStyle w:val="BookText"/>
        <w:rPr/>
      </w:pPr>
      <w:r>
        <w:rPr>
          <w:rFonts w:ascii="Amiri" w:hAnsi="Amiri" w:eastAsia="Amiri" w:cs="Amiri"/>
          <w:color w:val="111111"/>
          <w:sz w:val="28"/>
          <w:sz w:val="28"/>
          <w:szCs w:val="28"/>
          <w:rtl w:val="true"/>
          <w:lang w:bidi="ar-SA"/>
        </w:rPr>
        <w:t>و هل إقامةُ العُذرِ لهُم و هذه حالُهم إلّاكإقامةِ العُذرِ لِمَن نظَرَ في الدليلِ ، و قد</w:t>
      </w:r>
    </w:p>
    <w:p>
      <w:pPr>
        <w:pStyle w:val="BookText"/>
        <w:rPr/>
      </w:pPr>
      <w:r>
        <w:rPr>
          <w:rFonts w:ascii="Amiri" w:hAnsi="Amiri" w:eastAsia="Amiri" w:cs="Amiri"/>
          <w:color w:val="111111"/>
          <w:sz w:val="28"/>
          <w:sz w:val="28"/>
          <w:szCs w:val="28"/>
          <w:rtl w:val="true"/>
          <w:lang w:bidi="ar-SA"/>
        </w:rPr>
        <w:t xml:space="preserve">سبَقَ إلَى اعتقادٍ فاسدٍ؛ إمّا بتقليدٍ أو شُبهةٍ </w:t>
      </w:r>
      <w:r>
        <w:rPr>
          <w:rStyle w:val="FootnoteAnchor"/>
          <w:rtl w:val="true"/>
        </w:rPr>
        <w:footnoteReference w:id="3073"/>
      </w:r>
      <w:r>
        <w:rPr>
          <w:rFonts w:ascii="Amiri" w:hAnsi="Amiri" w:eastAsia="Amiri" w:cs="Amiri"/>
          <w:color w:val="111111"/>
          <w:sz w:val="28"/>
          <w:sz w:val="28"/>
          <w:szCs w:val="28"/>
          <w:rtl w:val="true"/>
          <w:lang w:bidi="ar-SA"/>
        </w:rPr>
        <w:t>، فامتنَعَ عَلَيه لذلكَ حُصولُ العِلمِ مِن جهةِ الدليلِ؟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هذه حالُه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يَصِحُّ حُصولُ العِلمِ له</w:t>
      </w:r>
      <w:r>
        <w:rPr>
          <w:rStyle w:val="FootnoteAnchor"/>
          <w:rtl w:val="true"/>
        </w:rPr>
        <w:footnoteReference w:id="3074"/>
      </w:r>
      <w:r>
        <w:rPr>
          <w:rFonts w:ascii="Amiri" w:hAnsi="Amiri" w:eastAsia="Amiri" w:cs="Amiri"/>
          <w:color w:val="111111"/>
          <w:sz w:val="28"/>
          <w:sz w:val="28"/>
          <w:szCs w:val="28"/>
          <w:rtl w:val="true"/>
          <w:lang w:bidi="ar-SA"/>
        </w:rPr>
        <w:t xml:space="preserve">مِن </w:t>
      </w:r>
      <w:bookmarkStart w:id="498" w:name="pg20015_285090"/>
    </w:p>
    <w:p>
      <w:pPr>
        <w:pStyle w:val="BookText"/>
        <w:rPr/>
      </w:pPr>
      <w:bookmarkEnd w:id="498"/>
      <w:r>
        <w:rPr>
          <w:rFonts w:ascii="Amiri" w:hAnsi="Amiri" w:eastAsia="Amiri" w:cs="Amiri"/>
          <w:color w:val="111111"/>
          <w:sz w:val="28"/>
          <w:sz w:val="28"/>
          <w:szCs w:val="28"/>
          <w:rtl w:val="true"/>
          <w:lang w:bidi="ar-SA"/>
        </w:rPr>
        <w:t>جهةِ الدليلِ مع الشُّبهةِ‌</w:t>
      </w:r>
      <w:r>
        <w:rPr>
          <w:rStyle w:val="FootnoteAnchor"/>
          <w:rtl w:val="true"/>
        </w:rPr>
        <w:footnoteReference w:id="3075"/>
      </w:r>
      <w:r>
        <w:rPr>
          <w:rFonts w:ascii="Amiri" w:hAnsi="Amiri" w:eastAsia="Amiri" w:cs="Amiri"/>
          <w:color w:val="111111"/>
          <w:sz w:val="28"/>
          <w:sz w:val="28"/>
          <w:szCs w:val="28"/>
          <w:rtl w:val="true"/>
          <w:lang w:bidi="ar-SA"/>
        </w:rPr>
        <w:t xml:space="preserve">و الاعتقادِ الذي قَدَّرناه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 مُتمكِّناً مِن إزالةِ ما منَعَ مِن حُصولِ العِلمِ بالنظَرِ في الدليلِ و مُفارَقتِه، فكذلكَ حالُ مَن لم يَقَعْ له العِلمُ بالنَّصِّ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الذَّمُّ لاحِقاً لهُم مِن وجهٍ آخَرَ؛ و هو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كالمانِعي أنفُسَهم من العِلم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قادرونَ‌</w:t>
      </w:r>
      <w:r>
        <w:rPr>
          <w:rStyle w:val="FootnoteAnchor"/>
          <w:rtl w:val="true"/>
        </w:rPr>
        <w:footnoteReference w:id="3076"/>
      </w:r>
      <w:r>
        <w:rPr>
          <w:rFonts w:ascii="Amiri" w:hAnsi="Amiri" w:eastAsia="Amiri" w:cs="Amiri"/>
          <w:color w:val="111111"/>
          <w:sz w:val="28"/>
          <w:sz w:val="28"/>
          <w:szCs w:val="28"/>
          <w:rtl w:val="true"/>
          <w:lang w:bidi="ar-SA"/>
        </w:rPr>
        <w:t>علىٰ إصابةِ العِلمِ الاستدلاليِّ‌، بأن يَنظُروا في أحوالِ الجماعةِ المُخبِرةِ بالنَّصِّ‌، و يَستَدِلّوا علىٰ كَونِهم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طريقاً إلَى العِلمِ و هُم مُتمكِّنونَ‌</w:t>
      </w:r>
      <w:r>
        <w:rPr>
          <w:rStyle w:val="FootnoteAnchor"/>
          <w:rtl w:val="true"/>
        </w:rPr>
        <w:footnoteReference w:id="3077"/>
      </w:r>
      <w:r>
        <w:rPr>
          <w:rFonts w:ascii="Amiri" w:hAnsi="Amiri" w:eastAsia="Amiri" w:cs="Amiri"/>
          <w:color w:val="111111"/>
          <w:sz w:val="28"/>
          <w:sz w:val="28"/>
          <w:szCs w:val="28"/>
          <w:rtl w:val="true"/>
          <w:lang w:bidi="ar-SA"/>
        </w:rPr>
        <w:t>مِنه، ضاقَ عُذرُهم و تَوجَّهَ الذَّمُّ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يُجعَلُ ذَمُّهم مِن حَيثُ اعتَقَدوا إمامةَ غَيرِ أميرِ المؤمِنينَ عليه السلامُ بالشُّبهةِ‌، حسَبَ ما سَألتَ عنه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ذَكرتَه وجهاً يَلحَقُ الذَّمُّ مِن أجلِه، إلّاأنّه لا يَكونُ ذَمّاً مُستَحَقّاً مِن جهةِ الإخلالِ بالنَّصِّ ؛ لأنّه كانَ يَجِبُ لَو تَوقَّفوا و شَكّوا</w:t>
      </w:r>
      <w:r>
        <w:rPr>
          <w:rStyle w:val="FootnoteAnchor"/>
          <w:rtl w:val="true"/>
        </w:rPr>
        <w:footnoteReference w:id="3078"/>
      </w:r>
      <w:r>
        <w:rPr>
          <w:rFonts w:ascii="Amiri" w:hAnsi="Amiri" w:eastAsia="Amiri" w:cs="Amiri"/>
          <w:color w:val="111111"/>
          <w:sz w:val="28"/>
          <w:sz w:val="28"/>
          <w:szCs w:val="28"/>
          <w:rtl w:val="true"/>
          <w:lang w:bidi="ar-SA"/>
        </w:rPr>
        <w:t xml:space="preserve">و لَم يَعتَقِدوا إمامةَ الغَيرِ أن لا يَلحَقَهم الذَّمُّ ، و قد بيّنّا أنّه لاحِقٌ لهم مِن الوجهَينِ اللّذَينِ قَدَّمناهما، و هو أيضاً لاحِقٌ لهُم مِن حَيثُ اعتَقَدوا الباطلَ في إمامةِ مَن لَيسَ بإمامٍ </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895071_2320776876"/>
      <w:bookmarkStart w:id="500" w:name="_Toc177"/>
      <w:bookmarkEnd w:id="499"/>
      <w:r>
        <w:rPr>
          <w:rtl w:val="true"/>
        </w:rPr>
        <w:t>اشتراط العلم الضروريّ بعدم السبق إلى الاعتقاد و عدم الشبهة</w:t>
      </w:r>
      <w:bookmarkEnd w:id="50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الطريقةَ توجِبُ عَلَيهم أن يُجوِّزوا في سائرِ ما يُعلَمُ </w:t>
      </w:r>
      <w:r>
        <w:rPr>
          <w:rStyle w:val="FootnoteAnchor"/>
          <w:rtl w:val="true"/>
        </w:rPr>
        <w:footnoteReference w:id="3079"/>
      </w:r>
      <w:r>
        <w:rPr>
          <w:rFonts w:ascii="Amiri" w:hAnsi="Amiri" w:eastAsia="Amiri" w:cs="Amiri"/>
          <w:color w:val="111111"/>
          <w:sz w:val="28"/>
          <w:sz w:val="28"/>
          <w:szCs w:val="28"/>
          <w:rtl w:val="true"/>
          <w:lang w:bidi="ar-SA"/>
        </w:rPr>
        <w:t>مِن دِينِه</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عليه السلامُ ضَرورةً أن يَختَصَّ‌</w:t>
      </w:r>
      <w:r>
        <w:rPr>
          <w:rStyle w:val="FootnoteAnchor"/>
          <w:rtl w:val="true"/>
        </w:rPr>
        <w:footnoteReference w:id="3081"/>
      </w:r>
      <w:r>
        <w:rPr>
          <w:rFonts w:ascii="Amiri" w:hAnsi="Amiri" w:eastAsia="Amiri" w:cs="Amiri"/>
          <w:color w:val="111111"/>
          <w:sz w:val="28"/>
          <w:sz w:val="28"/>
          <w:szCs w:val="28"/>
          <w:rtl w:val="true"/>
          <w:lang w:bidi="ar-SA"/>
        </w:rPr>
        <w:t>به قَومٌ دونَ قَومٍ و إن اشتَرَكَ الكُلُّ في معرفةِ نُبوّتِه، و بُطلانُ ذلكَ يبيِّنُ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يَمتَنِعَ مِثلُ هذا الاضطرارِ لأجلِ الشُّبهةِ‌؛ لأنّ العِلمَ الضروريَّ يُزيلُ الشُّبهةَ‌، و لأنّ الشُّبهةَ إنّما تَصِحُّ‌</w:t>
      </w:r>
      <w:r>
        <w:rPr>
          <w:rStyle w:val="FootnoteAnchor"/>
          <w:rtl w:val="true"/>
        </w:rPr>
        <w:footnoteReference w:id="3082"/>
      </w:r>
      <w:r>
        <w:rPr>
          <w:rFonts w:ascii="Amiri" w:hAnsi="Amiri" w:eastAsia="Amiri" w:cs="Amiri"/>
          <w:color w:val="111111"/>
          <w:sz w:val="28"/>
          <w:sz w:val="28"/>
          <w:szCs w:val="28"/>
          <w:rtl w:val="true"/>
          <w:lang w:bidi="ar-SA"/>
        </w:rPr>
        <w:t>في طُرُقِ‌</w:t>
      </w:r>
      <w:r>
        <w:rPr>
          <w:rStyle w:val="FootnoteAnchor"/>
          <w:rtl w:val="true"/>
        </w:rPr>
        <w:footnoteReference w:id="3083"/>
      </w:r>
      <w:r>
        <w:rPr>
          <w:rFonts w:ascii="Amiri" w:hAnsi="Amiri" w:eastAsia="Amiri" w:cs="Amiri"/>
          <w:color w:val="111111"/>
          <w:sz w:val="28"/>
          <w:sz w:val="28"/>
          <w:szCs w:val="28"/>
          <w:rtl w:val="true"/>
          <w:lang w:bidi="ar-SA"/>
        </w:rPr>
        <w:t>الأدِلّةِ‌،</w:t>
      </w:r>
    </w:p>
    <w:p>
      <w:pPr>
        <w:pStyle w:val="BookText"/>
        <w:rPr/>
      </w:pPr>
      <w:r>
        <w:rPr>
          <w:rFonts w:ascii="Amiri" w:hAnsi="Amiri" w:eastAsia="Amiri" w:cs="Amiri"/>
          <w:color w:val="111111"/>
          <w:sz w:val="28"/>
          <w:sz w:val="28"/>
          <w:szCs w:val="28"/>
          <w:rtl w:val="true"/>
          <w:lang w:bidi="ar-SA"/>
        </w:rPr>
        <w:t>و هذا العِلمُ يَقَعُ مِن غَيرِ دليلٍ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يؤثِّرُ في ذلكَ أيضاً السَّبقُ إلَى الاعتقادِ، بَل يَجِبُ أن يَزولَ الاعتقادُ به</w:t>
      </w:r>
      <w:r>
        <w:rPr>
          <w:rStyle w:val="FootnoteAnchor"/>
          <w:rtl w:val="true"/>
        </w:rPr>
        <w:footnoteReference w:id="3084"/>
      </w:r>
      <w:r>
        <w:rPr>
          <w:rFonts w:ascii="Amiri" w:hAnsi="Amiri" w:eastAsia="Amiri" w:cs="Amiri"/>
          <w:color w:val="111111"/>
          <w:sz w:val="28"/>
          <w:sz w:val="28"/>
          <w:szCs w:val="28"/>
          <w:rtl w:val="true"/>
          <w:lang w:bidi="ar-SA"/>
        </w:rPr>
        <w:t>كما نَقولُه في سائرِ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تَجوزُ</w:t>
      </w:r>
      <w:r>
        <w:rPr>
          <w:rStyle w:val="FootnoteAnchor"/>
          <w:rtl w:val="true"/>
        </w:rPr>
        <w:footnoteReference w:id="3085"/>
      </w:r>
      <w:r>
        <w:rPr>
          <w:rFonts w:ascii="Amiri" w:hAnsi="Amiri" w:eastAsia="Amiri" w:cs="Amiri"/>
          <w:color w:val="111111"/>
          <w:sz w:val="28"/>
          <w:sz w:val="28"/>
          <w:szCs w:val="28"/>
          <w:rtl w:val="true"/>
          <w:lang w:bidi="ar-SA"/>
        </w:rPr>
        <w:t>الشُّبهةُ في الضروريّاتِ علىٰ جهةِ الجُملةِ‌؛ بأن يَشتَبِهَ علَى العالِمِ التفصيلُ ، كما نَقولُه</w:t>
      </w:r>
      <w:r>
        <w:rPr>
          <w:rStyle w:val="FootnoteAnchor"/>
          <w:rtl w:val="true"/>
        </w:rPr>
        <w:footnoteReference w:id="3086"/>
      </w:r>
      <w:r>
        <w:rPr>
          <w:rFonts w:ascii="Amiri" w:hAnsi="Amiri" w:eastAsia="Amiri" w:cs="Amiri"/>
          <w:color w:val="111111"/>
          <w:sz w:val="28"/>
          <w:sz w:val="28"/>
          <w:szCs w:val="28"/>
          <w:rtl w:val="true"/>
          <w:lang w:bidi="ar-SA"/>
        </w:rPr>
        <w:t xml:space="preserve">في الذي يَعرِفُ </w:t>
      </w:r>
      <w:r>
        <w:rPr>
          <w:rStyle w:val="FootnoteAnchor"/>
          <w:rtl w:val="true"/>
        </w:rPr>
        <w:footnoteReference w:id="3087"/>
      </w:r>
      <w:r>
        <w:rPr>
          <w:rFonts w:ascii="Amiri" w:hAnsi="Amiri" w:eastAsia="Amiri" w:cs="Amiri"/>
          <w:color w:val="111111"/>
          <w:sz w:val="28"/>
          <w:sz w:val="28"/>
          <w:szCs w:val="28"/>
          <w:rtl w:val="true"/>
          <w:lang w:bidi="ar-SA"/>
        </w:rPr>
        <w:t>قُبحَ الظُّلمِ باضطرارٍ أنّه قد يَشتَبِهُ عَلَيه ما هو غَيرُ ظُلمٍ و يَعتَقِدُه ظُلماً</w:t>
      </w:r>
      <w:r>
        <w:rPr>
          <w:rStyle w:val="FootnoteAnchor"/>
          <w:rtl w:val="true"/>
        </w:rPr>
        <w:footnoteReference w:id="3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كالخَوارجِ و غَيرِهم؛ لأنّ الشُّبهةَ تَناوَلَت التفصيلَ ، و الضروريَّ تَناوَلَ الجُملةَ </w:t>
      </w:r>
      <w:r>
        <w:rPr>
          <w:rFonts w:eastAsia="Amiri" w:cs="Amiri" w:ascii="Amiri" w:hAnsi="Amiri"/>
          <w:color w:val="111111"/>
          <w:sz w:val="28"/>
          <w:szCs w:val="28"/>
          <w:rtl w:val="true"/>
          <w:lang w:bidi="ar-SA"/>
        </w:rPr>
        <w:t>].</w:t>
      </w:r>
      <w:r>
        <w:rPr>
          <w:rStyle w:val="FootnoteAnchor"/>
          <w:rtl w:val="true"/>
        </w:rPr>
        <w:footnoteReference w:id="308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يَجوزُ أن يَشتَبِهَ سائرُ ما ذَكرتَه مِن المعلومِ مِن دِينِه عليه </w:t>
      </w:r>
      <w:bookmarkStart w:id="501" w:name="pg20015_285092"/>
    </w:p>
    <w:p>
      <w:pPr>
        <w:pStyle w:val="BookText"/>
        <w:rPr/>
      </w:pPr>
      <w:bookmarkEnd w:id="501"/>
      <w:r>
        <w:rPr>
          <w:rFonts w:ascii="Amiri" w:hAnsi="Amiri" w:eastAsia="Amiri" w:cs="Amiri"/>
          <w:color w:val="111111"/>
          <w:sz w:val="28"/>
          <w:sz w:val="28"/>
          <w:szCs w:val="28"/>
          <w:rtl w:val="true"/>
          <w:lang w:bidi="ar-SA"/>
        </w:rPr>
        <w:t xml:space="preserve">السلامُ مع العِلمِ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بالعِلمِ‌</w:t>
      </w:r>
      <w:r>
        <w:rPr>
          <w:rStyle w:val="FootnoteAnchor"/>
          <w:rtl w:val="true"/>
        </w:rPr>
        <w:footnoteReference w:id="3091"/>
      </w:r>
      <w:r>
        <w:rPr>
          <w:rFonts w:ascii="Amiri" w:hAnsi="Amiri" w:eastAsia="Amiri" w:cs="Amiri"/>
          <w:color w:val="111111"/>
          <w:sz w:val="28"/>
          <w:sz w:val="28"/>
          <w:szCs w:val="28"/>
          <w:rtl w:val="true"/>
          <w:lang w:bidi="ar-SA"/>
        </w:rPr>
        <w:t xml:space="preserve">به قَومٌ دونَ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فيه ما جَرىٰ في النَّصِّ مِن السَّبقِ إلَى الاعتقادِ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الضروريُّ‌</w:t>
      </w:r>
      <w:r>
        <w:rPr>
          <w:rStyle w:val="FootnoteAnchor"/>
          <w:rtl w:val="true"/>
        </w:rPr>
        <w:footnoteReference w:id="3092"/>
      </w:r>
      <w:r>
        <w:rPr>
          <w:rFonts w:ascii="Amiri" w:hAnsi="Amiri" w:eastAsia="Amiri" w:cs="Amiri"/>
          <w:color w:val="111111"/>
          <w:sz w:val="28"/>
          <w:sz w:val="28"/>
          <w:szCs w:val="28"/>
          <w:rtl w:val="true"/>
          <w:lang w:bidi="ar-SA"/>
        </w:rPr>
        <w:t>يُزيلُ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شكَّ في أنّه يُزيلُها إذا وَقَعَ‌، فمِن أينَ أنّه لا بُدَّ أن يَحصُلَ حتّىٰ يُزيلَها؟ و قد جَعَلنا ارتفاعَها شَرطاً، و حُصولَها كالمانعِ ، و رَدَدناه إلَى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تَقَعُ في الضرورةِ ، فتَقولَ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تَختَصُّ الأدِلّةَ </w:t>
      </w:r>
      <w:r>
        <w:rPr>
          <w:rStyle w:val="FootnoteAnchor"/>
          <w:rtl w:val="true"/>
        </w:rPr>
        <w:footnoteReference w:id="3093"/>
      </w:r>
      <w:r>
        <w:rPr>
          <w:rFonts w:ascii="Amiri" w:hAnsi="Amiri" w:eastAsia="Amiri" w:cs="Amiri"/>
          <w:color w:val="111111"/>
          <w:sz w:val="28"/>
          <w:sz w:val="28"/>
          <w:szCs w:val="28"/>
          <w:rtl w:val="true"/>
          <w:lang w:bidi="ar-SA"/>
        </w:rPr>
        <w:t>، بَل لا يَمتَنِعُ أن يَسبِقَ قَومٌ بشُبهةٍ أو تقليدٍ إلَى اعتقادِ بُطلانِ ما يَرِدُ به الخبرُ، فلا يَقَعَ به العِلمُ الضروريُّ إذا كُنّا قد فَرَضنا أنّ ارتفاعَ التكذيبِ به و اعتقادِ بُطلانِه شَرطٌ في صحّةِ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يَزولَ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في أنّه لَو وقَعَ لَزالَ به، و الذي أَلزَمناكَ أن لا يَقَعَ إذا كانَت الحالُ هذه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895073_2320776876"/>
      <w:bookmarkStart w:id="503" w:name="_Toc178"/>
      <w:bookmarkEnd w:id="502"/>
      <w:r>
        <w:rPr>
          <w:rtl w:val="true"/>
        </w:rPr>
        <w:t>جواز اختصاص العلم الضروريّ مع عموم التكليف</w:t>
      </w:r>
      <w:bookmarkEnd w:id="50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الوجهِ يَجوزُ أن يَشتَبِهَ علىٰ أحَدِنا نُبوَّةُ نَبيِّنا عليه السلامُ </w:t>
      </w:r>
      <w:r>
        <w:rPr>
          <w:rStyle w:val="FootnoteAnchor"/>
          <w:rtl w:val="true"/>
        </w:rPr>
        <w:footnoteReference w:id="3094"/>
      </w:r>
      <w:r>
        <w:rPr>
          <w:rFonts w:ascii="Amiri" w:hAnsi="Amiri" w:eastAsia="Amiri" w:cs="Amiri"/>
          <w:color w:val="111111"/>
          <w:sz w:val="28"/>
          <w:sz w:val="28"/>
          <w:szCs w:val="28"/>
          <w:rtl w:val="true"/>
          <w:lang w:bidi="ar-SA"/>
        </w:rPr>
        <w:t>فلا يَكونَ عالِماً بصحّةِ هذه الأُمورِ، فأمّا مع عِلمِه بصحّةِ نُبوّتِه فغَيرُ جائزٍ فيما يُعلَمُ مِن دِينِه باضطرارٍ</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هذه</w:t>
      </w:r>
      <w:r>
        <w:rPr>
          <w:rStyle w:val="FootnoteAnchor"/>
          <w:rtl w:val="true"/>
        </w:rPr>
        <w:footnoteReference w:id="3096"/>
      </w:r>
      <w:r>
        <w:rPr>
          <w:rFonts w:ascii="Amiri" w:hAnsi="Amiri" w:eastAsia="Amiri" w:cs="Amiri"/>
          <w:color w:val="111111"/>
          <w:sz w:val="28"/>
          <w:sz w:val="28"/>
          <w:szCs w:val="28"/>
          <w:rtl w:val="true"/>
          <w:lang w:bidi="ar-SA"/>
        </w:rPr>
        <w:t>حالُه مِن الشرعِ فالتكليفُ فيه عامٌّ للكُلِّ‌؛</w:t>
      </w:r>
    </w:p>
    <w:p>
      <w:pPr>
        <w:pStyle w:val="BookText"/>
        <w:rPr/>
      </w:pPr>
      <w:r>
        <w:rPr>
          <w:rFonts w:ascii="Amiri" w:hAnsi="Amiri" w:eastAsia="Amiri" w:cs="Amiri"/>
          <w:color w:val="111111"/>
          <w:sz w:val="28"/>
          <w:sz w:val="28"/>
          <w:szCs w:val="28"/>
          <w:rtl w:val="true"/>
          <w:lang w:bidi="ar-SA"/>
        </w:rPr>
        <w:t>فكَيفَ يَصِحُّ أن يَحصُلَ‌</w:t>
      </w:r>
      <w:r>
        <w:rPr>
          <w:rStyle w:val="FootnoteAnchor"/>
          <w:rtl w:val="true"/>
        </w:rPr>
        <w:footnoteReference w:id="3097"/>
      </w:r>
      <w:r>
        <w:rPr>
          <w:rFonts w:ascii="Amiri" w:hAnsi="Amiri" w:eastAsia="Amiri" w:cs="Amiri"/>
          <w:color w:val="111111"/>
          <w:sz w:val="28"/>
          <w:sz w:val="28"/>
          <w:szCs w:val="28"/>
          <w:rtl w:val="true"/>
          <w:lang w:bidi="ar-SA"/>
        </w:rPr>
        <w:t>العِلمُ بذلكَ لبَعضِهم دونَ بعضٍ؟ خاصّةً و مَن يَسلُكُ هذه الطريقةَ يَجعَلُ الإمامَ حُجّةً في الزمانِ كالرسولِ‌،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إمامَه فهو كافرٌ، و يَروي</w:t>
      </w:r>
      <w:r>
        <w:rPr>
          <w:rStyle w:val="FootnoteAnchor"/>
          <w:rtl w:val="true"/>
        </w:rPr>
        <w:footnoteReference w:id="3098"/>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w:t>
      </w:r>
      <w:r>
        <w:rPr>
          <w:rStyle w:val="FootnoteAnchor"/>
          <w:rtl w:val="true"/>
        </w:rPr>
        <w:footnoteReference w:id="3099"/>
      </w:r>
      <w:r>
        <w:rPr>
          <w:rFonts w:ascii="Amiri" w:hAnsi="Amiri" w:eastAsia="Amiri" w:cs="Amiri"/>
          <w:color w:val="111111"/>
          <w:sz w:val="28"/>
          <w:sz w:val="28"/>
          <w:szCs w:val="28"/>
          <w:rtl w:val="true"/>
          <w:lang w:bidi="ar-SA"/>
        </w:rPr>
        <w:t>إمامَه ماتَ مِيتةً جاهليّةً‌</w:t>
      </w:r>
      <w:r>
        <w:rPr>
          <w:rFonts w:eastAsia="Amiri" w:cs="Amiri" w:ascii="Amiri" w:hAnsi="Amiri"/>
          <w:color w:val="111111"/>
          <w:sz w:val="28"/>
          <w:szCs w:val="28"/>
          <w:rtl w:val="true"/>
          <w:lang w:bidi="ar-SA"/>
        </w:rPr>
        <w:t>»</w:t>
      </w:r>
      <w:r>
        <w:rPr>
          <w:rStyle w:val="FootnoteAnchor"/>
          <w:rtl w:val="true"/>
        </w:rPr>
        <w:footnoteReference w:id="3100"/>
      </w:r>
      <w:r>
        <w:rPr>
          <w:rFonts w:ascii="Amiri" w:hAnsi="Amiri" w:eastAsia="Amiri" w:cs="Amiri"/>
          <w:color w:val="111111"/>
          <w:sz w:val="28"/>
          <w:sz w:val="28"/>
          <w:szCs w:val="28"/>
          <w:rtl w:val="true"/>
          <w:lang w:bidi="ar-SA"/>
        </w:rPr>
        <w:t>فلا بُدَّ مِن أن تَحصُلَ‌</w:t>
      </w:r>
      <w:r>
        <w:rPr>
          <w:rStyle w:val="FootnoteAnchor"/>
          <w:rtl w:val="true"/>
        </w:rPr>
        <w:footnoteReference w:id="3101"/>
      </w:r>
      <w:r>
        <w:rPr>
          <w:rFonts w:ascii="Amiri" w:hAnsi="Amiri" w:eastAsia="Amiri" w:cs="Amiri"/>
          <w:color w:val="111111"/>
          <w:sz w:val="28"/>
          <w:sz w:val="28"/>
          <w:szCs w:val="28"/>
          <w:rtl w:val="true"/>
          <w:lang w:bidi="ar-SA"/>
        </w:rPr>
        <w:t>الضرورةُ للكُلِّ‌، 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يَحصُلْ عارفاً بذلكَ </w:t>
      </w:r>
      <w:r>
        <w:rPr>
          <w:rStyle w:val="FootnoteAnchor"/>
          <w:rtl w:val="true"/>
        </w:rPr>
        <w:footnoteReference w:id="3102"/>
      </w:r>
      <w:r>
        <w:rPr>
          <w:rFonts w:ascii="Amiri" w:hAnsi="Amiri" w:eastAsia="Amiri" w:cs="Amiri"/>
          <w:color w:val="111111"/>
          <w:sz w:val="28"/>
          <w:sz w:val="28"/>
          <w:szCs w:val="28"/>
          <w:rtl w:val="true"/>
          <w:lang w:bidi="ar-SA"/>
        </w:rPr>
        <w:t xml:space="preserve">فلَيسَ بمكلَّفٍ أصلاً، أو لَيسَ </w:t>
      </w:r>
      <w:r>
        <w:rPr>
          <w:rStyle w:val="FootnoteAnchor"/>
          <w:rtl w:val="true"/>
        </w:rPr>
        <w:footnoteReference w:id="3103"/>
      </w:r>
      <w:r>
        <w:rPr>
          <w:rFonts w:ascii="Amiri" w:hAnsi="Amiri" w:eastAsia="Amiri" w:cs="Amiri"/>
          <w:color w:val="111111"/>
          <w:sz w:val="28"/>
          <w:sz w:val="28"/>
          <w:szCs w:val="28"/>
          <w:rtl w:val="true"/>
          <w:lang w:bidi="ar-SA"/>
        </w:rPr>
        <w:t>بمكلَّفٍ للإمامةِ و معذورٌ فيها</w:t>
      </w:r>
      <w:r>
        <w:rPr>
          <w:rStyle w:val="FootnoteAnchor"/>
          <w:rtl w:val="true"/>
        </w:rPr>
        <w:footnoteReference w:id="3104"/>
      </w:r>
      <w:r>
        <w:rPr>
          <w:rFonts w:ascii="Amiri" w:hAnsi="Amiri" w:eastAsia="Amiri" w:cs="Amiri"/>
          <w:color w:val="111111"/>
          <w:sz w:val="28"/>
          <w:sz w:val="28"/>
          <w:szCs w:val="28"/>
          <w:rtl w:val="true"/>
          <w:lang w:bidi="ar-SA"/>
        </w:rPr>
        <w:t>، كما يَقولُه</w:t>
      </w:r>
      <w:r>
        <w:rPr>
          <w:rStyle w:val="FootnoteAnchor"/>
          <w:rtl w:val="true"/>
        </w:rPr>
        <w:footnoteReference w:id="3105"/>
      </w:r>
      <w:r>
        <w:rPr>
          <w:rFonts w:ascii="Amiri" w:hAnsi="Amiri" w:eastAsia="Amiri" w:cs="Amiri"/>
          <w:color w:val="111111"/>
          <w:sz w:val="28"/>
          <w:sz w:val="28"/>
          <w:szCs w:val="28"/>
          <w:rtl w:val="true"/>
          <w:lang w:bidi="ar-SA"/>
        </w:rPr>
        <w:t xml:space="preserve">أهلُ المَعارفِ في سائرِ الدياناتِ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جازَ لهُم أن يَقولوا أنّ طائفتَهم تَعرِفُ ذلكَ دونَ مَن خالَفَهم، لَجازَ </w:t>
      </w:r>
    </w:p>
    <w:p>
      <w:pPr>
        <w:pStyle w:val="BookText"/>
        <w:rPr/>
      </w:pPr>
      <w:r>
        <w:rPr>
          <w:rFonts w:ascii="Amiri" w:hAnsi="Amiri" w:eastAsia="Amiri" w:cs="Amiri"/>
          <w:color w:val="111111"/>
          <w:sz w:val="28"/>
          <w:sz w:val="28"/>
          <w:szCs w:val="28"/>
          <w:rtl w:val="true"/>
          <w:lang w:bidi="ar-SA"/>
        </w:rPr>
        <w:t>مِثلُ ذلكَ في سائرِ أركانِ الدِّينِ ، و لَجازَ لليَهودِ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تَعرِفونَ </w:t>
      </w:r>
      <w:r>
        <w:rPr>
          <w:rStyle w:val="FootnoteAnchor"/>
          <w:rtl w:val="true"/>
        </w:rPr>
        <w:footnoteReference w:id="3106"/>
      </w:r>
      <w:r>
        <w:rPr>
          <w:rFonts w:ascii="Amiri" w:hAnsi="Amiri" w:eastAsia="Amiri" w:cs="Amiri"/>
          <w:color w:val="111111"/>
          <w:sz w:val="28"/>
          <w:sz w:val="28"/>
          <w:szCs w:val="28"/>
          <w:rtl w:val="true"/>
          <w:lang w:bidi="ar-SA"/>
        </w:rPr>
        <w:t>أنّه لا نَبيَّ بَعدَ النبيِّ صَلَّى اللّٰهُ عليه و آلِه</w:t>
      </w:r>
      <w:r>
        <w:rPr>
          <w:rStyle w:val="FootnoteAnchor"/>
          <w:rtl w:val="true"/>
        </w:rPr>
        <w:footnoteReference w:id="3107"/>
      </w:r>
      <w:r>
        <w:rPr>
          <w:rFonts w:ascii="Amiri" w:hAnsi="Amiri" w:eastAsia="Amiri" w:cs="Amiri"/>
          <w:color w:val="111111"/>
          <w:sz w:val="28"/>
          <w:sz w:val="28"/>
          <w:szCs w:val="28"/>
          <w:rtl w:val="true"/>
          <w:lang w:bidi="ar-SA"/>
        </w:rPr>
        <w:t>، و أنّ ذلكَ دِينُه،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3108"/>
      </w:r>
      <w:r>
        <w:rPr>
          <w:rFonts w:ascii="Amiri" w:hAnsi="Amiri" w:eastAsia="Amiri" w:cs="Amiri"/>
          <w:color w:val="111111"/>
          <w:sz w:val="28"/>
          <w:sz w:val="28"/>
          <w:szCs w:val="28"/>
          <w:rtl w:val="true"/>
          <w:lang w:bidi="ar-SA"/>
        </w:rPr>
        <w:t xml:space="preserve">بيّنّا أنّ طريقةَ الاضطرارِ لا تَختَصُّ </w:t>
      </w:r>
      <w:r>
        <w:rPr>
          <w:rStyle w:val="FootnoteAnchor"/>
          <w:rtl w:val="true"/>
        </w:rPr>
        <w:footnoteReference w:id="3109"/>
      </w:r>
      <w:r>
        <w:rPr>
          <w:rFonts w:ascii="Amiri" w:hAnsi="Amiri" w:eastAsia="Amiri" w:cs="Amiri"/>
          <w:color w:val="111111"/>
          <w:sz w:val="28"/>
          <w:sz w:val="28"/>
          <w:szCs w:val="28"/>
          <w:rtl w:val="true"/>
          <w:lang w:bidi="ar-SA"/>
        </w:rPr>
        <w:t>مع المُخالطَةِ إذا كُنّا نَسمَعُ مِن الأخبارِ كما</w:t>
      </w:r>
      <w:r>
        <w:rPr>
          <w:rStyle w:val="FootnoteAnchor"/>
          <w:rtl w:val="true"/>
        </w:rPr>
        <w:footnoteReference w:id="3110"/>
      </w:r>
      <w:r>
        <w:rPr>
          <w:rFonts w:ascii="Amiri" w:hAnsi="Amiri" w:eastAsia="Amiri" w:cs="Amiri"/>
          <w:color w:val="111111"/>
          <w:sz w:val="28"/>
          <w:sz w:val="28"/>
          <w:szCs w:val="28"/>
          <w:rtl w:val="true"/>
          <w:lang w:bidi="ar-SA"/>
        </w:rPr>
        <w:t>يَسمَعونَ و نَختَلِطُ بهم، فكَيفَ يَقَعُ العِلمُ بما ذَكَروه لهُم دونَنا؟</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دَعواكَ أنّ الاشتباهَ فيما يُعلَمُ مِن دينِه لا يَجوزُ مع العِلمِ بالنُّبوّةِ‌، فهي الدَّعوَى المُتقدِّمةُ‌، و قد مضىٰ ما يَلزَمُكَ عَلَيها</w:t>
      </w:r>
      <w:r>
        <w:rPr>
          <w:rStyle w:val="FootnoteAnchor"/>
          <w:rtl w:val="true"/>
        </w:rPr>
        <w:footnoteReference w:id="3112"/>
      </w:r>
      <w:r>
        <w:rPr>
          <w:rFonts w:ascii="Amiri" w:hAnsi="Amiri" w:eastAsia="Amiri" w:cs="Amiri"/>
          <w:color w:val="111111"/>
          <w:sz w:val="28"/>
          <w:sz w:val="28"/>
          <w:szCs w:val="28"/>
          <w:rtl w:val="true"/>
          <w:lang w:bidi="ar-SA"/>
        </w:rPr>
        <w:t>، و دَلَّلنا علىٰ جوازِ اشتباهِ جميعِ ما ذَكرتَه علىٰ بعضِ الوجوهِ بأن يَعرِضَ فيه بعضُ ما عرَضَ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تَعجُّبُكَ مِن اختصاصِ العِلمِ مع كَونِ التكليفِ عامّاً فغَيرُ واقعٍ مَوقِعَه؛ لأنّه غَيرُ مُنكَرٍ أن لا يَعُمَّ العِلمُ الضروريُّ الكُلَّ و إن كانَ التكليفُ عامّاً لهُم</w:t>
      </w:r>
      <w:r>
        <w:rPr>
          <w:rStyle w:val="FootnoteAnchor"/>
          <w:rtl w:val="true"/>
        </w:rPr>
        <w:footnoteReference w:id="3113"/>
      </w:r>
      <w:r>
        <w:rPr>
          <w:rFonts w:ascii="Amiri" w:hAnsi="Amiri" w:eastAsia="Amiri" w:cs="Amiri"/>
          <w:color w:val="111111"/>
          <w:sz w:val="28"/>
          <w:sz w:val="28"/>
          <w:szCs w:val="28"/>
          <w:rtl w:val="true"/>
          <w:lang w:bidi="ar-SA"/>
        </w:rPr>
        <w:t>، مِن حَيثُ‌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يَحصُلْ شُروطُ وقوعِ العِلمِ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w:t>
      </w:r>
      <w:r>
        <w:rPr>
          <w:rStyle w:val="FootnoteAnchor"/>
          <w:rtl w:val="true"/>
        </w:rPr>
        <w:footnoteReference w:id="3114"/>
      </w:r>
      <w:r>
        <w:rPr>
          <w:rFonts w:ascii="Amiri" w:hAnsi="Amiri" w:eastAsia="Amiri" w:cs="Amiri"/>
          <w:color w:val="111111"/>
          <w:sz w:val="28"/>
          <w:sz w:val="28"/>
          <w:szCs w:val="28"/>
          <w:rtl w:val="true"/>
          <w:lang w:bidi="ar-SA"/>
        </w:rPr>
        <w:t xml:space="preserve">أن يَكونَ في الكُلِّ مَن أخرَجَ نَفسَه مِن شَرطِ حُصولِ العِلمِ له، لَم يَجِبْ أن يَعلَمَ ضَرورةً ، و لا وَجَبَ </w:t>
      </w:r>
      <w:r>
        <w:rPr>
          <w:rStyle w:val="FootnoteAnchor"/>
          <w:rtl w:val="true"/>
        </w:rPr>
        <w:footnoteReference w:id="3115"/>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يَكونَ معذوراً و لا خارجاً عن تكليفِ العِلمِ‌</w:t>
      </w:r>
      <w:r>
        <w:rPr>
          <w:rStyle w:val="FootnoteAnchor"/>
          <w:rtl w:val="true"/>
        </w:rPr>
        <w:footnoteReference w:id="3116"/>
      </w:r>
      <w:r>
        <w:rPr>
          <w:rFonts w:ascii="Amiri" w:hAnsi="Amiri" w:eastAsia="Amiri" w:cs="Amiri"/>
          <w:color w:val="111111"/>
          <w:sz w:val="28"/>
          <w:sz w:val="28"/>
          <w:szCs w:val="28"/>
          <w:rtl w:val="true"/>
          <w:lang w:bidi="ar-SA"/>
        </w:rPr>
        <w:t>بالإمامةِ‌؛ لأنّه يَتمكَّنُ مِن ذلكَ مِن الوجهَينِ المُتقدِّمَينِ‌</w:t>
      </w:r>
      <w:r>
        <w:rPr>
          <w:rFonts w:eastAsia="Amiri" w:cs="Amiri" w:ascii="Amiri" w:hAnsi="Amiri"/>
          <w:color w:val="111111"/>
          <w:sz w:val="28"/>
          <w:szCs w:val="28"/>
          <w:rtl w:val="true"/>
          <w:lang w:bidi="ar-SA"/>
        </w:rPr>
        <w:t>.</w:t>
      </w:r>
      <w:r>
        <w:rPr>
          <w:rStyle w:val="FootnoteAnchor"/>
          <w:rtl w:val="true"/>
        </w:rPr>
        <w:footnoteReference w:id="311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المُعارَضةُ باليَهودِ في دَفعِهم العِلمَ‌</w:t>
      </w:r>
      <w:r>
        <w:rPr>
          <w:rStyle w:val="FootnoteAnchor"/>
          <w:rtl w:val="true"/>
        </w:rPr>
        <w:footnoteReference w:id="3118"/>
      </w:r>
      <w:r>
        <w:rPr>
          <w:rFonts w:ascii="Amiri" w:hAnsi="Amiri" w:eastAsia="Amiri" w:cs="Amiri"/>
          <w:color w:val="111111"/>
          <w:sz w:val="28"/>
          <w:sz w:val="28"/>
          <w:szCs w:val="28"/>
          <w:rtl w:val="true"/>
          <w:lang w:bidi="ar-SA"/>
        </w:rPr>
        <w:t>بنَفيِ النُّبوّةِ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ضَرورةً أنّهم يَعلَمونَ مِن ذلكَ ما نَعلَمُه</w:t>
      </w:r>
      <w:r>
        <w:rPr>
          <w:rStyle w:val="FootnoteAnchor"/>
          <w:rtl w:val="true"/>
        </w:rPr>
        <w:footnoteReference w:id="3119"/>
      </w:r>
      <w:r>
        <w:rPr>
          <w:rFonts w:ascii="Amiri" w:hAnsi="Amiri" w:eastAsia="Amiri" w:cs="Amiri"/>
          <w:color w:val="111111"/>
          <w:sz w:val="28"/>
          <w:sz w:val="28"/>
          <w:szCs w:val="28"/>
          <w:rtl w:val="true"/>
          <w:lang w:bidi="ar-SA"/>
        </w:rPr>
        <w:t>، و هُم مُعتَرِفونَ لنا بالعِلمِ به، و إن كانوا يُخالِفونَ في كَونِ الخبرِ به</w:t>
      </w:r>
      <w:r>
        <w:rPr>
          <w:rStyle w:val="FootnoteAnchor"/>
          <w:rtl w:val="true"/>
        </w:rPr>
        <w:footnoteReference w:id="3120"/>
      </w:r>
      <w:r>
        <w:rPr>
          <w:rFonts w:ascii="Amiri" w:hAnsi="Amiri" w:eastAsia="Amiri" w:cs="Amiri"/>
          <w:color w:val="111111"/>
          <w:sz w:val="28"/>
          <w:sz w:val="28"/>
          <w:szCs w:val="28"/>
          <w:rtl w:val="true"/>
          <w:lang w:bidi="ar-SA"/>
        </w:rPr>
        <w:t>صِدقاً و ما عُلِمَ مِن دِينِه عليه السلامُ مِنه حَقّاً، و يُجرونَ ما يَعلَمونَه مِن</w:t>
      </w:r>
      <w:r>
        <w:rPr>
          <w:rStyle w:val="FootnoteAnchor"/>
          <w:rtl w:val="true"/>
        </w:rPr>
        <w:footnoteReference w:id="3121"/>
      </w:r>
      <w:r>
        <w:rPr>
          <w:rFonts w:ascii="Amiri" w:hAnsi="Amiri" w:eastAsia="Amiri" w:cs="Amiri"/>
          <w:color w:val="111111"/>
          <w:sz w:val="28"/>
          <w:sz w:val="28"/>
          <w:szCs w:val="28"/>
          <w:rtl w:val="true"/>
          <w:lang w:bidi="ar-SA"/>
        </w:rPr>
        <w:t>نَفيِ النُّبوّةِ بَعدَه مَجرىٰ ما يَعلَمونَه مِن شَرائعِه</w:t>
      </w:r>
      <w:r>
        <w:rPr>
          <w:rStyle w:val="FootnoteAnchor"/>
          <w:rtl w:val="true"/>
        </w:rPr>
        <w:footnoteReference w:id="3122"/>
      </w:r>
      <w:r>
        <w:rPr>
          <w:rFonts w:ascii="Amiri" w:hAnsi="Amiri" w:eastAsia="Amiri" w:cs="Amiri"/>
          <w:color w:val="111111"/>
          <w:sz w:val="28"/>
          <w:sz w:val="28"/>
          <w:szCs w:val="28"/>
          <w:rtl w:val="true"/>
          <w:lang w:bidi="ar-SA"/>
        </w:rPr>
        <w:t>الظاهرةِ و ما دَعا إليه و أَوجَبَه في أنّ العِلمَ بجميعِ ذلكَ حاصلٌ‌، و إن كانَ كَونُ ما أَوجَبَه واجباً</w:t>
      </w:r>
      <w:r>
        <w:rPr>
          <w:rStyle w:val="FootnoteAnchor"/>
          <w:rtl w:val="true"/>
        </w:rPr>
        <w:footnoteReference w:id="3123"/>
      </w:r>
      <w:r>
        <w:rPr>
          <w:rFonts w:ascii="Amiri" w:hAnsi="Amiri" w:eastAsia="Amiri" w:cs="Amiri"/>
          <w:color w:val="111111"/>
          <w:sz w:val="28"/>
          <w:sz w:val="28"/>
          <w:szCs w:val="28"/>
          <w:rtl w:val="true"/>
          <w:lang w:bidi="ar-SA"/>
        </w:rPr>
        <w:t>في الحقيقةِ و ما نَفاه مُنتَفياً</w:t>
      </w:r>
      <w:r>
        <w:rPr>
          <w:rStyle w:val="FootnoteAnchor"/>
          <w:rtl w:val="true"/>
        </w:rPr>
        <w:footnoteReference w:id="3124"/>
      </w:r>
      <w:r>
        <w:rPr>
          <w:rFonts w:ascii="Amiri" w:hAnsi="Amiri" w:eastAsia="Amiri" w:cs="Amiri"/>
          <w:color w:val="111111"/>
          <w:sz w:val="28"/>
          <w:sz w:val="28"/>
          <w:szCs w:val="28"/>
          <w:rtl w:val="true"/>
          <w:lang w:bidi="ar-SA"/>
        </w:rPr>
        <w:t>فيه الخِلافُ 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سَبقَت اليَهودُ في نَفيِ النُّبوّةِ إلَى الردِّ و التكذيبِ لَجازَ أن لا يَعلَموه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3125"/>
      </w:r>
      <w:r>
        <w:rPr>
          <w:rFonts w:ascii="Amiri" w:hAnsi="Amiri" w:eastAsia="Amiri" w:cs="Amiri"/>
          <w:color w:val="111111"/>
          <w:sz w:val="28"/>
          <w:sz w:val="28"/>
          <w:szCs w:val="28"/>
          <w:rtl w:val="true"/>
          <w:lang w:bidi="ar-SA"/>
        </w:rPr>
        <w:t>قَدَّرتَ حالاً لهُم</w:t>
      </w:r>
      <w:r>
        <w:rPr>
          <w:rStyle w:val="FootnoteAnchor"/>
          <w:rtl w:val="true"/>
        </w:rPr>
        <w:footnoteReference w:id="3126"/>
      </w:r>
      <w:r>
        <w:rPr>
          <w:rFonts w:ascii="Amiri" w:hAnsi="Amiri" w:eastAsia="Amiri" w:cs="Amiri"/>
          <w:color w:val="111111"/>
          <w:sz w:val="28"/>
          <w:sz w:val="28"/>
          <w:szCs w:val="28"/>
          <w:rtl w:val="true"/>
          <w:lang w:bidi="ar-SA"/>
        </w:rPr>
        <w:t>أُخرىٰ غَيرَ التي نَعلَمُهم عَلَيها، فما أَلزَمتَنا تجويزَه عَلَيهم نحنُ نُجوِّزُه إذا اختَلَفَت الحالُ ، و إن أَشَرتَ إلىٰ حالِهم هذه</w:t>
      </w:r>
      <w:r>
        <w:rPr>
          <w:rStyle w:val="FootnoteAnchor"/>
          <w:rtl w:val="true"/>
        </w:rPr>
        <w:footnoteReference w:id="3127"/>
      </w:r>
      <w:r>
        <w:rPr>
          <w:rFonts w:ascii="Amiri" w:hAnsi="Amiri" w:eastAsia="Amiri" w:cs="Amiri"/>
          <w:color w:val="111111"/>
          <w:sz w:val="28"/>
          <w:sz w:val="28"/>
          <w:szCs w:val="28"/>
          <w:rtl w:val="true"/>
          <w:lang w:bidi="ar-SA"/>
        </w:rPr>
        <w:t>فلَيسَت علىٰ ما ذَكرتَ ؛ فإنّهم لا يُكذِّبونَ بنَفيِ النُّبوّةِ علَى الوجهِ الذي قَرَّرناه</w:t>
      </w:r>
      <w:r>
        <w:rPr>
          <w:rFonts w:eastAsia="Amiri" w:cs="Amiri" w:ascii="Amiri" w:hAnsi="Amiri"/>
          <w:color w:val="111111"/>
          <w:sz w:val="28"/>
          <w:szCs w:val="28"/>
          <w:rtl w:val="true"/>
          <w:lang w:bidi="ar-SA"/>
        </w:rPr>
        <w:t xml:space="preserve">. </w:t>
      </w:r>
      <w:bookmarkStart w:id="504" w:name="pg20015_285096"/>
    </w:p>
    <w:p>
      <w:pPr>
        <w:pStyle w:val="BookText"/>
        <w:rPr/>
      </w:pPr>
      <w:bookmarkEnd w:id="504"/>
      <w:r>
        <w:rPr>
          <w:rFonts w:ascii="Amiri" w:hAnsi="Amiri" w:eastAsia="Amiri" w:cs="Amiri"/>
          <w:color w:val="111111"/>
          <w:sz w:val="28"/>
          <w:sz w:val="28"/>
          <w:szCs w:val="28"/>
          <w:rtl w:val="true"/>
          <w:lang w:bidi="ar-SA"/>
        </w:rPr>
        <w:t xml:space="preserve">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طريقةَ الأخبارِ لا تَختَصُّ </w:t>
      </w:r>
      <w:r>
        <w:rPr>
          <w:rFonts w:eastAsia="Amiri" w:cs="Amiri" w:ascii="Amiri" w:hAnsi="Amiri"/>
          <w:color w:val="111111"/>
          <w:sz w:val="28"/>
          <w:szCs w:val="28"/>
          <w:rtl w:val="true"/>
          <w:lang w:bidi="ar-SA"/>
        </w:rPr>
        <w:t>»</w:t>
      </w:r>
      <w:r>
        <w:rPr>
          <w:rStyle w:val="FootnoteAnchor"/>
          <w:rtl w:val="true"/>
        </w:rPr>
        <w:footnoteReference w:id="3128"/>
      </w:r>
      <w:r>
        <w:rPr>
          <w:rFonts w:ascii="Amiri" w:hAnsi="Amiri" w:eastAsia="Amiri" w:cs="Amiri"/>
          <w:color w:val="111111"/>
          <w:sz w:val="28"/>
          <w:sz w:val="28"/>
          <w:szCs w:val="28"/>
          <w:rtl w:val="true"/>
          <w:lang w:bidi="ar-SA"/>
        </w:rPr>
        <w:t>هي الدَّعوَى التي وقَعَ الخِلافُ فيها، فلِمَ زَعَمتَ أنّه لا شَرطَ إلّاالمُخالَطةُ؟ و لِمَ دَفَعتَ أن يَكونَ شَرطُنا أيضاً لا بُدَّ مِن قيامِه ؟</w:t>
      </w:r>
    </w:p>
    <w:p>
      <w:pPr>
        <w:pStyle w:val="Heading4"/>
        <w:numPr>
          <w:ilvl w:val="3"/>
          <w:numId w:val="1"/>
        </w:numPr>
        <w:rPr/>
      </w:pPr>
      <w:bookmarkStart w:id="505" w:name="__RefHeading___Toc895075_2320776876"/>
      <w:bookmarkStart w:id="506" w:name="_Toc179"/>
      <w:bookmarkEnd w:id="505"/>
      <w:r>
        <w:rPr>
          <w:rtl w:val="true"/>
        </w:rPr>
        <w:t>عدم سقوط التكليف و العذر مع ارتفاع العلم الضروريّ بالنصّ</w:t>
      </w:r>
      <w:bookmarkEnd w:id="50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لَم يَقَعْ لنا العِلمُ مع وقوعِه لَهُم، لَم يَخلُ حالُنا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نُكَلَّفَ في الإمامةِ شيئاً، أو نُكَلَّفَ‌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نُكَلَّفْ فلا وجهَ للمُناظَرةِ في هذا البابِ‌، و لَيسَ ذلكَ بقَولٍ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كُلِّفنا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جائزٍ أن نُكلَّفَ ما قد تَعذَّرَ طريقُه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نَكونَ مُصيبينَ‌</w:t>
      </w:r>
      <w:r>
        <w:rPr>
          <w:rStyle w:val="FootnoteAnchor"/>
          <w:rtl w:val="true"/>
        </w:rPr>
        <w:footnoteReference w:id="3129"/>
      </w:r>
      <w:r>
        <w:rPr>
          <w:rFonts w:ascii="Amiri" w:hAnsi="Amiri" w:eastAsia="Amiri" w:cs="Amiri"/>
          <w:color w:val="111111"/>
          <w:sz w:val="28"/>
          <w:sz w:val="28"/>
          <w:szCs w:val="28"/>
          <w:rtl w:val="true"/>
          <w:lang w:bidi="ar-SA"/>
        </w:rPr>
        <w:t>فيما نَعتَقِدُه في الإمامةِ إذا بيّنّا الطريقَ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خُروجٌ من</w:t>
      </w:r>
      <w:r>
        <w:rPr>
          <w:rStyle w:val="FootnoteAnchor"/>
          <w:rtl w:val="true"/>
        </w:rPr>
        <w:footnoteReference w:id="3130"/>
      </w:r>
      <w:r>
        <w:rPr>
          <w:rFonts w:ascii="Amiri" w:hAnsi="Amiri" w:eastAsia="Amiri" w:cs="Amiri"/>
          <w:color w:val="111111"/>
          <w:sz w:val="28"/>
          <w:sz w:val="28"/>
          <w:szCs w:val="28"/>
          <w:rtl w:val="true"/>
          <w:lang w:bidi="ar-SA"/>
        </w:rPr>
        <w:t>الإجماعِ‌؛ لأنّه يوجِبُ أنّ الحَقَّ في الإمامةِ في المَذاهبِ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الإمامةِ لأميرِ المؤمِنينَ عليه السلامُ و إن كانَ طريقُه الاضطرارَ، ففيه طُرُقٌ سِواه تَدُلُّ علىٰ صحّتِه، فمَن لَم تَحصُلْ </w:t>
      </w:r>
      <w:r>
        <w:rPr>
          <w:rStyle w:val="FootnoteAnchor"/>
          <w:rtl w:val="true"/>
        </w:rPr>
        <w:footnoteReference w:id="3131"/>
      </w:r>
      <w:r>
        <w:rPr>
          <w:rFonts w:ascii="Amiri" w:hAnsi="Amiri" w:eastAsia="Amiri" w:cs="Amiri"/>
          <w:color w:val="111111"/>
          <w:sz w:val="28"/>
          <w:sz w:val="28"/>
          <w:szCs w:val="28"/>
          <w:rtl w:val="true"/>
          <w:lang w:bidi="ar-SA"/>
        </w:rPr>
        <w:t>له طريقةُ الضرورةِ فهو مَحجوجٌ بما عَداها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Style w:val="FootnoteAnchor"/>
          <w:rtl w:val="true"/>
        </w:rPr>
        <w:footnoteReference w:id="3132"/>
      </w:r>
      <w:r>
        <w:rPr>
          <w:rFonts w:ascii="Amiri" w:hAnsi="Amiri" w:eastAsia="Amiri" w:cs="Amiri"/>
          <w:color w:val="111111"/>
          <w:sz w:val="28"/>
          <w:sz w:val="28"/>
          <w:szCs w:val="28"/>
          <w:rtl w:val="true"/>
          <w:lang w:bidi="ar-SA"/>
        </w:rPr>
        <w:t xml:space="preserve">علىٰ مَن يَزعُمُ </w:t>
      </w:r>
      <w:r>
        <w:rPr>
          <w:rStyle w:val="FootnoteAnchor"/>
          <w:rtl w:val="true"/>
        </w:rPr>
        <w:footnoteReference w:id="3133"/>
      </w:r>
      <w:r>
        <w:rPr>
          <w:rFonts w:ascii="Amiri" w:hAnsi="Amiri" w:eastAsia="Amiri" w:cs="Amiri"/>
          <w:color w:val="111111"/>
          <w:sz w:val="28"/>
          <w:sz w:val="28"/>
          <w:szCs w:val="28"/>
          <w:rtl w:val="true"/>
          <w:lang w:bidi="ar-SA"/>
        </w:rPr>
        <w:t xml:space="preserve">أنّ هذا طريقُه و حكَمَ بذلكَ فيه، </w:t>
      </w:r>
    </w:p>
    <w:p>
      <w:pPr>
        <w:pStyle w:val="BookText"/>
        <w:rPr/>
      </w:pPr>
      <w:r>
        <w:rPr>
          <w:rFonts w:ascii="Amiri" w:hAnsi="Amiri" w:eastAsia="Amiri" w:cs="Amiri"/>
          <w:color w:val="111111"/>
          <w:sz w:val="28"/>
          <w:sz w:val="28"/>
          <w:szCs w:val="28"/>
          <w:rtl w:val="true"/>
          <w:lang w:bidi="ar-SA"/>
        </w:rPr>
        <w:t>و قَد</w:t>
      </w:r>
      <w:r>
        <w:rPr>
          <w:rStyle w:val="FootnoteAnchor"/>
          <w:rtl w:val="true"/>
        </w:rPr>
        <w:footnoteReference w:id="3134"/>
      </w:r>
      <w:r>
        <w:rPr>
          <w:rFonts w:ascii="Amiri" w:hAnsi="Amiri" w:eastAsia="Amiri" w:cs="Amiri"/>
          <w:color w:val="111111"/>
          <w:sz w:val="28"/>
          <w:sz w:val="28"/>
          <w:szCs w:val="28"/>
          <w:rtl w:val="true"/>
          <w:lang w:bidi="ar-SA"/>
        </w:rPr>
        <w:t xml:space="preserve">بانَ فَسادُه، و نحنُ نَتكلَّمُ </w:t>
      </w:r>
      <w:r>
        <w:rPr>
          <w:rStyle w:val="FootnoteAnchor"/>
          <w:rtl w:val="true"/>
        </w:rPr>
        <w:footnoteReference w:id="3135"/>
      </w:r>
      <w:r>
        <w:rPr>
          <w:rFonts w:ascii="Amiri" w:hAnsi="Amiri" w:eastAsia="Amiri" w:cs="Amiri"/>
          <w:color w:val="111111"/>
          <w:sz w:val="28"/>
          <w:sz w:val="28"/>
          <w:szCs w:val="28"/>
          <w:rtl w:val="true"/>
          <w:lang w:bidi="ar-SA"/>
        </w:rPr>
        <w:t xml:space="preserve">مِن بَعدُ علىٰ سائرِ الطُّرُقِ </w:t>
      </w:r>
      <w:r>
        <w:rPr>
          <w:rFonts w:eastAsia="Amiri" w:cs="Amiri" w:ascii="Amiri" w:hAnsi="Amiri"/>
          <w:color w:val="111111"/>
          <w:sz w:val="28"/>
          <w:szCs w:val="28"/>
          <w:rtl w:val="true"/>
          <w:lang w:bidi="ar-SA"/>
        </w:rPr>
        <w:t>.</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أعلَمناكَ‌</w:t>
      </w:r>
      <w:r>
        <w:rPr>
          <w:rStyle w:val="FootnoteAnchor"/>
          <w:rtl w:val="true"/>
        </w:rPr>
        <w:footnoteReference w:id="3137"/>
      </w:r>
      <w:r>
        <w:rPr>
          <w:rFonts w:ascii="Amiri" w:hAnsi="Amiri" w:eastAsia="Amiri" w:cs="Amiri"/>
          <w:color w:val="111111"/>
          <w:sz w:val="28"/>
          <w:sz w:val="28"/>
          <w:szCs w:val="28"/>
          <w:rtl w:val="true"/>
          <w:lang w:bidi="ar-SA"/>
        </w:rPr>
        <w:t>أنّ التكليفَ لا يَجِبُ سُقوطُه و إن كانَ العِلمُ الضروريُّ مُرتَفِعاً عن بعضِ‌</w:t>
      </w:r>
      <w:r>
        <w:rPr>
          <w:rStyle w:val="FootnoteAnchor"/>
          <w:rtl w:val="true"/>
        </w:rPr>
        <w:footnoteReference w:id="3138"/>
      </w:r>
      <w:r>
        <w:rPr>
          <w:rFonts w:ascii="Amiri" w:hAnsi="Amiri" w:eastAsia="Amiri" w:cs="Amiri"/>
          <w:color w:val="111111"/>
          <w:sz w:val="28"/>
          <w:sz w:val="28"/>
          <w:szCs w:val="28"/>
          <w:rtl w:val="true"/>
          <w:lang w:bidi="ar-SA"/>
        </w:rPr>
        <w:t>المكلَّفينَ‌؛ لأنّ السبيلَ إلَى العِلمِ قائمةٌ واضحةٌ مِن الوجهَينِ اللّذَينِ أشَرنا إليهما</w:t>
      </w:r>
      <w:r>
        <w:rPr>
          <w:rFonts w:eastAsia="Amiri" w:cs="Amiri" w:ascii="Amiri" w:hAnsi="Amiri"/>
          <w:color w:val="111111"/>
          <w:sz w:val="28"/>
          <w:szCs w:val="28"/>
          <w:rtl w:val="true"/>
          <w:lang w:bidi="ar-SA"/>
        </w:rPr>
        <w:t>.</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كلامي علىٰ مَن يَزعُمُ أنّ هذا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أيضاً؛ لأنّ مَن يَذهَبُ إلىٰ أنّ الطريقةَ في النَّصِّ هي الضرورةُ دونَ الاكتسابِ لا يَجِبُ أن يَكونَ المُخالِفُ عندَه معذوراً مِن حَيثُ لَم يَحصُلْ له العِلمُ‌؛ لأنّه عندَه مُتمكِّنٌ مِن إزالةِ ما منَعَ مِن حُصولِ العِلمِ‌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إلّاأن تَقولَ </w:t>
      </w:r>
      <w:r>
        <w:rPr>
          <w:rStyle w:val="FootnoteAnchor"/>
          <w:rtl w:val="true"/>
        </w:rPr>
        <w:footnoteReference w:id="3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كلامي علىٰ مَن</w:t>
      </w:r>
      <w:r>
        <w:rPr>
          <w:rStyle w:val="FootnoteAnchor"/>
          <w:rtl w:val="true"/>
        </w:rPr>
        <w:footnoteReference w:id="3141"/>
      </w:r>
      <w:r>
        <w:rPr>
          <w:rFonts w:ascii="Amiri" w:hAnsi="Amiri" w:eastAsia="Amiri" w:cs="Amiri"/>
          <w:color w:val="111111"/>
          <w:sz w:val="28"/>
          <w:sz w:val="28"/>
          <w:szCs w:val="28"/>
          <w:rtl w:val="true"/>
          <w:lang w:bidi="ar-SA"/>
        </w:rPr>
        <w:t>نَفَى العِلمَ مِن جهةِ الدليلِ و أثبَتَه</w:t>
      </w:r>
      <w:r>
        <w:rPr>
          <w:rStyle w:val="FootnoteAnchor"/>
          <w:rtl w:val="true"/>
        </w:rPr>
        <w:footnoteReference w:id="3142"/>
      </w:r>
      <w:r>
        <w:rPr>
          <w:rFonts w:ascii="Amiri" w:hAnsi="Amiri" w:eastAsia="Amiri" w:cs="Amiri"/>
          <w:color w:val="111111"/>
          <w:sz w:val="28"/>
          <w:sz w:val="28"/>
          <w:szCs w:val="28"/>
          <w:rtl w:val="true"/>
          <w:lang w:bidi="ar-SA"/>
        </w:rPr>
        <w:t xml:space="preserve">ضَروريّاً، و قَضىٰ بأنّ مَن لَم يَحصُلْ له العِلمُ بشُبهةٍ </w:t>
      </w:r>
      <w:r>
        <w:rPr>
          <w:rStyle w:val="FootnoteAnchor"/>
          <w:rtl w:val="true"/>
        </w:rPr>
        <w:footnoteReference w:id="3143"/>
      </w:r>
      <w:r>
        <w:rPr>
          <w:rFonts w:ascii="Amiri" w:hAnsi="Amiri" w:eastAsia="Amiri" w:cs="Amiri"/>
          <w:color w:val="111111"/>
          <w:sz w:val="28"/>
          <w:sz w:val="28"/>
          <w:szCs w:val="28"/>
          <w:rtl w:val="true"/>
          <w:lang w:bidi="ar-SA"/>
        </w:rPr>
        <w:t>أو غَيرِها غَيرُ مُتمكِّنٍ مِن مُفارَقةِ ما ارتفَعَ لأجلِه</w:t>
      </w:r>
      <w:r>
        <w:rPr>
          <w:rStyle w:val="FootnoteAnchor"/>
          <w:rtl w:val="true"/>
        </w:rPr>
        <w:footnoteReference w:id="3144"/>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يَجوزُ أن يَكونَ مذهبَ عاقلٍ مِن مُخالِفيكَ فتُوجِّهَ كلامَكَ إليه؛ لأنّ المعلومَ أنّهم يَذهَبونَ إلىٰ أنّ مُخالِفَهم في الإمامةِ </w:t>
      </w:r>
      <w:bookmarkStart w:id="507" w:name="pg20015_285098"/>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التجويزِ عَلَيه خِلافَ الحَقِّ‌</w:t>
      </w:r>
      <w:r>
        <w:rPr>
          <w:rStyle w:val="FootnoteAnchor"/>
          <w:rtl w:val="true"/>
        </w:rPr>
        <w:footnoteReference w:id="3145"/>
      </w:r>
      <w:r>
        <w:rPr>
          <w:rFonts w:ascii="Amiri" w:hAnsi="Amiri" w:eastAsia="Amiri" w:cs="Amiri"/>
          <w:color w:val="111111"/>
          <w:sz w:val="28"/>
          <w:sz w:val="28"/>
          <w:szCs w:val="28"/>
          <w:rtl w:val="true"/>
          <w:lang w:bidi="ar-SA"/>
        </w:rPr>
        <w:t xml:space="preserve">، و لَيسَ منهُم مَن يَقولُ </w:t>
      </w:r>
      <w:r>
        <w:rPr>
          <w:rStyle w:val="FootnoteAnchor"/>
          <w:rtl w:val="true"/>
        </w:rPr>
        <w:footnoteReference w:id="3146"/>
      </w:r>
      <w:r>
        <w:rPr>
          <w:rFonts w:ascii="Amiri" w:hAnsi="Amiri" w:eastAsia="Amiri" w:cs="Amiri"/>
          <w:color w:val="111111"/>
          <w:sz w:val="28"/>
          <w:sz w:val="28"/>
          <w:szCs w:val="28"/>
          <w:rtl w:val="true"/>
          <w:lang w:bidi="ar-SA"/>
        </w:rPr>
        <w:t>بتكليفِ ما لا يُطاقُ فيَذهَبونَ إلىٰ ما ظَنَنتَه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كلامُكَ هذا علىٰ مَذهَبٍ متقرِّرٍ، و إنّما هو بحَسَبِ ما توجِبُه</w:t>
      </w:r>
      <w:r>
        <w:rPr>
          <w:rStyle w:val="FootnoteAnchor"/>
          <w:rtl w:val="true"/>
        </w:rPr>
        <w:footnoteReference w:id="3147"/>
      </w:r>
      <w:r>
        <w:rPr>
          <w:rFonts w:ascii="Amiri" w:hAnsi="Amiri" w:eastAsia="Amiri" w:cs="Amiri"/>
          <w:color w:val="111111"/>
          <w:sz w:val="28"/>
          <w:sz w:val="28"/>
          <w:szCs w:val="28"/>
          <w:rtl w:val="true"/>
          <w:lang w:bidi="ar-SA"/>
        </w:rPr>
        <w:t>القِسمةُ ، فقَد كان يَجِبُ أن لا تُطنِبَ فيه هذا الإطنابَ و تُردِّدَه</w:t>
      </w:r>
      <w:r>
        <w:rPr>
          <w:rStyle w:val="FootnoteAnchor"/>
          <w:rtl w:val="true"/>
        </w:rPr>
        <w:footnoteReference w:id="3148"/>
      </w:r>
      <w:r>
        <w:rPr>
          <w:rFonts w:ascii="Amiri" w:hAnsi="Amiri" w:eastAsia="Amiri" w:cs="Amiri"/>
          <w:color w:val="111111"/>
          <w:sz w:val="28"/>
          <w:sz w:val="28"/>
          <w:szCs w:val="28"/>
          <w:rtl w:val="true"/>
          <w:lang w:bidi="ar-SA"/>
        </w:rPr>
        <w:t>هذا التَّردادَ</w:t>
      </w:r>
      <w:r>
        <w:rPr>
          <w:rStyle w:val="FootnoteAnchor"/>
          <w:rtl w:val="true"/>
        </w:rPr>
        <w:footnoteReference w:id="3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تَجعَلَ العنايةَ بالردِّ علىٰ مُخالِفِكَ </w:t>
      </w:r>
      <w:r>
        <w:rPr>
          <w:rStyle w:val="FootnoteAnchor"/>
          <w:rtl w:val="true"/>
        </w:rPr>
        <w:footnoteReference w:id="3150"/>
      </w:r>
      <w:r>
        <w:rPr>
          <w:rFonts w:ascii="Amiri" w:hAnsi="Amiri" w:eastAsia="Amiri" w:cs="Amiri"/>
          <w:color w:val="111111"/>
          <w:sz w:val="28"/>
          <w:sz w:val="28"/>
          <w:szCs w:val="28"/>
          <w:rtl w:val="true"/>
          <w:lang w:bidi="ar-SA"/>
        </w:rPr>
        <w:t>و علَى</w:t>
      </w:r>
      <w:r>
        <w:rPr>
          <w:rStyle w:val="FootnoteAnchor"/>
          <w:rtl w:val="true"/>
        </w:rPr>
        <w:footnoteReference w:id="3151"/>
      </w:r>
      <w:r>
        <w:rPr>
          <w:rFonts w:ascii="Amiri" w:hAnsi="Amiri" w:eastAsia="Amiri" w:cs="Amiri"/>
          <w:color w:val="111111"/>
          <w:sz w:val="28"/>
          <w:sz w:val="28"/>
          <w:szCs w:val="28"/>
          <w:rtl w:val="true"/>
          <w:lang w:bidi="ar-SA"/>
        </w:rPr>
        <w:t>المَذهَبِ المستَقِرِّ له</w:t>
      </w:r>
      <w:r>
        <w:rPr>
          <w:rStyle w:val="FootnoteAnchor"/>
          <w:rtl w:val="true"/>
        </w:rPr>
        <w:footnoteReference w:id="3152"/>
      </w:r>
      <w:r>
        <w:rPr>
          <w:rFonts w:ascii="Amiri" w:hAnsi="Amiri" w:eastAsia="Amiri" w:cs="Amiri"/>
          <w:color w:val="111111"/>
          <w:sz w:val="28"/>
          <w:sz w:val="28"/>
          <w:szCs w:val="28"/>
          <w:rtl w:val="true"/>
          <w:lang w:bidi="ar-SA"/>
        </w:rPr>
        <w:t xml:space="preserve">، دونَ ما لا يَصِحُّ أن يَذهَبَ </w:t>
      </w:r>
      <w:r>
        <w:rPr>
          <w:rStyle w:val="FootnoteAnchor"/>
          <w:rtl w:val="true"/>
        </w:rPr>
        <w:footnoteReference w:id="315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895077_2320776876"/>
      <w:bookmarkStart w:id="509" w:name="_Toc180"/>
      <w:bookmarkEnd w:id="508"/>
      <w:r>
        <w:rPr>
          <w:rtl w:val="true"/>
        </w:rPr>
        <w:t>جواز اختصاص العلم الضروريّ ببعض الأُمّة، و إن كان مصلحة لسائر الأُمّة</w:t>
      </w:r>
      <w:bookmarkEnd w:id="50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هذه الطريقةَ‌</w:t>
      </w:r>
      <w:r>
        <w:rPr>
          <w:rStyle w:val="FootnoteAnchor"/>
          <w:rtl w:val="true"/>
        </w:rPr>
        <w:footnoteReference w:id="3154"/>
      </w:r>
      <w:r>
        <w:rPr>
          <w:rFonts w:ascii="Amiri" w:hAnsi="Amiri" w:eastAsia="Amiri" w:cs="Amiri"/>
          <w:color w:val="111111"/>
          <w:sz w:val="28"/>
          <w:sz w:val="28"/>
          <w:szCs w:val="28"/>
          <w:rtl w:val="true"/>
          <w:lang w:bidi="ar-SA"/>
        </w:rPr>
        <w:t>إن كانَت مَصلحةً لبعضِ الأُمّةِ حتّىٰ إنّ الصلاحَ أن يَعلَمَ‌</w:t>
      </w:r>
      <w:r>
        <w:rPr>
          <w:rStyle w:val="FootnoteAnchor"/>
          <w:rtl w:val="true"/>
        </w:rPr>
        <w:footnoteReference w:id="3155"/>
      </w:r>
      <w:r>
        <w:rPr>
          <w:rFonts w:ascii="Amiri" w:hAnsi="Amiri" w:eastAsia="Amiri" w:cs="Amiri"/>
          <w:color w:val="111111"/>
          <w:sz w:val="28"/>
          <w:sz w:val="28"/>
          <w:szCs w:val="28"/>
          <w:rtl w:val="true"/>
          <w:lang w:bidi="ar-SA"/>
        </w:rPr>
        <w:t xml:space="preserve">الإمامةَ مِن هذا الوجهِ‌، فكذلكَ سائرُ الأُمّةِ‌؛ لأنّه لا خِلافَ أنّ مَصالِحَ الأُمّةِ في مِثلِ ذلكَ لا تَختَلِفُ </w:t>
      </w:r>
      <w:r>
        <w:rPr>
          <w:rStyle w:val="FootnoteAnchor"/>
          <w:rtl w:val="true"/>
        </w:rPr>
        <w:footnoteReference w:id="3156"/>
      </w:r>
      <w:r>
        <w:rPr>
          <w:rFonts w:ascii="Amiri" w:hAnsi="Amiri" w:eastAsia="Amiri" w:cs="Amiri"/>
          <w:color w:val="111111"/>
          <w:sz w:val="28"/>
          <w:sz w:val="28"/>
          <w:szCs w:val="28"/>
          <w:rtl w:val="true"/>
          <w:lang w:bidi="ar-SA"/>
        </w:rPr>
        <w:t xml:space="preserve">كما لا تَختَلِفُ </w:t>
      </w:r>
      <w:r>
        <w:rPr>
          <w:rStyle w:val="FootnoteAnchor"/>
          <w:rtl w:val="true"/>
        </w:rPr>
        <w:footnoteReference w:id="315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الشرائعِ‌؛ لأنّ طريقَ إثباتِ الشرعِ قد يَكونُ كالشرعِ في أنّه قد يَختَصُّ </w:t>
      </w:r>
      <w:r>
        <w:rPr>
          <w:rStyle w:val="FootnoteAnchor"/>
          <w:rtl w:val="true"/>
        </w:rPr>
        <w:footnoteReference w:id="3158"/>
      </w:r>
      <w:r>
        <w:rPr>
          <w:rFonts w:ascii="Amiri" w:hAnsi="Amiri" w:eastAsia="Amiri" w:cs="Amiri"/>
          <w:color w:val="111111"/>
          <w:sz w:val="28"/>
          <w:sz w:val="28"/>
          <w:szCs w:val="28"/>
          <w:rtl w:val="true"/>
          <w:lang w:bidi="ar-SA"/>
        </w:rPr>
        <w:t xml:space="preserve">الصلاحُ بوجهٍ مِنه دونَ وجهٍ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و إن كانَ مَصلحةً لِسائرِ الأُمّةِ‌، فغَيرُ مُمتَنِعٍ أن يَكونَ مَصلحةً بشَرطِ أن لا يَسبِقَ المكلَّفُ إلَى اعتقادِ بُطلانِه، كما لا يَمتَنِعُ عندَكَ‌</w:t>
      </w:r>
      <w:r>
        <w:rPr>
          <w:rStyle w:val="FootnoteAnchor"/>
          <w:rtl w:val="true"/>
        </w:rPr>
        <w:footnoteReference w:id="3161"/>
      </w:r>
      <w:r>
        <w:rPr>
          <w:rFonts w:ascii="Amiri" w:hAnsi="Amiri" w:eastAsia="Amiri" w:cs="Amiri"/>
          <w:color w:val="111111"/>
          <w:sz w:val="28"/>
          <w:sz w:val="28"/>
          <w:szCs w:val="28"/>
          <w:rtl w:val="true"/>
          <w:lang w:bidi="ar-SA"/>
        </w:rPr>
        <w:t>في كَونِ العِلمِ مَصلحةً أن يَتعلَّقَ بشَرطِ وجودِ عَدَدٍ مخصوصٍ علىٰ صفاتٍ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خَلا المكلَّفونَ مِن الاعتقادِ الذي ذَكرناه و سَمِعوا الخبرَ، فعَلَ فيهم العِلمَ الضروريَّ و إن</w:t>
      </w:r>
      <w:r>
        <w:rPr>
          <w:rStyle w:val="FootnoteAnchor"/>
          <w:rtl w:val="true"/>
        </w:rPr>
        <w:footnoteReference w:id="3162"/>
      </w:r>
      <w:r>
        <w:rPr>
          <w:rFonts w:ascii="Amiri" w:hAnsi="Amiri" w:eastAsia="Amiri" w:cs="Amiri"/>
          <w:color w:val="111111"/>
          <w:sz w:val="28"/>
          <w:sz w:val="28"/>
          <w:szCs w:val="28"/>
          <w:rtl w:val="true"/>
          <w:lang w:bidi="ar-SA"/>
        </w:rPr>
        <w:t>كانَ مَصلحةً لهم، و متىٰ لَم يَخلوا مِن ذلك لَم يَفعَلْ فيهم، و لَم يَخرُجْ مِن كَونِه مَصلحةً لهم إذا فَعَلوا ما هُم قادرونَ عَلَيه مِن مُفارَقةِ الاعتقادِ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هذا مَجرىٰ‌</w:t>
      </w:r>
      <w:r>
        <w:rPr>
          <w:rStyle w:val="FootnoteAnchor"/>
          <w:rtl w:val="true"/>
        </w:rPr>
        <w:footnoteReference w:id="3163"/>
      </w:r>
      <w:r>
        <w:rPr>
          <w:rFonts w:ascii="Amiri" w:hAnsi="Amiri" w:eastAsia="Amiri" w:cs="Amiri"/>
          <w:color w:val="111111"/>
          <w:sz w:val="28"/>
          <w:sz w:val="28"/>
          <w:szCs w:val="28"/>
          <w:rtl w:val="true"/>
          <w:lang w:bidi="ar-SA"/>
        </w:rPr>
        <w:t>ما نَعلَمُه</w:t>
      </w:r>
      <w:r>
        <w:rPr>
          <w:rStyle w:val="FootnoteAnchor"/>
          <w:rtl w:val="true"/>
        </w:rPr>
        <w:footnoteReference w:id="3164"/>
      </w:r>
      <w:r>
        <w:rPr>
          <w:rFonts w:ascii="Amiri" w:hAnsi="Amiri" w:eastAsia="Amiri" w:cs="Amiri"/>
          <w:color w:val="111111"/>
          <w:sz w:val="28"/>
          <w:sz w:val="28"/>
          <w:szCs w:val="28"/>
          <w:rtl w:val="true"/>
          <w:lang w:bidi="ar-SA"/>
        </w:rPr>
        <w:t xml:space="preserve">مِن كَونِ الصلاةِ مَصلحةً للمُحدِثِ و المتَوَضّي معاً و إن كانَ المُحدِثُ غَيرَ حاصلٍ علىٰ شَرطِها مِن الطهارةِ ، و لا يَخرُجُ مِن أن يَكونَ </w:t>
      </w:r>
      <w:r>
        <w:rPr>
          <w:rStyle w:val="FootnoteAnchor"/>
          <w:rtl w:val="true"/>
        </w:rPr>
        <w:footnoteReference w:id="3165"/>
      </w:r>
      <w:r>
        <w:rPr>
          <w:rFonts w:ascii="Amiri" w:hAnsi="Amiri" w:eastAsia="Amiri" w:cs="Amiri"/>
          <w:color w:val="111111"/>
          <w:sz w:val="28"/>
          <w:sz w:val="28"/>
          <w:szCs w:val="28"/>
          <w:rtl w:val="true"/>
          <w:lang w:bidi="ar-SA"/>
        </w:rPr>
        <w:t>مَصلحةً له</w:t>
      </w:r>
      <w:r>
        <w:rPr>
          <w:rStyle w:val="FootnoteAnchor"/>
          <w:rtl w:val="true"/>
        </w:rPr>
        <w:footnoteReference w:id="3166"/>
      </w:r>
      <w:r>
        <w:rPr>
          <w:rFonts w:ascii="Amiri" w:hAnsi="Amiri" w:eastAsia="Amiri" w:cs="Amiri"/>
          <w:color w:val="111111"/>
          <w:sz w:val="28"/>
          <w:sz w:val="28"/>
          <w:szCs w:val="28"/>
          <w:rtl w:val="true"/>
          <w:lang w:bidi="ar-SA"/>
        </w:rPr>
        <w:t>مِن حَيثُ لَم يَحصُلْ شَرطُها؛ لأنّه قادرٌ علىٰ إزالةِ الحَدَثِ و فِعلِ الطهارةِ التي هي الشرطُ</w:t>
      </w:r>
      <w:r>
        <w:rPr>
          <w:rFonts w:eastAsia="Amiri" w:cs="Amiri" w:ascii="Amiri" w:hAnsi="Amiri"/>
          <w:color w:val="111111"/>
          <w:sz w:val="28"/>
          <w:szCs w:val="28"/>
          <w:rtl w:val="true"/>
          <w:lang w:bidi="ar-SA"/>
        </w:rPr>
        <w:t>.</w:t>
      </w:r>
      <w:r>
        <w:rPr>
          <w:rStyle w:val="FootnoteAnchor"/>
          <w:rtl w:val="true"/>
        </w:rPr>
        <w:footnoteReference w:id="3167"/>
      </w:r>
      <w:bookmarkStart w:id="510" w:name="pg20015_285100"/>
    </w:p>
    <w:p>
      <w:pPr>
        <w:pStyle w:val="BookText"/>
        <w:rPr/>
      </w:pPr>
      <w:bookmarkEnd w:id="510"/>
      <w:r>
        <w:rPr>
          <w:rFonts w:ascii="Amiri" w:hAnsi="Amiri" w:eastAsia="Amiri" w:cs="Amiri"/>
          <w:color w:val="111111"/>
          <w:sz w:val="28"/>
          <w:sz w:val="28"/>
          <w:szCs w:val="28"/>
          <w:rtl w:val="true"/>
          <w:lang w:bidi="ar-SA"/>
        </w:rPr>
        <w:t>علىٰ أنّ المَصالحَ قد</w:t>
      </w:r>
      <w:r>
        <w:rPr>
          <w:rStyle w:val="FootnoteAnchor"/>
          <w:rtl w:val="true"/>
        </w:rPr>
        <w:footnoteReference w:id="3168"/>
      </w:r>
      <w:r>
        <w:rPr>
          <w:rFonts w:ascii="Amiri" w:hAnsi="Amiri" w:eastAsia="Amiri" w:cs="Amiri"/>
          <w:color w:val="111111"/>
          <w:sz w:val="28"/>
          <w:sz w:val="28"/>
          <w:szCs w:val="28"/>
          <w:rtl w:val="true"/>
          <w:lang w:bidi="ar-SA"/>
        </w:rPr>
        <w:t>تَترتَّبُ‌</w:t>
      </w:r>
      <w:r>
        <w:rPr>
          <w:rStyle w:val="FootnoteAnchor"/>
          <w:rtl w:val="true"/>
        </w:rPr>
        <w:footnoteReference w:id="3169"/>
      </w:r>
      <w:r>
        <w:rPr>
          <w:rFonts w:ascii="Amiri" w:hAnsi="Amiri" w:eastAsia="Amiri" w:cs="Amiri"/>
          <w:color w:val="111111"/>
          <w:sz w:val="28"/>
          <w:sz w:val="28"/>
          <w:szCs w:val="28"/>
          <w:rtl w:val="true"/>
          <w:lang w:bidi="ar-SA"/>
        </w:rPr>
        <w:t>و تدخُلُها</w:t>
      </w:r>
      <w:r>
        <w:rPr>
          <w:rStyle w:val="FootnoteAnchor"/>
          <w:rtl w:val="true"/>
        </w:rPr>
        <w:footnoteReference w:id="3170"/>
      </w:r>
      <w:r>
        <w:rPr>
          <w:rFonts w:ascii="Amiri" w:hAnsi="Amiri" w:eastAsia="Amiri" w:cs="Amiri"/>
          <w:color w:val="111111"/>
          <w:sz w:val="28"/>
          <w:sz w:val="28"/>
          <w:szCs w:val="28"/>
          <w:rtl w:val="true"/>
          <w:lang w:bidi="ar-SA"/>
        </w:rPr>
        <w:t>الأبدالُ‌</w:t>
      </w:r>
      <w:r>
        <w:rPr>
          <w:rStyle w:val="FootnoteAnchor"/>
          <w:rtl w:val="true"/>
        </w:rPr>
        <w:footnoteReference w:id="3171"/>
      </w:r>
      <w:r>
        <w:rPr>
          <w:rFonts w:ascii="Amiri" w:hAnsi="Amiri" w:eastAsia="Amiri" w:cs="Amiri"/>
          <w:color w:val="111111"/>
          <w:sz w:val="28"/>
          <w:sz w:val="28"/>
          <w:szCs w:val="28"/>
          <w:rtl w:val="true"/>
          <w:lang w:bidi="ar-SA"/>
        </w:rPr>
        <w:t>علىٰ بعضِ الوجوهِ‌؛ ألا تَرىٰ أنّ مَن لَزِمَته</w:t>
      </w:r>
      <w:r>
        <w:rPr>
          <w:rStyle w:val="FootnoteAnchor"/>
          <w:rtl w:val="true"/>
        </w:rPr>
        <w:footnoteReference w:id="3172"/>
      </w:r>
      <w:r>
        <w:rPr>
          <w:rFonts w:ascii="Amiri" w:hAnsi="Amiri" w:eastAsia="Amiri" w:cs="Amiri"/>
          <w:color w:val="111111"/>
          <w:sz w:val="28"/>
          <w:sz w:val="28"/>
          <w:szCs w:val="28"/>
          <w:rtl w:val="true"/>
          <w:lang w:bidi="ar-SA"/>
        </w:rPr>
        <w:t>الصلاةُ و كانَ واجِداً مِن الماءِ قَدرَ كِفايتِه للطهارةِ‌، كانَ‌</w:t>
      </w:r>
      <w:r>
        <w:rPr>
          <w:rStyle w:val="FootnoteAnchor"/>
          <w:rtl w:val="true"/>
        </w:rPr>
        <w:footnoteReference w:id="3173"/>
      </w:r>
      <w:r>
        <w:rPr>
          <w:rFonts w:ascii="Amiri" w:hAnsi="Amiri" w:eastAsia="Amiri" w:cs="Amiri"/>
          <w:color w:val="111111"/>
          <w:sz w:val="28"/>
          <w:sz w:val="28"/>
          <w:szCs w:val="28"/>
          <w:rtl w:val="true"/>
          <w:lang w:bidi="ar-SA"/>
        </w:rPr>
        <w:t>مِن مَصلحتِه أن يُصلّيَ متوَضّياً، فلَو أنّه أراقَ الماءَ‌</w:t>
      </w:r>
      <w:r>
        <w:rPr>
          <w:rStyle w:val="FootnoteAnchor"/>
          <w:rtl w:val="true"/>
        </w:rPr>
        <w:footnoteReference w:id="3174"/>
      </w:r>
      <w:r>
        <w:rPr>
          <w:rFonts w:ascii="Amiri" w:hAnsi="Amiri" w:eastAsia="Amiri" w:cs="Amiri"/>
          <w:color w:val="111111"/>
          <w:sz w:val="28"/>
          <w:sz w:val="28"/>
          <w:szCs w:val="28"/>
          <w:rtl w:val="true"/>
          <w:lang w:bidi="ar-SA"/>
        </w:rPr>
        <w:t>و ضيَّعَه حتّىٰ صارَ في حُكمِ الفاقدِ للماءِ‌</w:t>
      </w:r>
    </w:p>
    <w:p>
      <w:pPr>
        <w:pStyle w:val="BookText"/>
        <w:rPr/>
      </w:pPr>
      <w:r>
        <w:rPr>
          <w:rFonts w:ascii="Amiri" w:hAnsi="Amiri" w:eastAsia="Amiri" w:cs="Amiri"/>
          <w:color w:val="111111"/>
          <w:sz w:val="28"/>
          <w:sz w:val="28"/>
          <w:szCs w:val="28"/>
          <w:rtl w:val="true"/>
          <w:lang w:bidi="ar-SA"/>
        </w:rPr>
        <w:t>المتعذِّرِ عَلَيه وجودُه، لَم يَكُن مَصلحتُه أداءَ الصلاةِ علَى الوجهِ الأوّلِ‌، بَل قامَ التيَمُّمُ في فَرضِه و مَصلحتِه مَقامَ الوُضوءِ‌، و صارَت صَلاتُه متيَمِّماً هي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مَن فَقَدَ العِلمَ الضروريَّ بالنَّصِّ لا يُمكِنُه تَلافي ما منَعَ مِن حُصولِ العِلمِ الضروريِّ‌</w:t>
      </w:r>
      <w:r>
        <w:rPr>
          <w:rStyle w:val="FootnoteAnchor"/>
          <w:rtl w:val="true"/>
        </w:rPr>
        <w:footnoteReference w:id="3175"/>
      </w:r>
      <w:r>
        <w:rPr>
          <w:rFonts w:ascii="IRNazanin" w:hAnsi="IRNazanin" w:eastAsia="IRNazanin"/>
          <w:color w:val="111111"/>
          <w:sz w:val="28"/>
          <w:sz w:val="28"/>
          <w:szCs w:val="28"/>
          <w:rtl w:val="true"/>
          <w:lang w:bidi="fa-IR"/>
        </w:rPr>
        <w:t>له</w:t>
      </w:r>
      <w:r>
        <w:rPr>
          <w:rStyle w:val="FootnoteAnchor"/>
          <w:rtl w:val="true"/>
        </w:rPr>
        <w:footnoteReference w:id="3176"/>
      </w:r>
      <w:r>
        <w:rPr>
          <w:rFonts w:ascii="Amiri" w:hAnsi="Amiri" w:eastAsia="Amiri" w:cs="Amiri"/>
          <w:color w:val="111111"/>
          <w:sz w:val="28"/>
          <w:sz w:val="28"/>
          <w:szCs w:val="28"/>
          <w:rtl w:val="true"/>
          <w:lang w:bidi="ar-SA"/>
        </w:rPr>
        <w:t>، لَجازَ أن يَنتَقِلَ‌</w:t>
      </w:r>
      <w:r>
        <w:rPr>
          <w:rStyle w:val="FootnoteAnchor"/>
          <w:rtl w:val="true"/>
        </w:rPr>
        <w:footnoteReference w:id="3177"/>
      </w:r>
      <w:r>
        <w:rPr>
          <w:rFonts w:ascii="Amiri" w:hAnsi="Amiri" w:eastAsia="Amiri" w:cs="Amiri"/>
          <w:color w:val="111111"/>
          <w:sz w:val="28"/>
          <w:sz w:val="28"/>
          <w:szCs w:val="28"/>
          <w:rtl w:val="true"/>
          <w:lang w:bidi="ar-SA"/>
        </w:rPr>
        <w:t xml:space="preserve">مَصلحتُه إلَى العِلمِ الاستدلاليِّ ، و لا يَكونُ معذوراً في الإخلالِ بالعِلمِ ، بل مُطالَباً به مِن هذا الوجهِ ، و مَلوماً علَى اقترافِ ما حصَلَ كالمانعِ مِن العِلمِ الضروريِّ علَى الحَدِّ الذي ذَكرناه في المُضَيِّعِ لِماءِ الطهارةِ </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895079_2320776876"/>
      <w:bookmarkStart w:id="512" w:name="_Toc181"/>
      <w:bookmarkEnd w:id="511"/>
      <w:r>
        <w:rPr>
          <w:rtl w:val="true"/>
        </w:rPr>
        <w:t>بيان شرط حصول العلم الضروريّ بالنصّ و عدم معذوريّة مخالفه</w:t>
      </w:r>
      <w:bookmarkEnd w:id="51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الاضطرارَ واجبٌ في الأصلِ ؛ لأنّه عليه السلامُ نَصَّ </w:t>
      </w:r>
    </w:p>
    <w:p>
      <w:pPr>
        <w:pStyle w:val="BookText"/>
        <w:rPr/>
      </w:pPr>
      <w:r>
        <w:rPr>
          <w:rFonts w:ascii="Amiri" w:hAnsi="Amiri" w:eastAsia="Amiri" w:cs="Amiri"/>
          <w:color w:val="111111"/>
          <w:sz w:val="28"/>
          <w:sz w:val="28"/>
          <w:szCs w:val="28"/>
          <w:rtl w:val="true"/>
          <w:lang w:bidi="ar-SA"/>
        </w:rPr>
        <w:t>علىٰ إمامةِ أميرِ المؤمِنينَ عليه السلامُ‌</w:t>
      </w:r>
      <w:r>
        <w:rPr>
          <w:rStyle w:val="FootnoteAnchor"/>
          <w:rtl w:val="true"/>
        </w:rPr>
        <w:footnoteReference w:id="3178"/>
      </w:r>
      <w:r>
        <w:rPr>
          <w:rFonts w:ascii="Amiri" w:hAnsi="Amiri" w:eastAsia="Amiri" w:cs="Amiri"/>
          <w:color w:val="111111"/>
          <w:sz w:val="28"/>
          <w:sz w:val="28"/>
          <w:szCs w:val="28"/>
          <w:rtl w:val="true"/>
          <w:lang w:bidi="ar-SA"/>
        </w:rPr>
        <w:t>علىٰ هذا الوجهِ ، فاضطَرَّ به الخَلقَ إلَى المعرفةِ بإمامتِه، ثُمّ بَعدَ</w:t>
      </w:r>
      <w:r>
        <w:rPr>
          <w:rStyle w:val="FootnoteAnchor"/>
          <w:rtl w:val="true"/>
        </w:rPr>
        <w:footnoteReference w:id="3179"/>
      </w:r>
      <w:r>
        <w:rPr>
          <w:rFonts w:ascii="Amiri" w:hAnsi="Amiri" w:eastAsia="Amiri" w:cs="Amiri"/>
          <w:color w:val="111111"/>
          <w:sz w:val="28"/>
          <w:sz w:val="28"/>
          <w:szCs w:val="28"/>
          <w:rtl w:val="true"/>
          <w:lang w:bidi="ar-SA"/>
        </w:rPr>
        <w:t xml:space="preserve">ذلكَ تَغيَّرَ النَّقلُ لأغراضٍ مختَلِفةٍ للناقِلينَ و لتَعصُّبٍ دخَلَ </w:t>
      </w:r>
      <w:r>
        <w:rPr>
          <w:rStyle w:val="FootnoteAnchor"/>
          <w:rtl w:val="true"/>
        </w:rPr>
        <w:footnoteReference w:id="3180"/>
      </w:r>
      <w:r>
        <w:rPr>
          <w:rFonts w:ascii="Amiri" w:hAnsi="Amiri" w:eastAsia="Amiri" w:cs="Amiri"/>
          <w:color w:val="111111"/>
          <w:sz w:val="28"/>
          <w:sz w:val="28"/>
          <w:szCs w:val="28"/>
          <w:rtl w:val="true"/>
          <w:lang w:bidi="ar-SA"/>
        </w:rPr>
        <w:t>في قُلوبِ المُخالِفينَ ، و استَمَرَّ هذا النَّقلُ لطائفتِنا فحصَلَ لنا العِلمُ باضطرارٍ، و لَم يَستَمِرَّ في طائفتِكم لِما ذَكرناه فضَعُفَ نَقلُكم؛</w:t>
      </w:r>
      <w:r>
        <w:rPr>
          <w:rStyle w:val="FootnoteAnchor"/>
          <w:rtl w:val="true"/>
        </w:rPr>
        <w:footnoteReference w:id="3181"/>
      </w:r>
      <w:r>
        <w:rPr>
          <w:rFonts w:ascii="Amiri" w:hAnsi="Amiri" w:eastAsia="Amiri" w:cs="Amiri"/>
          <w:color w:val="111111"/>
          <w:sz w:val="28"/>
          <w:sz w:val="28"/>
          <w:szCs w:val="28"/>
          <w:rtl w:val="true"/>
          <w:lang w:bidi="ar-SA"/>
        </w:rPr>
        <w:t>فلذلكَ عَلِمناه</w:t>
      </w:r>
      <w:r>
        <w:rPr>
          <w:rStyle w:val="FootnoteAnchor"/>
          <w:rtl w:val="true"/>
        </w:rPr>
        <w:footnoteReference w:id="3182"/>
      </w:r>
      <w:r>
        <w:rPr>
          <w:rFonts w:ascii="Amiri" w:hAnsi="Amiri" w:eastAsia="Amiri" w:cs="Amiri"/>
          <w:color w:val="111111"/>
          <w:sz w:val="28"/>
          <w:sz w:val="28"/>
          <w:szCs w:val="28"/>
          <w:rtl w:val="true"/>
          <w:lang w:bidi="ar-SA"/>
        </w:rPr>
        <w:t>مِن هذا الوجهِ ،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Style w:val="FootnoteAnchor"/>
          <w:rtl w:val="true"/>
        </w:rPr>
        <w:footnoteReference w:id="3183"/>
      </w:r>
      <w:r>
        <w:rPr>
          <w:rFonts w:ascii="Amiri" w:hAnsi="Amiri" w:eastAsia="Amiri" w:cs="Amiri"/>
          <w:color w:val="111111"/>
          <w:sz w:val="28"/>
          <w:sz w:val="28"/>
          <w:szCs w:val="28"/>
          <w:rtl w:val="true"/>
          <w:lang w:bidi="ar-SA"/>
        </w:rPr>
        <w:t>الحُجّةُ بهذه الطريقةِ تَقومُ‌، فلأيّةِ عِلّةٍ لَم يُنقَلْ‌</w:t>
      </w:r>
      <w:r>
        <w:rPr>
          <w:rStyle w:val="FootnoteAnchor"/>
          <w:rtl w:val="true"/>
        </w:rPr>
        <w:footnoteReference w:id="3184"/>
      </w:r>
      <w:r>
        <w:rPr>
          <w:rFonts w:ascii="Amiri" w:hAnsi="Amiri" w:eastAsia="Amiri" w:cs="Amiri"/>
          <w:color w:val="111111"/>
          <w:sz w:val="28"/>
          <w:sz w:val="28"/>
          <w:szCs w:val="28"/>
          <w:rtl w:val="true"/>
          <w:lang w:bidi="ar-SA"/>
        </w:rPr>
        <w:t>إلينا يَجِبُ أن نَكونَ معذورينَ‌</w:t>
      </w:r>
      <w:r>
        <w:rPr>
          <w:rStyle w:val="FootnoteAnchor"/>
          <w:rtl w:val="true"/>
        </w:rPr>
        <w:footnoteReference w:id="3185"/>
      </w:r>
      <w:r>
        <w:rPr>
          <w:rFonts w:ascii="Amiri" w:hAnsi="Amiri" w:eastAsia="Amiri" w:cs="Amiri"/>
          <w:color w:val="111111"/>
          <w:sz w:val="28"/>
          <w:sz w:val="28"/>
          <w:szCs w:val="28"/>
          <w:rtl w:val="true"/>
          <w:lang w:bidi="ar-SA"/>
        </w:rPr>
        <w:t>لأنّ اختلافَ العِلَلِ في زوالِ الحُجّةِ لا يَمنَعُ مِن وجوبِ ما ذَكرناه مِن زوالِ التكليفِ و حُصولِ العُذرِ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مَن خالَفَهم يُخالِطُهم و يَسمَعُ مِنهم</w:t>
      </w:r>
      <w:r>
        <w:rPr>
          <w:rStyle w:val="FootnoteAnchor"/>
          <w:rtl w:val="true"/>
        </w:rPr>
        <w:footnoteReference w:id="3186"/>
      </w:r>
      <w:r>
        <w:rPr>
          <w:rFonts w:ascii="Amiri" w:hAnsi="Amiri" w:eastAsia="Amiri" w:cs="Amiri"/>
          <w:color w:val="111111"/>
          <w:sz w:val="28"/>
          <w:sz w:val="28"/>
          <w:szCs w:val="28"/>
          <w:rtl w:val="true"/>
          <w:lang w:bidi="ar-SA"/>
        </w:rPr>
        <w:t xml:space="preserve">أخبارَهم، فكَيفَ يَصِحُّ أن لا تَقومَ </w:t>
      </w:r>
      <w:r>
        <w:rPr>
          <w:rStyle w:val="FootnoteAnchor"/>
          <w:rtl w:val="true"/>
        </w:rPr>
        <w:footnoteReference w:id="3187"/>
      </w:r>
      <w:r>
        <w:rPr>
          <w:rFonts w:ascii="Amiri" w:hAnsi="Amiri" w:eastAsia="Amiri" w:cs="Amiri"/>
          <w:color w:val="111111"/>
          <w:sz w:val="28"/>
          <w:sz w:val="28"/>
          <w:szCs w:val="28"/>
          <w:rtl w:val="true"/>
          <w:lang w:bidi="ar-SA"/>
        </w:rPr>
        <w:t xml:space="preserve">الحُجّةُ بهذا النَّقلِ عَلَيهم ؟ و كَيفَ يَصِحُّ أن تَقومَ </w:t>
      </w:r>
      <w:r>
        <w:rPr>
          <w:rStyle w:val="FootnoteAnchor"/>
          <w:rtl w:val="true"/>
        </w:rPr>
        <w:footnoteReference w:id="3188"/>
      </w:r>
      <w:r>
        <w:rPr>
          <w:rFonts w:ascii="Amiri" w:hAnsi="Amiri" w:eastAsia="Amiri" w:cs="Amiri"/>
          <w:color w:val="111111"/>
          <w:sz w:val="28"/>
          <w:sz w:val="28"/>
          <w:szCs w:val="28"/>
          <w:rtl w:val="true"/>
          <w:lang w:bidi="ar-SA"/>
        </w:rPr>
        <w:t>الحُجّةُ بذلكَ علىٰ مَن يدخُلُ في مذهبِهم و يَنقَطِعُ إلىٰ طائفتِهم</w:t>
      </w:r>
      <w:r>
        <w:rPr>
          <w:rStyle w:val="FootnoteAnchor"/>
          <w:rtl w:val="true"/>
        </w:rPr>
        <w:footnoteReference w:id="3189"/>
      </w:r>
      <w:r>
        <w:rPr>
          <w:rFonts w:ascii="Amiri" w:hAnsi="Amiri" w:eastAsia="Amiri" w:cs="Amiri"/>
          <w:color w:val="111111"/>
          <w:sz w:val="28"/>
          <w:sz w:val="28"/>
          <w:szCs w:val="28"/>
          <w:rtl w:val="true"/>
          <w:lang w:bidi="ar-SA"/>
        </w:rPr>
        <w:t xml:space="preserve">و يَبلُغُ مَبلَغَ </w:t>
      </w:r>
    </w:p>
    <w:p>
      <w:pPr>
        <w:pStyle w:val="BookText"/>
        <w:rPr/>
      </w:pPr>
      <w:r>
        <w:rPr>
          <w:rFonts w:ascii="Amiri" w:hAnsi="Amiri" w:eastAsia="Amiri" w:cs="Amiri"/>
          <w:color w:val="111111"/>
          <w:sz w:val="28"/>
          <w:sz w:val="28"/>
          <w:szCs w:val="28"/>
          <w:rtl w:val="true"/>
          <w:lang w:bidi="ar-SA"/>
        </w:rPr>
        <w:t xml:space="preserve">التكليفِ مِن أولادِهم، و لا تَقومَ </w:t>
      </w:r>
      <w:r>
        <w:rPr>
          <w:rStyle w:val="FootnoteAnchor"/>
          <w:rtl w:val="true"/>
        </w:rPr>
        <w:footnoteReference w:id="3190"/>
      </w:r>
      <w:r>
        <w:rPr>
          <w:rFonts w:ascii="Amiri" w:hAnsi="Amiri" w:eastAsia="Amiri" w:cs="Amiri"/>
          <w:color w:val="111111"/>
          <w:sz w:val="28"/>
          <w:sz w:val="28"/>
          <w:szCs w:val="28"/>
          <w:rtl w:val="true"/>
          <w:lang w:bidi="ar-SA"/>
        </w:rPr>
        <w:t>علَىٰ مُخالِفيهم ؟</w:t>
      </w:r>
    </w:p>
    <w:p>
      <w:pPr>
        <w:pStyle w:val="BookText"/>
        <w:rPr/>
      </w:pPr>
      <w:r>
        <w:rPr>
          <w:rFonts w:ascii="Amiri" w:hAnsi="Amiri" w:eastAsia="Amiri" w:cs="Amiri"/>
          <w:color w:val="111111"/>
          <w:sz w:val="28"/>
          <w:sz w:val="28"/>
          <w:szCs w:val="28"/>
          <w:rtl w:val="true"/>
          <w:lang w:bidi="ar-SA"/>
        </w:rPr>
        <w:t xml:space="preserve">و لا فَرقَ بَينَ مَن تَعلَّقَ بذلكَ في الإمامةِ ، و بَينَ مَن تَعلَّقَ مِن اليَهودِ بمِثلِه في نَقلِ المُعجِزاتِ و التَحَدّي إلىٰ غَيرِ ذلكَ </w:t>
      </w:r>
      <w:r>
        <w:rPr>
          <w:rFonts w:eastAsia="Amiri" w:cs="Amiri" w:ascii="Amiri" w:hAnsi="Amiri"/>
          <w:color w:val="111111"/>
          <w:sz w:val="28"/>
          <w:szCs w:val="28"/>
          <w:rtl w:val="true"/>
          <w:lang w:bidi="ar-SA"/>
        </w:rPr>
        <w:t>.</w:t>
      </w:r>
      <w:r>
        <w:rPr>
          <w:rStyle w:val="FootnoteAnchor"/>
          <w:rtl w:val="true"/>
        </w:rPr>
        <w:footnoteReference w:id="3191"/>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جوابِ هذا السؤالِ أن يُقالَ‌</w:t>
      </w:r>
      <w:r>
        <w:rPr>
          <w:rStyle w:val="FootnoteAnchor"/>
          <w:rtl w:val="true"/>
        </w:rPr>
        <w:footnoteReference w:id="3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حصَلَ في الأصلِ‌، ثُمّ تَغيَّرَ النَّقلُ و اختَصَّ بقَومٍ‌، فصارَ طريقُ العِلمِ به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أَورَدتَ </w:t>
      </w:r>
      <w:r>
        <w:rPr>
          <w:rStyle w:val="FootnoteAnchor"/>
          <w:rtl w:val="true"/>
        </w:rPr>
        <w:footnoteReference w:id="3194"/>
      </w:r>
      <w:r>
        <w:rPr>
          <w:rFonts w:ascii="Amiri" w:hAnsi="Amiri" w:eastAsia="Amiri" w:cs="Amiri"/>
          <w:color w:val="111111"/>
          <w:sz w:val="28"/>
          <w:sz w:val="28"/>
          <w:szCs w:val="28"/>
          <w:rtl w:val="true"/>
          <w:lang w:bidi="ar-SA"/>
        </w:rPr>
        <w:t>السؤالَ علىٰ ما رَتَّبتَه لا علىٰ ما قَرَّرناه، فلا بُدَّ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لنا العِلمُ بِاضطرارٍ</w:t>
      </w:r>
      <w:r>
        <w:rPr>
          <w:rStyle w:val="FootnoteAnchor"/>
          <w:rtl w:val="true"/>
        </w:rPr>
        <w:footnoteReference w:id="3195"/>
      </w:r>
      <w:r>
        <w:rPr>
          <w:rFonts w:ascii="Amiri" w:hAnsi="Amiri" w:eastAsia="Amiri" w:cs="Amiri"/>
          <w:color w:val="111111"/>
          <w:sz w:val="28"/>
          <w:sz w:val="28"/>
          <w:szCs w:val="28"/>
          <w:rtl w:val="true"/>
          <w:lang w:bidi="ar-SA"/>
        </w:rPr>
        <w:t xml:space="preserve">لمّا خَلَونا مِن اعتقادِ بُطلانِ مُخبَرِ الخبرِ، و لَم يَحصُلْ لكم ذلكَ لمُفارَقتِكم لنا في 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أَوجَبنا هذه الزيادةَ لأنّه مُحالٌ أن يَجِبَ العِلمُ الضروريُّ للشيعةِ بنَقلِ أسلافِهم و لا يَجِبَ لمُخالِفيهم مع المُخالَطةِ و السَّماعِ </w:t>
      </w:r>
      <w:r>
        <w:rPr>
          <w:rStyle w:val="FootnoteAnchor"/>
          <w:rtl w:val="true"/>
        </w:rPr>
        <w:footnoteReference w:id="3196"/>
      </w:r>
      <w:r>
        <w:rPr>
          <w:rFonts w:ascii="Amiri" w:hAnsi="Amiri" w:eastAsia="Amiri" w:cs="Amiri"/>
          <w:color w:val="111111"/>
          <w:sz w:val="28"/>
          <w:sz w:val="28"/>
          <w:szCs w:val="28"/>
          <w:rtl w:val="true"/>
          <w:lang w:bidi="ar-SA"/>
        </w:rPr>
        <w:t>و حُصولِ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أن لا يَقَعَ العِلمُ الضروريُّ للأخلافِ إلّابنَقلِ أسلافِهم، دونَ نَقلِ مُخالِفيهم؛ بل يَجِبُ أن يَقَعَ عندَ الخبرِ الذي عندَ مِثلِه يَجِبُ العِلمُ ؛ سَواءٌ كانَ الناقِلُ مُخالِفاً أو موافِقاً</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ارتفاعَه عن مُخالِفينا؛ لأنّ الخبرَ و إن لَم يَنقُلْه أسلافُهم </w:t>
      </w:r>
    </w:p>
    <w:p>
      <w:pPr>
        <w:pStyle w:val="BookText"/>
        <w:rPr/>
      </w:pPr>
      <w:r>
        <w:rPr>
          <w:rFonts w:ascii="Amiri" w:hAnsi="Amiri" w:eastAsia="Amiri" w:cs="Amiri"/>
          <w:color w:val="111111"/>
          <w:sz w:val="28"/>
          <w:sz w:val="28"/>
          <w:szCs w:val="28"/>
          <w:rtl w:val="true"/>
          <w:lang w:bidi="ar-SA"/>
        </w:rPr>
        <w:t xml:space="preserve">فقَد نقَلَه أسلافُنا، فالحُجّةُ </w:t>
      </w:r>
      <w:r>
        <w:rPr>
          <w:rStyle w:val="FootnoteAnchor"/>
          <w:rtl w:val="true"/>
        </w:rPr>
        <w:footnoteReference w:id="3198"/>
      </w:r>
      <w:r>
        <w:rPr>
          <w:rFonts w:ascii="Amiri" w:hAnsi="Amiri" w:eastAsia="Amiri" w:cs="Amiri"/>
          <w:color w:val="111111"/>
          <w:sz w:val="28"/>
          <w:sz w:val="28"/>
          <w:szCs w:val="28"/>
          <w:rtl w:val="true"/>
          <w:lang w:bidi="ar-SA"/>
        </w:rPr>
        <w:t>قائمةٌ به علَى الكُلِّ ، و لَو</w:t>
      </w:r>
      <w:r>
        <w:rPr>
          <w:rStyle w:val="FootnoteAnchor"/>
          <w:rtl w:val="true"/>
        </w:rPr>
        <w:footnoteReference w:id="3199"/>
      </w:r>
      <w:r>
        <w:rPr>
          <w:rFonts w:ascii="Amiri" w:hAnsi="Amiri" w:eastAsia="Amiri" w:cs="Amiri"/>
          <w:color w:val="111111"/>
          <w:sz w:val="28"/>
          <w:sz w:val="28"/>
          <w:szCs w:val="28"/>
          <w:rtl w:val="true"/>
          <w:lang w:bidi="ar-SA"/>
        </w:rPr>
        <w:t xml:space="preserve">لَم يَسبِقِ المُخالِفونَ إلَى الاعتقادِ الذي ذَكرناه بالشُّبهةِ أو غَيرِها لَحصَلَ </w:t>
      </w:r>
      <w:r>
        <w:rPr>
          <w:rStyle w:val="FootnoteAnchor"/>
          <w:rtl w:val="true"/>
        </w:rPr>
        <w:footnoteReference w:id="3200"/>
      </w:r>
      <w:r>
        <w:rPr>
          <w:rFonts w:ascii="Amiri" w:hAnsi="Amiri" w:eastAsia="Amiri" w:cs="Amiri"/>
          <w:color w:val="111111"/>
          <w:sz w:val="28"/>
          <w:sz w:val="28"/>
          <w:szCs w:val="28"/>
          <w:rtl w:val="true"/>
          <w:lang w:bidi="ar-SA"/>
        </w:rPr>
        <w:t xml:space="preserve">لهُم العِلمُ كحُصولِه لغَيرِهم، و إذا فَعَلوا ذلكَ فالتكليفُ غَيرُ ساقطٍ عنهم؛ لِما تَقدَّمَ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يَصِحُّ أن لا تَقومَ‌</w:t>
      </w:r>
      <w:r>
        <w:rPr>
          <w:rStyle w:val="FootnoteAnchor"/>
          <w:rtl w:val="true"/>
        </w:rPr>
        <w:footnoteReference w:id="3202"/>
      </w:r>
      <w:r>
        <w:rPr>
          <w:rFonts w:ascii="Amiri" w:hAnsi="Amiri" w:eastAsia="Amiri" w:cs="Amiri"/>
          <w:color w:val="111111"/>
          <w:sz w:val="28"/>
          <w:sz w:val="28"/>
          <w:szCs w:val="28"/>
          <w:rtl w:val="true"/>
          <w:lang w:bidi="ar-SA"/>
        </w:rPr>
        <w:t>الحُجّةُ عَلَينا و تَقومَ‌</w:t>
      </w:r>
      <w:r>
        <w:rPr>
          <w:rStyle w:val="FootnoteAnchor"/>
          <w:rtl w:val="true"/>
        </w:rPr>
        <w:footnoteReference w:id="3203"/>
      </w:r>
      <w:r>
        <w:rPr>
          <w:rFonts w:ascii="Amiri" w:hAnsi="Amiri" w:eastAsia="Amiri" w:cs="Amiri"/>
          <w:color w:val="111111"/>
          <w:sz w:val="28"/>
          <w:sz w:val="28"/>
          <w:szCs w:val="28"/>
          <w:rtl w:val="true"/>
          <w:lang w:bidi="ar-SA"/>
        </w:rPr>
        <w:t>علىٰ مَن يدخُلُ‌</w:t>
      </w:r>
      <w:r>
        <w:rPr>
          <w:rStyle w:val="FootnoteAnchor"/>
          <w:rtl w:val="true"/>
        </w:rPr>
        <w:footnoteReference w:id="3204"/>
      </w:r>
      <w:r>
        <w:rPr>
          <w:rFonts w:ascii="Amiri" w:hAnsi="Amiri" w:eastAsia="Amiri" w:cs="Amiri"/>
          <w:color w:val="111111"/>
          <w:sz w:val="28"/>
          <w:sz w:val="28"/>
          <w:szCs w:val="28"/>
          <w:rtl w:val="true"/>
          <w:lang w:bidi="ar-SA"/>
        </w:rPr>
        <w:t>في مذهبِهم و يَنقَطِعُ إلىٰ طائفتِهم و يَبلُغُ‌</w:t>
      </w:r>
      <w:r>
        <w:rPr>
          <w:rStyle w:val="FootnoteAnchor"/>
          <w:rtl w:val="true"/>
        </w:rPr>
        <w:footnoteReference w:id="3205"/>
      </w:r>
      <w:r>
        <w:rPr>
          <w:rFonts w:ascii="Amiri" w:hAnsi="Amiri" w:eastAsia="Amiri" w:cs="Amiri"/>
          <w:color w:val="111111"/>
          <w:sz w:val="28"/>
          <w:sz w:val="28"/>
          <w:szCs w:val="28"/>
          <w:rtl w:val="true"/>
          <w:lang w:bidi="ar-SA"/>
        </w:rPr>
        <w:t>مَبلَغَ التكليفِ مِن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بالحُجّةِ العِلمَ الضروريَّ‌</w:t>
      </w:r>
      <w:r>
        <w:rPr>
          <w:rStyle w:val="FootnoteAnchor"/>
          <w:rtl w:val="true"/>
        </w:rPr>
        <w:footnoteReference w:id="3206"/>
      </w:r>
      <w:r>
        <w:rPr>
          <w:rFonts w:ascii="Amiri" w:hAnsi="Amiri" w:eastAsia="Amiri" w:cs="Amiri"/>
          <w:color w:val="111111"/>
          <w:sz w:val="28"/>
          <w:sz w:val="28"/>
          <w:szCs w:val="28"/>
          <w:rtl w:val="true"/>
          <w:lang w:bidi="ar-SA"/>
        </w:rPr>
        <w:t>، فإنّما لَم يَحصُلْ لِمُخالِفي</w:t>
      </w:r>
      <w:r>
        <w:rPr>
          <w:rStyle w:val="FootnoteAnchor"/>
          <w:rtl w:val="true"/>
        </w:rPr>
        <w:footnoteReference w:id="3207"/>
      </w:r>
      <w:r>
        <w:rPr>
          <w:rFonts w:ascii="Amiri" w:hAnsi="Amiri" w:eastAsia="Amiri" w:cs="Amiri"/>
          <w:color w:val="111111"/>
          <w:sz w:val="28"/>
          <w:sz w:val="28"/>
          <w:szCs w:val="28"/>
          <w:rtl w:val="true"/>
          <w:lang w:bidi="ar-SA"/>
        </w:rPr>
        <w:t>الشيعةِ علىٰ حَدِّ حُصولِه لهُم؛ للوجهِ الذي تَقدَّمَ و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w:t>
      </w:r>
      <w:r>
        <w:rPr>
          <w:rStyle w:val="FootnoteAnchor"/>
          <w:rtl w:val="true"/>
        </w:rPr>
        <w:footnoteReference w:id="3208"/>
      </w:r>
      <w:r>
        <w:rPr>
          <w:rFonts w:ascii="Amiri" w:hAnsi="Amiri" w:eastAsia="Amiri" w:cs="Amiri"/>
          <w:color w:val="111111"/>
          <w:sz w:val="28"/>
          <w:sz w:val="28"/>
          <w:szCs w:val="28"/>
          <w:rtl w:val="true"/>
          <w:lang w:bidi="ar-SA"/>
        </w:rPr>
        <w:t>لَيسَ كلُّ‌</w:t>
      </w:r>
      <w:r>
        <w:rPr>
          <w:rStyle w:val="FootnoteAnchor"/>
          <w:rtl w:val="true"/>
        </w:rPr>
        <w:footnoteReference w:id="3209"/>
      </w:r>
      <w:r>
        <w:rPr>
          <w:rFonts w:ascii="Amiri" w:hAnsi="Amiri" w:eastAsia="Amiri" w:cs="Amiri"/>
          <w:color w:val="111111"/>
          <w:sz w:val="28"/>
          <w:sz w:val="28"/>
          <w:szCs w:val="28"/>
          <w:rtl w:val="true"/>
          <w:lang w:bidi="ar-SA"/>
        </w:rPr>
        <w:t xml:space="preserve">مَن نَشأَ مِن أَولادِهم يَحصُلُ له هذا العِلمُ‌؛ لأنّه رُبَّما سبَقَ إلَى الاعتقادِ الذي سبَقَ إليه المُخالِفُ‌، فلَم يَحصُلْ له العِلمُ و لَحِقَ بالمُخالِفينَ في الجَهلِ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3210"/>
      </w:r>
      <w:r>
        <w:rPr>
          <w:rFonts w:ascii="Amiri" w:hAnsi="Amiri" w:eastAsia="Amiri" w:cs="Amiri"/>
          <w:color w:val="111111"/>
          <w:sz w:val="28"/>
          <w:sz w:val="28"/>
          <w:szCs w:val="28"/>
          <w:rtl w:val="true"/>
          <w:lang w:bidi="ar-SA"/>
        </w:rPr>
        <w:t xml:space="preserve">أَرَدتَ بالحُجّةِ ما يَلزَمُ مِن التكليفِ ، فالحُجّةُ قائمةٌ علَى الكُلِّ مِن غَيرِ </w:t>
      </w:r>
    </w:p>
    <w:p>
      <w:pPr>
        <w:pStyle w:val="BookText"/>
        <w:rPr/>
      </w:pPr>
      <w:r>
        <w:rPr>
          <w:rFonts w:ascii="Amiri" w:hAnsi="Amiri" w:eastAsia="Amiri" w:cs="Amiri"/>
          <w:color w:val="111111"/>
          <w:sz w:val="28"/>
          <w:sz w:val="28"/>
          <w:szCs w:val="28"/>
          <w:rtl w:val="true"/>
          <w:lang w:bidi="ar-SA"/>
        </w:rPr>
        <w:t>اختصاصٍ‌، و يَلزَمُ المُخالِفَ الفاقِدَ للعِلمِ مِن مُفارَقةِ ما يَمنَعُ‌</w:t>
      </w:r>
      <w:r>
        <w:rPr>
          <w:rStyle w:val="FootnoteAnchor"/>
          <w:rtl w:val="true"/>
        </w:rPr>
        <w:footnoteReference w:id="3211"/>
      </w:r>
      <w:r>
        <w:rPr>
          <w:rFonts w:ascii="Amiri" w:hAnsi="Amiri" w:eastAsia="Amiri" w:cs="Amiri"/>
          <w:color w:val="111111"/>
          <w:sz w:val="28"/>
          <w:sz w:val="28"/>
          <w:szCs w:val="28"/>
          <w:rtl w:val="true"/>
          <w:lang w:bidi="ar-SA"/>
        </w:rPr>
        <w:t>مِنه مِثلُ ما يَلزَمُ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 علىٰ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جازَ أن تَقومَ‌</w:t>
      </w:r>
      <w:r>
        <w:rPr>
          <w:rStyle w:val="FootnoteAnchor"/>
          <w:rtl w:val="true"/>
        </w:rPr>
        <w:footnoteReference w:id="3212"/>
      </w:r>
      <w:r>
        <w:rPr>
          <w:rFonts w:ascii="Amiri" w:hAnsi="Amiri" w:eastAsia="Amiri" w:cs="Amiri"/>
          <w:color w:val="111111"/>
          <w:sz w:val="28"/>
          <w:sz w:val="28"/>
          <w:szCs w:val="28"/>
          <w:rtl w:val="true"/>
          <w:lang w:bidi="ar-SA"/>
        </w:rPr>
        <w:t>الحُجّةُ علىٰ هؤلاءِ دونَ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تَعلُّقُ اليَهودِ بمِثلِ ما ذَكَرنا</w:t>
      </w:r>
      <w:r>
        <w:rPr>
          <w:rStyle w:val="FootnoteAnchor"/>
          <w:rtl w:val="true"/>
        </w:rPr>
        <w:footnoteReference w:id="3213"/>
      </w:r>
      <w:r>
        <w:rPr>
          <w:rFonts w:ascii="Amiri" w:hAnsi="Amiri" w:eastAsia="Amiri" w:cs="Amiri"/>
          <w:color w:val="111111"/>
          <w:sz w:val="28"/>
          <w:sz w:val="28"/>
          <w:szCs w:val="28"/>
          <w:rtl w:val="true"/>
          <w:lang w:bidi="ar-SA"/>
        </w:rPr>
        <w:t>في نَقلِ المُعجِزاتِ و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مُشبِهٍ لمَسألتِنا؛ لأنّا لا نَدَّعي علَى اليَهودِ في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سِوَى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 إنّما حُجّتُنا عَلَيهم فيها طريقةُ الاستدلالِ‌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التحَدّي الذي نُثبِتُه</w:t>
      </w:r>
      <w:r>
        <w:rPr>
          <w:rStyle w:val="FootnoteAnchor"/>
          <w:rtl w:val="true"/>
        </w:rPr>
        <w:footnoteReference w:id="3214"/>
      </w:r>
      <w:r>
        <w:rPr>
          <w:rFonts w:ascii="Amiri" w:hAnsi="Amiri" w:eastAsia="Amiri" w:cs="Amiri"/>
          <w:color w:val="111111"/>
          <w:sz w:val="28"/>
          <w:sz w:val="28"/>
          <w:szCs w:val="28"/>
          <w:rtl w:val="true"/>
          <w:lang w:bidi="ar-SA"/>
        </w:rPr>
        <w:t>و نُعَلِّقُ‌</w:t>
      </w:r>
      <w:r>
        <w:rPr>
          <w:rStyle w:val="FootnoteAnchor"/>
          <w:rtl w:val="true"/>
        </w:rPr>
        <w:footnoteReference w:id="3215"/>
      </w:r>
      <w:r>
        <w:rPr>
          <w:rFonts w:ascii="Amiri" w:hAnsi="Amiri" w:eastAsia="Amiri" w:cs="Amiri"/>
          <w:color w:val="111111"/>
          <w:sz w:val="28"/>
          <w:sz w:val="28"/>
          <w:szCs w:val="28"/>
          <w:rtl w:val="true"/>
          <w:lang w:bidi="ar-SA"/>
        </w:rPr>
        <w:t>الحُجَّةَ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لا تُنكِرُه</w:t>
      </w:r>
      <w:r>
        <w:rPr>
          <w:rStyle w:val="FootnoteAnchor"/>
          <w:rtl w:val="true"/>
        </w:rPr>
        <w:footnoteReference w:id="3216"/>
      </w:r>
      <w:r>
        <w:rPr>
          <w:rFonts w:ascii="Amiri" w:hAnsi="Amiri" w:eastAsia="Amiri" w:cs="Amiri"/>
          <w:color w:val="111111"/>
          <w:sz w:val="28"/>
          <w:sz w:val="28"/>
          <w:szCs w:val="28"/>
          <w:rtl w:val="true"/>
          <w:lang w:bidi="ar-SA"/>
        </w:rPr>
        <w:t>و لا أحَدٌ مِن العُقَلاءِ ممّن سَمِعَ الأخبارَ، و إنّما يُنكِرونَ أن يَكونَ النبيُّ‌</w:t>
      </w:r>
      <w:r>
        <w:rPr>
          <w:rStyle w:val="FootnoteAnchor"/>
          <w:rtl w:val="true"/>
        </w:rPr>
        <w:footnoteReference w:id="3217"/>
      </w:r>
      <w:r>
        <w:rPr>
          <w:rFonts w:ascii="Amiri" w:hAnsi="Amiri" w:eastAsia="Amiri" w:cs="Amiri"/>
          <w:color w:val="111111"/>
          <w:sz w:val="28"/>
          <w:sz w:val="28"/>
          <w:szCs w:val="28"/>
          <w:rtl w:val="true"/>
          <w:lang w:bidi="ar-SA"/>
        </w:rPr>
        <w:t>صَلَّى اللّٰهُ عليه و آلِه تَحَدّىٰ بالقُرآنِ العَرَبَ‌</w:t>
      </w:r>
      <w:r>
        <w:rPr>
          <w:rStyle w:val="FootnoteAnchor"/>
          <w:rtl w:val="true"/>
        </w:rPr>
        <w:footnoteReference w:id="3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تقريعِه لهُم مُشافَهةً بالعَجزِ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مَحافِلَهم و مَجالِسَهم للِاحتجاجِ به عَلَيهم</w:t>
      </w:r>
      <w:r>
        <w:rPr>
          <w:rStyle w:val="FootnoteAnchor"/>
          <w:rtl w:val="true"/>
        </w:rPr>
        <w:footnoteReference w:id="3219"/>
      </w:r>
      <w:r>
        <w:rPr>
          <w:rFonts w:ascii="Amiri" w:hAnsi="Amiri" w:eastAsia="Amiri" w:cs="Amiri"/>
          <w:color w:val="111111"/>
          <w:sz w:val="28"/>
          <w:sz w:val="28"/>
          <w:szCs w:val="28"/>
          <w:rtl w:val="true"/>
          <w:lang w:bidi="ar-SA"/>
        </w:rPr>
        <w:t>، إلىٰ غَيرِ ذلكَ مِن التفصيلِ الذي ورَدَت بأكثَرِه الرواياتُ و</w:t>
      </w:r>
      <w:r>
        <w:rPr>
          <w:rStyle w:val="FootnoteAnchor"/>
          <w:rtl w:val="true"/>
        </w:rPr>
        <w:footnoteReference w:id="3220"/>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يُمكِنُ أن يَكونوا غَيرَ مُضطَرّينَ إليه، و خِلافُهم فيه غَيرُ مؤثِّرٍ؛ لأنّه ثبَتَ </w:t>
      </w:r>
      <w:r>
        <w:rPr>
          <w:rStyle w:val="FootnoteAnchor"/>
          <w:rtl w:val="true"/>
        </w:rPr>
        <w:footnoteReference w:id="3221"/>
      </w:r>
      <w:r>
        <w:rPr>
          <w:rFonts w:ascii="Amiri" w:hAnsi="Amiri" w:eastAsia="Amiri" w:cs="Amiri"/>
          <w:color w:val="111111"/>
          <w:sz w:val="28"/>
          <w:sz w:val="28"/>
          <w:szCs w:val="28"/>
          <w:rtl w:val="true"/>
          <w:lang w:bidi="ar-SA"/>
        </w:rPr>
        <w:t xml:space="preserve">بالدليلِ ، و لَو لَم يَكُن إلىٰ إثباتِه بالدليلِ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التفصيلِ سَبيلٌ لَكانَ ما هو معلومٌ ضَرورةً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صَلَّى اللّٰهُ عليه و آلِه</w:t>
      </w:r>
      <w:r>
        <w:rPr>
          <w:rStyle w:val="FootnoteAnchor"/>
          <w:rtl w:val="true"/>
        </w:rPr>
        <w:footnoteReference w:id="3222"/>
      </w:r>
      <w:r>
        <w:rPr>
          <w:rFonts w:ascii="Amiri" w:hAnsi="Amiri" w:eastAsia="Amiri" w:cs="Amiri"/>
          <w:color w:val="111111"/>
          <w:sz w:val="28"/>
          <w:sz w:val="28"/>
          <w:szCs w:val="28"/>
          <w:rtl w:val="true"/>
          <w:lang w:bidi="ar-SA"/>
        </w:rPr>
        <w:t>جعَلَ القُرآنَ عَلَماً علىٰ نُبوّتِه، و حُجّةً في صِدقِه</w:t>
      </w:r>
      <w:r>
        <w:rPr>
          <w:rStyle w:val="FootnoteAnchor"/>
          <w:rtl w:val="true"/>
        </w:rPr>
        <w:footnoteReference w:id="3223"/>
      </w:r>
      <w:r>
        <w:rPr>
          <w:rFonts w:ascii="Amiri" w:hAnsi="Amiri" w:eastAsia="Amiri" w:cs="Amiri"/>
          <w:color w:val="111111"/>
          <w:sz w:val="28"/>
          <w:sz w:val="28"/>
          <w:szCs w:val="28"/>
          <w:rtl w:val="true"/>
          <w:lang w:bidi="ar-SA"/>
        </w:rPr>
        <w:t xml:space="preserve">، و وارِداً عَلَيه مِن جهةِ المَلائكةِ رُسُلِ 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دفَعَ ما ذَكرناه مِن اليَهودِ و غَيرِهم عُرِفَت صورتُه، و ظهَرَت مُكابَرَتُه، و إن كانَ في</w:t>
      </w:r>
      <w:r>
        <w:rPr>
          <w:rStyle w:val="FootnoteAnchor"/>
          <w:rtl w:val="true"/>
        </w:rPr>
        <w:footnoteReference w:id="3224"/>
      </w:r>
      <w:r>
        <w:rPr>
          <w:rFonts w:ascii="Amiri" w:hAnsi="Amiri" w:eastAsia="Amiri" w:cs="Amiri"/>
          <w:color w:val="111111"/>
          <w:sz w:val="28"/>
          <w:sz w:val="28"/>
          <w:szCs w:val="28"/>
          <w:rtl w:val="true"/>
          <w:lang w:bidi="ar-SA"/>
        </w:rPr>
        <w:t xml:space="preserve">المتكلِّمينَ مَن استَعمَلَ معهم في الدَّلالةِ علىٰ صحّةِ التحَدّي بالقُرآنِ عندَ هذه المُدافَعةِ ضَرباً مِن الاستدلالِ هو مذكورٌ في الكُتُبِ </w:t>
      </w:r>
      <w:r>
        <w:rPr>
          <w:rFonts w:eastAsia="Amiri" w:cs="Amiri" w:ascii="Amiri" w:hAnsi="Amiri"/>
          <w:color w:val="111111"/>
          <w:sz w:val="28"/>
          <w:szCs w:val="28"/>
          <w:rtl w:val="true"/>
          <w:lang w:bidi="ar-SA"/>
        </w:rPr>
        <w:t xml:space="preserve">. </w:t>
      </w:r>
      <w:bookmarkStart w:id="513" w:name="pg20015_285106"/>
    </w:p>
    <w:p>
      <w:pPr>
        <w:pStyle w:val="Heading3"/>
        <w:numPr>
          <w:ilvl w:val="2"/>
          <w:numId w:val="1"/>
        </w:numPr>
        <w:rPr/>
      </w:pPr>
      <w:bookmarkStart w:id="514" w:name="__RefHeading___Toc895081_2320776876"/>
      <w:bookmarkStart w:id="515" w:name="_Toc182"/>
      <w:bookmarkEnd w:id="513"/>
      <w:bookmarkEnd w:id="514"/>
      <w:r>
        <w:rPr>
          <w:rtl w:val="true"/>
        </w:rPr>
        <w:t>الكلام في النَّصِّ علىٰ إمامةِ أبي بَكرٍ</w:t>
      </w:r>
      <w:bookmarkEnd w:id="515"/>
    </w:p>
    <w:p>
      <w:pPr>
        <w:pStyle w:val="Heading4"/>
        <w:numPr>
          <w:ilvl w:val="3"/>
          <w:numId w:val="1"/>
        </w:numPr>
        <w:rPr/>
      </w:pPr>
      <w:bookmarkStart w:id="516" w:name="__RefHeading___Toc895083_2320776876"/>
      <w:bookmarkStart w:id="517" w:name="_Toc183"/>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شُيوخِنا مَن عارَضَهم في ذلكَ بإمامةِ أبي بَكرٍ و قالَ‌</w:t>
      </w:r>
      <w:r>
        <w:rPr>
          <w:rStyle w:val="FootnoteAnchor"/>
          <w:rtl w:val="true"/>
        </w:rPr>
        <w:footnoteReference w:id="3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صحّةَ ما قالَته البَكريّةُ مِن النَّصِّ القاطعِ فيها، و إن كنتم لا تَعلَمونَ‌</w:t>
      </w:r>
      <w:r>
        <w:rPr>
          <w:rStyle w:val="FootnoteAnchor"/>
          <w:rtl w:val="true"/>
        </w:rPr>
        <w:footnoteReference w:id="3226"/>
      </w:r>
      <w:r>
        <w:rPr>
          <w:rFonts w:ascii="Amiri" w:hAnsi="Amiri" w:eastAsia="Amiri" w:cs="Amiri"/>
          <w:color w:val="111111"/>
          <w:sz w:val="28"/>
          <w:sz w:val="28"/>
          <w:szCs w:val="28"/>
          <w:rtl w:val="true"/>
          <w:lang w:bidi="ar-SA"/>
        </w:rPr>
        <w:t>لبعضِ هذه الوجوهِ‌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قالوا في هذه الطائفةِ‌</w:t>
      </w:r>
      <w:r>
        <w:rPr>
          <w:rStyle w:val="FootnoteAnchor"/>
          <w:rtl w:val="true"/>
        </w:rPr>
        <w:footnoteReference w:id="3227"/>
      </w:r>
      <w:r>
        <w:rPr>
          <w:rFonts w:ascii="Amiri" w:hAnsi="Amiri" w:eastAsia="Amiri" w:cs="Amiri"/>
          <w:color w:val="111111"/>
          <w:sz w:val="28"/>
          <w:sz w:val="28"/>
          <w:szCs w:val="28"/>
          <w:rtl w:val="true"/>
          <w:lang w:bidi="ar-SA"/>
        </w:rPr>
        <w:t>أنّها طائفةٌ‌</w:t>
      </w:r>
      <w:r>
        <w:rPr>
          <w:rStyle w:val="FootnoteAnchor"/>
          <w:rtl w:val="true"/>
        </w:rPr>
        <w:footnoteReference w:id="3228"/>
      </w:r>
      <w:r>
        <w:rPr>
          <w:rFonts w:ascii="Amiri" w:hAnsi="Amiri" w:eastAsia="Amiri" w:cs="Amiri"/>
          <w:color w:val="111111"/>
          <w:sz w:val="28"/>
          <w:sz w:val="28"/>
          <w:szCs w:val="28"/>
          <w:rtl w:val="true"/>
          <w:lang w:bidi="ar-SA"/>
        </w:rPr>
        <w:t xml:space="preserve">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ذلكَ فيها</w:t>
      </w:r>
      <w:r>
        <w:rPr>
          <w:rFonts w:eastAsia="Amiri" w:cs="Amiri" w:ascii="Amiri" w:hAnsi="Amiri"/>
          <w:color w:val="111111"/>
          <w:sz w:val="28"/>
          <w:szCs w:val="28"/>
          <w:rtl w:val="true"/>
          <w:lang w:bidi="ar-SA"/>
        </w:rPr>
        <w:t>]</w:t>
      </w:r>
      <w:r>
        <w:rPr>
          <w:rStyle w:val="FootnoteAnchor"/>
          <w:rtl w:val="true"/>
        </w:rPr>
        <w:footnoteReference w:id="3229"/>
      </w:r>
      <w:r>
        <w:rPr>
          <w:rFonts w:ascii="Amiri" w:hAnsi="Amiri" w:eastAsia="Amiri" w:cs="Amiri"/>
          <w:color w:val="111111"/>
          <w:sz w:val="28"/>
          <w:sz w:val="28"/>
          <w:szCs w:val="28"/>
          <w:rtl w:val="true"/>
          <w:lang w:bidi="ar-SA"/>
        </w:rPr>
        <w:t>، قيلَ لهُم في طائفتِهم مِثلُه؛ لأنّ شُيوخَنا</w:t>
      </w:r>
      <w:r>
        <w:rPr>
          <w:rStyle w:val="FootnoteAnchor"/>
          <w:rtl w:val="true"/>
        </w:rPr>
        <w:footnoteReference w:id="3230"/>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ادَّعَى النَّصَّ علىٰ هذا الوجهِ‌</w:t>
      </w:r>
      <w:r>
        <w:rPr>
          <w:rStyle w:val="FootnoteAnchor"/>
          <w:rtl w:val="true"/>
        </w:rPr>
        <w:footnoteReference w:id="3231"/>
      </w:r>
      <w:r>
        <w:rPr>
          <w:rFonts w:ascii="Amiri" w:hAnsi="Amiri" w:eastAsia="Amiri" w:cs="Amiri"/>
          <w:color w:val="111111"/>
          <w:sz w:val="28"/>
          <w:sz w:val="28"/>
          <w:szCs w:val="28"/>
          <w:rtl w:val="true"/>
          <w:lang w:bidi="ar-SA"/>
        </w:rPr>
        <w:t>عَدَدُهم عَدَدٌ</w:t>
      </w:r>
      <w:r>
        <w:rPr>
          <w:rStyle w:val="FootnoteAnchor"/>
          <w:rtl w:val="true"/>
        </w:rPr>
        <w:footnoteReference w:id="3232"/>
      </w:r>
      <w:r>
        <w:rPr>
          <w:rFonts w:ascii="Amiri" w:hAnsi="Amiri" w:eastAsia="Amiri" w:cs="Amiri"/>
          <w:color w:val="111111"/>
          <w:sz w:val="28"/>
          <w:sz w:val="28"/>
          <w:szCs w:val="28"/>
          <w:rtl w:val="true"/>
          <w:lang w:bidi="ar-SA"/>
        </w:rPr>
        <w:t>قليلٌ‌، و إنّما تَجاسَرَ علىٰ ذلكَ ابنُ الراوَنديِّ‌</w:t>
      </w:r>
      <w:r>
        <w:rPr>
          <w:rStyle w:val="FootnoteAnchor"/>
          <w:rtl w:val="true"/>
        </w:rPr>
        <w:footnoteReference w:id="3233"/>
      </w:r>
      <w:r>
        <w:rPr>
          <w:rFonts w:ascii="Amiri" w:hAnsi="Amiri" w:eastAsia="Amiri" w:cs="Amiri"/>
          <w:color w:val="111111"/>
          <w:sz w:val="28"/>
          <w:sz w:val="28"/>
          <w:szCs w:val="28"/>
          <w:rtl w:val="true"/>
          <w:lang w:bidi="ar-SA"/>
        </w:rPr>
        <w:t>و أبو عيسَى الوَرّاقُ‌</w:t>
      </w:r>
      <w:r>
        <w:rPr>
          <w:rStyle w:val="FootnoteAnchor"/>
          <w:rtl w:val="true"/>
        </w:rPr>
        <w:footnoteReference w:id="3234"/>
      </w:r>
      <w:r>
        <w:rPr>
          <w:rFonts w:ascii="Amiri" w:hAnsi="Amiri" w:eastAsia="Amiri" w:cs="Amiri"/>
          <w:color w:val="111111"/>
          <w:sz w:val="28"/>
          <w:sz w:val="28"/>
          <w:szCs w:val="28"/>
          <w:rtl w:val="true"/>
          <w:lang w:bidi="ar-SA"/>
        </w:rPr>
        <w:t xml:space="preserve">، و قَبلَهم هِشامُ بنُ </w:t>
      </w:r>
      <w:bookmarkStart w:id="518" w:name="pg20015_285107"/>
    </w:p>
    <w:p>
      <w:pPr>
        <w:pStyle w:val="BookText"/>
        <w:rPr/>
      </w:pPr>
      <w:bookmarkEnd w:id="518"/>
      <w:r>
        <w:rPr>
          <w:rFonts w:ascii="Amiri" w:hAnsi="Amiri" w:eastAsia="Amiri" w:cs="Amiri"/>
          <w:color w:val="111111"/>
          <w:sz w:val="28"/>
          <w:sz w:val="28"/>
          <w:szCs w:val="28"/>
          <w:rtl w:val="true"/>
          <w:lang w:bidi="ar-SA"/>
        </w:rPr>
        <w:t xml:space="preserve">الحَكَمِ </w:t>
      </w:r>
      <w:r>
        <w:rPr>
          <w:rStyle w:val="FootnoteAnchor"/>
          <w:rtl w:val="true"/>
        </w:rPr>
        <w:footnoteReference w:id="3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الروايةِ عنه فيه </w:t>
      </w:r>
      <w:r>
        <w:rPr>
          <w:rFonts w:eastAsia="Amiri" w:cs="Amiri" w:ascii="Amiri" w:hAnsi="Amiri"/>
          <w:color w:val="111111"/>
          <w:sz w:val="28"/>
          <w:szCs w:val="28"/>
          <w:rtl w:val="true"/>
          <w:lang w:bidi="ar-SA"/>
        </w:rPr>
        <w:t>-</w:t>
      </w:r>
      <w:r>
        <w:rPr>
          <w:rStyle w:val="FootnoteAnchor"/>
          <w:rtl w:val="true"/>
        </w:rPr>
        <w:footnoteReference w:id="3236"/>
      </w:r>
      <w:r>
        <w:rPr>
          <w:rFonts w:ascii="Amiri" w:hAnsi="Amiri" w:eastAsia="Amiri" w:cs="Amiri"/>
          <w:color w:val="111111"/>
          <w:sz w:val="28"/>
          <w:sz w:val="28"/>
          <w:szCs w:val="28"/>
          <w:rtl w:val="true"/>
          <w:lang w:bidi="ar-SA"/>
        </w:rPr>
        <w:t>فمَن</w:t>
      </w:r>
      <w:r>
        <w:rPr>
          <w:rStyle w:val="FootnoteAnchor"/>
          <w:rtl w:val="true"/>
        </w:rPr>
        <w:footnoteReference w:id="3237"/>
      </w:r>
      <w:r>
        <w:rPr>
          <w:rFonts w:ascii="Amiri" w:hAnsi="Amiri" w:eastAsia="Amiri" w:cs="Amiri"/>
          <w:color w:val="111111"/>
          <w:sz w:val="28"/>
          <w:sz w:val="28"/>
          <w:szCs w:val="28"/>
          <w:rtl w:val="true"/>
          <w:lang w:bidi="ar-SA"/>
        </w:rPr>
        <w:t>يَدَّعي</w:t>
      </w:r>
      <w:r>
        <w:rPr>
          <w:rStyle w:val="FootnoteAnchor"/>
          <w:rtl w:val="true"/>
        </w:rPr>
        <w:footnoteReference w:id="3238"/>
      </w:r>
      <w:r>
        <w:rPr>
          <w:rFonts w:ascii="Amiri" w:hAnsi="Amiri" w:eastAsia="Amiri" w:cs="Amiri"/>
          <w:color w:val="111111"/>
          <w:sz w:val="28"/>
          <w:sz w:val="28"/>
          <w:szCs w:val="28"/>
          <w:rtl w:val="true"/>
          <w:lang w:bidi="ar-SA"/>
        </w:rPr>
        <w:t>النَّصَّ مِن طائفتِهم علىٰ هذا الوجهِ دونَ مَن يَدَّعي النَّصَّ مِن البَكريّةِ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يُمكِنُهم الفَصلُ بَينَ طريقتِهم و طريقةِ البَكريّةِ‌؛ لأنّ </w:t>
      </w:r>
      <w:r>
        <w:rPr>
          <w:rStyle w:val="FootnoteAnchor"/>
          <w:rtl w:val="true"/>
        </w:rPr>
        <w:footnoteReference w:id="3239"/>
      </w:r>
      <w:r>
        <w:rPr>
          <w:rFonts w:ascii="Amiri" w:hAnsi="Amiri" w:eastAsia="Amiri" w:cs="Amiri"/>
          <w:color w:val="111111"/>
          <w:sz w:val="28"/>
          <w:sz w:val="28"/>
          <w:szCs w:val="28"/>
          <w:rtl w:val="true"/>
          <w:lang w:bidi="ar-SA"/>
        </w:rPr>
        <w:t>لسَلَفِهم خَلَفاً كثيراً</w:t>
      </w:r>
      <w:r>
        <w:rPr>
          <w:rStyle w:val="FootnoteAnchor"/>
          <w:rtl w:val="true"/>
        </w:rPr>
        <w:footnoteReference w:id="3240"/>
      </w:r>
      <w:r>
        <w:rPr>
          <w:rFonts w:ascii="Amiri" w:hAnsi="Amiri" w:eastAsia="Amiri" w:cs="Amiri"/>
          <w:color w:val="111111"/>
          <w:sz w:val="28"/>
          <w:sz w:val="28"/>
          <w:szCs w:val="28"/>
          <w:rtl w:val="true"/>
          <w:lang w:bidi="ar-SA"/>
        </w:rPr>
        <w:t xml:space="preserve">و طائفةً عظيمةً ، و لَيسَ كذلكَ حالُ البَكريّةِ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المُعارَضةَ في ذلكَ إنّما تَقَعُ </w:t>
      </w:r>
      <w:r>
        <w:rPr>
          <w:rStyle w:val="FootnoteAnchor"/>
          <w:rtl w:val="true"/>
        </w:rPr>
        <w:footnoteReference w:id="3241"/>
      </w:r>
      <w:r>
        <w:rPr>
          <w:rFonts w:ascii="Amiri" w:hAnsi="Amiri" w:eastAsia="Amiri" w:cs="Amiri"/>
          <w:color w:val="111111"/>
          <w:sz w:val="28"/>
          <w:sz w:val="28"/>
          <w:szCs w:val="28"/>
          <w:rtl w:val="true"/>
          <w:lang w:bidi="ar-SA"/>
        </w:rPr>
        <w:t>علىٰ أصلِ النَّقلِ ، و ذلكَ إنّما يُعتَبَرُ بِمَن</w:t>
      </w:r>
      <w:r>
        <w:rPr>
          <w:rStyle w:val="FootnoteAnchor"/>
          <w:rtl w:val="true"/>
        </w:rPr>
        <w:footnoteReference w:id="3242"/>
      </w:r>
      <w:r>
        <w:rPr>
          <w:rFonts w:ascii="Amiri" w:hAnsi="Amiri" w:eastAsia="Amiri" w:cs="Amiri"/>
          <w:color w:val="111111"/>
          <w:sz w:val="28"/>
          <w:sz w:val="28"/>
          <w:szCs w:val="28"/>
          <w:rtl w:val="true"/>
          <w:lang w:bidi="ar-SA"/>
        </w:rPr>
        <w:t xml:space="preserve">تَقدَّمَ دونَ مَن تأخَّرَ، فكَثرتُهم كقِلّتِهم في ذلكَ </w:t>
      </w:r>
      <w:r>
        <w:rPr>
          <w:rFonts w:eastAsia="Amiri" w:cs="Amiri" w:ascii="Amiri" w:hAnsi="Amiri"/>
          <w:color w:val="111111"/>
          <w:sz w:val="28"/>
          <w:szCs w:val="28"/>
          <w:rtl w:val="true"/>
          <w:lang w:bidi="ar-SA"/>
        </w:rPr>
        <w:t>.</w:t>
      </w:r>
      <w:r>
        <w:rPr>
          <w:rStyle w:val="FootnoteAnchor"/>
          <w:rtl w:val="true"/>
        </w:rPr>
        <w:footnoteReference w:id="3243"/>
      </w:r>
    </w:p>
    <w:p>
      <w:pPr>
        <w:pStyle w:val="Heading4"/>
        <w:numPr>
          <w:ilvl w:val="3"/>
          <w:numId w:val="1"/>
        </w:numPr>
        <w:rPr/>
      </w:pPr>
      <w:bookmarkStart w:id="519" w:name="__RefHeading___Toc895085_2320776876"/>
      <w:bookmarkStart w:id="520" w:name="_Toc184"/>
      <w:bookmarkEnd w:id="519"/>
      <w:r>
        <w:rPr>
          <w:rtl w:val="true"/>
        </w:rPr>
        <w:t>الوجوهُ الدالّةُ علىٰ فَسادِ النَّصِّ علىٰ أبي بَكرٍ</w:t>
      </w:r>
      <w:bookmarkEnd w:id="520"/>
    </w:p>
    <w:p>
      <w:pPr>
        <w:pStyle w:val="Heading5"/>
        <w:numPr>
          <w:ilvl w:val="4"/>
          <w:numId w:val="1"/>
        </w:numPr>
        <w:rPr/>
      </w:pPr>
      <w:bookmarkStart w:id="521" w:name="__RefHeading___Toc895087_2320776876"/>
      <w:bookmarkStart w:id="522" w:name="_Toc185"/>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Style w:val="FootnoteAnchor"/>
          <w:rtl w:val="true"/>
        </w:rPr>
        <w:footnoteReference w:id="3244"/>
      </w:r>
      <w:r>
        <w:rPr>
          <w:rFonts w:ascii="Amiri" w:hAnsi="Amiri" w:eastAsia="Amiri" w:cs="Amiri"/>
          <w:color w:val="111111"/>
          <w:sz w:val="28"/>
          <w:sz w:val="28"/>
          <w:szCs w:val="28"/>
          <w:rtl w:val="true"/>
          <w:lang w:bidi="ar-SA"/>
        </w:rPr>
        <w:t xml:space="preserve">الذي يدُلُّ علىٰ فَسادِ النَّصِّ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المُعارَضةِ لِمُدَّعيهِ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895089_2320776876"/>
      <w:bookmarkStart w:id="524" w:name="_Toc186"/>
      <w:bookmarkEnd w:id="523"/>
      <w:r>
        <w:rPr>
          <w:rtl w:val="true"/>
        </w:rPr>
        <w:t>الوجه الأوّل</w:t>
      </w:r>
      <w:bookmarkEnd w:id="52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هذا المَذهَبَ حاصلاً في جماعةٍ لا تَثبُتُ بمِثلِهم</w:t>
      </w:r>
      <w:r>
        <w:rPr>
          <w:rStyle w:val="FootnoteAnchor"/>
          <w:rtl w:val="true"/>
        </w:rPr>
        <w:footnoteReference w:id="3245"/>
      </w:r>
      <w:r>
        <w:rPr>
          <w:rFonts w:ascii="Amiri" w:hAnsi="Amiri" w:eastAsia="Amiri" w:cs="Amiri"/>
          <w:color w:val="111111"/>
          <w:sz w:val="28"/>
          <w:sz w:val="28"/>
          <w:szCs w:val="28"/>
          <w:rtl w:val="true"/>
          <w:lang w:bidi="ar-SA"/>
        </w:rPr>
        <w:t xml:space="preserve">الحُجّةُ و لا </w:t>
      </w:r>
    </w:p>
    <w:p>
      <w:pPr>
        <w:pStyle w:val="BookText"/>
        <w:rPr/>
      </w:pPr>
      <w:r>
        <w:rPr>
          <w:rFonts w:ascii="Amiri" w:hAnsi="Amiri" w:eastAsia="Amiri" w:cs="Amiri"/>
          <w:color w:val="111111"/>
          <w:sz w:val="28"/>
          <w:sz w:val="28"/>
          <w:szCs w:val="28"/>
          <w:rtl w:val="true"/>
          <w:lang w:bidi="ar-SA"/>
        </w:rPr>
        <w:t>يَنقَطِعُ العُذرُ، و إنّما حَكَى المتكلِّمونَ هذه المَقالةَ في جُملةِ المَقالاتِ‌، و أضافوها</w:t>
      </w:r>
    </w:p>
    <w:p>
      <w:pPr>
        <w:pStyle w:val="BookText"/>
        <w:rPr/>
      </w:pPr>
      <w:r>
        <w:rPr>
          <w:rFonts w:ascii="Amiri" w:hAnsi="Amiri" w:eastAsia="Amiri" w:cs="Amiri"/>
          <w:color w:val="111111"/>
          <w:sz w:val="28"/>
          <w:sz w:val="28"/>
          <w:szCs w:val="28"/>
          <w:rtl w:val="true"/>
          <w:lang w:bidi="ar-SA"/>
        </w:rPr>
        <w:t>في الأصلِ إلىٰ جماعةٍ قليلةِ العَدَدِ، معلومٍ حُدوثُها و كَيفيّةُ ابتداعِها لمَقالتِها، كما حَكَوا في جُملةِ المَقالاتِ قَولَ الشُّذّاذِ و الأغفالِ‌</w:t>
      </w:r>
      <w:r>
        <w:rPr>
          <w:rStyle w:val="FootnoteAnchor"/>
          <w:rtl w:val="true"/>
        </w:rPr>
        <w:footnoteReference w:id="3246"/>
      </w:r>
      <w:r>
        <w:rPr>
          <w:rFonts w:ascii="Amiri" w:hAnsi="Amiri" w:eastAsia="Amiri" w:cs="Amiri"/>
          <w:color w:val="111111"/>
          <w:sz w:val="28"/>
          <w:sz w:val="28"/>
          <w:szCs w:val="28"/>
          <w:rtl w:val="true"/>
          <w:lang w:bidi="ar-SA"/>
        </w:rPr>
        <w:t>مِن ذَوي النِّحَلِ المُبتَدَعةِ‌، و المَقالاتِ المعلومِ سَبقُ الإجماعِ إلىٰ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لا نَجِدُ في وقتِنا هذا ممّن لَقيناه أو أُخبِرنا</w:t>
      </w:r>
      <w:r>
        <w:rPr>
          <w:rStyle w:val="FootnoteAnchor"/>
          <w:rtl w:val="true"/>
        </w:rPr>
        <w:footnoteReference w:id="3247"/>
      </w:r>
      <w:r>
        <w:rPr>
          <w:rFonts w:ascii="Amiri" w:hAnsi="Amiri" w:eastAsia="Amiri" w:cs="Amiri"/>
          <w:color w:val="111111"/>
          <w:sz w:val="28"/>
          <w:sz w:val="28"/>
          <w:szCs w:val="28"/>
          <w:rtl w:val="true"/>
          <w:lang w:bidi="ar-SA"/>
        </w:rPr>
        <w:t>عنه مِنهم إلّاالواحدَ و الاثنَينِ‌، و لَعلَّ أحَدَنا يَمضي عَلَيه عُمُرُه كُلُّه</w:t>
      </w:r>
      <w:r>
        <w:rPr>
          <w:rStyle w:val="FootnoteAnchor"/>
          <w:rtl w:val="true"/>
        </w:rPr>
        <w:footnoteReference w:id="3248"/>
      </w:r>
      <w:r>
        <w:rPr>
          <w:rFonts w:ascii="Amiri" w:hAnsi="Amiri" w:eastAsia="Amiri" w:cs="Amiri"/>
          <w:color w:val="111111"/>
          <w:sz w:val="28"/>
          <w:sz w:val="28"/>
          <w:szCs w:val="28"/>
          <w:rtl w:val="true"/>
          <w:lang w:bidi="ar-SA"/>
        </w:rPr>
        <w:t>لا يَعرِفُ فيه بَكريّاً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إلىٰ إحصاءِ مَن ذهَبَ إلىٰ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كُلِّه، و ما والاه و جاوَزَه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لَما بلَغَ عِدّتُهم خَمسينَ إنساناً، و لَيسَ يُمكِنُ فيما كانَ طريقُه الوجودَ إلّا الإشارةُ و التنبيهُ‌</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فالاعتراضُ بمَن وَصَفنا حالَه، و ادّعاءُ مُساواتِه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تَفرُّقِها في البِلادِ، و</w:t>
      </w:r>
      <w:r>
        <w:rPr>
          <w:rStyle w:val="FootnoteAnchor"/>
          <w:rtl w:val="true"/>
        </w:rPr>
        <w:footnoteReference w:id="3250"/>
      </w:r>
      <w:r>
        <w:rPr>
          <w:rFonts w:ascii="Amiri" w:hAnsi="Amiri" w:eastAsia="Amiri" w:cs="Amiri"/>
          <w:color w:val="111111"/>
          <w:sz w:val="28"/>
          <w:sz w:val="28"/>
          <w:szCs w:val="28"/>
          <w:rtl w:val="true"/>
          <w:lang w:bidi="ar-SA"/>
        </w:rPr>
        <w:t>انتشارِها في الآفاقِ ؛ فإنّه</w:t>
      </w:r>
      <w:r>
        <w:rPr>
          <w:rStyle w:val="FootnoteAnchor"/>
          <w:rtl w:val="true"/>
        </w:rPr>
        <w:footnoteReference w:id="3251"/>
      </w:r>
      <w:r>
        <w:rPr>
          <w:rFonts w:ascii="Amiri" w:hAnsi="Amiri" w:eastAsia="Amiri" w:cs="Amiri"/>
          <w:color w:val="111111"/>
          <w:sz w:val="28"/>
          <w:sz w:val="28"/>
          <w:szCs w:val="28"/>
          <w:rtl w:val="true"/>
          <w:lang w:bidi="ar-SA"/>
        </w:rPr>
        <w:t>لا يَخلُو كُلُّ بَلَدٍ</w:t>
      </w:r>
      <w:r>
        <w:rPr>
          <w:rStyle w:val="FootnoteAnchor"/>
          <w:rtl w:val="true"/>
        </w:rPr>
        <w:footnoteReference w:id="3252"/>
      </w:r>
      <w:r>
        <w:rPr>
          <w:rFonts w:ascii="Amiri" w:hAnsi="Amiri" w:eastAsia="Amiri" w:cs="Amiri"/>
          <w:color w:val="111111"/>
          <w:sz w:val="28"/>
          <w:sz w:val="28"/>
          <w:szCs w:val="28"/>
          <w:rtl w:val="true"/>
          <w:lang w:bidi="ar-SA"/>
        </w:rPr>
        <w:t xml:space="preserve">، بَل كُلُّ قَريةٍ </w:t>
      </w:r>
      <w:r>
        <w:rPr>
          <w:rStyle w:val="FootnoteAnchor"/>
          <w:rtl w:val="true"/>
        </w:rPr>
        <w:footnoteReference w:id="3253"/>
      </w:r>
      <w:r>
        <w:rPr>
          <w:rFonts w:ascii="Amiri" w:hAnsi="Amiri" w:eastAsia="Amiri" w:cs="Amiri"/>
          <w:color w:val="111111"/>
          <w:sz w:val="28"/>
          <w:sz w:val="28"/>
          <w:szCs w:val="28"/>
          <w:rtl w:val="true"/>
          <w:lang w:bidi="ar-SA"/>
        </w:rPr>
        <w:t>، بَل كُلُّ مَحَلّةٍ ، مِن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نَعلَمُه</w:t>
      </w:r>
      <w:r>
        <w:rPr>
          <w:rStyle w:val="FootnoteAnchor"/>
          <w:rtl w:val="true"/>
        </w:rPr>
        <w:footnoteReference w:id="3254"/>
      </w:r>
      <w:r>
        <w:rPr>
          <w:rFonts w:ascii="Amiri" w:hAnsi="Amiri" w:eastAsia="Amiri" w:cs="Amiri"/>
          <w:color w:val="111111"/>
          <w:sz w:val="28"/>
          <w:sz w:val="28"/>
          <w:szCs w:val="28"/>
          <w:rtl w:val="true"/>
          <w:lang w:bidi="ar-SA"/>
        </w:rPr>
        <w:t>مِن غَلَبتِهم علىٰ كَثيرٍ مِن كُوَرِ</w:t>
      </w:r>
      <w:r>
        <w:rPr>
          <w:rStyle w:val="FootnoteAnchor"/>
          <w:rtl w:val="true"/>
        </w:rPr>
        <w:footnoteReference w:id="3255"/>
      </w:r>
      <w:r>
        <w:rPr>
          <w:rFonts w:ascii="Amiri" w:hAnsi="Amiri" w:eastAsia="Amiri" w:cs="Amiri"/>
          <w:color w:val="111111"/>
          <w:sz w:val="28"/>
          <w:sz w:val="28"/>
          <w:szCs w:val="28"/>
          <w:rtl w:val="true"/>
          <w:lang w:bidi="ar-SA"/>
        </w:rPr>
        <w:t>البِلادِ؛ حتّىٰ إنّ مُخالِفَهم</w:t>
      </w:r>
      <w:r>
        <w:rPr>
          <w:rStyle w:val="FootnoteAnchor"/>
          <w:rtl w:val="true"/>
        </w:rPr>
        <w:footnoteReference w:id="3256"/>
      </w:r>
      <w:r>
        <w:rPr>
          <w:rFonts w:ascii="Amiri" w:hAnsi="Amiri" w:eastAsia="Amiri" w:cs="Amiri"/>
          <w:color w:val="111111"/>
          <w:sz w:val="28"/>
          <w:sz w:val="28"/>
          <w:szCs w:val="28"/>
          <w:rtl w:val="true"/>
          <w:lang w:bidi="ar-SA"/>
        </w:rPr>
        <w:t xml:space="preserve">في تلكَ المَواطِنِ يَكونُ </w:t>
      </w:r>
      <w:r>
        <w:rPr>
          <w:rStyle w:val="FootnoteAnchor"/>
          <w:rtl w:val="true"/>
        </w:rPr>
        <w:footnoteReference w:id="3257"/>
      </w:r>
      <w:r>
        <w:rPr>
          <w:rFonts w:ascii="Amiri" w:hAnsi="Amiri" w:eastAsia="Amiri" w:cs="Amiri"/>
          <w:color w:val="111111"/>
          <w:sz w:val="28"/>
          <w:sz w:val="28"/>
          <w:szCs w:val="28"/>
          <w:rtl w:val="true"/>
          <w:lang w:bidi="ar-SA"/>
        </w:rPr>
        <w:t xml:space="preserve">شاذّاً مغموراً، </w:t>
      </w:r>
    </w:p>
    <w:p>
      <w:pPr>
        <w:pStyle w:val="BookText"/>
        <w:rPr/>
      </w:pPr>
      <w:r>
        <w:rPr>
          <w:rFonts w:ascii="Amiri" w:hAnsi="Amiri" w:eastAsia="Amiri" w:cs="Amiri"/>
          <w:color w:val="111111"/>
          <w:sz w:val="28"/>
          <w:sz w:val="28"/>
          <w:szCs w:val="28"/>
          <w:rtl w:val="true"/>
          <w:lang w:bidi="ar-SA"/>
        </w:rPr>
        <w:t>و إلىٰ‌</w:t>
      </w:r>
      <w:r>
        <w:rPr>
          <w:rStyle w:val="FootnoteAnchor"/>
          <w:rtl w:val="true"/>
        </w:rPr>
        <w:footnoteReference w:id="3258"/>
      </w:r>
      <w:r>
        <w:rPr>
          <w:rFonts w:ascii="Amiri" w:hAnsi="Amiri" w:eastAsia="Amiri" w:cs="Amiri"/>
          <w:color w:val="111111"/>
          <w:sz w:val="28"/>
          <w:sz w:val="28"/>
          <w:szCs w:val="28"/>
          <w:rtl w:val="true"/>
          <w:lang w:bidi="ar-SA"/>
        </w:rPr>
        <w:t>ما نَعلَمُه</w:t>
      </w:r>
      <w:r>
        <w:rPr>
          <w:rStyle w:val="FootnoteAnchor"/>
          <w:rtl w:val="true"/>
        </w:rPr>
        <w:footnoteReference w:id="3259"/>
      </w:r>
      <w:r>
        <w:rPr>
          <w:rFonts w:ascii="Amiri" w:hAnsi="Amiri" w:eastAsia="Amiri" w:cs="Amiri"/>
          <w:color w:val="111111"/>
          <w:sz w:val="28"/>
          <w:sz w:val="28"/>
          <w:szCs w:val="28"/>
          <w:rtl w:val="true"/>
          <w:lang w:bidi="ar-SA"/>
        </w:rPr>
        <w:t>مِن كَثرةِ العُلَماءِ فيهم</w:t>
      </w:r>
      <w:r>
        <w:rPr>
          <w:rStyle w:val="FootnoteAnchor"/>
          <w:rtl w:val="true"/>
        </w:rPr>
        <w:footnoteReference w:id="3260"/>
      </w:r>
      <w:r>
        <w:rPr>
          <w:rFonts w:ascii="Amiri" w:hAnsi="Amiri" w:eastAsia="Amiri" w:cs="Amiri"/>
          <w:color w:val="111111"/>
          <w:sz w:val="28"/>
          <w:sz w:val="28"/>
          <w:szCs w:val="28"/>
          <w:rtl w:val="true"/>
          <w:lang w:bidi="ar-SA"/>
        </w:rPr>
        <w:t xml:space="preserve">و المتكلِّمينَ و الفُقَهاءِ و الرُّواةِ‌، و مَن صنَّفَ الكُتُبَ‌، و لَقيَ الرِّجالَ ، و ناظَرَ الخُصومَ ، و استُفتيَ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البُعدِ، و المُعوِّلُ عَلَيه علىٰ </w:t>
      </w:r>
      <w:r>
        <w:rPr>
          <w:rStyle w:val="FootnoteAnchor"/>
          <w:rtl w:val="true"/>
        </w:rPr>
        <w:footnoteReference w:id="3261"/>
      </w:r>
      <w:r>
        <w:rPr>
          <w:rFonts w:ascii="Amiri" w:hAnsi="Amiri" w:eastAsia="Amiri" w:cs="Amiri"/>
          <w:color w:val="111111"/>
          <w:sz w:val="28"/>
          <w:sz w:val="28"/>
          <w:szCs w:val="28"/>
          <w:rtl w:val="true"/>
          <w:lang w:bidi="ar-SA"/>
        </w:rPr>
        <w:t xml:space="preserve">غايةِ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تُضعِّفوا هذه المقالةَ ، و أصحابُ الحديثِ أو أكثرُهم داخلونَ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القولَ غفلةٌ مِن قائلِه، و تكثيرٌ</w:t>
      </w:r>
      <w:r>
        <w:rPr>
          <w:rStyle w:val="FootnoteAnchor"/>
          <w:rtl w:val="true"/>
        </w:rPr>
        <w:footnoteReference w:id="3262"/>
      </w:r>
      <w:r>
        <w:rPr>
          <w:rFonts w:ascii="Amiri" w:hAnsi="Amiri" w:eastAsia="Amiri" w:cs="Amiri"/>
          <w:color w:val="111111"/>
          <w:sz w:val="28"/>
          <w:sz w:val="28"/>
          <w:szCs w:val="28"/>
          <w:rtl w:val="true"/>
          <w:lang w:bidi="ar-SA"/>
        </w:rPr>
        <w:t>في المَذهَبِ بمَن</w:t>
      </w:r>
      <w:r>
        <w:rPr>
          <w:rStyle w:val="FootnoteAnchor"/>
          <w:rtl w:val="true"/>
        </w:rPr>
        <w:footnoteReference w:id="3263"/>
      </w:r>
      <w:r>
        <w:rPr>
          <w:rFonts w:ascii="Amiri" w:hAnsi="Amiri" w:eastAsia="Amiri" w:cs="Amiri"/>
          <w:color w:val="111111"/>
          <w:sz w:val="28"/>
          <w:sz w:val="28"/>
          <w:szCs w:val="28"/>
          <w:rtl w:val="true"/>
          <w:lang w:bidi="ar-SA"/>
        </w:rPr>
        <w:t>هو خارجٌ عن جُملتِه؛ لأنّ أصحابَ الحديثِ كُلَّهم يُنكِرونَ النصَّ علىٰ أحدٍ بَعدَ الرسولِ صَلَّى اللّٰهُ عليه و آلِه</w:t>
      </w:r>
      <w:r>
        <w:rPr>
          <w:rStyle w:val="FootnoteAnchor"/>
          <w:rtl w:val="true"/>
        </w:rPr>
        <w:footnoteReference w:id="3264"/>
      </w:r>
      <w:r>
        <w:rPr>
          <w:rFonts w:ascii="Amiri" w:hAnsi="Amiri" w:eastAsia="Amiri" w:cs="Amiri"/>
          <w:color w:val="111111"/>
          <w:sz w:val="28"/>
          <w:sz w:val="28"/>
          <w:szCs w:val="28"/>
          <w:rtl w:val="true"/>
          <w:lang w:bidi="ar-SA"/>
        </w:rPr>
        <w:t>، و يُثبِتونَ إمامةَ أبي بَكرٍ مِن طريقِ الاختيارِ و إجماعِ المسلمينَ‌</w:t>
      </w:r>
      <w:r>
        <w:rPr>
          <w:rStyle w:val="FootnoteAnchor"/>
          <w:rtl w:val="true"/>
        </w:rPr>
        <w:footnoteReference w:id="3265"/>
      </w:r>
      <w:r>
        <w:rPr>
          <w:rFonts w:ascii="Amiri" w:hAnsi="Amiri" w:eastAsia="Amiri" w:cs="Amiri"/>
          <w:color w:val="111111"/>
          <w:sz w:val="28"/>
          <w:sz w:val="28"/>
          <w:szCs w:val="28"/>
          <w:rtl w:val="true"/>
          <w:lang w:bidi="ar-SA"/>
        </w:rPr>
        <w:t>، و لَيسَ يَذهبُ مِن جُملتِهم إلَى النصِّ علىٰ أبي بكرٍ مَن ذهَبَ إليه مِن حَيثُ كانَ صاحبَ حديثٍ‌</w:t>
      </w:r>
      <w:r>
        <w:rPr>
          <w:rStyle w:val="FootnoteAnchor"/>
          <w:rtl w:val="true"/>
        </w:rPr>
        <w:footnoteReference w:id="3266"/>
      </w:r>
      <w:r>
        <w:rPr>
          <w:rFonts w:ascii="Amiri" w:hAnsi="Amiri" w:eastAsia="Amiri" w:cs="Amiri"/>
          <w:color w:val="111111"/>
          <w:sz w:val="28"/>
          <w:sz w:val="28"/>
          <w:szCs w:val="28"/>
          <w:rtl w:val="true"/>
          <w:lang w:bidi="ar-SA"/>
        </w:rPr>
        <w:t>، و إنّما يَذهبُ إلَى النصِّ مِن حيثُ ارتَضاه مَذهَباً يَتميَّزُ به مِن</w:t>
      </w:r>
      <w:r>
        <w:rPr>
          <w:rStyle w:val="FootnoteAnchor"/>
          <w:rtl w:val="true"/>
        </w:rPr>
        <w:footnoteReference w:id="326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أصحابِ الحديثِ ، و يَلحَقُ </w:t>
      </w:r>
      <w:r>
        <w:rPr>
          <w:rStyle w:val="FootnoteAnchor"/>
          <w:rtl w:val="true"/>
        </w:rPr>
        <w:footnoteReference w:id="3268"/>
      </w:r>
      <w:r>
        <w:rPr>
          <w:rFonts w:ascii="Amiri" w:hAnsi="Amiri" w:eastAsia="Amiri" w:cs="Amiri"/>
          <w:color w:val="111111"/>
          <w:sz w:val="28"/>
          <w:sz w:val="28"/>
          <w:szCs w:val="28"/>
          <w:rtl w:val="true"/>
          <w:lang w:bidi="ar-SA"/>
        </w:rPr>
        <w:t xml:space="preserve">بأهلِ المقالةِ </w:t>
      </w:r>
      <w:r>
        <w:rPr>
          <w:rStyle w:val="FootnoteAnchor"/>
          <w:rtl w:val="true"/>
        </w:rPr>
        <w:footnoteReference w:id="3269"/>
      </w:r>
      <w:r>
        <w:rPr>
          <w:rFonts w:ascii="Amiri" w:hAnsi="Amiri" w:eastAsia="Amiri" w:cs="Amiri"/>
          <w:color w:val="111111"/>
          <w:sz w:val="28"/>
          <w:sz w:val="28"/>
          <w:szCs w:val="28"/>
          <w:rtl w:val="true"/>
          <w:lang w:bidi="ar-SA"/>
        </w:rPr>
        <w:t xml:space="preserve">المخصوصةِ التي أخبَرنا عن </w:t>
      </w:r>
      <w:bookmarkStart w:id="525" w:name="pg20015_285110"/>
    </w:p>
    <w:p>
      <w:pPr>
        <w:pStyle w:val="BookText"/>
        <w:rPr/>
      </w:pPr>
      <w:bookmarkEnd w:id="525"/>
      <w:r>
        <w:rPr>
          <w:rFonts w:ascii="Amiri" w:hAnsi="Amiri" w:eastAsia="Amiri" w:cs="Amiri"/>
          <w:color w:val="111111"/>
          <w:sz w:val="28"/>
          <w:sz w:val="28"/>
          <w:szCs w:val="28"/>
          <w:rtl w:val="true"/>
          <w:lang w:bidi="ar-SA"/>
        </w:rPr>
        <w:t>شُذوذِها و قِلّةِ عددِها</w:t>
      </w:r>
      <w:r>
        <w:rPr>
          <w:rStyle w:val="FootnoteAnchor"/>
          <w:rtl w:val="true"/>
        </w:rPr>
        <w:footnoteReference w:id="3270"/>
      </w:r>
      <w:r>
        <w:rPr>
          <w:rFonts w:ascii="Amiri" w:hAnsi="Amiri" w:eastAsia="Amiri" w:cs="Amiri"/>
          <w:color w:val="111111"/>
          <w:sz w:val="28"/>
          <w:sz w:val="28"/>
          <w:szCs w:val="28"/>
          <w:rtl w:val="true"/>
          <w:lang w:bidi="ar-SA"/>
        </w:rPr>
        <w:t>فالتكثيرُ</w:t>
      </w:r>
      <w:r>
        <w:rPr>
          <w:rStyle w:val="FootnoteAnchor"/>
          <w:rtl w:val="true"/>
        </w:rPr>
        <w:footnoteReference w:id="3271"/>
      </w:r>
      <w:r>
        <w:rPr>
          <w:rFonts w:ascii="Amiri" w:hAnsi="Amiri" w:eastAsia="Amiri" w:cs="Amiri"/>
          <w:color w:val="111111"/>
          <w:sz w:val="28"/>
          <w:sz w:val="28"/>
          <w:szCs w:val="28"/>
          <w:rtl w:val="true"/>
          <w:lang w:bidi="ar-SA"/>
        </w:rPr>
        <w:t xml:space="preserve">بأصحابِ الحديثِ </w:t>
      </w:r>
      <w:r>
        <w:rPr>
          <w:rStyle w:val="FootnoteAnchor"/>
          <w:rtl w:val="true"/>
        </w:rPr>
        <w:footnoteReference w:id="3272"/>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895091_2320776876"/>
      <w:bookmarkStart w:id="527" w:name="_Toc187"/>
      <w:bookmarkEnd w:id="526"/>
      <w:r>
        <w:rPr>
          <w:rtl w:val="true"/>
        </w:rPr>
        <w:t>الوجه الثاني</w:t>
      </w:r>
      <w:bookmarkEnd w:id="5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تَرويه</w:t>
      </w:r>
      <w:r>
        <w:rPr>
          <w:rStyle w:val="FootnoteAnchor"/>
          <w:rtl w:val="true"/>
        </w:rPr>
        <w:footnoteReference w:id="3273"/>
      </w:r>
      <w:r>
        <w:rPr>
          <w:rFonts w:ascii="Amiri" w:hAnsi="Amiri" w:eastAsia="Amiri" w:cs="Amiri"/>
          <w:color w:val="111111"/>
          <w:sz w:val="28"/>
          <w:sz w:val="28"/>
          <w:szCs w:val="28"/>
          <w:rtl w:val="true"/>
          <w:lang w:bidi="ar-SA"/>
        </w:rPr>
        <w:t>هذه الفرقةُ و تَحتَجُّ به للنصِّ علىٰ أبي بكرٍ لَيسَ في صريحِه و لا فَحواه</w:t>
      </w:r>
      <w:r>
        <w:rPr>
          <w:rStyle w:val="FootnoteAnchor"/>
          <w:rtl w:val="true"/>
        </w:rPr>
        <w:footnoteReference w:id="3274"/>
      </w:r>
      <w:r>
        <w:rPr>
          <w:rFonts w:ascii="Amiri" w:hAnsi="Amiri" w:eastAsia="Amiri" w:cs="Amiri"/>
          <w:color w:val="111111"/>
          <w:sz w:val="28"/>
          <w:sz w:val="28"/>
          <w:szCs w:val="28"/>
          <w:rtl w:val="true"/>
          <w:lang w:bidi="ar-SA"/>
        </w:rPr>
        <w:t>نصٌّ علىٰ إمامتِه؛ هذا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طريقَه كُلَّه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لِراويهِ‌</w:t>
      </w:r>
      <w:r>
        <w:rPr>
          <w:rStyle w:val="FootnoteAnchor"/>
          <w:rtl w:val="true"/>
        </w:rPr>
        <w:footnoteReference w:id="3275"/>
      </w:r>
      <w:r>
        <w:rPr>
          <w:rFonts w:ascii="Amiri" w:hAnsi="Amiri" w:eastAsia="Amiri" w:cs="Amiri"/>
          <w:color w:val="111111"/>
          <w:sz w:val="28"/>
          <w:sz w:val="28"/>
          <w:szCs w:val="28"/>
          <w:rtl w:val="true"/>
          <w:lang w:bidi="ar-SA"/>
        </w:rPr>
        <w:t>و لَم يُنازَع في صحّتِه، لَما أمكَنَ المعتمِدَ عَلَيه أن يُبيِّنَ فيه وَجهاً للنصِّ بالإمامةِ‌</w:t>
      </w:r>
      <w:r>
        <w:rPr>
          <w:rStyle w:val="FootnoteAnchor"/>
          <w:rtl w:val="true"/>
        </w:rPr>
        <w:footnoteReference w:id="3276"/>
      </w:r>
      <w:r>
        <w:rPr>
          <w:rFonts w:ascii="Amiri" w:hAnsi="Amiri" w:eastAsia="Amiri" w:cs="Amiri"/>
          <w:color w:val="111111"/>
          <w:sz w:val="28"/>
          <w:sz w:val="28"/>
          <w:szCs w:val="28"/>
          <w:rtl w:val="true"/>
          <w:lang w:bidi="ar-SA"/>
        </w:rPr>
        <w:t>و ذلكَ مِثلُ تعلُّقِهم بالصلاةِ و تقديمِه فيها، و بما يَروونَ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Style w:val="FootnoteAnchor"/>
          <w:rtl w:val="true"/>
        </w:rPr>
        <w:footnoteReference w:id="32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بَعدي ثَلاثونَ‌</w:t>
      </w:r>
      <w:r>
        <w:rPr>
          <w:rFonts w:eastAsia="Amiri" w:cs="Amiri" w:ascii="Amiri" w:hAnsi="Amiri"/>
          <w:color w:val="111111"/>
          <w:sz w:val="28"/>
          <w:szCs w:val="28"/>
          <w:rtl w:val="true"/>
          <w:lang w:bidi="ar-SA"/>
        </w:rPr>
        <w:t>»</w:t>
      </w:r>
      <w:r>
        <w:rPr>
          <w:rStyle w:val="FootnoteAnchor"/>
          <w:rtl w:val="true"/>
        </w:rPr>
        <w:footnoteReference w:id="3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غيرِ مَوضعٍ الكلامُ علىٰ هذه الأخبارِ</w:t>
      </w:r>
    </w:p>
    <w:p>
      <w:pPr>
        <w:pStyle w:val="BookText"/>
        <w:rPr/>
      </w:pPr>
      <w:r>
        <w:rPr>
          <w:rFonts w:ascii="Amiri" w:hAnsi="Amiri" w:eastAsia="Amiri" w:cs="Amiri"/>
          <w:color w:val="111111"/>
          <w:sz w:val="28"/>
          <w:sz w:val="28"/>
          <w:szCs w:val="28"/>
          <w:rtl w:val="true"/>
          <w:lang w:bidi="ar-SA"/>
        </w:rPr>
        <w:t>و بُطلانُ دَلالِتها علىٰ نصٍّ بإمامةٍ‌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فشَتّانَ بَينَ قولِهم و قولِ الشيعةِ‌؛ لأنّ الشيعةَ تَدَّعي نصّاً</w:t>
      </w:r>
      <w:r>
        <w:rPr>
          <w:rStyle w:val="FootnoteAnchor"/>
          <w:rtl w:val="true"/>
        </w:rPr>
        <w:footnoteReference w:id="3279"/>
      </w:r>
      <w:r>
        <w:rPr>
          <w:rFonts w:ascii="Amiri" w:hAnsi="Amiri" w:eastAsia="Amiri" w:cs="Amiri"/>
          <w:color w:val="111111"/>
          <w:sz w:val="28"/>
          <w:sz w:val="28"/>
          <w:szCs w:val="28"/>
          <w:rtl w:val="true"/>
          <w:lang w:bidi="ar-SA"/>
        </w:rPr>
        <w:t>صريحاً لا مَجالَ للتأويلِ عليه، و ما تَدَّعيه مِن النصوصِ التي يُمكنُ أن تدخُلَ الشبهةُ‌</w:t>
      </w:r>
      <w:r>
        <w:rPr>
          <w:rStyle w:val="FootnoteAnchor"/>
          <w:rtl w:val="true"/>
        </w:rPr>
        <w:footnoteReference w:id="3280"/>
      </w:r>
      <w:r>
        <w:rPr>
          <w:rFonts w:ascii="Amiri" w:hAnsi="Amiri" w:eastAsia="Amiri" w:cs="Amiri"/>
          <w:color w:val="111111"/>
          <w:sz w:val="28"/>
          <w:sz w:val="28"/>
          <w:szCs w:val="28"/>
          <w:rtl w:val="true"/>
          <w:lang w:bidi="ar-SA"/>
        </w:rPr>
        <w:t>في تأويلِها</w:t>
      </w:r>
      <w:r>
        <w:rPr>
          <w:rStyle w:val="FootnoteAnchor"/>
          <w:rtl w:val="true"/>
        </w:rPr>
        <w:footnoteReference w:id="3281"/>
      </w:r>
      <w:r>
        <w:rPr>
          <w:rFonts w:ascii="IRNazanin" w:hAnsi="IRNazanin" w:eastAsia="IRNazanin"/>
          <w:color w:val="111111"/>
          <w:sz w:val="28"/>
          <w:sz w:val="28"/>
          <w:szCs w:val="28"/>
          <w:rtl w:val="true"/>
          <w:lang w:bidi="fa-IR"/>
        </w:rPr>
        <w:t>قد</w:t>
      </w:r>
      <w:r>
        <w:rPr>
          <w:rStyle w:val="FootnoteAnchor"/>
          <w:rtl w:val="true"/>
        </w:rPr>
        <w:footnoteReference w:id="3282"/>
      </w:r>
      <w:r>
        <w:rPr>
          <w:rFonts w:ascii="Amiri" w:hAnsi="Amiri" w:eastAsia="Amiri" w:cs="Amiri"/>
          <w:color w:val="111111"/>
          <w:sz w:val="28"/>
          <w:sz w:val="28"/>
          <w:szCs w:val="28"/>
          <w:rtl w:val="true"/>
          <w:lang w:bidi="ar-SA"/>
        </w:rPr>
        <w:t>بَيَّنوا كيفيّةَ دَلالتِها علَى النصِّ‌، و بُطلانَ ما قدَحَ به خُصومُهم فيها؛ و سنَذكُرُ ذلك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هذا غيرُ موجودٍ في البَكريّةِ </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مالك بالأباطيل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غالب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مصائبه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العمري عن 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ملصق بذلك، و قال أبو بكر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528" w:name="pg20015_285112"/>
    </w:p>
    <w:p>
      <w:pPr>
        <w:pStyle w:val="Heading5"/>
        <w:numPr>
          <w:ilvl w:val="4"/>
          <w:numId w:val="1"/>
        </w:numPr>
        <w:rPr/>
      </w:pPr>
      <w:bookmarkStart w:id="529" w:name="__RefHeading___Toc895093_2320776876"/>
      <w:bookmarkStart w:id="530" w:name="_Toc188"/>
      <w:bookmarkEnd w:id="528"/>
      <w:bookmarkEnd w:id="529"/>
      <w:r>
        <w:rPr>
          <w:rtl w:val="true"/>
        </w:rPr>
        <w:t>الوجه الثالث</w:t>
      </w:r>
      <w:bookmarkEnd w:id="530"/>
    </w:p>
    <w:p>
      <w:pPr>
        <w:pStyle w:val="Heading6"/>
        <w:numPr>
          <w:ilvl w:val="5"/>
          <w:numId w:val="1"/>
        </w:numPr>
        <w:rPr/>
      </w:pPr>
      <w:bookmarkStart w:id="531" w:name="__RefHeading___Toc895095_2320776876"/>
      <w:bookmarkStart w:id="532" w:name="_Toc189"/>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أقوالٍ و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ادَّعَوا النصَّ عليه</w:t>
      </w:r>
      <w:r>
        <w:rPr>
          <w:rStyle w:val="FootnoteAnchor"/>
          <w:rtl w:val="true"/>
        </w:rPr>
        <w:footnoteReference w:id="3284"/>
      </w:r>
      <w:r>
        <w:rPr>
          <w:rFonts w:ascii="Amiri" w:hAnsi="Amiri" w:eastAsia="Amiri" w:cs="Amiri"/>
          <w:color w:val="111111"/>
          <w:sz w:val="28"/>
          <w:sz w:val="28"/>
          <w:szCs w:val="28"/>
          <w:rtl w:val="true"/>
          <w:lang w:bidi="ar-SA"/>
        </w:rPr>
        <w:t xml:space="preserve">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النصَّ و يُبطِلُ‌</w:t>
      </w:r>
      <w:r>
        <w:rPr>
          <w:rStyle w:val="FootnoteAnchor"/>
          <w:rtl w:val="true"/>
        </w:rPr>
        <w:footnoteReference w:id="3285"/>
      </w:r>
      <w:r>
        <w:rPr>
          <w:rFonts w:ascii="Amiri" w:hAnsi="Amiri" w:eastAsia="Amiri" w:cs="Amiri"/>
          <w:color w:val="111111"/>
          <w:sz w:val="28"/>
          <w:sz w:val="28"/>
          <w:szCs w:val="28"/>
          <w:rtl w:val="true"/>
          <w:lang w:bidi="ar-SA"/>
        </w:rPr>
        <w:t>قولَ مُدَّعيهِ‌؛ مِثلُ احتجاجِ أبي بكرٍ علَى الأنصارِ لمّا نازَعَت في الأمرِ و رامَت جَرَّه إليها، بقَولِه عليه السلامُ‌</w:t>
      </w:r>
      <w:r>
        <w:rPr>
          <w:rStyle w:val="FootnoteAnchor"/>
          <w:rtl w:val="true"/>
        </w:rPr>
        <w:footnoteReference w:id="3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عُدولِه عن ذِكرِ النصِّ‌، و قد عَلِمنا أنّ النصَّ عليه</w:t>
      </w:r>
      <w:r>
        <w:rPr>
          <w:rStyle w:val="FootnoteAnchor"/>
          <w:rtl w:val="true"/>
        </w:rPr>
        <w:footnoteReference w:id="3287"/>
      </w:r>
      <w:r>
        <w:rPr>
          <w:rFonts w:ascii="Amiri" w:hAnsi="Amiri" w:eastAsia="Amiri" w:cs="Amiri"/>
          <w:color w:val="111111"/>
          <w:sz w:val="28"/>
          <w:sz w:val="28"/>
          <w:szCs w:val="28"/>
          <w:rtl w:val="true"/>
          <w:lang w:bidi="ar-SA"/>
        </w:rPr>
        <w:t xml:space="preserve">لَو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تَدَّعيه البكريّةُ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مِن أبي بكرٍ مع فِطنتِه و معرفتِه بمَواقعِ الحُجّةِ أن لا يَحتَجَّ به، و يُذكِّرَ الأنصارَ سَماعَه إن كانوا</w:t>
      </w:r>
      <w:r>
        <w:rPr>
          <w:rStyle w:val="FootnoteAnchor"/>
          <w:rtl w:val="true"/>
        </w:rPr>
        <w:footnoteReference w:id="3288"/>
      </w:r>
      <w:r>
        <w:rPr>
          <w:rFonts w:ascii="Amiri" w:hAnsi="Amiri" w:eastAsia="Amiri" w:cs="Amiri"/>
          <w:color w:val="111111"/>
          <w:sz w:val="28"/>
          <w:sz w:val="28"/>
          <w:szCs w:val="28"/>
          <w:rtl w:val="true"/>
          <w:lang w:bidi="ar-SA"/>
        </w:rPr>
        <w:t>سَهَوا عنه أو نَسُوه</w:t>
      </w:r>
      <w:r>
        <w:rPr>
          <w:rStyle w:val="FootnoteAnchor"/>
          <w:rtl w:val="true"/>
        </w:rPr>
        <w:footnoteReference w:id="3289"/>
      </w:r>
      <w:r>
        <w:rPr>
          <w:rFonts w:ascii="Amiri" w:hAnsi="Amiri" w:eastAsia="Amiri" w:cs="Amiri"/>
          <w:color w:val="111111"/>
          <w:sz w:val="28"/>
          <w:sz w:val="28"/>
          <w:szCs w:val="28"/>
          <w:rtl w:val="true"/>
          <w:lang w:bidi="ar-SA"/>
        </w:rPr>
        <w:t>أو أظهَروا تَناسيَه، أو يُفيدَهم</w:t>
      </w:r>
      <w:r>
        <w:rPr>
          <w:rStyle w:val="FootnoteAnchor"/>
          <w:rtl w:val="true"/>
        </w:rPr>
        <w:footnoteReference w:id="3290"/>
      </w:r>
      <w:r>
        <w:rPr>
          <w:rFonts w:ascii="Amiri" w:hAnsi="Amiri" w:eastAsia="Amiri" w:cs="Amiri"/>
          <w:color w:val="111111"/>
          <w:sz w:val="28"/>
          <w:sz w:val="28"/>
          <w:szCs w:val="28"/>
          <w:rtl w:val="true"/>
          <w:lang w:bidi="ar-SA"/>
        </w:rPr>
        <w:t xml:space="preserve">إيّاه إن كانوا لَم يَسمَعوا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أفادَهم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لم يَسمَعوه</w:t>
      </w:r>
      <w:r>
        <w:rPr>
          <w:rStyle w:val="FootnoteAnchor"/>
          <w:rtl w:val="true"/>
        </w:rPr>
        <w:footnoteReference w:id="3291"/>
      </w:r>
      <w:r>
        <w:rPr>
          <w:rFonts w:ascii="Amiri" w:hAnsi="Amiri" w:eastAsia="Amiri" w:cs="Amiri"/>
          <w:color w:val="111111"/>
          <w:sz w:val="28"/>
          <w:sz w:val="28"/>
          <w:szCs w:val="28"/>
          <w:rtl w:val="true"/>
          <w:lang w:bidi="ar-SA"/>
        </w:rPr>
        <w:t>إلّامِن جهتِه</w:t>
      </w:r>
      <w:r>
        <w:rPr>
          <w:rStyle w:val="FootnoteAnchor"/>
          <w:rtl w:val="true"/>
        </w:rPr>
        <w:footnoteReference w:id="3292"/>
      </w:r>
      <w:r>
        <w:rPr>
          <w:rFonts w:ascii="Amiri" w:hAnsi="Amiri" w:eastAsia="Amiri" w:cs="Amiri"/>
          <w:color w:val="111111"/>
          <w:sz w:val="28"/>
          <w:sz w:val="28"/>
          <w:szCs w:val="28"/>
          <w:rtl w:val="true"/>
          <w:lang w:bidi="ar-SA"/>
        </w:rPr>
        <w:t>، فيَقبَلُه مَن يَقبَلُه</w:t>
      </w:r>
      <w:r>
        <w:rPr>
          <w:rStyle w:val="FootnoteAnchor"/>
          <w:rtl w:val="true"/>
        </w:rPr>
        <w:footnoteReference w:id="3293"/>
      </w:r>
      <w:r>
        <w:rPr>
          <w:rFonts w:ascii="Amiri" w:hAnsi="Amiri" w:eastAsia="Amiri" w:cs="Amiri"/>
          <w:color w:val="111111"/>
          <w:sz w:val="28"/>
          <w:sz w:val="28"/>
          <w:szCs w:val="28"/>
          <w:rtl w:val="true"/>
          <w:lang w:bidi="ar-SA"/>
        </w:rPr>
        <w:t>منهم حُسنَ 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الاحتجاجَ بالنصِّ في ذلكَ المَقامِ أَولىٰ و أَحرىٰ‌</w:t>
      </w:r>
      <w:r>
        <w:rPr>
          <w:rStyle w:val="FootnoteAnchor"/>
          <w:rtl w:val="true"/>
        </w:rPr>
        <w:footnoteReference w:id="3294"/>
      </w:r>
      <w:r>
        <w:rPr>
          <w:rFonts w:ascii="Amiri" w:hAnsi="Amiri" w:eastAsia="Amiri" w:cs="Amiri"/>
          <w:color w:val="111111"/>
          <w:sz w:val="28"/>
          <w:sz w:val="28"/>
          <w:szCs w:val="28"/>
          <w:rtl w:val="true"/>
          <w:lang w:bidi="ar-SA"/>
        </w:rPr>
        <w:t>لأنّ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به يَتضمَّنُ </w:t>
      </w:r>
      <w:r>
        <w:rPr>
          <w:rStyle w:val="FootnoteAnchor"/>
          <w:rtl w:val="true"/>
        </w:rPr>
        <w:footnoteReference w:id="3295"/>
      </w:r>
      <w:r>
        <w:rPr>
          <w:rFonts w:ascii="Amiri" w:hAnsi="Amiri" w:eastAsia="Amiri" w:cs="Amiri"/>
          <w:color w:val="111111"/>
          <w:sz w:val="28"/>
          <w:sz w:val="28"/>
          <w:szCs w:val="28"/>
          <w:rtl w:val="true"/>
          <w:lang w:bidi="ar-SA"/>
        </w:rPr>
        <w:t>حَظْرَ ما رامَته الأنصارُ في الحالِ ؛ لأنّ المنصوصَ عليه إذا</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كانَ أبا بكرٍ لَم يَجُز لأحدٍ مِن الأنصارِ</w:t>
      </w:r>
      <w:r>
        <w:rPr>
          <w:rStyle w:val="FootnoteAnchor"/>
          <w:rtl w:val="true"/>
        </w:rPr>
        <w:footnoteReference w:id="3297"/>
      </w:r>
      <w:r>
        <w:rPr>
          <w:rFonts w:ascii="Amiri" w:hAnsi="Amiri" w:eastAsia="Amiri" w:cs="Amiri"/>
          <w:color w:val="111111"/>
          <w:sz w:val="28"/>
          <w:sz w:val="28"/>
          <w:szCs w:val="28"/>
          <w:rtl w:val="true"/>
          <w:lang w:bidi="ar-SA"/>
        </w:rPr>
        <w:t xml:space="preserve">في تلكَ الحالِ الإمامةُ </w:t>
      </w:r>
      <w:r>
        <w:rPr>
          <w:rStyle w:val="FootnoteAnchor"/>
          <w:rtl w:val="true"/>
        </w:rPr>
        <w:footnoteReference w:id="3298"/>
      </w:r>
      <w:r>
        <w:rPr>
          <w:rFonts w:ascii="Amiri" w:hAnsi="Amiri" w:eastAsia="Amiri" w:cs="Amiri"/>
          <w:color w:val="111111"/>
          <w:sz w:val="28"/>
          <w:sz w:val="28"/>
          <w:szCs w:val="28"/>
          <w:rtl w:val="true"/>
          <w:lang w:bidi="ar-SA"/>
        </w:rPr>
        <w:t>، و يَتضمَّنُ أيضاً تخصيصَ الإمامةِ فيمَن</w:t>
      </w:r>
      <w:r>
        <w:rPr>
          <w:rStyle w:val="FootnoteAnchor"/>
          <w:rtl w:val="true"/>
        </w:rPr>
        <w:footnoteReference w:id="3299"/>
      </w:r>
      <w:r>
        <w:rPr>
          <w:rFonts w:ascii="Amiri" w:hAnsi="Amiri" w:eastAsia="Amiri" w:cs="Amiri"/>
          <w:color w:val="111111"/>
          <w:sz w:val="28"/>
          <w:sz w:val="28"/>
          <w:szCs w:val="28"/>
          <w:rtl w:val="true"/>
          <w:lang w:bidi="ar-SA"/>
        </w:rPr>
        <w:t>خَصَّه الرسولُ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يَجعلَ الحُجّةَ بالخبرِ الذي احتَجَّ به أبو بكرٍ أثبَتَ ؛ مِن جهةِ أنّ فيه إخراجاً لكُلِّ مَن عَدا قُرَيشاً مِن الإمامةِ ، و لَيسَ مِثلُه في ذِكرِ النصِّ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 إن كانَ كذلكَ‌، ففي الاحتجاجِ بغيرِ النصِّ‌</w:t>
      </w:r>
      <w:r>
        <w:rPr>
          <w:rStyle w:val="FootnoteAnchor"/>
          <w:rtl w:val="true"/>
        </w:rPr>
        <w:footnoteReference w:id="3300"/>
      </w:r>
      <w:r>
        <w:rPr>
          <w:rFonts w:ascii="Amiri" w:hAnsi="Amiri" w:eastAsia="Amiri" w:cs="Amiri"/>
          <w:color w:val="111111"/>
          <w:sz w:val="28"/>
          <w:sz w:val="28"/>
          <w:szCs w:val="28"/>
          <w:rtl w:val="true"/>
          <w:lang w:bidi="ar-SA"/>
        </w:rPr>
        <w:t>إخلالٌ بتعيينِ‌</w:t>
      </w:r>
      <w:r>
        <w:rPr>
          <w:rStyle w:val="FootnoteAnchor"/>
          <w:rtl w:val="true"/>
        </w:rPr>
        <w:footnoteReference w:id="3301"/>
      </w:r>
      <w:r>
        <w:rPr>
          <w:rFonts w:ascii="Amiri" w:hAnsi="Amiri" w:eastAsia="Amiri" w:cs="Amiri"/>
          <w:color w:val="111111"/>
          <w:sz w:val="28"/>
          <w:sz w:val="28"/>
          <w:szCs w:val="28"/>
          <w:rtl w:val="true"/>
          <w:lang w:bidi="ar-SA"/>
        </w:rPr>
        <w:t>مَوضعِ الإمامةِ الذي عيَّنه الرسولُ‌</w:t>
      </w:r>
      <w:r>
        <w:rPr>
          <w:rStyle w:val="FootnoteAnchor"/>
          <w:rtl w:val="true"/>
        </w:rPr>
        <w:footnoteReference w:id="3302"/>
      </w:r>
      <w:r>
        <w:rPr>
          <w:rFonts w:ascii="Amiri" w:hAnsi="Amiri" w:eastAsia="Amiri" w:cs="Amiri"/>
          <w:color w:val="111111"/>
          <w:sz w:val="28"/>
          <w:sz w:val="28"/>
          <w:szCs w:val="28"/>
          <w:rtl w:val="true"/>
          <w:lang w:bidi="ar-SA"/>
        </w:rPr>
        <w:t>صَلّى اللّٰهُ عليه و آلِه</w:t>
      </w:r>
      <w:r>
        <w:rPr>
          <w:rStyle w:val="FootnoteAnchor"/>
          <w:rtl w:val="true"/>
        </w:rPr>
        <w:footnoteReference w:id="3303"/>
      </w:r>
      <w:r>
        <w:rPr>
          <w:rFonts w:ascii="Amiri" w:hAnsi="Amiri" w:eastAsia="Amiri" w:cs="Amiri"/>
          <w:color w:val="111111"/>
          <w:sz w:val="28"/>
          <w:sz w:val="28"/>
          <w:szCs w:val="28"/>
          <w:rtl w:val="true"/>
          <w:lang w:bidi="ar-SA"/>
        </w:rPr>
        <w:t>، و أَوجَبَ علىٰ مَن أشارَ إليه باستحقاقِه</w:t>
      </w:r>
      <w:r>
        <w:rPr>
          <w:rStyle w:val="FootnoteAnchor"/>
          <w:rtl w:val="true"/>
        </w:rPr>
        <w:footnoteReference w:id="3304"/>
      </w:r>
      <w:r>
        <w:rPr>
          <w:rFonts w:ascii="Amiri" w:hAnsi="Amiri" w:eastAsia="Amiri" w:cs="Amiri"/>
          <w:color w:val="111111"/>
          <w:sz w:val="28"/>
          <w:sz w:val="28"/>
          <w:szCs w:val="28"/>
          <w:rtl w:val="true"/>
          <w:lang w:bidi="ar-SA"/>
        </w:rPr>
        <w:t xml:space="preserve">القيامَ به و الذبَّ عنه؛ فلا أقَلَّ مِن أن يَجِبَ ادّعاؤه و إمرارُه علىٰ سَمعِ الحاضرينَ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3305"/>
      </w:r>
      <w:r>
        <w:rPr>
          <w:rFonts w:ascii="Amiri" w:hAnsi="Amiri" w:eastAsia="Amiri" w:cs="Amiri"/>
          <w:color w:val="111111"/>
          <w:sz w:val="28"/>
          <w:sz w:val="28"/>
          <w:szCs w:val="28"/>
          <w:rtl w:val="true"/>
          <w:lang w:bidi="ar-SA"/>
        </w:rPr>
        <w:t>لَم يَسُغ الاقتصارُ علَى الاحتجاجِ بالخبرِ الذي رَواه لِما بيّنّاه مِن الإخلالِ ، و</w:t>
      </w:r>
      <w:r>
        <w:rPr>
          <w:rStyle w:val="FootnoteAnchor"/>
          <w:rtl w:val="true"/>
        </w:rPr>
        <w:footnoteReference w:id="3306"/>
      </w:r>
      <w:r>
        <w:rPr>
          <w:rFonts w:ascii="Amiri" w:hAnsi="Amiri" w:eastAsia="Amiri" w:cs="Amiri"/>
          <w:color w:val="111111"/>
          <w:sz w:val="28"/>
          <w:sz w:val="28"/>
          <w:szCs w:val="28"/>
          <w:rtl w:val="true"/>
          <w:lang w:bidi="ar-SA"/>
        </w:rPr>
        <w:t xml:space="preserve">لَم يَسُغ أيضاً الاقتصارُ علىٰ ذِكرِ النصِّ لِما ذَكَروه و سَلَّمناه تبرُّعاً، فالواجبُ أن يَجمَعَ </w:t>
      </w:r>
      <w:r>
        <w:rPr>
          <w:rStyle w:val="FootnoteAnchor"/>
          <w:rtl w:val="true"/>
        </w:rPr>
        <w:footnoteReference w:id="3307"/>
      </w:r>
      <w:r>
        <w:rPr>
          <w:rFonts w:ascii="Amiri" w:hAnsi="Amiri" w:eastAsia="Amiri" w:cs="Amiri"/>
          <w:color w:val="111111"/>
          <w:sz w:val="28"/>
          <w:sz w:val="28"/>
          <w:szCs w:val="28"/>
          <w:rtl w:val="true"/>
          <w:lang w:bidi="ar-SA"/>
        </w:rPr>
        <w:t>بَينَ الأمرَينِ في الاحتجاجِ ؛ ليَكونَ أخذاً</w:t>
      </w:r>
      <w:r>
        <w:rPr>
          <w:rStyle w:val="FootnoteAnchor"/>
          <w:rtl w:val="true"/>
        </w:rPr>
        <w:footnoteReference w:id="3308"/>
      </w:r>
      <w:r>
        <w:rPr>
          <w:rFonts w:ascii="Amiri" w:hAnsi="Amiri" w:eastAsia="Amiri" w:cs="Amiri"/>
          <w:color w:val="111111"/>
          <w:sz w:val="28"/>
          <w:sz w:val="28"/>
          <w:szCs w:val="28"/>
          <w:rtl w:val="true"/>
          <w:lang w:bidi="ar-SA"/>
        </w:rPr>
        <w:t>للحُجّةِ بأطرافِها، و مُزيلاً للشُّبهةِ في أنّه لَيسَ بمنصوصٍ عليه</w:t>
      </w:r>
      <w:r>
        <w:rPr>
          <w:rFonts w:eastAsia="Amiri" w:cs="Amiri" w:ascii="Amiri" w:hAnsi="Amiri"/>
          <w:color w:val="111111"/>
          <w:sz w:val="28"/>
          <w:szCs w:val="28"/>
          <w:rtl w:val="true"/>
          <w:lang w:bidi="ar-SA"/>
        </w:rPr>
        <w:t xml:space="preserve">. </w:t>
      </w:r>
      <w:bookmarkStart w:id="533" w:name="pg20015_285114"/>
    </w:p>
    <w:p>
      <w:pPr>
        <w:pStyle w:val="Heading6"/>
        <w:numPr>
          <w:ilvl w:val="5"/>
          <w:numId w:val="1"/>
        </w:numPr>
        <w:rPr/>
      </w:pPr>
      <w:bookmarkStart w:id="534" w:name="__RefHeading___Toc895097_2320776876"/>
      <w:bookmarkStart w:id="535" w:name="_Toc190"/>
      <w:bookmarkEnd w:id="533"/>
      <w:bookmarkEnd w:id="534"/>
      <w:r>
        <w:rPr>
          <w:rtl w:val="true"/>
        </w:rPr>
        <w:t>علّة عدم احتجاج أمير المؤمنين عليه السلام بالنصّ</w:t>
      </w:r>
      <w:bookmarkEnd w:id="535"/>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لازمٌ لكم؛ مِن قِبَلِ أنّ أميرَ المؤمنينَ عليه السلامُ مع أنّه منصوصٌ عليه عندَكم لَم يَحضُرِ السقيفةَ ، و لا احتَجَّ بالنصِّ عليه علىٰ مَن رامَ دَفْعَه عنه</w:t>
      </w:r>
      <w:r>
        <w:rPr>
          <w:rStyle w:val="FootnoteAnchor"/>
          <w:rtl w:val="true"/>
        </w:rPr>
        <w:footnoteReference w:id="3309"/>
      </w:r>
      <w:r>
        <w:rPr>
          <w:rFonts w:ascii="Amiri" w:hAnsi="Amiri" w:eastAsia="Amiri" w:cs="Amiri"/>
          <w:color w:val="111111"/>
          <w:sz w:val="28"/>
          <w:sz w:val="28"/>
          <w:szCs w:val="28"/>
          <w:rtl w:val="true"/>
          <w:lang w:bidi="ar-SA"/>
        </w:rPr>
        <w:t xml:space="preserve">في ذلكَ المَوطِنِ </w:t>
      </w:r>
      <w:r>
        <w:rPr>
          <w:rStyle w:val="FootnoteAnchor"/>
          <w:rtl w:val="true"/>
        </w:rPr>
        <w:footnoteReference w:id="3310"/>
      </w:r>
      <w:r>
        <w:rPr>
          <w:rFonts w:ascii="Amiri" w:hAnsi="Amiri" w:eastAsia="Amiri" w:cs="Amiri"/>
          <w:color w:val="111111"/>
          <w:sz w:val="28"/>
          <w:sz w:val="28"/>
          <w:szCs w:val="28"/>
          <w:rtl w:val="true"/>
          <w:lang w:bidi="ar-SA"/>
        </w:rPr>
        <w:t>، و لا في غيرِه مِن المَواطِنِ كالشُّورىٰ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الفَرقَ بَينَ قولِنا و قولِهم في هذا المَوضعِ ظاهرٌ</w:t>
      </w:r>
      <w:r>
        <w:rPr>
          <w:rStyle w:val="FootnoteAnchor"/>
          <w:rtl w:val="true"/>
        </w:rPr>
        <w:footnoteReference w:id="3311"/>
      </w:r>
      <w:r>
        <w:rPr>
          <w:rFonts w:ascii="Amiri" w:hAnsi="Amiri" w:eastAsia="Amiri" w:cs="Amiri"/>
          <w:color w:val="111111"/>
          <w:sz w:val="28"/>
          <w:sz w:val="28"/>
          <w:szCs w:val="28"/>
          <w:rtl w:val="true"/>
          <w:lang w:bidi="ar-SA"/>
        </w:rPr>
        <w:t>واضحٌ‌؛ مِن قِبَلِ أنّ أميرَ المؤمنينَ عليه السلامُ أوّلاً لَم يَحضُرِ السقيفةَ‌، و لا اجتَمَعَ مع القومِ‌، و لا جَرىٰ بَينَه و بَينَهم في الإمامةِ خِصامٌ و لا حِجاجٌ‌</w:t>
      </w:r>
      <w:r>
        <w:rPr>
          <w:rStyle w:val="FootnoteAnchor"/>
          <w:rtl w:val="true"/>
        </w:rPr>
        <w:footnoteReference w:id="3312"/>
      </w:r>
      <w:r>
        <w:rPr>
          <w:rFonts w:ascii="Amiri" w:hAnsi="Amiri" w:eastAsia="Amiri" w:cs="Amiri"/>
          <w:color w:val="111111"/>
          <w:sz w:val="28"/>
          <w:sz w:val="28"/>
          <w:szCs w:val="28"/>
          <w:rtl w:val="true"/>
          <w:lang w:bidi="ar-SA"/>
        </w:rPr>
        <w:t>، و أبو بكرٍ حضَرَ و خاصَمَ و نازَعَ و احتَجَّ و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لَم يَحضُرْ</w:t>
      </w:r>
      <w:r>
        <w:rPr>
          <w:rStyle w:val="FootnoteAnchor"/>
          <w:rtl w:val="true"/>
        </w:rPr>
        <w:footnoteReference w:id="3313"/>
      </w:r>
      <w:r>
        <w:rPr>
          <w:rFonts w:ascii="Amiri" w:hAnsi="Amiri" w:eastAsia="Amiri" w:cs="Amiri"/>
          <w:color w:val="111111"/>
          <w:sz w:val="28"/>
          <w:sz w:val="28"/>
          <w:szCs w:val="28"/>
          <w:rtl w:val="true"/>
          <w:lang w:bidi="ar-SA"/>
        </w:rPr>
        <w:t>و يُحاجَّ‌</w:t>
      </w:r>
      <w:r>
        <w:rPr>
          <w:rStyle w:val="FootnoteAnchor"/>
          <w:rtl w:val="true"/>
        </w:rPr>
        <w:footnoteReference w:id="3314"/>
      </w:r>
      <w:r>
        <w:rPr>
          <w:rFonts w:ascii="Amiri" w:hAnsi="Amiri" w:eastAsia="Amiri" w:cs="Amiri"/>
          <w:color w:val="111111"/>
          <w:sz w:val="28"/>
          <w:sz w:val="28"/>
          <w:szCs w:val="28"/>
          <w:rtl w:val="true"/>
          <w:lang w:bidi="ar-SA"/>
        </w:rPr>
        <w:t>القَومَ و يُنازِعْهم</w:t>
      </w:r>
      <w:r>
        <w:rPr>
          <w:rStyle w:val="FootnoteAnchor"/>
          <w:rtl w:val="true"/>
        </w:rPr>
        <w:footnoteReference w:id="3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لائحٌ </w:t>
      </w:r>
      <w:r>
        <w:rPr>
          <w:rStyle w:val="FootnoteAnchor"/>
          <w:rtl w:val="true"/>
        </w:rPr>
        <w:footnoteReference w:id="3316"/>
      </w:r>
      <w:r>
        <w:rPr>
          <w:rFonts w:ascii="Amiri" w:hAnsi="Amiri" w:eastAsia="Amiri" w:cs="Amiri"/>
          <w:color w:val="111111"/>
          <w:sz w:val="28"/>
          <w:sz w:val="28"/>
          <w:szCs w:val="28"/>
          <w:rtl w:val="true"/>
          <w:lang w:bidi="ar-SA"/>
        </w:rPr>
        <w:t>لأنّه عليه السلامُ رأىٰ مِن إقدامِ القَومِ علَى الأمرِ و اطِّراحِهم للعهدِ</w:t>
      </w:r>
      <w:r>
        <w:rPr>
          <w:rStyle w:val="FootnoteAnchor"/>
          <w:rtl w:val="true"/>
        </w:rPr>
        <w:footnoteReference w:id="3317"/>
      </w:r>
      <w:r>
        <w:rPr>
          <w:rFonts w:ascii="Amiri" w:hAnsi="Amiri" w:eastAsia="Amiri" w:cs="Amiri"/>
          <w:color w:val="111111"/>
          <w:sz w:val="28"/>
          <w:sz w:val="28"/>
          <w:szCs w:val="28"/>
          <w:rtl w:val="true"/>
          <w:lang w:bidi="ar-SA"/>
        </w:rPr>
        <w:t xml:space="preserve">فيه و عَزمِهم علَى الاستبدادِ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البِدارِ منهم إليه و الانتهازِ</w:t>
      </w:r>
      <w:r>
        <w:rPr>
          <w:rStyle w:val="FootnoteAnchor"/>
          <w:rtl w:val="true"/>
        </w:rPr>
        <w:footnoteReference w:id="331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آيَسَه مِن الانتفاعِ بالحُجّةِ ، و قوّىٰ في نفسِه صَلَواتُ اللّٰهِ عليه</w:t>
      </w:r>
      <w:r>
        <w:rPr>
          <w:rStyle w:val="FootnoteAnchor"/>
          <w:rtl w:val="true"/>
        </w:rPr>
        <w:footnoteReference w:id="3319"/>
      </w:r>
    </w:p>
    <w:p>
      <w:pPr>
        <w:pStyle w:val="BookText"/>
        <w:rPr/>
      </w:pPr>
      <w:r>
        <w:rPr>
          <w:rFonts w:ascii="Amiri" w:hAnsi="Amiri" w:eastAsia="Amiri" w:cs="Amiri"/>
          <w:color w:val="111111"/>
          <w:sz w:val="28"/>
          <w:sz w:val="28"/>
          <w:szCs w:val="28"/>
          <w:rtl w:val="true"/>
          <w:lang w:bidi="ar-SA"/>
        </w:rPr>
        <w:t>ما تَعقُبُه</w:t>
      </w:r>
      <w:r>
        <w:rPr>
          <w:rStyle w:val="FootnoteAnchor"/>
          <w:rtl w:val="true"/>
        </w:rPr>
        <w:footnoteReference w:id="3320"/>
      </w:r>
      <w:r>
        <w:rPr>
          <w:rFonts w:ascii="Amiri" w:hAnsi="Amiri" w:eastAsia="Amiri" w:cs="Amiri"/>
          <w:color w:val="111111"/>
          <w:sz w:val="28"/>
          <w:sz w:val="28"/>
          <w:szCs w:val="28"/>
          <w:rtl w:val="true"/>
          <w:lang w:bidi="ar-SA"/>
        </w:rPr>
        <w:t>المُحاجّةُ لهُم مِن الضرَرِ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ما كانَ متشاغِلاً به مِن أمرِ رسولِ اللّٰهِ صَلَّى اللّٰهُ عليه و آلِه، و أنّه عليه السلامُ لَم يَفرُغْ مِن بعضِ ما وَجَبَ عليه مِن تجهيزِه و نقلِه إلىٰ حُفرتِه حتَّى اتّصَلَ به تَمامُ الأمرِ، و وقوعُ العقدِ، و انتظامُ أمرِ</w:t>
      </w:r>
      <w:r>
        <w:rPr>
          <w:rStyle w:val="FootnoteAnchor"/>
          <w:rtl w:val="true"/>
        </w:rPr>
        <w:footnoteReference w:id="3321"/>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و لا بعضُه في أبي بكرٍ؛ لأنّه لَم يَشغَلْه عن الحُضورِ و المنازَعةِ شاغلٌ‌، و لا حالَ بَينَه و بَينَ الاحتجاجِ حائلٌ‌، و لا كانَت عليه مِن القومِ تَقيّةٌ‌؛ لأنّه كانَ في حيِّزِ المهاجِرينَ الذينَ لهُم القِدَمُ‌</w:t>
      </w:r>
      <w:r>
        <w:rPr>
          <w:rStyle w:val="FootnoteAnchor"/>
          <w:rtl w:val="true"/>
        </w:rPr>
        <w:footnoteReference w:id="3322"/>
      </w:r>
      <w:r>
        <w:rPr>
          <w:rFonts w:ascii="IRNazanin" w:hAnsi="IRNazanin" w:eastAsia="IRNazanin"/>
          <w:color w:val="111111"/>
          <w:sz w:val="28"/>
          <w:sz w:val="28"/>
          <w:szCs w:val="28"/>
          <w:rtl w:val="true"/>
          <w:lang w:bidi="fa-IR"/>
        </w:rPr>
        <w:t>و</w:t>
      </w:r>
      <w:r>
        <w:rPr>
          <w:rStyle w:val="FootnoteAnchor"/>
          <w:rtl w:val="true"/>
        </w:rPr>
        <w:footnoteReference w:id="3323"/>
      </w:r>
      <w:r>
        <w:rPr>
          <w:rFonts w:ascii="Amiri" w:hAnsi="Amiri" w:eastAsia="Amiri" w:cs="Amiri"/>
          <w:color w:val="111111"/>
          <w:sz w:val="28"/>
          <w:sz w:val="28"/>
          <w:szCs w:val="28"/>
          <w:rtl w:val="true"/>
          <w:lang w:bidi="ar-SA"/>
        </w:rPr>
        <w:t>التقدُّمُ و فيهم الأعلامُ‌، ثُمّ انحازَ</w:t>
      </w:r>
      <w:r>
        <w:rPr>
          <w:rStyle w:val="FootnoteAnchor"/>
          <w:rtl w:val="true"/>
        </w:rPr>
        <w:footnoteReference w:id="3324"/>
      </w:r>
      <w:r>
        <w:rPr>
          <w:rFonts w:ascii="Amiri" w:hAnsi="Amiri" w:eastAsia="Amiri" w:cs="Amiri"/>
          <w:color w:val="111111"/>
          <w:sz w:val="28"/>
          <w:sz w:val="28"/>
          <w:szCs w:val="28"/>
          <w:rtl w:val="true"/>
          <w:lang w:bidi="ar-SA"/>
        </w:rPr>
        <w:t>إليه أكثَرُ الأنصارِ، فكُلُّ‌</w:t>
      </w:r>
      <w:r>
        <w:rPr>
          <w:rStyle w:val="FootnoteAnchor"/>
          <w:rtl w:val="true"/>
        </w:rPr>
        <w:footnoteReference w:id="3325"/>
      </w:r>
      <w:r>
        <w:rPr>
          <w:rFonts w:ascii="Amiri" w:hAnsi="Amiri" w:eastAsia="Amiri" w:cs="Amiri"/>
          <w:color w:val="111111"/>
          <w:sz w:val="28"/>
          <w:sz w:val="28"/>
          <w:szCs w:val="28"/>
          <w:rtl w:val="true"/>
          <w:lang w:bidi="ar-SA"/>
        </w:rPr>
        <w:t>أسبابِ الخَوفِ و الاحتشامِ‌</w:t>
      </w:r>
      <w:r>
        <w:rPr>
          <w:rStyle w:val="FootnoteAnchor"/>
          <w:rtl w:val="true"/>
        </w:rPr>
        <w:footnoteReference w:id="3326"/>
      </w:r>
      <w:r>
        <w:rPr>
          <w:rFonts w:ascii="Amiri" w:hAnsi="Amiri" w:eastAsia="Amiri" w:cs="Amiri"/>
          <w:color w:val="111111"/>
          <w:sz w:val="28"/>
          <w:sz w:val="28"/>
          <w:szCs w:val="28"/>
          <w:rtl w:val="true"/>
          <w:lang w:bidi="ar-SA"/>
        </w:rPr>
        <w:t>عنه زائلةٌ‌؛ لا سِيَّما و عندَ جماعةِ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الحاضرينَ بالسقيفةِ </w:t>
      </w:r>
      <w:r>
        <w:rPr>
          <w:rStyle w:val="FootnoteAnchor"/>
          <w:rtl w:val="true"/>
        </w:rPr>
        <w:footnoteReference w:id="3327"/>
      </w:r>
      <w:r>
        <w:rPr>
          <w:rFonts w:ascii="Amiri" w:hAnsi="Amiri" w:eastAsia="Amiri" w:cs="Amiri"/>
          <w:color w:val="111111"/>
          <w:sz w:val="28"/>
          <w:sz w:val="28"/>
          <w:szCs w:val="28"/>
          <w:rtl w:val="true"/>
          <w:lang w:bidi="ar-SA"/>
        </w:rPr>
        <w:t xml:space="preserve">إنّما حَضَروا للبحثِ و التفتيشِ و الكشفِ عمَّن يَستحِقُّ الإمامةَ </w:t>
      </w:r>
      <w:r>
        <w:rPr>
          <w:rStyle w:val="FootnoteAnchor"/>
          <w:rtl w:val="true"/>
        </w:rPr>
        <w:footnoteReference w:id="3328"/>
      </w:r>
      <w:r>
        <w:rPr>
          <w:rFonts w:ascii="Amiri" w:hAnsi="Amiri" w:eastAsia="Amiri" w:cs="Amiri"/>
          <w:color w:val="111111"/>
          <w:sz w:val="28"/>
          <w:sz w:val="28"/>
          <w:szCs w:val="28"/>
          <w:rtl w:val="true"/>
          <w:lang w:bidi="ar-SA"/>
        </w:rPr>
        <w:t xml:space="preserve">ليَعقِدوها له، و لَم يكُن حضورُهم لِما تَدَّعيهِ </w:t>
      </w:r>
      <w:r>
        <w:rPr>
          <w:rStyle w:val="FootnoteAnchor"/>
          <w:rtl w:val="true"/>
        </w:rPr>
        <w:footnoteReference w:id="3329"/>
      </w:r>
      <w:r>
        <w:rPr>
          <w:rFonts w:ascii="Amiri" w:hAnsi="Amiri" w:eastAsia="Amiri" w:cs="Amiri"/>
          <w:color w:val="111111"/>
          <w:sz w:val="28"/>
          <w:sz w:val="28"/>
          <w:szCs w:val="28"/>
          <w:rtl w:val="true"/>
          <w:lang w:bidi="ar-SA"/>
        </w:rPr>
        <w:t>الشيعةُ مِن إزالةِ الأمرِ عن مُستَحِقِّه</w:t>
      </w:r>
      <w:r>
        <w:rPr>
          <w:rStyle w:val="FootnoteAnchor"/>
          <w:rtl w:val="true"/>
        </w:rPr>
        <w:footnoteReference w:id="3330"/>
      </w:r>
      <w:r>
        <w:rPr>
          <w:rFonts w:ascii="Amiri" w:hAnsi="Amiri" w:eastAsia="Amiri" w:cs="Amiri"/>
          <w:color w:val="111111"/>
          <w:sz w:val="28"/>
          <w:sz w:val="28"/>
          <w:szCs w:val="28"/>
          <w:rtl w:val="true"/>
          <w:lang w:bidi="ar-SA"/>
        </w:rPr>
        <w:t>، و العُدولِ به عن وَجهِه</w:t>
      </w:r>
      <w:r>
        <w:rPr>
          <w:rFonts w:eastAsia="Amiri" w:cs="Amiri" w:ascii="Amiri" w:hAnsi="Amiri"/>
          <w:color w:val="111111"/>
          <w:sz w:val="28"/>
          <w:szCs w:val="28"/>
          <w:rtl w:val="true"/>
          <w:lang w:bidi="ar-SA"/>
        </w:rPr>
        <w:t xml:space="preserve">. </w:t>
      </w:r>
      <w:bookmarkStart w:id="536" w:name="pg20015_285116"/>
    </w:p>
    <w:p>
      <w:pPr>
        <w:pStyle w:val="BookText"/>
        <w:rPr/>
      </w:pPr>
      <w:bookmarkEnd w:id="536"/>
      <w:r>
        <w:rPr>
          <w:rFonts w:ascii="Amiri" w:hAnsi="Amiri" w:eastAsia="Amiri" w:cs="Amiri"/>
          <w:color w:val="111111"/>
          <w:sz w:val="28"/>
          <w:sz w:val="28"/>
          <w:szCs w:val="28"/>
          <w:rtl w:val="true"/>
          <w:lang w:bidi="ar-SA"/>
        </w:rPr>
        <w:t>فأيُّ‌</w:t>
      </w:r>
      <w:r>
        <w:rPr>
          <w:rStyle w:val="FootnoteAnchor"/>
          <w:rtl w:val="true"/>
        </w:rPr>
        <w:footnoteReference w:id="3331"/>
      </w:r>
      <w:r>
        <w:rPr>
          <w:rFonts w:ascii="Amiri" w:hAnsi="Amiri" w:eastAsia="Amiri" w:cs="Amiri"/>
          <w:color w:val="111111"/>
          <w:sz w:val="28"/>
          <w:sz w:val="28"/>
          <w:szCs w:val="28"/>
          <w:rtl w:val="true"/>
          <w:lang w:bidi="ar-SA"/>
        </w:rPr>
        <w:t>عُذرٍ لِمَن لَم يُذكِّرْ مَن</w:t>
      </w:r>
      <w:r>
        <w:rPr>
          <w:rStyle w:val="FootnoteAnchor"/>
          <w:rtl w:val="true"/>
        </w:rPr>
        <w:footnoteReference w:id="3332"/>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الإنصافِ و طلبِ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Style w:val="FootnoteAnchor"/>
          <w:rtl w:val="true"/>
        </w:rPr>
        <w:footnoteReference w:id="3333"/>
      </w:r>
      <w:r>
        <w:rPr>
          <w:rFonts w:ascii="Amiri" w:hAnsi="Amiri" w:eastAsia="Amiri" w:cs="Amiri"/>
          <w:color w:val="111111"/>
          <w:sz w:val="28"/>
          <w:sz w:val="28"/>
          <w:szCs w:val="28"/>
          <w:rtl w:val="true"/>
          <w:lang w:bidi="ar-SA"/>
        </w:rPr>
        <w:t>بعَهدِ الرسولِ صَلّى اللّٰهُ عليه و آلِه</w:t>
      </w:r>
      <w:r>
        <w:rPr>
          <w:rStyle w:val="FootnoteAnchor"/>
          <w:rtl w:val="true"/>
        </w:rPr>
        <w:footnoteReference w:id="3334"/>
      </w:r>
      <w:r>
        <w:rPr>
          <w:rFonts w:ascii="Amiri" w:hAnsi="Amiri" w:eastAsia="Amiri" w:cs="Amiri"/>
          <w:color w:val="111111"/>
          <w:sz w:val="28"/>
          <w:sz w:val="28"/>
          <w:szCs w:val="28"/>
          <w:rtl w:val="true"/>
          <w:lang w:bidi="ar-SA"/>
        </w:rPr>
        <w:t>و نَصِّه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مِن أن يُحتاجَ إلىٰ زيادةٍ في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المانعُ لأميرِ المؤمنينَ عليه السلامُ مِن الاحتجاجِ بالنصِّ في الشورىٰ فهو المانعُ الأوّلُ‌، مع أنّه كانَ‌</w:t>
      </w:r>
      <w:r>
        <w:rPr>
          <w:rStyle w:val="FootnoteAnchor"/>
          <w:rtl w:val="true"/>
        </w:rPr>
        <w:footnoteReference w:id="3335"/>
      </w:r>
      <w:r>
        <w:rPr>
          <w:rFonts w:ascii="Amiri" w:hAnsi="Amiri" w:eastAsia="Amiri" w:cs="Amiri"/>
          <w:color w:val="111111"/>
          <w:sz w:val="28"/>
          <w:sz w:val="28"/>
          <w:szCs w:val="28"/>
          <w:rtl w:val="true"/>
          <w:lang w:bidi="ar-SA"/>
        </w:rPr>
        <w:t xml:space="preserve">في تلكَ الحالِ قد ازدادَ شِدّةً و استحكاماً؛ لأنّ مَن حضَرَ الشورىٰ مِن القومِ </w:t>
      </w:r>
      <w:r>
        <w:rPr>
          <w:rStyle w:val="FootnoteAnchor"/>
          <w:rtl w:val="true"/>
        </w:rPr>
        <w:footnoteReference w:id="3336"/>
      </w:r>
      <w:r>
        <w:rPr>
          <w:rFonts w:ascii="Amiri" w:hAnsi="Amiri" w:eastAsia="Amiri" w:cs="Amiri"/>
          <w:color w:val="111111"/>
          <w:sz w:val="28"/>
          <w:sz w:val="28"/>
          <w:szCs w:val="28"/>
          <w:rtl w:val="true"/>
          <w:lang w:bidi="ar-SA"/>
        </w:rPr>
        <w:t>كانَ معتقِداً لإمامةِ المتقدِّمَينِ ، و بُطلانِ النصِّ علىٰ غيرِهما، و أنّ حضورَهم إنّما كانَ للعَقدِ</w:t>
      </w:r>
      <w:r>
        <w:rPr>
          <w:rStyle w:val="FootnoteAnchor"/>
          <w:rtl w:val="true"/>
        </w:rPr>
        <w:footnoteReference w:id="3337"/>
      </w:r>
      <w:r>
        <w:rPr>
          <w:rFonts w:ascii="Amiri" w:hAnsi="Amiri" w:eastAsia="Amiri" w:cs="Amiri"/>
          <w:color w:val="111111"/>
          <w:sz w:val="28"/>
          <w:sz w:val="28"/>
          <w:szCs w:val="28"/>
          <w:rtl w:val="true"/>
          <w:lang w:bidi="ar-SA"/>
        </w:rPr>
        <w:t>مِن جهةِ الاختيارِ؛ فكيفَ يَصِحُّ أن يُحتَجَّ علىٰ مِثلِ هؤلاءِ بالنصِّ الذي لا شُبهةَ في</w:t>
      </w:r>
      <w:r>
        <w:rPr>
          <w:rStyle w:val="FootnoteAnchor"/>
          <w:rtl w:val="true"/>
        </w:rPr>
        <w:footnoteReference w:id="3338"/>
      </w:r>
      <w:r>
        <w:rPr>
          <w:rFonts w:ascii="Amiri" w:hAnsi="Amiri" w:eastAsia="Amiri" w:cs="Amiri"/>
          <w:color w:val="111111"/>
          <w:sz w:val="28"/>
          <w:sz w:val="28"/>
          <w:szCs w:val="28"/>
          <w:rtl w:val="true"/>
          <w:lang w:bidi="ar-SA"/>
        </w:rPr>
        <w:t>أنّ الاحتجاجَ به تظليمٌ للمتقدِّمَينِ ، و تضليلٌ لكُلِّ مَن دانَ بإمامتِهما</w:t>
      </w:r>
      <w:r>
        <w:rPr>
          <w:rStyle w:val="FootnoteAnchor"/>
          <w:rtl w:val="true"/>
        </w:rPr>
        <w:footnoteReference w:id="3339"/>
      </w:r>
      <w:r>
        <w:rPr>
          <w:rFonts w:ascii="Amiri" w:hAnsi="Amiri" w:eastAsia="Amiri" w:cs="Amiri"/>
          <w:color w:val="111111"/>
          <w:sz w:val="28"/>
          <w:sz w:val="28"/>
          <w:szCs w:val="28"/>
          <w:rtl w:val="true"/>
          <w:lang w:bidi="ar-SA"/>
        </w:rPr>
        <w:t>و امتثَلَ حدودَهما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بنا حاجةٌ إلىٰ ذِكرِ ما كانَ عليه صلواتُ اللّٰهِ عليه في ذلكَ ؛ لظهورِه</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895099_2320776876"/>
      <w:bookmarkStart w:id="538" w:name="_Toc191"/>
      <w:bookmarkEnd w:id="537"/>
      <w:r>
        <w:rPr>
          <w:rtl w:val="true"/>
        </w:rPr>
        <w:t>أقوال للشيخين دالّة على بطلان النصّ علىٰ أبي بكر</w:t>
      </w:r>
      <w:bookmarkEnd w:id="538"/>
    </w:p>
    <w:p>
      <w:pPr>
        <w:pStyle w:val="BookText"/>
        <w:rPr/>
      </w:pPr>
      <w:r>
        <w:rPr>
          <w:rFonts w:ascii="Amiri" w:hAnsi="Amiri" w:eastAsia="Amiri" w:cs="Amiri"/>
          <w:color w:val="111111"/>
          <w:sz w:val="28"/>
          <w:sz w:val="28"/>
          <w:szCs w:val="28"/>
          <w:rtl w:val="true"/>
          <w:lang w:bidi="ar-SA"/>
        </w:rPr>
        <w:t>و ممّا يدُلُّ مِن أقوالِه</w:t>
      </w:r>
      <w:r>
        <w:rPr>
          <w:rStyle w:val="FootnoteAnchor"/>
          <w:rtl w:val="true"/>
        </w:rPr>
        <w:footnoteReference w:id="3340"/>
      </w:r>
      <w:r>
        <w:rPr>
          <w:rFonts w:ascii="Amiri" w:hAnsi="Amiri" w:eastAsia="Amiri" w:cs="Amiri"/>
          <w:color w:val="111111"/>
          <w:sz w:val="28"/>
          <w:sz w:val="28"/>
          <w:szCs w:val="28"/>
          <w:rtl w:val="true"/>
          <w:lang w:bidi="ar-SA"/>
        </w:rPr>
        <w:t>علىٰ بُطلانِ النصِّ عليه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مُشيراً إلىٰ أبي عُبيدةَ و عُمَرَ في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بايِعوا أيَّ الرجُلَينِ </w:t>
      </w:r>
      <w:r>
        <w:rPr>
          <w:rStyle w:val="FootnoteAnchor"/>
          <w:rtl w:val="true"/>
        </w:rPr>
        <w:footnoteReference w:id="3341"/>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هذا قولَ مَن لَزِمَه فرضُ الإمامةِ و وَجَبَ عليه القيامُ بها؛ لأنّه قد عرَّضَ بهذا القولِ عَقْدَ رسولِ اللّٰهِ </w:t>
      </w:r>
      <w:r>
        <w:rPr>
          <w:rStyle w:val="FootnoteAnchor"/>
          <w:rtl w:val="true"/>
        </w:rPr>
        <w:footnoteReference w:id="3343"/>
      </w:r>
      <w:r>
        <w:rPr>
          <w:rFonts w:ascii="Amiri" w:hAnsi="Amiri" w:eastAsia="Amiri" w:cs="Amiri"/>
          <w:color w:val="111111"/>
          <w:sz w:val="28"/>
          <w:sz w:val="28"/>
          <w:szCs w:val="28"/>
          <w:rtl w:val="true"/>
          <w:lang w:bidi="ar-SA"/>
        </w:rPr>
        <w:t>صَلّى اللّٰهُ عليه و آلِه للحَلِّ و أمْرَه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هذا عندَ مُخالِفينا علىٰ أبي بكرٍ جُملةً ، و لا عندَنا فيما يَختَصُّ به و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خِلافتِه</w:t>
      </w:r>
      <w:r>
        <w:rPr>
          <w:rStyle w:val="FootnoteAnchor"/>
          <w:rtl w:val="true"/>
        </w:rPr>
        <w:footnoteReference w:id="3344"/>
      </w:r>
      <w:r>
        <w:rPr>
          <w:rFonts w:ascii="Amiri" w:hAnsi="Amiri" w:eastAsia="Amiri" w:cs="Amiri"/>
          <w:color w:val="111111"/>
          <w:sz w:val="28"/>
          <w:sz w:val="28"/>
          <w:szCs w:val="28"/>
          <w:rtl w:val="true"/>
          <w:lang w:bidi="ar-SA"/>
        </w:rPr>
        <w:t xml:space="preserve">لِجماعةِ المسلمينَ </w:t>
      </w:r>
      <w:r>
        <w:rPr>
          <w:rStyle w:val="FootnoteAnchor"/>
          <w:rtl w:val="true"/>
        </w:rPr>
        <w:footnoteReference w:id="3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w:t>
      </w:r>
      <w:r>
        <w:rPr>
          <w:rStyle w:val="FootnoteAnchor"/>
          <w:rtl w:val="true"/>
        </w:rPr>
        <w:footnoteReference w:id="3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7"/>
      </w:r>
      <w:r>
        <w:rPr>
          <w:rFonts w:ascii="Amiri" w:hAnsi="Amiri" w:eastAsia="Amiri" w:cs="Amiri"/>
          <w:color w:val="111111"/>
          <w:sz w:val="28"/>
          <w:sz w:val="28"/>
          <w:szCs w:val="28"/>
          <w:rtl w:val="true"/>
          <w:lang w:bidi="ar-SA"/>
        </w:rPr>
        <w:t>و لَيسَ يَجوزُ أن يَستَقيلَ الأمرَ مَن لَم يَعقِدْه</w:t>
      </w:r>
      <w:r>
        <w:rPr>
          <w:rStyle w:val="FootnoteAnchor"/>
          <w:rtl w:val="true"/>
        </w:rPr>
        <w:footnoteReference w:id="3348"/>
      </w:r>
      <w:r>
        <w:rPr>
          <w:rFonts w:ascii="Amiri" w:hAnsi="Amiri" w:eastAsia="Amiri" w:cs="Amiri"/>
          <w:color w:val="111111"/>
          <w:sz w:val="28"/>
          <w:sz w:val="28"/>
          <w:szCs w:val="28"/>
          <w:rtl w:val="true"/>
          <w:lang w:bidi="ar-SA"/>
        </w:rPr>
        <w:t>له و لا تَوَلّاه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w:t>
      </w:r>
      <w:r>
        <w:rPr>
          <w:rStyle w:val="FootnoteAnchor"/>
          <w:rtl w:val="true"/>
        </w:rPr>
        <w:footnoteReference w:id="3349"/>
      </w:r>
      <w:r>
        <w:rPr>
          <w:rFonts w:ascii="Amiri" w:hAnsi="Amiri" w:eastAsia="Amiri" w:cs="Amiri"/>
          <w:color w:val="111111"/>
          <w:sz w:val="28"/>
          <w:sz w:val="28"/>
          <w:szCs w:val="28"/>
          <w:rtl w:val="true"/>
          <w:lang w:bidi="ar-SA"/>
        </w:rPr>
        <w:t>كُنتُ سألتُ رَسولَ اللّٰهِ صَلّى اللّٰهُ عَلَيه و آلِه عن هذا الأمرِ فيمَن هو؟ فكُنّا لا نُنازِعُه أهلَه</w:t>
      </w:r>
      <w:r>
        <w:rPr>
          <w:rFonts w:eastAsia="Amiri" w:cs="Amiri" w:ascii="Amiri" w:hAnsi="Amiri"/>
          <w:color w:val="111111"/>
          <w:sz w:val="28"/>
          <w:szCs w:val="28"/>
          <w:rtl w:val="true"/>
          <w:lang w:bidi="ar-SA"/>
        </w:rPr>
        <w:t>».</w:t>
      </w:r>
      <w:r>
        <w:rPr>
          <w:rStyle w:val="FootnoteAnchor"/>
          <w:rtl w:val="true"/>
        </w:rPr>
        <w:footnoteReference w:id="3350"/>
      </w:r>
      <w:r>
        <w:rPr>
          <w:rFonts w:ascii="Amiri" w:hAnsi="Amiri" w:eastAsia="Amiri" w:cs="Amiri"/>
          <w:color w:val="111111"/>
          <w:sz w:val="28"/>
          <w:sz w:val="28"/>
          <w:szCs w:val="28"/>
          <w:rtl w:val="true"/>
          <w:lang w:bidi="ar-SA"/>
        </w:rPr>
        <w:t>و هذا قولٌ صريحٌ في إبطالِ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بَيعةُ أبي بَكرٍ فَلتةً </w:t>
      </w:r>
      <w:r>
        <w:rPr>
          <w:rStyle w:val="FootnoteAnchor"/>
          <w:rtl w:val="true"/>
        </w:rPr>
        <w:footnoteReference w:id="3351"/>
      </w:r>
      <w:r>
        <w:rPr>
          <w:rFonts w:ascii="Amiri" w:hAnsi="Amiri" w:eastAsia="Amiri" w:cs="Amiri"/>
          <w:color w:val="111111"/>
          <w:sz w:val="28"/>
          <w:sz w:val="28"/>
          <w:szCs w:val="28"/>
          <w:rtl w:val="true"/>
          <w:lang w:bidi="ar-SA"/>
        </w:rPr>
        <w:t>وَقَى اللّٰهُ المسلمينَ شَرَّها، فمَن عادَ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مِثلِها فاقتُلوه</w:t>
      </w:r>
      <w:r>
        <w:rPr>
          <w:rFonts w:eastAsia="Amiri" w:cs="Amiri" w:ascii="Amiri" w:hAnsi="Amiri"/>
          <w:color w:val="111111"/>
          <w:sz w:val="28"/>
          <w:szCs w:val="28"/>
          <w:rtl w:val="true"/>
          <w:lang w:bidi="ar-SA"/>
        </w:rPr>
        <w:t>»</w:t>
      </w:r>
      <w:r>
        <w:rPr>
          <w:rStyle w:val="FootnoteAnchor"/>
          <w:rtl w:val="true"/>
        </w:rPr>
        <w:footnoteReference w:id="3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يَصِحُّ </w:t>
      </w:r>
      <w:r>
        <w:rPr>
          <w:rStyle w:val="FootnoteAnchor"/>
          <w:rtl w:val="true"/>
        </w:rPr>
        <w:footnoteReference w:id="3353"/>
      </w:r>
      <w:r>
        <w:rPr>
          <w:rFonts w:ascii="Amiri" w:hAnsi="Amiri" w:eastAsia="Amiri" w:cs="Amiri"/>
          <w:color w:val="111111"/>
          <w:sz w:val="28"/>
          <w:sz w:val="28"/>
          <w:szCs w:val="28"/>
          <w:rtl w:val="true"/>
          <w:lang w:bidi="ar-SA"/>
        </w:rPr>
        <w:t>أن يوصَفَ ما عقَدَه</w:t>
      </w:r>
      <w:r>
        <w:rPr>
          <w:rStyle w:val="FootnoteAnchor"/>
          <w:rtl w:val="true"/>
        </w:rPr>
        <w:footnoteReference w:id="3354"/>
      </w:r>
      <w:r>
        <w:rPr>
          <w:rFonts w:ascii="Amiri" w:hAnsi="Amiri" w:eastAsia="Amiri" w:cs="Amiri"/>
          <w:color w:val="111111"/>
          <w:sz w:val="28"/>
          <w:sz w:val="28"/>
          <w:szCs w:val="28"/>
          <w:rtl w:val="true"/>
          <w:lang w:bidi="ar-SA"/>
        </w:rPr>
        <w:t xml:space="preserve">الرسولُ و عَهِدَ فيه بأنّه فَلتةٌ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عُمَرَ أيضاً لمّا حضَرَته الوفاةُ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أستَخلِفْ فقَد استَخلَفَ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أترُكْ فقَد ترَكَ مَن هو خَيرٌ مِنّي</w:t>
      </w:r>
      <w:r>
        <w:rPr>
          <w:rFonts w:eastAsia="Amiri" w:cs="Amiri" w:ascii="Amiri" w:hAnsi="Amiri"/>
          <w:color w:val="111111"/>
          <w:sz w:val="28"/>
          <w:szCs w:val="28"/>
          <w:rtl w:val="true"/>
          <w:lang w:bidi="ar-SA"/>
        </w:rPr>
        <w:t>»</w:t>
      </w:r>
      <w:r>
        <w:rPr>
          <w:rStyle w:val="FootnoteAnchor"/>
          <w:rtl w:val="true"/>
        </w:rPr>
        <w:footnoteReference w:id="3356"/>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لا يَجوزُ أن يَقولَه عُمَرُ و هو يَعلَمُ بحالِ النصِّ علىٰ أبي بَكرٍ، و لَو قالَه بحَضرةِ المسلمينَ لَما جازَ أن يُمسِكوا عن ردِّه لَو كانَ النصُّ علىٰ أبي بكرٍ</w:t>
      </w:r>
      <w:r>
        <w:rPr>
          <w:rStyle w:val="FootnoteAnchor"/>
          <w:rtl w:val="true"/>
        </w:rPr>
        <w:footnoteReference w:id="3357"/>
      </w:r>
      <w:r>
        <w:rPr>
          <w:rFonts w:ascii="Amiri" w:hAnsi="Amiri" w:eastAsia="Amiri" w:cs="Amiri"/>
          <w:color w:val="111111"/>
          <w:sz w:val="28"/>
          <w:sz w:val="28"/>
          <w:szCs w:val="28"/>
          <w:rtl w:val="true"/>
          <w:lang w:bidi="ar-SA"/>
        </w:rPr>
        <w:t>حَقّاً</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امدُدْ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في الإسلامِ فَهَّةٌ </w:t>
      </w:r>
      <w:r>
        <w:rPr>
          <w:rStyle w:val="FootnoteAnchor"/>
          <w:rtl w:val="true"/>
        </w:rPr>
        <w:footnoteReference w:id="3359"/>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Style w:val="FootnoteAnchor"/>
          <w:rtl w:val="true"/>
        </w:rPr>
        <w:footnoteReference w:id="3360"/>
      </w:r>
      <w:r>
        <w:rPr>
          <w:rFonts w:ascii="Amiri" w:hAnsi="Amiri" w:eastAsia="Amiri" w:cs="Amiri"/>
          <w:color w:val="111111"/>
          <w:sz w:val="28"/>
          <w:sz w:val="28"/>
          <w:szCs w:val="28"/>
          <w:rtl w:val="true"/>
          <w:lang w:bidi="ar-SA"/>
        </w:rPr>
        <w:t>لأنّ النصَّ علىٰ أبي بكرٍ لَو كانَ حَقّاً لَكانَ عُمَرُ به أعلَمَ ، و لَو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سيرة ابن 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الكامل لابن الأثير،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البدء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الإمامة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 xml:space="preserve">. </w:t>
      </w:r>
      <w:bookmarkStart w:id="539" w:name="pg20015_285119"/>
    </w:p>
    <w:p>
      <w:pPr>
        <w:pStyle w:val="BookText"/>
        <w:rPr/>
      </w:pPr>
      <w:bookmarkEnd w:id="539"/>
      <w:r>
        <w:rPr>
          <w:rFonts w:ascii="Amiri" w:hAnsi="Amiri" w:eastAsia="Amiri" w:cs="Amiri"/>
          <w:color w:val="111111"/>
          <w:sz w:val="28"/>
          <w:sz w:val="28"/>
          <w:szCs w:val="28"/>
          <w:rtl w:val="true"/>
          <w:lang w:bidi="ar-SA"/>
        </w:rPr>
        <w:t>عَلِمَه لَم يَجُز مِنه أن يَدعوَ غيرَه إلَى العملِ بخِلافِه، و لا حَسُنَ مِن أبي عُبيدةَ أيضاً ما رُويَ عنه</w:t>
      </w:r>
      <w:r>
        <w:rPr>
          <w:rStyle w:val="FootnoteAnchor"/>
          <w:rtl w:val="true"/>
        </w:rPr>
        <w:footnoteReference w:id="3361"/>
      </w:r>
      <w:r>
        <w:rPr>
          <w:rFonts w:ascii="Amiri" w:hAnsi="Amiri" w:eastAsia="Amiri" w:cs="Amiri"/>
          <w:color w:val="111111"/>
          <w:sz w:val="28"/>
          <w:sz w:val="28"/>
          <w:szCs w:val="28"/>
          <w:rtl w:val="true"/>
          <w:lang w:bidi="ar-SA"/>
        </w:rPr>
        <w:t xml:space="preserve">مِن الجوابِ ؛ لأنّ المرويَّ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في الإسلامِ فَهَّةٌ غيرُها؛ أتَقولُ </w:t>
      </w:r>
      <w:r>
        <w:rPr>
          <w:rStyle w:val="FootnoteAnchor"/>
          <w:rtl w:val="true"/>
        </w:rPr>
        <w:footnoteReference w:id="3362"/>
      </w:r>
      <w:r>
        <w:rPr>
          <w:rFonts w:ascii="Amiri" w:hAnsi="Amiri" w:eastAsia="Amiri" w:cs="Amiri"/>
          <w:color w:val="111111"/>
          <w:sz w:val="28"/>
          <w:sz w:val="28"/>
          <w:szCs w:val="28"/>
          <w:rtl w:val="true"/>
          <w:lang w:bidi="ar-SA"/>
        </w:rPr>
        <w:t>هذا و أبو بكرٍ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التفضيلِ لأبي بكرٍ و التقديمِ له علىٰ نفسِه، و ذِكرُ النصِّ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أَولىٰ و أشبَهُ بالحالِ </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895101_2320776876"/>
      <w:bookmarkStart w:id="541" w:name="_Toc192"/>
      <w:bookmarkEnd w:id="540"/>
      <w:r>
        <w:rPr>
          <w:rtl w:val="true"/>
        </w:rPr>
        <w:t>الوجه الرابع</w:t>
      </w:r>
      <w:bookmarkEnd w:id="54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النصُّ عليه حَقّاً لَوجَبَ أن يقَعَ العِلمُ به لكُلِّ مَن سَمِعَ الأخبارَ علىٰ حدِّ وقوعِه بما كانَ مِنه مِن النصِّ علىٰ عُمَرَ، و بما</w:t>
      </w:r>
      <w:r>
        <w:rPr>
          <w:rStyle w:val="FootnoteAnchor"/>
          <w:rtl w:val="true"/>
        </w:rPr>
        <w:footnoteReference w:id="3363"/>
      </w:r>
      <w:r>
        <w:rPr>
          <w:rFonts w:ascii="Amiri" w:hAnsi="Amiri" w:eastAsia="Amiri" w:cs="Amiri"/>
          <w:color w:val="111111"/>
          <w:sz w:val="28"/>
          <w:sz w:val="28"/>
          <w:szCs w:val="28"/>
          <w:rtl w:val="true"/>
          <w:lang w:bidi="ar-SA"/>
        </w:rPr>
        <w:t xml:space="preserve">وقَعَ مِن نصِّ عُمَرَ علىٰ أصحابِ الشورىٰ ، إلىٰ غيرِ ما ذَكَرناه مِن الأُمورِ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بمفارَقةِ ما يُدَّعىٰ مِن النصِّ علىٰ أبي بكرٍ لِما عدَّدناه</w:t>
      </w:r>
      <w:r>
        <w:rPr>
          <w:rStyle w:val="FootnoteAnchor"/>
          <w:rtl w:val="true"/>
        </w:rPr>
        <w:footnoteReference w:id="3364"/>
      </w:r>
      <w:r>
        <w:rPr>
          <w:rFonts w:ascii="Amiri" w:hAnsi="Amiri" w:eastAsia="Amiri" w:cs="Amiri"/>
          <w:color w:val="111111"/>
          <w:sz w:val="28"/>
          <w:sz w:val="28"/>
          <w:szCs w:val="28"/>
          <w:rtl w:val="true"/>
          <w:lang w:bidi="ar-SA"/>
        </w:rPr>
        <w:t>دليلٌ علَى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أَوجَبنا وقوعَ العِلمِ به علَى الحدِّ الذي نَعَتناه</w:t>
      </w:r>
      <w:r>
        <w:rPr>
          <w:rStyle w:val="FootnoteAnchor"/>
          <w:rtl w:val="true"/>
        </w:rPr>
        <w:footnoteReference w:id="3365"/>
      </w:r>
      <w:r>
        <w:rPr>
          <w:rFonts w:ascii="Amiri" w:hAnsi="Amiri" w:eastAsia="Amiri" w:cs="Amiri"/>
          <w:color w:val="111111"/>
          <w:sz w:val="28"/>
          <w:sz w:val="28"/>
          <w:szCs w:val="28"/>
          <w:rtl w:val="true"/>
          <w:lang w:bidi="ar-SA"/>
        </w:rPr>
        <w:t xml:space="preserve">مِن حيثُ كانَت جميعُ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لخَفاءِ ما تَدَّعيهِ </w:t>
      </w:r>
      <w:r>
        <w:rPr>
          <w:rStyle w:val="FootnoteAnchor"/>
          <w:rtl w:val="true"/>
        </w:rPr>
        <w:footnoteReference w:id="3366"/>
      </w:r>
      <w:r>
        <w:rPr>
          <w:rFonts w:ascii="Amiri" w:hAnsi="Amiri" w:eastAsia="Amiri" w:cs="Amiri"/>
          <w:color w:val="111111"/>
          <w:sz w:val="28"/>
          <w:sz w:val="28"/>
          <w:szCs w:val="28"/>
          <w:rtl w:val="true"/>
          <w:lang w:bidi="ar-SA"/>
        </w:rPr>
        <w:t xml:space="preserve">الشيعةُ مِن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مُرتَفِعةً </w:t>
      </w:r>
      <w:r>
        <w:rPr>
          <w:rStyle w:val="FootnoteAnchor"/>
          <w:rtl w:val="true"/>
        </w:rPr>
        <w:footnoteReference w:id="3367"/>
      </w:r>
      <w:r>
        <w:rPr>
          <w:rFonts w:ascii="Amiri" w:hAnsi="Amiri" w:eastAsia="Amiri" w:cs="Amiri"/>
          <w:color w:val="111111"/>
          <w:sz w:val="28"/>
          <w:sz w:val="28"/>
          <w:szCs w:val="28"/>
          <w:rtl w:val="true"/>
          <w:lang w:bidi="ar-SA"/>
        </w:rPr>
        <w:t>، و جميعُ ما يَقتَضي الظهورَ و</w:t>
      </w:r>
      <w:r>
        <w:rPr>
          <w:rStyle w:val="FootnoteAnchor"/>
          <w:rtl w:val="true"/>
        </w:rPr>
        <w:footnoteReference w:id="3368"/>
      </w:r>
      <w:r>
        <w:rPr>
          <w:rFonts w:ascii="Amiri" w:hAnsi="Amiri" w:eastAsia="Amiri" w:cs="Amiri"/>
          <w:color w:val="111111"/>
          <w:sz w:val="28"/>
          <w:sz w:val="28"/>
          <w:szCs w:val="28"/>
          <w:rtl w:val="true"/>
          <w:lang w:bidi="ar-SA"/>
        </w:rPr>
        <w:t>ارتفاعَ الشكِّ و الشُّبُهاتِ فيه حاصلاً</w:t>
      </w:r>
      <w:r>
        <w:rPr>
          <w:rStyle w:val="FootnoteAnchor"/>
          <w:rtl w:val="true"/>
        </w:rPr>
        <w:footnoteReference w:id="336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الرئاسةَ بَعدَ الرسولِ صَلَّى اللّٰهُ عليه و آلِه</w:t>
      </w:r>
      <w:r>
        <w:rPr>
          <w:rStyle w:val="FootnoteAnchor"/>
          <w:rtl w:val="true"/>
        </w:rPr>
        <w:footnoteReference w:id="3370"/>
      </w:r>
      <w:r>
        <w:rPr>
          <w:rFonts w:ascii="Amiri" w:hAnsi="Amiri" w:eastAsia="Amiri" w:cs="Amiri"/>
          <w:color w:val="111111"/>
          <w:sz w:val="28"/>
          <w:sz w:val="28"/>
          <w:szCs w:val="28"/>
          <w:rtl w:val="true"/>
          <w:lang w:bidi="ar-SA"/>
        </w:rPr>
        <w:t xml:space="preserve">له انعقَدَت، و فيه حصَلَت، و لَم </w:t>
      </w:r>
    </w:p>
    <w:p>
      <w:pPr>
        <w:pStyle w:val="BookText"/>
        <w:rPr/>
      </w:pPr>
      <w:r>
        <w:rPr>
          <w:rFonts w:ascii="Amiri" w:hAnsi="Amiri" w:eastAsia="Amiri" w:cs="Amiri"/>
          <w:color w:val="111111"/>
          <w:sz w:val="28"/>
          <w:sz w:val="28"/>
          <w:szCs w:val="28"/>
          <w:rtl w:val="true"/>
          <w:lang w:bidi="ar-SA"/>
        </w:rPr>
        <w:t>يَكُن بَعدَ استقرارِ إمامتِه مِن أحَدٍ خِلافٌ عليه</w:t>
      </w:r>
      <w:r>
        <w:rPr>
          <w:rStyle w:val="FootnoteAnchor"/>
          <w:rtl w:val="true"/>
        </w:rPr>
        <w:footnoteReference w:id="3371"/>
      </w:r>
      <w:r>
        <w:rPr>
          <w:rFonts w:ascii="Amiri" w:hAnsi="Amiri" w:eastAsia="Amiri" w:cs="Amiri"/>
          <w:color w:val="111111"/>
          <w:sz w:val="28"/>
          <w:sz w:val="28"/>
          <w:szCs w:val="28"/>
          <w:rtl w:val="true"/>
          <w:lang w:bidi="ar-SA"/>
        </w:rPr>
        <w:t>و لا رغبةٌ عنه، ثُمّ استمَرَّت وِلايتُه علىٰ هذا الحَدِّ، و تَلاها</w:t>
      </w:r>
      <w:r>
        <w:rPr>
          <w:rStyle w:val="FootnoteAnchor"/>
          <w:rtl w:val="true"/>
        </w:rPr>
        <w:footnoteReference w:id="3372"/>
      </w:r>
      <w:r>
        <w:rPr>
          <w:rFonts w:ascii="Amiri" w:hAnsi="Amiri" w:eastAsia="Amiri" w:cs="Amiri"/>
          <w:color w:val="111111"/>
          <w:sz w:val="28"/>
          <w:sz w:val="28"/>
          <w:szCs w:val="28"/>
          <w:rtl w:val="true"/>
          <w:lang w:bidi="ar-SA"/>
        </w:rPr>
        <w:t>مِن الوِلاياتِ ما كانَت كالمَبنيّةِ‌</w:t>
      </w:r>
      <w:r>
        <w:rPr>
          <w:rStyle w:val="FootnoteAnchor"/>
          <w:rtl w:val="true"/>
        </w:rPr>
        <w:footnoteReference w:id="3373"/>
      </w:r>
      <w:r>
        <w:rPr>
          <w:rFonts w:ascii="Amiri" w:hAnsi="Amiri" w:eastAsia="Amiri" w:cs="Amiri"/>
          <w:color w:val="111111"/>
          <w:sz w:val="28"/>
          <w:sz w:val="28"/>
          <w:szCs w:val="28"/>
          <w:rtl w:val="true"/>
          <w:lang w:bidi="ar-SA"/>
        </w:rPr>
        <w:t xml:space="preserve">عليها و المَشيدةِ لها، فلا سببَ يَقتَضي خَفاءَ النصِّ عليه و انكِتامَه؛ لأنّه إذا 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الخَوفِ و دَواعي الرغبةِ و الرهبةِ و قامَت دَواعي الإظهارِ و الإشاعةِ ، فلا بُدَّ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يَجوزُ أن لا يَدَّعيَ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نفسُه في طولِ وِلايتِه و في حالِ العَقدِ لنفسِه</w:t>
      </w:r>
      <w:r>
        <w:rPr>
          <w:rStyle w:val="FootnoteAnchor"/>
          <w:rtl w:val="true"/>
        </w:rPr>
        <w:footnoteReference w:id="3374"/>
      </w:r>
      <w:r>
        <w:rPr>
          <w:rFonts w:ascii="Amiri" w:hAnsi="Amiri" w:eastAsia="Amiri" w:cs="Amiri"/>
          <w:color w:val="111111"/>
          <w:sz w:val="28"/>
          <w:sz w:val="28"/>
          <w:szCs w:val="28"/>
          <w:rtl w:val="true"/>
          <w:lang w:bidi="ar-SA"/>
        </w:rPr>
        <w:t>، و يَقولَ لِمَن قصَدَ إلىٰ أن</w:t>
      </w:r>
      <w:r>
        <w:rPr>
          <w:rStyle w:val="FootnoteAnchor"/>
          <w:rtl w:val="true"/>
        </w:rPr>
        <w:footnoteReference w:id="3375"/>
      </w:r>
      <w:r>
        <w:rPr>
          <w:rFonts w:ascii="Amiri" w:hAnsi="Amiri" w:eastAsia="Amiri" w:cs="Amiri"/>
          <w:color w:val="111111"/>
          <w:sz w:val="28"/>
          <w:sz w:val="28"/>
          <w:szCs w:val="28"/>
          <w:rtl w:val="true"/>
          <w:lang w:bidi="ar-SA"/>
        </w:rPr>
        <w:t>يَعقِدَ</w:t>
      </w:r>
      <w:r>
        <w:rPr>
          <w:rStyle w:val="FootnoteAnchor"/>
          <w:rtl w:val="true"/>
        </w:rPr>
        <w:footnoteReference w:id="3376"/>
      </w:r>
      <w:r>
        <w:rPr>
          <w:rFonts w:ascii="Amiri" w:hAnsi="Amiri" w:eastAsia="Amiri" w:cs="Amiri"/>
          <w:color w:val="111111"/>
          <w:sz w:val="28"/>
          <w:sz w:val="28"/>
          <w:szCs w:val="28"/>
          <w:rtl w:val="true"/>
          <w:lang w:bidi="ar-SA"/>
        </w:rPr>
        <w:t>الإمامةَ له و يوجِبَها مِن طريقِ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بي إلَي اختيارِكم</w:t>
      </w:r>
      <w:r>
        <w:rPr>
          <w:rStyle w:val="FootnoteAnchor"/>
          <w:rtl w:val="true"/>
        </w:rPr>
        <w:footnoteReference w:id="3377"/>
      </w:r>
      <w:r>
        <w:rPr>
          <w:rFonts w:ascii="Amiri" w:hAnsi="Amiri" w:eastAsia="Amiri" w:cs="Amiri"/>
          <w:color w:val="111111"/>
          <w:sz w:val="28"/>
          <w:sz w:val="28"/>
          <w:szCs w:val="28"/>
          <w:rtl w:val="true"/>
          <w:lang w:bidi="ar-SA"/>
        </w:rPr>
        <w:t xml:space="preserve">إيّايَ إماماً و قَد اختارَني رسولُ اللّٰهِ </w:t>
      </w:r>
      <w:r>
        <w:rPr>
          <w:rStyle w:val="FootnoteAnchor"/>
          <w:rtl w:val="true"/>
        </w:rPr>
        <w:footnoteReference w:id="3378"/>
      </w:r>
      <w:r>
        <w:rPr>
          <w:rFonts w:ascii="Amiri" w:hAnsi="Amiri" w:eastAsia="Amiri" w:cs="Amiri"/>
          <w:color w:val="111111"/>
          <w:sz w:val="28"/>
          <w:sz w:val="28"/>
          <w:szCs w:val="28"/>
          <w:rtl w:val="true"/>
          <w:lang w:bidi="ar-SA"/>
        </w:rPr>
        <w:t>صَلّى اللّٰهُ عليه و آلِه لكم</w:t>
      </w:r>
      <w:r>
        <w:rPr>
          <w:rStyle w:val="FootnoteAnchor"/>
          <w:rtl w:val="true"/>
        </w:rPr>
        <w:footnoteReference w:id="3379"/>
      </w:r>
      <w:r>
        <w:rPr>
          <w:rFonts w:ascii="Amiri" w:hAnsi="Amiri" w:eastAsia="Amiri" w:cs="Amiri"/>
          <w:color w:val="111111"/>
          <w:sz w:val="28"/>
          <w:sz w:val="28"/>
          <w:szCs w:val="28"/>
          <w:rtl w:val="true"/>
          <w:lang w:bidi="ar-SA"/>
        </w:rPr>
        <w:t>، و رَضيَني للتقدُّمِ عليكم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يَجوزُ أن 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سَلامةِ الحالِ ، و زَوالِ كُلِّ سببٍ للخَوفِ 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ذَكَرناه، و في إمساكِه عن ذلكَ تضييعٌ لِما لَزِمَه، و إغفالٌ لتنبيهِ القومِ علىٰ مَوضعِ النصِّ عليه</w:t>
      </w:r>
      <w:r>
        <w:rPr>
          <w:rStyle w:val="FootnoteAnchor"/>
          <w:rtl w:val="true"/>
        </w:rPr>
        <w:footnoteReference w:id="3380"/>
      </w:r>
      <w:r>
        <w:rPr>
          <w:rFonts w:ascii="Amiri" w:hAnsi="Amiri" w:eastAsia="Amiri" w:cs="Amiri"/>
          <w:color w:val="111111"/>
          <w:sz w:val="28"/>
          <w:sz w:val="28"/>
          <w:szCs w:val="28"/>
          <w:rtl w:val="true"/>
          <w:lang w:bidi="ar-SA"/>
        </w:rPr>
        <w:t xml:space="preserve">، و أقَلُّ الأحوالِ أن يَكونَ الإمساكُ موهِماً لِارتفاعِ النصِّ </w:t>
      </w:r>
    </w:p>
    <w:p>
      <w:pPr>
        <w:pStyle w:val="BookText"/>
        <w:rPr/>
      </w:pPr>
      <w:r>
        <w:rPr>
          <w:rFonts w:ascii="Amiri" w:hAnsi="Amiri" w:eastAsia="Amiri" w:cs="Amiri"/>
          <w:color w:val="111111"/>
          <w:sz w:val="28"/>
          <w:sz w:val="28"/>
          <w:szCs w:val="28"/>
          <w:rtl w:val="true"/>
          <w:lang w:bidi="ar-SA"/>
        </w:rPr>
        <w:t>و موقِعاً للشُّبهةِ‌</w:t>
      </w:r>
      <w:r>
        <w:rPr>
          <w:rStyle w:val="FootnoteAnchor"/>
          <w:rtl w:val="true"/>
        </w:rPr>
        <w:footnoteReference w:id="33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يَجوزُ أيضاً إذا لَم يَدَّعِ ذلك هو</w:t>
      </w:r>
      <w:r>
        <w:rPr>
          <w:rStyle w:val="FootnoteAnchor"/>
          <w:rtl w:val="true"/>
        </w:rPr>
        <w:footnoteReference w:id="3382"/>
      </w:r>
      <w:r>
        <w:rPr>
          <w:rFonts w:ascii="Amiri" w:hAnsi="Amiri" w:eastAsia="Amiri" w:cs="Amiri"/>
          <w:color w:val="111111"/>
          <w:sz w:val="28"/>
          <w:sz w:val="28"/>
          <w:szCs w:val="28"/>
          <w:rtl w:val="true"/>
          <w:lang w:bidi="ar-SA"/>
        </w:rPr>
        <w:t>لنَفسِه أن لا يَدَّعيَه له أحدٌ في طولِ‌</w:t>
      </w:r>
      <w:r>
        <w:rPr>
          <w:rStyle w:val="FootnoteAnchor"/>
          <w:rtl w:val="true"/>
        </w:rPr>
        <w:footnoteReference w:id="3383"/>
      </w:r>
      <w:r>
        <w:rPr>
          <w:rFonts w:ascii="Amiri" w:hAnsi="Amiri" w:eastAsia="Amiri" w:cs="Amiri"/>
          <w:color w:val="111111"/>
          <w:sz w:val="28"/>
          <w:sz w:val="28"/>
          <w:szCs w:val="28"/>
          <w:rtl w:val="true"/>
          <w:lang w:bidi="ar-SA"/>
        </w:rPr>
        <w:t>أيّامِه و أيّامِ عُمَرَ التي تَجري مَجرىٰ أيّامِه</w:t>
      </w:r>
      <w:r>
        <w:rPr>
          <w:rStyle w:val="FootnoteAnchor"/>
          <w:rtl w:val="true"/>
        </w:rPr>
        <w:footnoteReference w:id="3384"/>
      </w:r>
      <w:r>
        <w:rPr>
          <w:rFonts w:ascii="Amiri" w:hAnsi="Amiri" w:eastAsia="Amiri" w:cs="Amiri"/>
          <w:color w:val="111111"/>
          <w:sz w:val="28"/>
          <w:sz w:val="28"/>
          <w:szCs w:val="28"/>
          <w:rtl w:val="true"/>
          <w:lang w:bidi="ar-SA"/>
        </w:rPr>
        <w:t>و لا يَذكُرَه ذاكرٌ؟ و نحنُ نَعلَمُ يقيناً أنّ الرؤَساءَ و ذَوي السُّلطانِ و المالِكينَ للأمرِ و النهيِ و الرفعِ و الوضعِ يُتقرَّبُ إليهم في الأكثرِ بما يَقتَضي تعظيمَهم و تبجيلَهم و إن كانَ باطلاً، تُصنَعُ فيهم</w:t>
      </w:r>
      <w:r>
        <w:rPr>
          <w:rStyle w:val="FootnoteAnchor"/>
          <w:rtl w:val="true"/>
        </w:rPr>
        <w:footnoteReference w:id="3385"/>
      </w:r>
      <w:r>
        <w:rPr>
          <w:rFonts w:ascii="Amiri" w:hAnsi="Amiri" w:eastAsia="Amiri" w:cs="Amiri"/>
          <w:color w:val="111111"/>
          <w:sz w:val="28"/>
          <w:sz w:val="28"/>
          <w:szCs w:val="28"/>
          <w:rtl w:val="true"/>
          <w:lang w:bidi="ar-SA"/>
        </w:rPr>
        <w:t>الأخبارُ، و توضَعُ‌</w:t>
      </w:r>
      <w:r>
        <w:rPr>
          <w:rStyle w:val="FootnoteAnchor"/>
          <w:rtl w:val="true"/>
        </w:rPr>
        <w:footnoteReference w:id="3386"/>
      </w:r>
      <w:r>
        <w:rPr>
          <w:rFonts w:ascii="Amiri" w:hAnsi="Amiri" w:eastAsia="Amiri" w:cs="Amiri"/>
          <w:color w:val="111111"/>
          <w:sz w:val="28"/>
          <w:sz w:val="28"/>
          <w:szCs w:val="28"/>
          <w:rtl w:val="true"/>
          <w:lang w:bidi="ar-SA"/>
        </w:rPr>
        <w:t>لهُم المدائحُ‌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العادةُ مستقِرّةً‌، فكَيفَ يَجوزُ أن يَعلَموا</w:t>
      </w:r>
    </w:p>
    <w:p>
      <w:pPr>
        <w:pStyle w:val="BookText"/>
        <w:rPr/>
      </w:pPr>
      <w:r>
        <w:rPr>
          <w:rFonts w:ascii="Amiri" w:hAnsi="Amiri" w:eastAsia="Amiri" w:cs="Amiri"/>
          <w:color w:val="111111"/>
          <w:sz w:val="28"/>
          <w:sz w:val="28"/>
          <w:szCs w:val="28"/>
          <w:rtl w:val="true"/>
          <w:lang w:bidi="ar-SA"/>
        </w:rPr>
        <w:t>بفَضيلَةٍ تَجري</w:t>
      </w:r>
      <w:r>
        <w:rPr>
          <w:rStyle w:val="FootnoteAnchor"/>
          <w:rtl w:val="true"/>
        </w:rPr>
        <w:footnoteReference w:id="3387"/>
      </w:r>
      <w:r>
        <w:rPr>
          <w:rFonts w:ascii="Amiri" w:hAnsi="Amiri" w:eastAsia="Amiri" w:cs="Amiri"/>
          <w:color w:val="111111"/>
          <w:sz w:val="28"/>
          <w:sz w:val="28"/>
          <w:szCs w:val="28"/>
          <w:rtl w:val="true"/>
          <w:lang w:bidi="ar-SA"/>
        </w:rPr>
        <w:t xml:space="preserve">مَجرَى النصِّ بالإمامةِ ، فلا يَذكُرونَها و يُشيدونَ </w:t>
      </w:r>
      <w:r>
        <w:rPr>
          <w:rStyle w:val="FootnoteAnchor"/>
          <w:rtl w:val="true"/>
        </w:rPr>
        <w:footnoteReference w:id="3388"/>
      </w:r>
      <w:r>
        <w:rPr>
          <w:rFonts w:ascii="Amiri" w:hAnsi="Amiri" w:eastAsia="Amiri" w:cs="Amiri"/>
          <w:color w:val="111111"/>
          <w:sz w:val="28"/>
          <w:sz w:val="28"/>
          <w:szCs w:val="28"/>
          <w:rtl w:val="true"/>
          <w:lang w:bidi="ar-SA"/>
        </w:rPr>
        <w:t>بها، و لا تَقيّةَ عليهم و لا مانعَ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أظهَرُ مِن أن يَخفىٰ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جَعَلتم حصولَ الأمرِ في أبي بَكرٍ و إجتماعَ </w:t>
      </w:r>
      <w:r>
        <w:rPr>
          <w:rStyle w:val="FootnoteAnchor"/>
          <w:rtl w:val="true"/>
        </w:rPr>
        <w:footnoteReference w:id="3389"/>
      </w:r>
      <w:r>
        <w:rPr>
          <w:rFonts w:ascii="Amiri" w:hAnsi="Amiri" w:eastAsia="Amiri" w:cs="Amiri"/>
          <w:color w:val="111111"/>
          <w:sz w:val="28"/>
          <w:sz w:val="28"/>
          <w:szCs w:val="28"/>
          <w:rtl w:val="true"/>
          <w:lang w:bidi="ar-SA"/>
        </w:rPr>
        <w:t>الناسِ عليه سبباً لظهورِ النصِّ ، و هو بالضدِّ ممّا ذَكَرتموه</w:t>
      </w:r>
      <w:r>
        <w:rPr>
          <w:rStyle w:val="FootnoteAnchor"/>
          <w:rtl w:val="true"/>
        </w:rPr>
        <w:footnoteReference w:id="3390"/>
      </w:r>
      <w:r>
        <w:rPr>
          <w:rFonts w:ascii="Amiri" w:hAnsi="Amiri" w:eastAsia="Amiri" w:cs="Amiri"/>
          <w:color w:val="111111"/>
          <w:sz w:val="28"/>
          <w:sz w:val="28"/>
          <w:szCs w:val="28"/>
          <w:rtl w:val="true"/>
          <w:lang w:bidi="ar-SA"/>
        </w:rPr>
        <w:t>لأنّه و إن كان انعقَدَ</w:t>
      </w:r>
      <w:r>
        <w:rPr>
          <w:rStyle w:val="FootnoteAnchor"/>
          <w:rtl w:val="true"/>
        </w:rPr>
        <w:footnoteReference w:id="3391"/>
      </w:r>
      <w:r>
        <w:rPr>
          <w:rFonts w:ascii="Amiri" w:hAnsi="Amiri" w:eastAsia="Amiri" w:cs="Amiri"/>
          <w:color w:val="111111"/>
          <w:sz w:val="28"/>
          <w:sz w:val="28"/>
          <w:szCs w:val="28"/>
          <w:rtl w:val="true"/>
          <w:lang w:bidi="ar-SA"/>
        </w:rPr>
        <w:t xml:space="preserve">له فإنّما انعقَدَ بالاختيارِ لا بالنصِّ ، فكَيفَ يَكونُ حصولُ ضدِّ الشيءِ سبباً لظهورِه ؟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Style w:val="FootnoteAnchor"/>
          <w:rtl w:val="true"/>
        </w:rPr>
        <w:footnoteReference w:id="3392"/>
      </w:r>
      <w:r>
        <w:rPr>
          <w:rFonts w:ascii="Amiri" w:hAnsi="Amiri" w:eastAsia="Amiri" w:cs="Amiri"/>
          <w:color w:val="111111"/>
          <w:sz w:val="28"/>
          <w:sz w:val="28"/>
          <w:szCs w:val="28"/>
          <w:rtl w:val="true"/>
          <w:lang w:bidi="ar-SA"/>
        </w:rPr>
        <w:t>أنّ الأمرَ و إن كان جارياً علىٰ ما ذَكَره هذا المعترِضُ‌، ففيه أوضَحُ دَلالةٍ علىٰ بُطلانِ النصِّ‌؛ لأنّ وقوعَ العقدِ له</w:t>
      </w:r>
      <w:r>
        <w:rPr>
          <w:rStyle w:val="FootnoteAnchor"/>
          <w:rtl w:val="true"/>
        </w:rPr>
        <w:footnoteReference w:id="3393"/>
      </w:r>
      <w:r>
        <w:rPr>
          <w:rFonts w:ascii="Amiri" w:hAnsi="Amiri" w:eastAsia="Amiri" w:cs="Amiri"/>
          <w:color w:val="111111"/>
          <w:sz w:val="28"/>
          <w:sz w:val="28"/>
          <w:szCs w:val="28"/>
          <w:rtl w:val="true"/>
          <w:lang w:bidi="ar-SA"/>
        </w:rPr>
        <w:t>مِن جهةِ الاختيارِ، و</w:t>
      </w:r>
      <w:r>
        <w:rPr>
          <w:rStyle w:val="FootnoteAnchor"/>
          <w:rtl w:val="true"/>
        </w:rPr>
        <w:footnoteReference w:id="3394"/>
      </w:r>
      <w:r>
        <w:rPr>
          <w:rFonts w:ascii="Amiri" w:hAnsi="Amiri" w:eastAsia="Amiri" w:cs="Amiri"/>
          <w:color w:val="111111"/>
          <w:sz w:val="28"/>
          <w:sz w:val="28"/>
          <w:szCs w:val="28"/>
          <w:rtl w:val="true"/>
          <w:lang w:bidi="ar-SA"/>
        </w:rPr>
        <w:t>لَو كانَ هناكَ نصٌّ عليه لَم يَجُز أن يقَعَ مِن تلكَ الجهةِ‌؛ لأنّه إذا كانَ القومُ الذينَ عَقَدوا له لَم يَرغَبوا عنه، و لا عَدَلوا إلىٰ غيرِه، و لا هَمَّت نفسُ أحدِهم بجَرِّ الأمرِ إليها و الاستبدادِ به، فلا بُدَّ مِن امتثالِهم النصَّ لَو كانَت</w:t>
      </w:r>
      <w:r>
        <w:rPr>
          <w:rStyle w:val="FootnoteAnchor"/>
          <w:rtl w:val="true"/>
        </w:rPr>
        <w:footnoteReference w:id="3395"/>
      </w:r>
      <w:r>
        <w:rPr>
          <w:rFonts w:ascii="Amiri" w:hAnsi="Amiri" w:eastAsia="Amiri" w:cs="Amiri"/>
          <w:color w:val="111111"/>
          <w:sz w:val="28"/>
          <w:sz w:val="28"/>
          <w:szCs w:val="28"/>
          <w:rtl w:val="true"/>
          <w:lang w:bidi="ar-SA"/>
        </w:rPr>
        <w:t>له حقيقةٌ‌، و العملِ عليه دونَ غيرِه، اللّهمّ إلّاأن يَكونَ القومُ إنّما كانَ قَصدُهم خِلافَ الرسولِ صَلّى اللّٰهُ عَلَيه و آلِه</w:t>
      </w:r>
      <w:r>
        <w:rPr>
          <w:rStyle w:val="FootnoteAnchor"/>
          <w:rtl w:val="true"/>
        </w:rPr>
        <w:footnoteReference w:id="3396"/>
      </w:r>
      <w:r>
        <w:rPr>
          <w:rFonts w:ascii="Amiri" w:hAnsi="Amiri" w:eastAsia="Amiri" w:cs="Amiri"/>
          <w:color w:val="111111"/>
          <w:sz w:val="28"/>
          <w:sz w:val="28"/>
          <w:szCs w:val="28"/>
          <w:rtl w:val="true"/>
          <w:lang w:bidi="ar-SA"/>
        </w:rPr>
        <w:t>مجرَّداً؛ لأنّهم غيرُ متَّهَمينَ بقَصدِ المنصوصِ عليه، و قد عَقَدوا له و اجتَمَعوا معه و ناضَلوا مَن خالَفَه حتَّى استَوسَقَ‌</w:t>
      </w:r>
      <w:r>
        <w:rPr>
          <w:rStyle w:val="FootnoteAnchor"/>
          <w:rtl w:val="true"/>
        </w:rPr>
        <w:footnoteReference w:id="3397"/>
      </w:r>
      <w:r>
        <w:rPr>
          <w:rFonts w:ascii="Amiri" w:hAnsi="Amiri" w:eastAsia="Amiri" w:cs="Amiri"/>
          <w:color w:val="111111"/>
          <w:sz w:val="28"/>
          <w:sz w:val="28"/>
          <w:szCs w:val="28"/>
          <w:rtl w:val="true"/>
          <w:lang w:bidi="ar-SA"/>
        </w:rPr>
        <w:t>الأمرُ له</w:t>
      </w:r>
      <w:r>
        <w:rPr>
          <w:rStyle w:val="FootnoteAnchor"/>
          <w:rtl w:val="true"/>
        </w:rPr>
        <w:footnoteReference w:id="3398"/>
      </w:r>
      <w:r>
        <w:rPr>
          <w:rFonts w:ascii="Amiri" w:hAnsi="Amiri" w:eastAsia="Amiri" w:cs="Amiri"/>
          <w:color w:val="111111"/>
          <w:sz w:val="28"/>
          <w:sz w:val="28"/>
          <w:szCs w:val="28"/>
          <w:rtl w:val="true"/>
          <w:lang w:bidi="ar-SA"/>
        </w:rPr>
        <w:t>و انتظَمَ‌، فلَم يَبقَ‌</w:t>
      </w:r>
      <w:r>
        <w:rPr>
          <w:rStyle w:val="FootnoteAnchor"/>
          <w:rtl w:val="true"/>
        </w:rPr>
        <w:footnoteReference w:id="3399"/>
      </w:r>
      <w:r>
        <w:rPr>
          <w:rFonts w:ascii="Amiri" w:hAnsi="Amiri" w:eastAsia="Amiri" w:cs="Amiri"/>
          <w:color w:val="111111"/>
          <w:sz w:val="28"/>
          <w:sz w:val="28"/>
          <w:szCs w:val="28"/>
          <w:rtl w:val="true"/>
          <w:lang w:bidi="ar-SA"/>
        </w:rPr>
        <w:t>في عُدولِهم عن ذِكرِ النصِّ و امتثالِه</w:t>
      </w:r>
      <w:r>
        <w:rPr>
          <w:rStyle w:val="FootnoteAnchor"/>
          <w:rtl w:val="true"/>
        </w:rPr>
        <w:footnoteReference w:id="3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ارتفاعِ التُّهمَةِ عنهم فيما يَرجِعُ‌</w:t>
      </w:r>
      <w:r>
        <w:rPr>
          <w:rStyle w:val="FootnoteAnchor"/>
          <w:rtl w:val="true"/>
        </w:rPr>
        <w:footnoteReference w:id="3401"/>
      </w:r>
      <w:r>
        <w:rPr>
          <w:rFonts w:ascii="Amiri" w:hAnsi="Amiri" w:eastAsia="Amiri" w:cs="Amiri"/>
          <w:color w:val="111111"/>
          <w:sz w:val="28"/>
          <w:sz w:val="28"/>
          <w:szCs w:val="28"/>
          <w:rtl w:val="true"/>
          <w:lang w:bidi="ar-SA"/>
        </w:rPr>
        <w:t xml:space="preserve">إلَى المنصوصِ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يَكونوا قَصَدوا إلىٰ </w:t>
      </w:r>
      <w:r>
        <w:rPr>
          <w:rStyle w:val="FootnoteAnchor"/>
          <w:rtl w:val="true"/>
        </w:rPr>
        <w:footnoteReference w:id="3402"/>
      </w:r>
      <w:r>
        <w:rPr>
          <w:rFonts w:ascii="Amiri" w:hAnsi="Amiri" w:eastAsia="Amiri" w:cs="Amiri"/>
          <w:color w:val="111111"/>
          <w:sz w:val="28"/>
          <w:sz w:val="28"/>
          <w:szCs w:val="28"/>
          <w:rtl w:val="true"/>
          <w:lang w:bidi="ar-SA"/>
        </w:rPr>
        <w:t>خِلافِ الرسولِ صَلّى اللّٰهُ عليه و آلِه الذي وقَعَ النصُّ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القومُ عندَ مُخالِفينا و لا عندَنا بهذه الصفةِ </w:t>
      </w:r>
      <w:r>
        <w:rPr>
          <w:rFonts w:eastAsia="Amiri" w:cs="Amiri" w:ascii="Amiri" w:hAnsi="Amiri"/>
          <w:color w:val="111111"/>
          <w:sz w:val="28"/>
          <w:szCs w:val="28"/>
          <w:rtl w:val="true"/>
          <w:lang w:bidi="ar-SA"/>
        </w:rPr>
        <w:t xml:space="preserve">. </w:t>
      </w:r>
      <w:bookmarkStart w:id="542" w:name="pg20015_285123"/>
    </w:p>
    <w:p>
      <w:pPr>
        <w:pStyle w:val="Heading5"/>
        <w:numPr>
          <w:ilvl w:val="4"/>
          <w:numId w:val="1"/>
        </w:numPr>
        <w:rPr/>
      </w:pPr>
      <w:bookmarkStart w:id="543" w:name="__RefHeading___Toc895103_2320776876"/>
      <w:bookmarkStart w:id="544" w:name="_Toc193"/>
      <w:bookmarkEnd w:id="542"/>
      <w:bookmarkEnd w:id="543"/>
      <w:r>
        <w:rPr>
          <w:rtl w:val="true"/>
        </w:rPr>
        <w:t>الوجه الخامس</w:t>
      </w:r>
      <w:bookmarkEnd w:id="54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علَى ارتفاعِ العصمةِ عن أبي بَكرٍ، و إذا كُنّا قد دلَّلنا فيما تقدَّمَ علىٰ أنّ الإمامَ لا بُدَّ من</w:t>
      </w:r>
      <w:r>
        <w:rPr>
          <w:rStyle w:val="FootnoteAnchor"/>
          <w:rtl w:val="true"/>
        </w:rPr>
        <w:footnoteReference w:id="3403"/>
      </w:r>
      <w:r>
        <w:rPr>
          <w:rFonts w:ascii="Amiri" w:hAnsi="Amiri" w:eastAsia="Amiri" w:cs="Amiri"/>
          <w:color w:val="111111"/>
          <w:sz w:val="28"/>
          <w:sz w:val="28"/>
          <w:szCs w:val="28"/>
          <w:rtl w:val="true"/>
          <w:lang w:bidi="ar-SA"/>
        </w:rPr>
        <w:t>أن يكونَ معصوماً</w:t>
      </w:r>
      <w:r>
        <w:rPr>
          <w:rStyle w:val="FootnoteAnchor"/>
          <w:rtl w:val="true"/>
        </w:rPr>
        <w:footnoteReference w:id="3404"/>
      </w:r>
      <w:r>
        <w:rPr>
          <w:rFonts w:ascii="Amiri" w:hAnsi="Amiri" w:eastAsia="Amiri" w:cs="Amiri"/>
          <w:color w:val="111111"/>
          <w:sz w:val="28"/>
          <w:sz w:val="28"/>
          <w:szCs w:val="28"/>
          <w:rtl w:val="true"/>
          <w:lang w:bidi="ar-SA"/>
        </w:rPr>
        <w:t>، وَجَبَ نفيُ الإمامةِ عمّن عَلِمنا انتفاءَ العصمةِ عنه، و وَجَبَ علينا القضاءُ ببطلانِ النصِّ عليه؛ لأنّ النصَّ مِن الرسولِ صَلَّى اللّٰهُ عليه و آلِه لا يَجوزُ أن يقَعَ علىٰ مَن لا يَصلُحُ أن يَكونَ إماماً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لِمَن عارَضَنا بالبَكريّةِ و ادَّعىٰ أنّ نَقلَهم مساوٍ لنقلِنا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تَنفصلُ ممّن عارضَكَ و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تَدَّعيهِ مِن نَقلِ مُعجِزاتِ‌</w:t>
      </w:r>
      <w:r>
        <w:rPr>
          <w:rStyle w:val="FootnoteAnchor"/>
          <w:rtl w:val="true"/>
        </w:rPr>
        <w:footnoteReference w:id="3405"/>
      </w:r>
      <w:r>
        <w:rPr>
          <w:rFonts w:ascii="Amiri" w:hAnsi="Amiri" w:eastAsia="Amiri" w:cs="Amiri"/>
          <w:color w:val="111111"/>
          <w:sz w:val="28"/>
          <w:sz w:val="28"/>
          <w:szCs w:val="28"/>
          <w:rtl w:val="true"/>
          <w:lang w:bidi="ar-SA"/>
        </w:rPr>
        <w:t xml:space="preserve">الرسولِ و أعلامِه و بيّناتِه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الحَلّاجيّةِ‌</w:t>
      </w:r>
      <w:r>
        <w:rPr>
          <w:rStyle w:val="FootnoteAnchor"/>
          <w:rtl w:val="true"/>
        </w:rPr>
        <w:footnoteReference w:id="3406"/>
      </w:r>
      <w:r>
        <w:rPr>
          <w:rFonts w:ascii="Amiri" w:hAnsi="Amiri" w:eastAsia="Amiri" w:cs="Amiri"/>
          <w:color w:val="111111"/>
          <w:sz w:val="28"/>
          <w:sz w:val="28"/>
          <w:szCs w:val="28"/>
          <w:rtl w:val="true"/>
          <w:lang w:bidi="ar-SA"/>
        </w:rPr>
        <w:t xml:space="preserve">و البَنانيّةِ </w:t>
      </w:r>
      <w:r>
        <w:rPr>
          <w:rStyle w:val="FootnoteAnchor"/>
          <w:rtl w:val="true"/>
        </w:rPr>
        <w:footnoteReference w:id="3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الخَطّابيّةِ </w:t>
      </w:r>
      <w:r>
        <w:rPr>
          <w:rStyle w:val="FootnoteAnchor"/>
          <w:rtl w:val="true"/>
        </w:rPr>
        <w:footnoteReference w:id="3408"/>
      </w:r>
      <w:bookmarkStart w:id="545" w:name="pg20015_285124"/>
    </w:p>
    <w:p>
      <w:pPr>
        <w:pStyle w:val="BookText"/>
        <w:rPr/>
      </w:pPr>
      <w:bookmarkEnd w:id="5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المانَويّةِ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المَجوسِ لِما يَدَّعونَه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مُعجِزاتِ أصحابِهم، و جَعَلَ كُلَّ شيءٍ تَدَّعيهِ في تَميُّزِ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المسلمينَ حاصلاً في نَقلِ هذه الفِرَقِ؟ و هذا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يُمكِنُكَ الانفصالُ عنه و الإشارةُ إلىٰ فَرقٍ معقولٍ فيه إلّابِما يُمكِنُ الشيعةَ أن تَنفَصِلَ به و تَجعَلَه فَرقاً بَينَ نَقلِها و نَقلِ البَكريّةِ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 في ذلكَ فليَتَعاطَه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ليَعلَمَ 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895105_2320776876"/>
      <w:bookmarkStart w:id="547" w:name="_Toc194"/>
      <w:bookmarkEnd w:id="546"/>
      <w:r>
        <w:rPr>
          <w:rtl w:val="true"/>
        </w:rPr>
        <w:t>عدم مساواة البكريّة للإماميّة من حيث العدد</w:t>
      </w:r>
      <w:bookmarkEnd w:id="547"/>
    </w:p>
    <w:p>
      <w:pPr>
        <w:pStyle w:val="BookText"/>
        <w:rPr/>
      </w:pPr>
      <w:r>
        <w:rPr>
          <w:rFonts w:ascii="Amiri" w:hAnsi="Amiri" w:eastAsia="Amiri" w:cs="Amiri"/>
          <w:color w:val="111111"/>
          <w:sz w:val="28"/>
          <w:sz w:val="28"/>
          <w:szCs w:val="28"/>
          <w:rtl w:val="true"/>
          <w:lang w:bidi="ar-SA"/>
        </w:rPr>
        <w:t xml:space="preserve">فأمّا قَولُ صاحبِ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متىٰ قالوا في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غلوّه الباطل في حقّه تبرّأ منه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 ادّعى الإمامة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الخطّاب أنّ الأئمّة أنبياء ثمّ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وقف عيسى بن موسى صاحب المنصور على خبث دعوته قتله بسبخة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افترقت الخطّابيّة بعده فرقاً؛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زعموا أنّ الإمامة انتقلت من أبي الخطّاب إلى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لهم آراء و مسائل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بزيغ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عمير بن بيان العجليّ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الملل و النحل للشهرستاني،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التعريفات للجرجاني،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548" w:name="pg20015_285125"/>
    </w:p>
    <w:p>
      <w:pPr>
        <w:pStyle w:val="BookText"/>
        <w:rPr/>
      </w:pPr>
      <w:bookmarkEnd w:id="548"/>
      <w:r>
        <w:rPr>
          <w:rFonts w:ascii="Amiri" w:hAnsi="Amiri" w:eastAsia="Amiri" w:cs="Amiri"/>
          <w:color w:val="111111"/>
          <w:sz w:val="28"/>
          <w:sz w:val="28"/>
          <w:szCs w:val="28"/>
          <w:rtl w:val="true"/>
          <w:lang w:bidi="ar-SA"/>
        </w:rPr>
        <w:t>قَليلةٌ‌، قيلَ لهم في طائفتِهم مِثلُه؛ لأنّ شُيوخَنا قالوا كَيتَ و كَيتَ‌</w:t>
      </w:r>
      <w:r>
        <w:rPr>
          <w:rFonts w:eastAsia="Amiri" w:cs="Amiri" w:ascii="Amiri" w:hAnsi="Amiri"/>
          <w:color w:val="111111"/>
          <w:sz w:val="28"/>
          <w:szCs w:val="28"/>
          <w:rtl w:val="true"/>
          <w:lang w:bidi="ar-SA"/>
        </w:rPr>
        <w:t>».</w:t>
      </w:r>
      <w:r>
        <w:rPr>
          <w:rStyle w:val="FootnoteAnchor"/>
          <w:rtl w:val="true"/>
        </w:rPr>
        <w:footnoteReference w:id="3409"/>
      </w:r>
    </w:p>
    <w:p>
      <w:pPr>
        <w:pStyle w:val="BookText"/>
        <w:rPr/>
      </w:pPr>
      <w:r>
        <w:rPr>
          <w:rFonts w:ascii="Amiri" w:hAnsi="Amiri" w:eastAsia="Amiri" w:cs="Amiri"/>
          <w:color w:val="111111"/>
          <w:sz w:val="28"/>
          <w:sz w:val="28"/>
          <w:szCs w:val="28"/>
          <w:rtl w:val="true"/>
          <w:lang w:bidi="ar-SA"/>
        </w:rPr>
        <w:t>فقَد بيّنّا أنّ مَن يَدَّعي النصَّ مِن البَكريّةِ لا يَجوزُ أن يَتوَهَّمَ عاقلٌ مُساواتَهم في هذه الأزمانِ لفِرقةٍ مِن فِرَقِ الإماميّةِ‌، بَل لأهلِ مَحلّةٍ مِنهم، فَضلاً عن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حالَهم كحالِهم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دَعَته الضرورةُ إلىٰ أن يُسوّيَ </w:t>
      </w:r>
      <w:r>
        <w:rPr>
          <w:rStyle w:val="FootnoteAnchor"/>
          <w:rtl w:val="true"/>
        </w:rPr>
        <w:footnoteReference w:id="3410"/>
      </w:r>
      <w:r>
        <w:rPr>
          <w:rFonts w:ascii="Amiri" w:hAnsi="Amiri" w:eastAsia="Amiri" w:cs="Amiri"/>
          <w:color w:val="111111"/>
          <w:sz w:val="28"/>
          <w:sz w:val="28"/>
          <w:szCs w:val="28"/>
          <w:rtl w:val="true"/>
          <w:lang w:bidi="ar-SA"/>
        </w:rPr>
        <w:t>بَينَ مَن يَدَّعي النصَّ علىٰ أميرِ المؤمِنينَ عليه السلامُ و بَينَ مَن يَدَّعيه لأبي بَكرٍ</w:t>
      </w:r>
      <w:r>
        <w:rPr>
          <w:rStyle w:val="FootnoteAnchor"/>
          <w:rtl w:val="true"/>
        </w:rPr>
        <w:footnoteReference w:id="3411"/>
      </w:r>
      <w:r>
        <w:rPr>
          <w:rFonts w:ascii="Amiri" w:hAnsi="Amiri" w:eastAsia="Amiri" w:cs="Amiri"/>
          <w:color w:val="111111"/>
          <w:sz w:val="28"/>
          <w:sz w:val="28"/>
          <w:szCs w:val="28"/>
          <w:rtl w:val="true"/>
          <w:lang w:bidi="ar-SA"/>
        </w:rPr>
        <w:t xml:space="preserve">في هذه الأزمانِ كانَت صورتُه معروفةً ؛ اللّهمَّ إلّاأن يَدَّعيَ في أصلِ نَقلِ الشيعةِ الشُّذوذَ و القِلّةَ و مساواةَ البَكريّةِ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إذا ادُّعيَ كانَ أقرَبَ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سلَفَ أنّ أوّلَ الشيعةِ في نَقلِ النصِّ كآخِرِهم</w:t>
      </w:r>
      <w:r>
        <w:rPr>
          <w:rStyle w:val="FootnoteAnchor"/>
          <w:rtl w:val="true"/>
        </w:rPr>
        <w:footnoteReference w:id="3412"/>
      </w:r>
      <w:r>
        <w:rPr>
          <w:rFonts w:ascii="Amiri" w:hAnsi="Amiri" w:eastAsia="Amiri" w:cs="Amiri"/>
          <w:color w:val="111111"/>
          <w:sz w:val="28"/>
          <w:sz w:val="28"/>
          <w:szCs w:val="28"/>
          <w:rtl w:val="true"/>
          <w:lang w:bidi="ar-SA"/>
        </w:rPr>
        <w:t>، بما لا حاجةَ بِنا إلىٰ تَكرارِه</w:t>
      </w:r>
      <w:r>
        <w:rPr>
          <w:rFonts w:eastAsia="Amiri" w:cs="Amiri" w:ascii="Amiri" w:hAnsi="Amiri"/>
          <w:color w:val="111111"/>
          <w:sz w:val="28"/>
          <w:szCs w:val="28"/>
          <w:rtl w:val="true"/>
          <w:lang w:bidi="ar-SA"/>
        </w:rPr>
        <w:t>.</w:t>
      </w:r>
      <w:r>
        <w:rPr>
          <w:rStyle w:val="FootnoteAnchor"/>
          <w:rtl w:val="true"/>
        </w:rPr>
        <w:footnoteReference w:id="3413"/>
      </w:r>
    </w:p>
    <w:p>
      <w:pPr>
        <w:pStyle w:val="Heading4"/>
        <w:numPr>
          <w:ilvl w:val="3"/>
          <w:numId w:val="1"/>
        </w:numPr>
        <w:rPr/>
      </w:pPr>
      <w:bookmarkStart w:id="549" w:name="__RefHeading___Toc895107_2320776876"/>
      <w:bookmarkStart w:id="550" w:name="_Toc195"/>
      <w:bookmarkEnd w:id="549"/>
      <w:r>
        <w:rPr>
          <w:rtl w:val="true"/>
        </w:rPr>
        <w:t>إبطال دعوىٰ أنّ النصّ الجليّ ابتدعه أشخاص معروفون</w:t>
      </w:r>
      <w:bookmarkEnd w:id="55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تَجاسَرَ علىٰ ذلكَ ابنُ الراونديِّ‌، و أبو عيسىٰ‌، و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قَدَّمناه يُبطِلُه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كانَ ما ادَّعاه حَقّاً</w:t>
      </w:r>
      <w:r>
        <w:rPr>
          <w:rStyle w:val="FootnoteAnchor"/>
          <w:rtl w:val="true"/>
        </w:rPr>
        <w:footnoteReference w:id="3414"/>
      </w:r>
      <w:r>
        <w:rPr>
          <w:rFonts w:ascii="Amiri" w:hAnsi="Amiri" w:eastAsia="Amiri" w:cs="Amiri"/>
          <w:color w:val="111111"/>
          <w:sz w:val="28"/>
          <w:sz w:val="28"/>
          <w:szCs w:val="28"/>
          <w:rtl w:val="true"/>
          <w:lang w:bidi="ar-SA"/>
        </w:rPr>
        <w:t xml:space="preserve">لَوجَبَ أن يقَعَ لنا العِلمُ و لكُلِّ </w:t>
      </w:r>
      <w:r>
        <w:rPr>
          <w:rStyle w:val="FootnoteAnchor"/>
          <w:rtl w:val="true"/>
        </w:rPr>
        <w:footnoteReference w:id="3415"/>
      </w:r>
      <w:r>
        <w:rPr>
          <w:rFonts w:ascii="Amiri" w:hAnsi="Amiri" w:eastAsia="Amiri" w:cs="Amiri"/>
          <w:color w:val="111111"/>
          <w:sz w:val="28"/>
          <w:sz w:val="28"/>
          <w:szCs w:val="28"/>
          <w:rtl w:val="true"/>
          <w:lang w:bidi="ar-SA"/>
        </w:rPr>
        <w:t xml:space="preserve">مَن سَمِعَ الأخبارَ </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16"/>
      </w:r>
      <w:r>
        <w:rPr>
          <w:rFonts w:ascii="Amiri" w:hAnsi="Amiri" w:eastAsia="Amiri" w:cs="Amiri"/>
          <w:color w:val="111111"/>
          <w:sz w:val="28"/>
          <w:sz w:val="28"/>
          <w:szCs w:val="28"/>
          <w:rtl w:val="true"/>
          <w:lang w:bidi="ar-SA"/>
        </w:rPr>
        <w:t xml:space="preserve">خالَطَ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مِلّيٍّ و ذِمّيٍّ و شيعيٍّ و 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ادِّعاءَ النصِّ لَم يَتقَدَّمْ زَمَنَ هؤلاءِ المَذكورينَ‌، و أنّه لَم يُعرَفْ قَبلَهم، كما عَلِمَ‌</w:t>
      </w:r>
      <w:r>
        <w:rPr>
          <w:rStyle w:val="FootnoteAnchor"/>
          <w:rtl w:val="true"/>
        </w:rPr>
        <w:footnoteReference w:id="3417"/>
      </w:r>
      <w:r>
        <w:rPr>
          <w:rFonts w:ascii="Amiri" w:hAnsi="Amiri" w:eastAsia="Amiri" w:cs="Amiri"/>
          <w:color w:val="111111"/>
          <w:sz w:val="28"/>
          <w:sz w:val="28"/>
          <w:szCs w:val="28"/>
          <w:rtl w:val="true"/>
          <w:lang w:bidi="ar-SA"/>
        </w:rPr>
        <w:t>كُلُّ مَن سَمِعَ الأخبارَ أنّ قَولَ الخَوارجِ لَم يَتقَدَّمْ‌</w:t>
      </w:r>
      <w:r>
        <w:rPr>
          <w:rStyle w:val="FootnoteAnchor"/>
          <w:rtl w:val="true"/>
        </w:rPr>
        <w:footnoteReference w:id="3418"/>
      </w:r>
      <w:r>
        <w:rPr>
          <w:rFonts w:ascii="Amiri" w:hAnsi="Amiri" w:eastAsia="Amiri" w:cs="Amiri"/>
          <w:color w:val="111111"/>
          <w:sz w:val="28"/>
          <w:sz w:val="28"/>
          <w:szCs w:val="28"/>
          <w:rtl w:val="true"/>
          <w:lang w:bidi="ar-SA"/>
        </w:rPr>
        <w:t>زَمانَ حُدوثِهم، و كذلكَ قَولُ الجَهميّةِ و النَّجّاريّةِ‌، إلىٰ سائرِ الفِرَقِ التي نَشأَت و أحدَثَت أقوالاً لَم يُسبَقْ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عِلمِنا باختلافِ الأمرَينِ في بابِ العِلمِ و أنّ مَن خالَفَنا لا يُحيلُ فيما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النصِّ مُبتَدَأً في زَمانِ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التظَنّي و التوَهُّمِ و الأشبَهِ و الأليَقِ دليلٌ علىٰ بُطلانِ دَعوَى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ارتكَبَ منهم مُرتكِبٌ أنّه يَعلَمُ حدوثَ النصِّ في زَمَنِ مَن ذَكَرَه كما يَعلَمُ‌</w:t>
      </w:r>
      <w:r>
        <w:rPr>
          <w:rStyle w:val="FootnoteAnchor"/>
          <w:rtl w:val="true"/>
        </w:rPr>
        <w:footnoteReference w:id="3419"/>
      </w:r>
      <w:r>
        <w:rPr>
          <w:rFonts w:ascii="Amiri" w:hAnsi="Amiri" w:eastAsia="Amiri" w:cs="Amiri"/>
          <w:color w:val="111111"/>
          <w:sz w:val="28"/>
          <w:sz w:val="28"/>
          <w:szCs w:val="28"/>
          <w:rtl w:val="true"/>
          <w:lang w:bidi="ar-SA"/>
        </w:rPr>
        <w:t xml:space="preserve">ما ذَكَرناه لَم يَجِدْ فَرقاً بَينَه و بَينَ الشيعةِ إذا ادَّعَت أنّها تَعلَمُ أنّ النصَّ مُتقدِّمٌ لزَمانِ ابنِ الراوَنديِّ و هِشامٍ كما تَعلَمُ </w:t>
      </w:r>
      <w:r>
        <w:rPr>
          <w:rStyle w:val="FootnoteAnchor"/>
          <w:rtl w:val="true"/>
        </w:rPr>
        <w:footnoteReference w:id="3420"/>
      </w:r>
      <w:r>
        <w:rPr>
          <w:rFonts w:ascii="Amiri" w:hAnsi="Amiri" w:eastAsia="Amiri" w:cs="Amiri"/>
          <w:color w:val="111111"/>
          <w:sz w:val="28"/>
          <w:sz w:val="28"/>
          <w:szCs w:val="28"/>
          <w:rtl w:val="true"/>
          <w:lang w:bidi="ar-SA"/>
        </w:rPr>
        <w:t xml:space="preserve">أنّ القَولَ بالعَدلِ و المَنزلةِ بَينَ المَنزلتَينِ مُتقدِّمٌ لزَمانِ النَّظّامِ و أبي الهُذَيلِ ، و أنّ مَن ادَّعىٰ كَونَ النصِّ موقوفاً علىٰ زَمَنِ </w:t>
      </w:r>
      <w:r>
        <w:rPr>
          <w:rStyle w:val="FootnoteAnchor"/>
          <w:rtl w:val="true"/>
        </w:rPr>
        <w:footnoteReference w:id="3421"/>
      </w:r>
      <w:r>
        <w:rPr>
          <w:rFonts w:ascii="Amiri" w:hAnsi="Amiri" w:eastAsia="Amiri" w:cs="Amiri"/>
          <w:color w:val="111111"/>
          <w:sz w:val="28"/>
          <w:sz w:val="28"/>
          <w:szCs w:val="28"/>
          <w:rtl w:val="true"/>
          <w:lang w:bidi="ar-SA"/>
        </w:rPr>
        <w:t>ابنِ الراوَنديِّ عندَها</w:t>
      </w:r>
      <w:r>
        <w:rPr>
          <w:rStyle w:val="FootnoteAnchor"/>
          <w:rtl w:val="true"/>
        </w:rPr>
        <w:footnoteReference w:id="3422"/>
      </w:r>
      <w:r>
        <w:rPr>
          <w:rFonts w:ascii="Amiri" w:hAnsi="Amiri" w:eastAsia="Amiri" w:cs="Amiri"/>
          <w:color w:val="111111"/>
          <w:sz w:val="28"/>
          <w:sz w:val="28"/>
          <w:szCs w:val="28"/>
          <w:rtl w:val="true"/>
          <w:lang w:bidi="ar-SA"/>
        </w:rPr>
        <w:t xml:space="preserve">بمَنزلةِ مَن ادَّعىٰ كَونَ القَولِ بالعَدلِ و الوَعيدِ موقوفاً علىٰ زمَنِ النَّظّامِ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فمَن ارتكَبَ ما حَكَيناه في</w:t>
      </w:r>
      <w:r>
        <w:rPr>
          <w:rStyle w:val="FootnoteAnchor"/>
          <w:rtl w:val="true"/>
        </w:rPr>
        <w:footnoteReference w:id="3423"/>
      </w:r>
      <w:r>
        <w:rPr>
          <w:rFonts w:ascii="Amiri" w:hAnsi="Amiri" w:eastAsia="Amiri" w:cs="Amiri"/>
          <w:color w:val="111111"/>
          <w:sz w:val="28"/>
          <w:sz w:val="28"/>
          <w:szCs w:val="28"/>
          <w:rtl w:val="true"/>
          <w:lang w:bidi="ar-SA"/>
        </w:rPr>
        <w:t>نفسِه و ادَّعاه</w:t>
      </w:r>
      <w:r>
        <w:rPr>
          <w:rStyle w:val="FootnoteAnchor"/>
          <w:rtl w:val="true"/>
        </w:rPr>
        <w:footnoteReference w:id="3424"/>
      </w:r>
      <w:r>
        <w:rPr>
          <w:rFonts w:ascii="Amiri" w:hAnsi="Amiri" w:eastAsia="Amiri" w:cs="Amiri"/>
          <w:color w:val="111111"/>
          <w:sz w:val="28"/>
          <w:sz w:val="28"/>
          <w:szCs w:val="28"/>
          <w:rtl w:val="true"/>
          <w:lang w:bidi="ar-SA"/>
        </w:rPr>
        <w:t xml:space="preserve">عليها، لا يُمكِنُه أن يَدَّعيَه </w:t>
      </w:r>
    </w:p>
    <w:p>
      <w:pPr>
        <w:pStyle w:val="BookText"/>
        <w:rPr/>
      </w:pPr>
      <w:r>
        <w:rPr>
          <w:rFonts w:ascii="Amiri" w:hAnsi="Amiri" w:eastAsia="Amiri" w:cs="Amiri"/>
          <w:color w:val="111111"/>
          <w:sz w:val="28"/>
          <w:sz w:val="28"/>
          <w:szCs w:val="28"/>
          <w:rtl w:val="true"/>
          <w:lang w:bidi="ar-SA"/>
        </w:rPr>
        <w:t>علىٰ سائرِ الناسِ‌</w:t>
      </w:r>
      <w:r>
        <w:rPr>
          <w:rStyle w:val="FootnoteAnchor"/>
          <w:rtl w:val="true"/>
        </w:rPr>
        <w:footnoteReference w:id="3425"/>
      </w:r>
      <w:r>
        <w:rPr>
          <w:rFonts w:ascii="Amiri" w:hAnsi="Amiri" w:eastAsia="Amiri" w:cs="Amiri"/>
          <w:color w:val="111111"/>
          <w:sz w:val="28"/>
          <w:sz w:val="28"/>
          <w:szCs w:val="28"/>
          <w:rtl w:val="true"/>
          <w:lang w:bidi="ar-SA"/>
        </w:rPr>
        <w:t>السامِعينَ للأخبارِ و المُخالِطينَ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لا نَجِدُ غيرَه يَعلَمُ ما ادَّعىٰ عِلمَه، وَجَبَ أن نَقطَعَ علىٰ بُطلانِ دَعواه؛ لأنّ ما يوجِبُ تَساويَ الناسِ في العِلمِ بسائرِ الأُمورِ الظاهرةِ و حدوثِ المَذاهبِ الحادثةِ يَقتَضي تَساويَهم في هذا العِلمِ إن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أن يَكونَ القولُ مقصوراً علىٰ مَن صَنَّفَ الكلامَ في نُصرتِه و جمَعَ الحِجاجَ في تشييدِه، بل قد يكونُ القولُ معروفاً ظاهراً فيمن لا يَعرفُ الحِجاجَ و النظَرَ و لا يَقدِرُ علىٰ تصنيفِ الكتُبِ‌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هذا بطَلَتِ الشُّبهةُ في كَونِ النصِّ مُبتَدَأً مِن جهةِ هِشامٍ‌</w:t>
      </w:r>
      <w:r>
        <w:rPr>
          <w:rStyle w:val="FootnoteAnchor"/>
          <w:rtl w:val="true"/>
        </w:rPr>
        <w:footnoteReference w:id="3426"/>
      </w:r>
      <w:r>
        <w:rPr>
          <w:rFonts w:ascii="Amiri" w:hAnsi="Amiri" w:eastAsia="Amiri" w:cs="Amiri"/>
          <w:color w:val="111111"/>
          <w:sz w:val="28"/>
          <w:sz w:val="28"/>
          <w:szCs w:val="28"/>
          <w:rtl w:val="true"/>
          <w:lang w:bidi="ar-SA"/>
        </w:rPr>
        <w:t xml:space="preserve">أو مِن جهةِ ابنِ الراوَنديِّ ؛ لأنّها إنّما دَخَلَت علَى المخالِفينَ مِن حَيثُ لَم يَجِدوا للشيعةِ كلاماً مجموعاً في نُصرةِ النصِّ و تهذيبِ طُرُقِ الحِجاجِ فيه متقدِّماً لزَمَنِ </w:t>
      </w:r>
      <w:r>
        <w:rPr>
          <w:rStyle w:val="FootnoteAnchor"/>
          <w:rtl w:val="true"/>
        </w:rPr>
        <w:footnoteReference w:id="3427"/>
      </w:r>
      <w:r>
        <w:rPr>
          <w:rFonts w:ascii="Amiri" w:hAnsi="Amiri" w:eastAsia="Amiri" w:cs="Amiri"/>
          <w:color w:val="111111"/>
          <w:sz w:val="28"/>
          <w:sz w:val="28"/>
          <w:szCs w:val="28"/>
          <w:rtl w:val="true"/>
          <w:lang w:bidi="ar-SA"/>
        </w:rPr>
        <w:t xml:space="preserve">مَن أشاروا إليه، و ذلكَ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w:t>
      </w:r>
      <w:r>
        <w:rPr>
          <w:rStyle w:val="FootnoteAnchor"/>
          <w:rtl w:val="true"/>
        </w:rPr>
        <w:footnoteReference w:id="3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Style w:val="FootnoteAnchor"/>
          <w:rtl w:val="true"/>
        </w:rPr>
        <w:footnoteReference w:id="3429"/>
      </w:r>
      <w:r>
        <w:rPr>
          <w:rFonts w:ascii="Amiri" w:hAnsi="Amiri" w:eastAsia="Amiri" w:cs="Amiri"/>
          <w:color w:val="111111"/>
          <w:sz w:val="28"/>
          <w:sz w:val="28"/>
          <w:szCs w:val="28"/>
          <w:rtl w:val="true"/>
          <w:lang w:bidi="ar-SA"/>
        </w:rPr>
        <w:t>فيه شُبهةٌ ؛ لِما بيّنّاه مِن أنّ التصنيفَ و الجَمعَ لا يَكونانِ دَلالةً علَى ابتداءِ القولِ فيه</w:t>
      </w:r>
      <w:r>
        <w:rPr>
          <w:rStyle w:val="FootnoteAnchor"/>
          <w:rtl w:val="true"/>
        </w:rPr>
        <w:footnoteReference w:id="3430"/>
      </w:r>
      <w:r>
        <w:rPr>
          <w:rFonts w:ascii="Amiri" w:hAnsi="Amiri" w:eastAsia="Amiri" w:cs="Amiri"/>
          <w:color w:val="111111"/>
          <w:sz w:val="28"/>
          <w:sz w:val="28"/>
          <w:szCs w:val="28"/>
          <w:rtl w:val="true"/>
          <w:lang w:bidi="ar-SA"/>
        </w:rPr>
        <w:t xml:space="preserve">مِن المصنِّفِ </w:t>
      </w:r>
      <w:r>
        <w:rPr>
          <w:rFonts w:eastAsia="Amiri" w:cs="Amiri" w:ascii="Amiri" w:hAnsi="Amiri"/>
          <w:color w:val="111111"/>
          <w:sz w:val="28"/>
          <w:szCs w:val="28"/>
          <w:rtl w:val="true"/>
          <w:lang w:bidi="ar-SA"/>
        </w:rPr>
        <w:t xml:space="preserve">. </w:t>
      </w:r>
      <w:bookmarkStart w:id="551" w:name="pg20015_285128"/>
    </w:p>
    <w:p>
      <w:pPr>
        <w:pStyle w:val="Heading3"/>
        <w:numPr>
          <w:ilvl w:val="2"/>
          <w:numId w:val="1"/>
        </w:numPr>
        <w:rPr/>
      </w:pPr>
      <w:bookmarkStart w:id="552" w:name="__RefHeading___Toc895109_2320776876"/>
      <w:bookmarkStart w:id="553" w:name="_Toc196"/>
      <w:bookmarkEnd w:id="551"/>
      <w:bookmarkEnd w:id="552"/>
      <w:r>
        <w:rPr>
          <w:rtl w:val="true"/>
        </w:rPr>
        <w:t>الكلام في النصّ علىٰ إمامة العبّاس</w:t>
      </w:r>
      <w:bookmarkEnd w:id="553"/>
    </w:p>
    <w:p>
      <w:pPr>
        <w:pStyle w:val="Heading4"/>
        <w:numPr>
          <w:ilvl w:val="3"/>
          <w:numId w:val="1"/>
        </w:numPr>
        <w:rPr/>
      </w:pPr>
      <w:bookmarkStart w:id="554" w:name="__RefHeading___Toc895111_2320776876"/>
      <w:bookmarkStart w:id="555" w:name="_Toc19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w:t>
      </w:r>
      <w:r>
        <w:rPr>
          <w:rStyle w:val="FootnoteAnchor"/>
          <w:rtl w:val="true"/>
        </w:rPr>
        <w:footnoteReference w:id="3431"/>
      </w:r>
      <w:r>
        <w:rPr>
          <w:rFonts w:ascii="Amiri" w:hAnsi="Amiri" w:eastAsia="Amiri" w:cs="Amiri"/>
          <w:color w:val="111111"/>
          <w:sz w:val="28"/>
          <w:sz w:val="28"/>
          <w:szCs w:val="28"/>
          <w:rtl w:val="true"/>
          <w:lang w:bidi="ar-SA"/>
        </w:rPr>
        <w:t>جازَ حصولُ النصِّ علىٰ هذه الطريقةِ‌، و يَختَصُّ بمعرفتِه قومٌ دونَ قومٍ علىٰ بعضِ الوجوهِ‌، لِيَجوزَنّ ادّعاءُ النصِّ علَى العبّاسِ و غيرِه، و إنِ‌</w:t>
      </w:r>
      <w:r>
        <w:rPr>
          <w:rStyle w:val="FootnoteAnchor"/>
          <w:rtl w:val="true"/>
        </w:rPr>
        <w:footnoteReference w:id="3432"/>
      </w:r>
      <w:r>
        <w:rPr>
          <w:rFonts w:ascii="Amiri" w:hAnsi="Amiri" w:eastAsia="Amiri" w:cs="Amiri"/>
          <w:color w:val="111111"/>
          <w:sz w:val="28"/>
          <w:sz w:val="28"/>
          <w:szCs w:val="28"/>
          <w:rtl w:val="true"/>
          <w:lang w:bidi="ar-SA"/>
        </w:rPr>
        <w:t xml:space="preserve">اختَصَّ بمعرفتِه قومٌ دونَ قومٍ </w:t>
      </w:r>
      <w:r>
        <w:rPr>
          <w:rStyle w:val="FootnoteAnchor"/>
          <w:rtl w:val="true"/>
        </w:rPr>
        <w:footnoteReference w:id="3433"/>
      </w:r>
      <w:r>
        <w:rPr>
          <w:rFonts w:ascii="Amiri" w:hAnsi="Amiri" w:eastAsia="Amiri" w:cs="Amiri"/>
          <w:color w:val="111111"/>
          <w:sz w:val="28"/>
          <w:sz w:val="28"/>
          <w:szCs w:val="28"/>
          <w:rtl w:val="true"/>
          <w:lang w:bidi="ar-SA"/>
        </w:rPr>
        <w:t xml:space="preserve">ثُمّ انقطَعَ النقلُ ؛ لأنّه إن جازَ انقطاعُ </w:t>
      </w:r>
      <w:r>
        <w:rPr>
          <w:rStyle w:val="FootnoteAnchor"/>
          <w:rtl w:val="true"/>
        </w:rPr>
        <w:footnoteReference w:id="3434"/>
      </w:r>
      <w:r>
        <w:rPr>
          <w:rFonts w:ascii="Amiri" w:hAnsi="Amiri" w:eastAsia="Amiri" w:cs="Amiri"/>
          <w:color w:val="111111"/>
          <w:sz w:val="28"/>
          <w:sz w:val="28"/>
          <w:szCs w:val="28"/>
          <w:rtl w:val="true"/>
          <w:lang w:bidi="ar-SA"/>
        </w:rPr>
        <w:t>النقلِ فيما يعُمُّ تكليفُه عن بعضٍ دونَ بعضٍ جازَ انقطاعُه عن جميعِ المكلَّفينَ كذلكَ ؛ لأنّ ما أوجَبَ إزاحةَ العِلّةِ في كُلِّهم يوجِبُ إزاحةَ العِلّةِ في بعضِهم</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بما يُدَّعىٰ مِن النصِّ علَى العبّاسِ أبعَدُ عن</w:t>
      </w:r>
      <w:r>
        <w:rPr>
          <w:rStyle w:val="FootnoteAnchor"/>
          <w:rtl w:val="true"/>
        </w:rPr>
        <w:footnoteReference w:id="3437"/>
      </w:r>
      <w:r>
        <w:rPr>
          <w:rFonts w:ascii="Amiri" w:hAnsi="Amiri" w:eastAsia="Amiri" w:cs="Amiri"/>
          <w:color w:val="111111"/>
          <w:sz w:val="28"/>
          <w:sz w:val="28"/>
          <w:szCs w:val="28"/>
          <w:rtl w:val="true"/>
          <w:lang w:bidi="ar-SA"/>
        </w:rPr>
        <w:t>الصوابِ مِن المعارَضةِ بالنصِّ علىٰ أبي بَكرٍ</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95113_2320776876"/>
      <w:bookmarkStart w:id="557" w:name="_Toc198"/>
      <w:bookmarkEnd w:id="556"/>
      <w:r>
        <w:rPr>
          <w:rtl w:val="true"/>
        </w:rPr>
        <w:t>الوجوه الدالّة علىٰ فساد النصّ على العبّاس</w:t>
      </w:r>
      <w:bookmarkEnd w:id="557"/>
    </w:p>
    <w:p>
      <w:pPr>
        <w:pStyle w:val="Heading5"/>
        <w:numPr>
          <w:ilvl w:val="4"/>
          <w:numId w:val="1"/>
        </w:numPr>
        <w:rPr/>
      </w:pPr>
      <w:bookmarkStart w:id="558" w:name="__RefHeading___Toc895115_2320776876"/>
      <w:bookmarkStart w:id="559" w:name="_Toc199"/>
      <w:bookmarkEnd w:id="558"/>
      <w:r>
        <w:rPr>
          <w:rtl w:val="true"/>
        </w:rPr>
        <w:t>اشارة</w:t>
      </w:r>
      <w:bookmarkEnd w:id="5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يبيِّنُ بُطلانَ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بَينَها و بَينَ ما يَذهَبُ </w:t>
      </w:r>
      <w:r>
        <w:rPr>
          <w:rStyle w:val="FootnoteAnchor"/>
          <w:rtl w:val="true"/>
        </w:rPr>
        <w:footnoteReference w:id="3438"/>
      </w:r>
      <w:r>
        <w:rPr>
          <w:rFonts w:ascii="Amiri" w:hAnsi="Amiri" w:eastAsia="Amiri" w:cs="Amiri"/>
          <w:color w:val="111111"/>
          <w:sz w:val="28"/>
          <w:sz w:val="28"/>
          <w:szCs w:val="28"/>
          <w:rtl w:val="true"/>
          <w:lang w:bidi="ar-SA"/>
        </w:rPr>
        <w:t xml:space="preserve">إليه الشيعةُ في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bookmarkStart w:id="560" w:name="pg20015_285129"/>
    </w:p>
    <w:p>
      <w:pPr>
        <w:pStyle w:val="Heading5"/>
        <w:numPr>
          <w:ilvl w:val="4"/>
          <w:numId w:val="1"/>
        </w:numPr>
        <w:rPr/>
      </w:pPr>
      <w:bookmarkStart w:id="561" w:name="__RefHeading___Toc895117_2320776876"/>
      <w:bookmarkStart w:id="562" w:name="_Toc200"/>
      <w:bookmarkEnd w:id="560"/>
      <w:bookmarkEnd w:id="561"/>
      <w:r>
        <w:rPr>
          <w:rtl w:val="true"/>
        </w:rPr>
        <w:t>الوجه الأوّل</w:t>
      </w:r>
      <w:bookmarkEnd w:id="56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نَسمعُ بهذه المَقالةِ إلّاحكايةً‌، و ما شاهَدْنا قَطُّ و لا شاهَدَ مَن أخبَرَنا ممّن لَقيناه قوماً يَدينونَ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في شُذوذِ أهلِها أظهَرُ مِن الحالِ في شُذوذِ البَكريّةِ‌؛ فإنّ البَكريّةَ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نَلقَ منهم إلّاآحاداً</w:t>
      </w:r>
      <w:r>
        <w:rPr>
          <w:rStyle w:val="FootnoteAnchor"/>
          <w:rtl w:val="true"/>
        </w:rPr>
        <w:footnoteReference w:id="3439"/>
      </w:r>
      <w:r>
        <w:rPr>
          <w:rFonts w:ascii="Amiri" w:hAnsi="Amiri" w:eastAsia="Amiri" w:cs="Amiri"/>
          <w:color w:val="111111"/>
          <w:sz w:val="28"/>
          <w:sz w:val="28"/>
          <w:szCs w:val="28"/>
          <w:rtl w:val="true"/>
          <w:lang w:bidi="ar-SA"/>
        </w:rPr>
        <w:t>لا تَقومُ‌</w:t>
      </w:r>
      <w:r>
        <w:rPr>
          <w:rStyle w:val="FootnoteAnchor"/>
          <w:rtl w:val="true"/>
        </w:rPr>
        <w:footnoteReference w:id="3440"/>
      </w:r>
      <w:r>
        <w:rPr>
          <w:rFonts w:ascii="Amiri" w:hAnsi="Amiri" w:eastAsia="Amiri" w:cs="Amiri"/>
          <w:color w:val="111111"/>
          <w:sz w:val="28"/>
          <w:sz w:val="28"/>
          <w:szCs w:val="28"/>
          <w:rtl w:val="true"/>
          <w:lang w:bidi="ar-SA"/>
        </w:rPr>
        <w:t xml:space="preserve">الحُجّةُ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وُجِدوا علىٰ حالٍ و عُرِفَ في جُملةِ الناسِ مَن يَذهَبُ إلَى المَقالةِ المَرويّةِ عنهم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في العَبّاسيّةِ‌، و لَولا أنّ الجاحِظَ صَنَّفَ كتاباً حَكىٰ فيه مَقالَتَهم</w:t>
      </w:r>
      <w:r>
        <w:rPr>
          <w:rStyle w:val="FootnoteAnchor"/>
          <w:rtl w:val="true"/>
        </w:rPr>
        <w:footnoteReference w:id="3441"/>
      </w:r>
      <w:r>
        <w:rPr>
          <w:rFonts w:ascii="Amiri" w:hAnsi="Amiri" w:eastAsia="Amiri" w:cs="Amiri"/>
          <w:color w:val="111111"/>
          <w:sz w:val="28"/>
          <w:sz w:val="28"/>
          <w:szCs w:val="28"/>
          <w:rtl w:val="true"/>
          <w:lang w:bidi="ar-SA"/>
        </w:rPr>
        <w:t>و أورَدَ فيه ضَرباً مِن الحِجاجِ نَسَبَه</w:t>
      </w:r>
      <w:r>
        <w:rPr>
          <w:rStyle w:val="FootnoteAnchor"/>
          <w:rtl w:val="true"/>
        </w:rPr>
        <w:footnoteReference w:id="3442"/>
      </w:r>
      <w:r>
        <w:rPr>
          <w:rFonts w:ascii="Amiri" w:hAnsi="Amiri" w:eastAsia="Amiri" w:cs="Amiri"/>
          <w:color w:val="111111"/>
          <w:sz w:val="28"/>
          <w:sz w:val="28"/>
          <w:szCs w:val="28"/>
          <w:rtl w:val="true"/>
          <w:lang w:bidi="ar-SA"/>
        </w:rPr>
        <w:t>إليهم، لَما عُرِفَت</w:t>
      </w:r>
      <w:r>
        <w:rPr>
          <w:rStyle w:val="FootnoteAnchor"/>
          <w:rtl w:val="true"/>
        </w:rPr>
        <w:footnoteReference w:id="3443"/>
      </w:r>
      <w:r>
        <w:rPr>
          <w:rFonts w:ascii="Amiri" w:hAnsi="Amiri" w:eastAsia="Amiri" w:cs="Amiri"/>
          <w:color w:val="111111"/>
          <w:sz w:val="28"/>
          <w:sz w:val="28"/>
          <w:szCs w:val="28"/>
          <w:rtl w:val="true"/>
          <w:lang w:bidi="ar-SA"/>
        </w:rPr>
        <w:t>لهم شُبهةٌ و لا طريقةٌ تُعتمَدُ</w:t>
      </w:r>
      <w:r>
        <w:rPr>
          <w:rStyle w:val="FootnoteAnchor"/>
          <w:rtl w:val="true"/>
        </w:rPr>
        <w:footnoteReference w:id="3444"/>
      </w:r>
      <w:r>
        <w:rPr>
          <w:rFonts w:ascii="Amiri" w:hAnsi="Amiri" w:eastAsia="Amiri" w:cs="Amiri"/>
          <w:color w:val="111111"/>
          <w:sz w:val="28"/>
          <w:sz w:val="28"/>
          <w:szCs w:val="28"/>
          <w:rtl w:val="true"/>
          <w:lang w:bidi="ar-SA"/>
        </w:rPr>
        <w:t>في نُصرةِ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قوماً ممّن أرادَ التسَلُّقَ‌</w:t>
      </w:r>
      <w:r>
        <w:rPr>
          <w:rStyle w:val="FootnoteAnchor"/>
          <w:rtl w:val="true"/>
        </w:rPr>
        <w:footnoteReference w:id="3445"/>
      </w:r>
      <w:r>
        <w:rPr>
          <w:rFonts w:ascii="Amiri" w:hAnsi="Amiri" w:eastAsia="Amiri" w:cs="Amiri"/>
          <w:color w:val="111111"/>
          <w:sz w:val="28"/>
          <w:sz w:val="28"/>
          <w:szCs w:val="28"/>
          <w:rtl w:val="true"/>
          <w:lang w:bidi="ar-SA"/>
        </w:rPr>
        <w:t>و التوَصُّلَ‌</w:t>
      </w:r>
      <w:r>
        <w:rPr>
          <w:rStyle w:val="FootnoteAnchor"/>
          <w:rtl w:val="true"/>
        </w:rPr>
        <w:footnoteReference w:id="3446"/>
      </w:r>
      <w:r>
        <w:rPr>
          <w:rFonts w:ascii="Amiri" w:hAnsi="Amiri" w:eastAsia="Amiri" w:cs="Amiri"/>
          <w:color w:val="111111"/>
          <w:sz w:val="28"/>
          <w:sz w:val="28"/>
          <w:szCs w:val="28"/>
          <w:rtl w:val="true"/>
          <w:lang w:bidi="ar-SA"/>
        </w:rPr>
        <w:t>إلىٰ مَنافعِ الدُّنيا تَقَرَّبَ‌</w:t>
      </w:r>
      <w:r>
        <w:rPr>
          <w:rStyle w:val="FootnoteAnchor"/>
          <w:rtl w:val="true"/>
        </w:rPr>
        <w:footnoteReference w:id="3447"/>
      </w:r>
      <w:r>
        <w:rPr>
          <w:rFonts w:ascii="Amiri" w:hAnsi="Amiri" w:eastAsia="Amiri" w:cs="Amiri"/>
          <w:color w:val="111111"/>
          <w:sz w:val="28"/>
          <w:sz w:val="28"/>
          <w:szCs w:val="28"/>
          <w:rtl w:val="true"/>
          <w:lang w:bidi="ar-SA"/>
        </w:rPr>
        <w:t>إلىٰ بعضِ خُلَفاءِ وَلَدِ العبّاسِ بذِكرِ هذا المَذهَبِ و إظهارِ اعتقادِه</w:t>
      </w:r>
      <w:r>
        <w:rPr>
          <w:rStyle w:val="FootnoteAnchor"/>
          <w:rtl w:val="true"/>
        </w:rPr>
        <w:footnoteReference w:id="3448"/>
      </w:r>
      <w:r>
        <w:rPr>
          <w:rFonts w:ascii="Amiri" w:hAnsi="Amiri" w:eastAsia="Amiri" w:cs="Amiri"/>
          <w:color w:val="111111"/>
          <w:sz w:val="28"/>
          <w:sz w:val="28"/>
          <w:szCs w:val="28"/>
          <w:rtl w:val="true"/>
          <w:lang w:bidi="ar-SA"/>
        </w:rPr>
        <w:t>، ثُمّ انقرَضَ أهلُه، و انقطَعَ نظامُ القائلينَ به؛ لِانقطاعِ الأسبابِ و الدَّواعي لهم إلىٰ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جعَلَ ما يُحكىٰ مِن هذه المَقالةِ الضعيفةِ الشاذّةِ مُعارَضةً لقَولِ الشيعةِ في النصِّ‌، فقَد خرَجَ عن الغايةِ في البَهتِ </w:t>
      </w:r>
      <w:r>
        <w:rPr>
          <w:rStyle w:val="FootnoteAnchor"/>
          <w:rtl w:val="true"/>
        </w:rPr>
        <w:footnoteReference w:id="3449"/>
      </w:r>
      <w:r>
        <w:rPr>
          <w:rFonts w:ascii="Amiri" w:hAnsi="Amiri" w:eastAsia="Amiri" w:cs="Amiri"/>
          <w:color w:val="111111"/>
          <w:sz w:val="28"/>
          <w:sz w:val="28"/>
          <w:szCs w:val="28"/>
          <w:rtl w:val="true"/>
          <w:lang w:bidi="ar-SA"/>
        </w:rPr>
        <w:t xml:space="preserve">و المُكابَرةِ </w:t>
      </w:r>
      <w:r>
        <w:rPr>
          <w:rFonts w:eastAsia="Amiri" w:cs="Amiri" w:ascii="Amiri" w:hAnsi="Amiri"/>
          <w:color w:val="111111"/>
          <w:sz w:val="28"/>
          <w:szCs w:val="28"/>
          <w:rtl w:val="true"/>
          <w:lang w:bidi="ar-SA"/>
        </w:rPr>
        <w:t xml:space="preserve">. </w:t>
      </w:r>
      <w:bookmarkStart w:id="563" w:name="pg20015_285130"/>
    </w:p>
    <w:p>
      <w:pPr>
        <w:pStyle w:val="Heading5"/>
        <w:numPr>
          <w:ilvl w:val="4"/>
          <w:numId w:val="1"/>
        </w:numPr>
        <w:rPr/>
      </w:pPr>
      <w:bookmarkStart w:id="564" w:name="__RefHeading___Toc895119_2320776876"/>
      <w:bookmarkStart w:id="565" w:name="_Toc201"/>
      <w:bookmarkEnd w:id="563"/>
      <w:bookmarkEnd w:id="564"/>
      <w:r>
        <w:rPr>
          <w:rtl w:val="true"/>
        </w:rPr>
        <w:t>الوجه الثاني</w:t>
      </w:r>
      <w:bookmarkEnd w:id="5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يُحكىٰ عن</w:t>
      </w:r>
      <w:r>
        <w:rPr>
          <w:rStyle w:val="FootnoteAnchor"/>
          <w:rtl w:val="true"/>
        </w:rPr>
        <w:footnoteReference w:id="3450"/>
      </w:r>
      <w:r>
        <w:rPr>
          <w:rFonts w:ascii="Amiri" w:hAnsi="Amiri" w:eastAsia="Amiri" w:cs="Amiri"/>
          <w:color w:val="111111"/>
          <w:sz w:val="28"/>
          <w:sz w:val="28"/>
          <w:szCs w:val="28"/>
          <w:rtl w:val="true"/>
          <w:lang w:bidi="ar-SA"/>
        </w:rPr>
        <w:t>هذه الفِرقةِ التي أخبَرنا</w:t>
      </w:r>
      <w:r>
        <w:rPr>
          <w:rStyle w:val="FootnoteAnchor"/>
          <w:rtl w:val="true"/>
        </w:rPr>
        <w:footnoteReference w:id="3451"/>
      </w:r>
      <w:r>
        <w:rPr>
          <w:rFonts w:ascii="Amiri" w:hAnsi="Amiri" w:eastAsia="Amiri" w:cs="Amiri"/>
          <w:color w:val="111111"/>
          <w:sz w:val="28"/>
          <w:sz w:val="28"/>
          <w:szCs w:val="28"/>
          <w:rtl w:val="true"/>
          <w:lang w:bidi="ar-SA"/>
        </w:rPr>
        <w:t>عن شُذوذِها و انقراضِها مخالِفٌ أيضاً لِما تَدينُ به الشيعةُ مِن النصِّ‌؛ لأنّهم يعوِّلونَ فيما يَدَّعونه مِن النصِّ علىٰ صاحبِهم</w:t>
      </w:r>
      <w:r>
        <w:rPr>
          <w:rStyle w:val="FootnoteAnchor"/>
          <w:rtl w:val="true"/>
        </w:rPr>
        <w:footnoteReference w:id="3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Style w:val="FootnoteAnchor"/>
          <w:rtl w:val="true"/>
        </w:rPr>
        <w:footnoteReference w:id="3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أخبارِ آحادٍ لَيسَ في شيءٍ منها تصريحٌ بنَصٍّ و لا تعريضٌ به</w:t>
      </w:r>
      <w:r>
        <w:rPr>
          <w:rStyle w:val="FootnoteAnchor"/>
          <w:rtl w:val="true"/>
        </w:rPr>
        <w:footnoteReference w:id="3454"/>
      </w:r>
      <w:r>
        <w:rPr>
          <w:rFonts w:ascii="Amiri" w:hAnsi="Amiri" w:eastAsia="Amiri" w:cs="Amiri"/>
          <w:color w:val="111111"/>
          <w:sz w:val="28"/>
          <w:sz w:val="28"/>
          <w:szCs w:val="28"/>
          <w:rtl w:val="true"/>
          <w:lang w:bidi="ar-SA"/>
        </w:rPr>
        <w:t>، و لا دَلالةَ عليه مِن فحوىً و لا ظاهرٍ؛ و إنّما يَعتمِدونَ علىٰ أنّ العَمَّ وارِثٌ‌، و أنّه يَستحِقُّ وِراثةَ المَقامِ كما يَستحِقُّ وِراثةَ المالِ‌، و علىٰ ما رُويَ‌</w:t>
      </w:r>
    </w:p>
    <w:p>
      <w:pPr>
        <w:pStyle w:val="BookText"/>
        <w:rPr/>
      </w:pP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 أبي</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6"/>
      </w:r>
      <w:r>
        <w:rPr>
          <w:rFonts w:ascii="Amiri" w:hAnsi="Amiri" w:eastAsia="Amiri" w:cs="Amiri"/>
          <w:color w:val="111111"/>
          <w:sz w:val="28"/>
          <w:sz w:val="28"/>
          <w:szCs w:val="28"/>
          <w:rtl w:val="true"/>
          <w:lang w:bidi="ar-SA"/>
        </w:rPr>
        <w:t xml:space="preserve">و ما أشبَهَ هذا مِن الأخبارِ التي إذا سُلِّمَ نقلُها، و صَحَّت الروايةُ المتضمِّنةُ لها، لَم يَكُن فيها دَلالةٌ علَى النصِّ و لا أمارةٌ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اعتبارَ بمَن يَحمِلُ نفسَه مِن مخالِفينا علىٰ أن يَحكيَ عنهم القولَ بالنصِّ الجَليِّ الذي يوجِبُ العِلمَ و يُزيلُ الرَّيبَ كما تَقولُ </w:t>
      </w:r>
      <w:r>
        <w:rPr>
          <w:rStyle w:val="FootnoteAnchor"/>
          <w:rtl w:val="true"/>
        </w:rPr>
        <w:footnoteReference w:id="3457"/>
      </w:r>
      <w:r>
        <w:rPr>
          <w:rFonts w:ascii="Amiri" w:hAnsi="Amiri" w:eastAsia="Amiri" w:cs="Amiri"/>
          <w:color w:val="111111"/>
          <w:sz w:val="28"/>
          <w:sz w:val="28"/>
          <w:szCs w:val="28"/>
          <w:rtl w:val="true"/>
          <w:lang w:bidi="ar-SA"/>
        </w:rPr>
        <w:t>الشيعةُ ؛ لأنّ هذا القولَ مِن</w:t>
      </w:r>
      <w:r>
        <w:rPr>
          <w:rStyle w:val="FootnoteAnchor"/>
          <w:rtl w:val="true"/>
        </w:rPr>
        <w:footnoteReference w:id="3458"/>
      </w:r>
      <w:r>
        <w:rPr>
          <w:rFonts w:ascii="Amiri" w:hAnsi="Amiri" w:eastAsia="Amiri" w:cs="Amiri"/>
          <w:color w:val="111111"/>
          <w:sz w:val="28"/>
          <w:sz w:val="28"/>
          <w:szCs w:val="28"/>
          <w:rtl w:val="true"/>
          <w:lang w:bidi="ar-SA"/>
        </w:rPr>
        <w:t>قائلِه لا يُغني عنه شيئاً، مع</w:t>
      </w:r>
      <w:r>
        <w:rPr>
          <w:rStyle w:val="FootnoteAnchor"/>
          <w:rtl w:val="true"/>
        </w:rPr>
        <w:footnoteReference w:id="3459"/>
      </w:r>
      <w:r>
        <w:rPr>
          <w:rFonts w:ascii="Amiri" w:hAnsi="Amiri" w:eastAsia="Amiri" w:cs="Amiri"/>
          <w:color w:val="111111"/>
          <w:sz w:val="28"/>
          <w:sz w:val="28"/>
          <w:szCs w:val="28"/>
          <w:rtl w:val="true"/>
          <w:lang w:bidi="ar-SA"/>
        </w:rPr>
        <w:t>العِلمِ بما حُكيَ مِن مَقالةِ هذه الفِرقةِ و سُطِرَ في</w:t>
      </w:r>
      <w:r>
        <w:rPr>
          <w:rStyle w:val="FootnoteAnchor"/>
          <w:rtl w:val="true"/>
        </w:rPr>
        <w:footnoteReference w:id="3460"/>
      </w:r>
      <w:r>
        <w:rPr>
          <w:rFonts w:ascii="Amiri" w:hAnsi="Amiri" w:eastAsia="Amiri" w:cs="Amiri"/>
          <w:color w:val="111111"/>
          <w:sz w:val="28"/>
          <w:sz w:val="28"/>
          <w:szCs w:val="28"/>
          <w:rtl w:val="true"/>
          <w:lang w:bidi="ar-SA"/>
        </w:rPr>
        <w:t>احتجاجِها و استدلالِها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يُرجَعْ في ذلكَ إلّاإلىٰ ما صنَّفَه الجاحظُ لهم، لَكانَ </w:t>
      </w:r>
    </w:p>
    <w:p>
      <w:pPr>
        <w:pStyle w:val="BookText"/>
        <w:rPr/>
      </w:pPr>
      <w:r>
        <w:rPr>
          <w:rFonts w:ascii="Amiri" w:hAnsi="Amiri" w:eastAsia="Amiri" w:cs="Amiri"/>
          <w:color w:val="111111"/>
          <w:sz w:val="28"/>
          <w:sz w:val="28"/>
          <w:szCs w:val="28"/>
          <w:rtl w:val="true"/>
          <w:lang w:bidi="ar-SA"/>
        </w:rPr>
        <w:t>فيه أكبرُ</w:t>
      </w:r>
      <w:r>
        <w:rPr>
          <w:rStyle w:val="FootnoteAnchor"/>
          <w:rtl w:val="true"/>
        </w:rPr>
        <w:footnoteReference w:id="3461"/>
      </w:r>
      <w:r>
        <w:rPr>
          <w:rFonts w:ascii="Amiri" w:hAnsi="Amiri" w:eastAsia="Amiri" w:cs="Amiri"/>
          <w:color w:val="111111"/>
          <w:sz w:val="28"/>
          <w:sz w:val="28"/>
          <w:szCs w:val="28"/>
          <w:rtl w:val="true"/>
          <w:lang w:bidi="ar-SA"/>
        </w:rPr>
        <w:t>حُجّةٍ و 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3462"/>
      </w:r>
      <w:r>
        <w:rPr>
          <w:rFonts w:ascii="Amiri" w:hAnsi="Amiri" w:eastAsia="Amiri" w:cs="Amiri"/>
          <w:color w:val="111111"/>
          <w:sz w:val="28"/>
          <w:sz w:val="28"/>
          <w:szCs w:val="28"/>
          <w:rtl w:val="true"/>
          <w:lang w:bidi="ar-SA"/>
        </w:rPr>
        <w:t xml:space="preserve">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توَغُّلِه و شدّةِ توَصُّلِه إلىٰ نُصرِة هذه المَقالةِ‌</w:t>
      </w:r>
      <w:r>
        <w:rPr>
          <w:rStyle w:val="FootnoteAnchor"/>
          <w:rtl w:val="true"/>
        </w:rPr>
        <w:footnoteReference w:id="3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أن يَدَّعيَ علَى الرسولِ صَلّى اللّٰهُ عليه و آلِه نَصّاً صَريحاً بالإمامةِ‌، بل الذي اعتمَدَه هو ما قَدَّمنا ذِكرَه و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العبّاسِ رضيَ اللّٰهُ عنه</w:t>
      </w:r>
      <w:r>
        <w:rPr>
          <w:rStyle w:val="FootnoteAnchor"/>
          <w:rtl w:val="true"/>
        </w:rPr>
        <w:footnoteReference w:id="3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خطَبَ رسولُ اللّٰهِ صَلّى اللّٰهُ عليه و آلِه خُطبتَه المشهورةَ في الفَتحِ‌</w:t>
      </w:r>
      <w:r>
        <w:rPr>
          <w:rStyle w:val="FootnoteAnchor"/>
          <w:rtl w:val="true"/>
        </w:rPr>
        <w:footnoteReference w:id="3465"/>
      </w:r>
      <w:r>
        <w:rPr>
          <w:rFonts w:ascii="Amiri" w:hAnsi="Amiri" w:eastAsia="Amiri" w:cs="Amiri"/>
          <w:color w:val="111111"/>
          <w:sz w:val="28"/>
          <w:sz w:val="28"/>
          <w:szCs w:val="28"/>
          <w:rtl w:val="true"/>
          <w:lang w:bidi="ar-SA"/>
        </w:rPr>
        <w:t>و انتَهىٰ‌</w:t>
      </w:r>
      <w:r>
        <w:rPr>
          <w:rStyle w:val="FootnoteAnchor"/>
          <w:rtl w:val="true"/>
        </w:rPr>
        <w:footnoteReference w:id="346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حَرامٌ حَرَّمَها اللّٰهُ يَومَ خلَقَ السَّماواتِ و الأرضَ‌، لا يُختَلىٰ خَلاها</w:t>
      </w:r>
      <w:r>
        <w:rPr>
          <w:rStyle w:val="FootnoteAnchor"/>
          <w:rtl w:val="true"/>
        </w:rPr>
        <w:footnoteReference w:id="3467"/>
      </w:r>
      <w:r>
        <w:rPr>
          <w:rFonts w:ascii="Amiri" w:hAnsi="Amiri" w:eastAsia="Amiri" w:cs="Amiri"/>
          <w:color w:val="111111"/>
          <w:sz w:val="28"/>
          <w:sz w:val="28"/>
          <w:szCs w:val="28"/>
          <w:rtl w:val="true"/>
          <w:lang w:bidi="ar-SA"/>
        </w:rPr>
        <w:t>، و لا يُعضَدُ شَجَرُها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إلّاالإذخِرَ</w:t>
      </w:r>
      <w:r>
        <w:rPr>
          <w:rStyle w:val="FootnoteAnchor"/>
          <w:rtl w:val="true"/>
        </w:rPr>
        <w:footnoteReference w:id="3468"/>
      </w:r>
      <w:r>
        <w:rPr>
          <w:rFonts w:ascii="Amiri" w:hAnsi="Amiri" w:eastAsia="Amiri" w:cs="Amiri"/>
          <w:color w:val="111111"/>
          <w:sz w:val="28"/>
          <w:sz w:val="28"/>
          <w:szCs w:val="28"/>
          <w:rtl w:val="true"/>
          <w:lang w:bidi="ar-SA"/>
        </w:rPr>
        <w:t xml:space="preserve">يا رَسولَ اللّٰهِ؟ فأطرَقَ صَلّى اللّٰهُ عليه و آلِه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r>
        <w:rPr>
          <w:rStyle w:val="FootnoteAnchor"/>
          <w:rtl w:val="true"/>
        </w:rPr>
        <w:footnoteReference w:id="346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ما رُويَ مِن تشفيعِه عليه السلامُ له</w:t>
      </w:r>
      <w:r>
        <w:rPr>
          <w:rStyle w:val="FootnoteAnchor"/>
          <w:rtl w:val="true"/>
        </w:rPr>
        <w:footnoteReference w:id="3470"/>
      </w:r>
      <w:r>
        <w:rPr>
          <w:rFonts w:ascii="Amiri" w:hAnsi="Amiri" w:eastAsia="Amiri" w:cs="Amiri"/>
          <w:color w:val="111111"/>
          <w:sz w:val="28"/>
          <w:sz w:val="28"/>
          <w:szCs w:val="28"/>
          <w:rtl w:val="true"/>
          <w:lang w:bidi="ar-SA"/>
        </w:rPr>
        <w:t xml:space="preserve">في مُجاشِعِ بنِ مسعودٍ السُّلَميِّ </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و قد التمَسَ البَيعةَ علَى الهِجرةِ بَعدَ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إلىٰ ذلكَ‌</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و مِثلُ ادّعائه سَبْقَه الناسَ إلَى الصلاةِ علىٰ رسولِ اللّٰهِ صَلَّى اللّٰهُ عليه و آلِه عندَ وفاتِه، و تعلُّقِه بحديثِ الميزابِ‌</w:t>
      </w:r>
      <w:r>
        <w:rPr>
          <w:rStyle w:val="FootnoteAnchor"/>
          <w:rtl w:val="true"/>
        </w:rPr>
        <w:footnoteReference w:id="3473"/>
      </w:r>
      <w:r>
        <w:rPr>
          <w:rFonts w:ascii="Amiri" w:hAnsi="Amiri" w:eastAsia="Amiri" w:cs="Amiri"/>
          <w:color w:val="111111"/>
          <w:sz w:val="28"/>
          <w:sz w:val="28"/>
          <w:szCs w:val="28"/>
          <w:rtl w:val="true"/>
          <w:lang w:bidi="ar-SA"/>
        </w:rPr>
        <w:t>و حديثِ اللَّدودِ</w:t>
      </w:r>
      <w:r>
        <w:rPr>
          <w:rFonts w:eastAsia="Amiri" w:cs="Amiri" w:ascii="Amiri" w:hAnsi="Amiri"/>
          <w:color w:val="111111"/>
          <w:sz w:val="28"/>
          <w:szCs w:val="28"/>
          <w:rtl w:val="true"/>
          <w:lang w:bidi="ar-SA"/>
        </w:rPr>
        <w:t>.</w:t>
      </w:r>
      <w:r>
        <w:rPr>
          <w:rStyle w:val="FootnoteAnchor"/>
          <w:rtl w:val="true"/>
        </w:rPr>
        <w:footnoteReference w:id="347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ما ذَكَرناه ممّا هو مسطورٌ في كتابِه</w:t>
      </w:r>
      <w:r>
        <w:rPr>
          <w:rStyle w:val="FootnoteAnchor"/>
          <w:rtl w:val="true"/>
        </w:rPr>
        <w:footnoteReference w:id="3475"/>
      </w:r>
      <w:r>
        <w:rPr>
          <w:rFonts w:ascii="Amiri" w:hAnsi="Amiri" w:eastAsia="Amiri" w:cs="Amiri"/>
          <w:color w:val="111111"/>
          <w:sz w:val="28"/>
          <w:sz w:val="28"/>
          <w:szCs w:val="28"/>
          <w:rtl w:val="true"/>
          <w:lang w:bidi="ar-SA"/>
        </w:rPr>
        <w:t>، و مَن تصفَّحَه عَلِمَ أنّ جميعَ ما اعتمَدَه لا يخرُجُ عمّا حَكَمنا فيه بخُلوِّه مِن الإشارةِ إلَى النصِّ أو الدلالةِ عليه</w:t>
      </w:r>
      <w:r>
        <w:rPr>
          <w:rStyle w:val="FootnoteAnchor"/>
          <w:rtl w:val="true"/>
        </w:rPr>
        <w:footnoteReference w:id="3476"/>
      </w:r>
      <w:r>
        <w:rPr>
          <w:rFonts w:eastAsia="Times New Roman" w:cs="Times New Roman" w:ascii="Times New Roman" w:hAnsi="Times New Roman"/>
          <w:color w:val="111111"/>
          <w:sz w:val="28"/>
          <w:szCs w:val="28"/>
          <w:rtl w:val="true"/>
          <w:lang w:val="en-US" w:bidi="en-US"/>
        </w:rPr>
        <w:t xml:space="preserve">. </w:t>
      </w:r>
      <w:bookmarkStart w:id="566" w:name="pg20015_285133"/>
    </w:p>
    <w:p>
      <w:pPr>
        <w:pStyle w:val="BookText"/>
        <w:rPr/>
      </w:pPr>
      <w:bookmarkEnd w:id="566"/>
      <w:r>
        <w:rPr>
          <w:rFonts w:ascii="Amiri" w:hAnsi="Amiri" w:eastAsia="Amiri" w:cs="Amiri"/>
          <w:color w:val="111111"/>
          <w:sz w:val="28"/>
          <w:sz w:val="28"/>
          <w:szCs w:val="28"/>
          <w:rtl w:val="true"/>
          <w:lang w:bidi="ar-SA"/>
        </w:rPr>
        <w:t>و قد عَلِمنا عادةَ الجاحظِ فيما يَنصُرُه مِن المَذاهبِ أنّه</w:t>
      </w:r>
      <w:r>
        <w:rPr>
          <w:rStyle w:val="FootnoteAnchor"/>
          <w:rtl w:val="true"/>
        </w:rPr>
        <w:footnoteReference w:id="3477"/>
      </w:r>
      <w:r>
        <w:rPr>
          <w:rFonts w:ascii="Amiri" w:hAnsi="Amiri" w:eastAsia="Amiri" w:cs="Amiri"/>
          <w:color w:val="111111"/>
          <w:sz w:val="28"/>
          <w:sz w:val="28"/>
          <w:szCs w:val="28"/>
          <w:rtl w:val="true"/>
          <w:lang w:bidi="ar-SA"/>
        </w:rPr>
        <w:t xml:space="preserve">لا يَدَعُ غَثّاً و لا سَميناً، و لا يغفُلُ عن إيرادِ ضعيفٍ و لا قويٍّ ، حتّىٰ إنّه رُبَّما خرَجَ إلَى ادّعاءِ ما لا يُعرَفُ ، و دَفعِ ما يُعرَفُ ؛ فلَو كانَ لِمَن ذهَبَ إلىٰ مَذهَبِ العبّاسيّةِ خبرٌ يَنقلونَه يَتضمَّنُ نَصّاً صَريحاً علىٰ صاحبِهم، لَما جازَ أن يَعدِلَ عن ذِكرِه، مع تعلُّقِه بما حَكَينا بعضَه و اعتمادِه علىٰ أخبارِ آحادٍ أكثرُها لا يُعرَفُ </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895121_2320776876"/>
      <w:bookmarkStart w:id="568" w:name="_Toc202"/>
      <w:bookmarkEnd w:id="567"/>
      <w:r>
        <w:rPr>
          <w:rtl w:val="true"/>
        </w:rPr>
        <w:t>الوجه الثالث</w:t>
      </w:r>
      <w:bookmarkEnd w:id="56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العبّاسِ رَحِمَه اللّٰهُ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امدُدْ يدَكَ أُبايِعْكَ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صَلّى اللّٰهُ عليه و آلِه بايَعَ ابنَ عمِّه، فلا يَختلِفَ عليكَ اثنانِ </w:t>
      </w:r>
      <w:r>
        <w:rPr>
          <w:rFonts w:eastAsia="Amiri" w:cs="Amiri" w:ascii="Amiri" w:hAnsi="Amiri"/>
          <w:color w:val="111111"/>
          <w:sz w:val="28"/>
          <w:szCs w:val="28"/>
          <w:rtl w:val="true"/>
          <w:lang w:bidi="ar-SA"/>
        </w:rPr>
        <w:t>»</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حالُ سَلامةٍ لا تقيّةَ فيها</w:t>
      </w:r>
      <w:r>
        <w:rPr>
          <w:rStyle w:val="FootnoteAnchor"/>
          <w:rtl w:val="true"/>
        </w:rPr>
        <w:footnoteReference w:id="3479"/>
      </w:r>
      <w:r>
        <w:rPr>
          <w:rFonts w:ascii="Amiri" w:hAnsi="Amiri" w:eastAsia="Amiri" w:cs="Amiri"/>
          <w:color w:val="111111"/>
          <w:sz w:val="28"/>
          <w:sz w:val="28"/>
          <w:szCs w:val="28"/>
          <w:rtl w:val="true"/>
          <w:lang w:bidi="ar-SA"/>
        </w:rPr>
        <w:t xml:space="preserve">، و لا خَوفَ و لا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Style w:val="FootnoteAnchor"/>
          <w:rtl w:val="true"/>
        </w:rPr>
        <w:footnoteReference w:id="3480"/>
      </w:r>
      <w:r>
        <w:rPr>
          <w:rFonts w:ascii="Amiri" w:hAnsi="Amiri" w:eastAsia="Amiri" w:cs="Amiri"/>
          <w:color w:val="111111"/>
          <w:sz w:val="28"/>
          <w:sz w:val="28"/>
          <w:szCs w:val="28"/>
          <w:rtl w:val="true"/>
          <w:lang w:bidi="ar-SA"/>
        </w:rPr>
        <w:t>واضحةٌ علىٰ أنّه لَم يَكُن منصوصاً عليه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895123_2320776876"/>
      <w:bookmarkStart w:id="570" w:name="_Toc203"/>
      <w:bookmarkEnd w:id="569"/>
      <w:r>
        <w:rPr>
          <w:rtl w:val="true"/>
        </w:rPr>
        <w:t>الوجه الرابع</w:t>
      </w:r>
      <w:bookmarkEnd w:id="5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فَسادِ النصِّ علىٰ أبي بَكرٍ،</w:t>
      </w:r>
      <w:r>
        <w:rPr>
          <w:rStyle w:val="FootnoteAnchor"/>
          <w:rtl w:val="true"/>
        </w:rPr>
        <w:footnoteReference w:id="3481"/>
      </w:r>
      <w:r>
        <w:rPr>
          <w:rFonts w:ascii="Amiri" w:hAnsi="Amiri" w:eastAsia="Amiri" w:cs="Amiri"/>
          <w:color w:val="111111"/>
          <w:sz w:val="28"/>
          <w:sz w:val="28"/>
          <w:szCs w:val="28"/>
          <w:rtl w:val="true"/>
          <w:lang w:bidi="ar-SA"/>
        </w:rPr>
        <w:t xml:space="preserve">و هو أنّ الإمامَ إذا دَلَّت العقولُ علىٰ أنّه لا بُدَّ أن يَكونَ معصوماً وَجَبَ نفيُ النصِّ عمّن عَلِمناه غيرَ معصومٍ ، و قد </w:t>
      </w:r>
      <w:bookmarkStart w:id="571" w:name="pg20015_285134"/>
    </w:p>
    <w:p>
      <w:pPr>
        <w:pStyle w:val="BookText"/>
        <w:rPr/>
      </w:pPr>
      <w:bookmarkEnd w:id="571"/>
      <w:r>
        <w:rPr>
          <w:rFonts w:ascii="Amiri" w:hAnsi="Amiri" w:eastAsia="Amiri" w:cs="Amiri"/>
          <w:color w:val="111111"/>
          <w:sz w:val="28"/>
          <w:sz w:val="28"/>
          <w:szCs w:val="28"/>
          <w:rtl w:val="true"/>
          <w:lang w:bidi="ar-SA"/>
        </w:rPr>
        <w:t xml:space="preserve">أجمَعَتِ </w:t>
      </w:r>
      <w:r>
        <w:rPr>
          <w:rStyle w:val="FootnoteAnchor"/>
          <w:rtl w:val="true"/>
        </w:rPr>
        <w:footnoteReference w:id="3482"/>
      </w:r>
      <w:r>
        <w:rPr>
          <w:rFonts w:ascii="Amiri" w:hAnsi="Amiri" w:eastAsia="Amiri" w:cs="Amiri"/>
          <w:color w:val="111111"/>
          <w:sz w:val="28"/>
          <w:sz w:val="28"/>
          <w:szCs w:val="28"/>
          <w:rtl w:val="true"/>
          <w:lang w:bidi="ar-SA"/>
        </w:rPr>
        <w:t>الأُمّةُ علىٰ أنّ العبّاسَ لَم يَكُن معصوماً، فوجَبَ نفيُ النصِّ عليه</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95125_2320776876"/>
      <w:bookmarkStart w:id="573" w:name="_Toc204"/>
      <w:bookmarkEnd w:id="572"/>
      <w:r>
        <w:rPr>
          <w:rtl w:val="true"/>
        </w:rPr>
        <w:t>الوجه الخامس</w:t>
      </w:r>
      <w:bookmarkEnd w:id="57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دلَّلنا عليه مِن قَبلُ‌</w:t>
      </w:r>
      <w:r>
        <w:rPr>
          <w:rStyle w:val="FootnoteAnchor"/>
          <w:rtl w:val="true"/>
        </w:rPr>
        <w:footnoteReference w:id="3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عالِماً بجميعِ الدِّينِ ، دَقيقِه و جَليلِه، حتّىٰ لا يَشِذَّ عنه منه شيءٌ ، و قد أطبَقَت الأُمّةُ علىٰ أنّ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جميعُ مخالِفي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حتّىٰ ذَهَبوا إلىٰ أنّه لَم يَكُن مُحيطاً مِن العلومِ بالقَدرِ الذي يَحتاجُ إليه الإمامُ عندَهم، و هو التوسُّطُ في علومِ الدِّينِ و مُساواةُ أهلِ الاجتهادِ و الفتوىٰ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بُطلانِ النصِّ عليه عندَنا أن لا يَكونَ عالِماً بالكُلِّ و مُضطَلِعاً بالجميعِ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صاحبِ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لِيَجوزَنَّ ادّعاءُ النصِّ علَى العبّاسِ و يَختَصَّ بمعرفتِه قومٌ ثُمّ يَنقَطِعَ النقلُ ؛ لأنّه إن جازَ انقطاعُه عن البعضِ جازَ انقطاعُه</w:t>
      </w:r>
      <w:r>
        <w:rPr>
          <w:rStyle w:val="FootnoteAnchor"/>
          <w:rtl w:val="true"/>
        </w:rPr>
        <w:footnoteReference w:id="3484"/>
      </w:r>
      <w:r>
        <w:rPr>
          <w:rFonts w:ascii="Amiri" w:hAnsi="Amiri" w:eastAsia="Amiri" w:cs="Amiri"/>
          <w:color w:val="111111"/>
          <w:sz w:val="28"/>
          <w:sz w:val="28"/>
          <w:szCs w:val="28"/>
          <w:rtl w:val="true"/>
          <w:lang w:bidi="ar-SA"/>
        </w:rPr>
        <w:t xml:space="preserve">عن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فطَريفٌ‌؛ لأنّ انقطاعَ النقلِ عن الكُلِّ يُسقِطُ الحُجّةَ و يَرفَعُ الطريقَ إلَى العِلمِ‌، و لَيسَ كذلكَ </w:t>
      </w:r>
      <w:r>
        <w:rPr>
          <w:rStyle w:val="FootnoteAnchor"/>
          <w:rtl w:val="true"/>
        </w:rPr>
        <w:footnoteReference w:id="3485"/>
      </w:r>
      <w:r>
        <w:rPr>
          <w:rFonts w:ascii="Amiri" w:hAnsi="Amiri" w:eastAsia="Amiri" w:cs="Amiri"/>
          <w:color w:val="111111"/>
          <w:sz w:val="28"/>
          <w:sz w:val="28"/>
          <w:szCs w:val="28"/>
          <w:rtl w:val="true"/>
          <w:lang w:bidi="ar-SA"/>
        </w:rPr>
        <w:t xml:space="preserve">انقطاعُه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الذي نَعتَقِدُه</w:t>
      </w:r>
      <w:r>
        <w:rPr>
          <w:rStyle w:val="FootnoteAnchor"/>
          <w:rtl w:val="true"/>
        </w:rPr>
        <w:footnoteReference w:id="3486"/>
      </w:r>
      <w:r>
        <w:rPr>
          <w:rFonts w:ascii="Amiri" w:hAnsi="Amiri" w:eastAsia="Amiri" w:cs="Amiri"/>
          <w:color w:val="111111"/>
          <w:sz w:val="28"/>
          <w:sz w:val="28"/>
          <w:szCs w:val="28"/>
          <w:rtl w:val="true"/>
          <w:lang w:bidi="ar-SA"/>
        </w:rPr>
        <w:t>، و إن لَم يَنقُلْه جميعُ الأُمّةِ ، فقَد نقَلَه عندَنا مَن يَقومُ الحُجّةُ بنقلِه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القولَ إذا ظهَرَ ثُمّ انقطَعَ ، فبانقطاعِه يَصيرُ</w:t>
      </w:r>
      <w:r>
        <w:rPr>
          <w:rStyle w:val="FootnoteAnchor"/>
          <w:rtl w:val="true"/>
        </w:rPr>
        <w:footnoteReference w:id="3487"/>
      </w:r>
      <w:r>
        <w:rPr>
          <w:rFonts w:ascii="Amiri" w:hAnsi="Amiri" w:eastAsia="Amiri" w:cs="Amiri"/>
          <w:color w:val="111111"/>
          <w:sz w:val="28"/>
          <w:sz w:val="28"/>
          <w:szCs w:val="28"/>
          <w:rtl w:val="true"/>
          <w:lang w:bidi="ar-SA"/>
        </w:rPr>
        <w:t xml:space="preserve">الإجماعُ منعقِداً علىٰ خِلافِه، </w:t>
      </w:r>
    </w:p>
    <w:p>
      <w:pPr>
        <w:pStyle w:val="BookText"/>
        <w:rPr/>
      </w:pPr>
      <w:r>
        <w:rPr>
          <w:rFonts w:ascii="Amiri" w:hAnsi="Amiri" w:eastAsia="Amiri" w:cs="Amiri"/>
          <w:color w:val="111111"/>
          <w:sz w:val="28"/>
          <w:sz w:val="28"/>
          <w:szCs w:val="28"/>
          <w:rtl w:val="true"/>
          <w:lang w:bidi="ar-SA"/>
        </w:rPr>
        <w:t xml:space="preserve">و يَقتَضي ذلكَ اطِّراحَه جُملةً </w:t>
      </w:r>
      <w:r>
        <w:rPr>
          <w:rStyle w:val="FootnoteAnchor"/>
          <w:rtl w:val="true"/>
        </w:rPr>
        <w:footnoteReference w:id="3488"/>
      </w:r>
      <w:r>
        <w:rPr>
          <w:rFonts w:ascii="IRNazanin" w:hAnsi="IRNazanin" w:eastAsia="IRNazanin"/>
          <w:color w:val="111111"/>
          <w:sz w:val="28"/>
          <w:sz w:val="28"/>
          <w:szCs w:val="28"/>
          <w:rtl w:val="true"/>
          <w:lang w:bidi="fa-IR"/>
        </w:rPr>
        <w:t>، و إذا</w:t>
      </w:r>
      <w:r>
        <w:rPr>
          <w:rStyle w:val="FootnoteAnchor"/>
          <w:rtl w:val="true"/>
        </w:rPr>
        <w:footnoteReference w:id="3489"/>
      </w:r>
      <w:r>
        <w:rPr>
          <w:rFonts w:ascii="Amiri" w:hAnsi="Amiri" w:eastAsia="Amiri" w:cs="Amiri"/>
          <w:color w:val="111111"/>
          <w:sz w:val="28"/>
          <w:sz w:val="28"/>
          <w:szCs w:val="28"/>
          <w:rtl w:val="true"/>
          <w:lang w:bidi="ar-SA"/>
        </w:rPr>
        <w:t>كانَ القولُ ظاهراً في بعضِ فِرَقِ الأُمّةِ دونَ بعضٍ لَم يَكُن هذا حُكمَه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إزاحةُ العِلّةِ فقَد بيّنّا أنّ حُكمَ الجميعِ فيها واحدٌ، و إن لَم يَنقُلِ النصَّ إلّا فِرقةٌ مِن فِرقِ الأُمّةِ دونَ الباقينَ </w:t>
      </w:r>
      <w:r>
        <w:rPr>
          <w:rFonts w:eastAsia="Amiri" w:cs="Amiri" w:ascii="Amiri" w:hAnsi="Amiri"/>
          <w:color w:val="111111"/>
          <w:sz w:val="28"/>
          <w:szCs w:val="28"/>
          <w:rtl w:val="true"/>
          <w:lang w:bidi="ar-SA"/>
        </w:rPr>
        <w:t xml:space="preserve">. </w:t>
      </w:r>
      <w:bookmarkStart w:id="574" w:name="pg20015_285136"/>
    </w:p>
    <w:p>
      <w:pPr>
        <w:pStyle w:val="Heading3"/>
        <w:numPr>
          <w:ilvl w:val="2"/>
          <w:numId w:val="1"/>
        </w:numPr>
        <w:rPr/>
      </w:pPr>
      <w:bookmarkStart w:id="575" w:name="__RefHeading___Toc895127_2320776876"/>
      <w:bookmarkStart w:id="576" w:name="_Toc205"/>
      <w:bookmarkEnd w:id="574"/>
      <w:bookmarkEnd w:id="575"/>
      <w:r>
        <w:rPr>
          <w:rtl w:val="true"/>
        </w:rPr>
        <w:t>الكلام في موقف الصحابة من النصّ</w:t>
      </w:r>
      <w:bookmarkEnd w:id="576"/>
    </w:p>
    <w:p>
      <w:pPr>
        <w:pStyle w:val="Heading4"/>
        <w:numPr>
          <w:ilvl w:val="3"/>
          <w:numId w:val="1"/>
        </w:numPr>
        <w:rPr/>
      </w:pPr>
      <w:bookmarkStart w:id="577" w:name="__RefHeading___Toc895129_2320776876"/>
      <w:bookmarkStart w:id="578" w:name="_Toc206"/>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جَرَت عليه أحوالُ الصحابةِ يَمنَعُ مِن ادّعاءِ هذا النصِّ في الأصلِ‌؛ لأنه لَو كانَ صحيحاً لَكانَ إنّما يَجوزُ أن يَختَلِفَ حالُ النقلِ‌</w:t>
      </w:r>
      <w:r>
        <w:rPr>
          <w:rStyle w:val="FootnoteAnchor"/>
          <w:rtl w:val="true"/>
        </w:rPr>
        <w:footnoteReference w:id="3490"/>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ذلكَ‌</w:t>
      </w:r>
      <w:r>
        <w:rPr>
          <w:rStyle w:val="FootnoteAnchor"/>
          <w:rtl w:val="true"/>
        </w:rPr>
        <w:footnoteReference w:id="3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التابِعينَ أو بَعدَ ذلكَ‌، فأمّا في عصرِ الصحابةِ فغَيرُ جائزٍ ذلكَ‌، و كانَ‌</w:t>
      </w:r>
      <w:r>
        <w:rPr>
          <w:rStyle w:val="FootnoteAnchor"/>
          <w:rtl w:val="true"/>
        </w:rPr>
        <w:footnoteReference w:id="3492"/>
      </w:r>
      <w:r>
        <w:rPr>
          <w:rFonts w:ascii="Amiri" w:hAnsi="Amiri" w:eastAsia="Amiri" w:cs="Amiri"/>
          <w:color w:val="111111"/>
          <w:sz w:val="28"/>
          <w:sz w:val="28"/>
          <w:szCs w:val="28"/>
          <w:rtl w:val="true"/>
          <w:lang w:bidi="ar-SA"/>
        </w:rPr>
        <w:t>يَجِبُ أن يَكونَ معلوماً لجميعِهم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w:t>
      </w:r>
      <w:r>
        <w:rPr>
          <w:rStyle w:val="FootnoteAnchor"/>
          <w:rtl w:val="true"/>
        </w:rPr>
        <w:footnoteReference w:id="3493"/>
      </w:r>
      <w:r>
        <w:rPr>
          <w:rFonts w:ascii="Amiri" w:hAnsi="Amiri" w:eastAsia="Amiri" w:cs="Amiri"/>
          <w:color w:val="111111"/>
          <w:sz w:val="28"/>
          <w:sz w:val="28"/>
          <w:szCs w:val="28"/>
          <w:rtl w:val="true"/>
          <w:lang w:bidi="ar-SA"/>
        </w:rPr>
        <w:t xml:space="preserve">كانَ كذلكَ لَكانَت الأُمورُ التي جَرَت في الإمامةِ لا تَجري علَى الحَدِّ الذي جَرَت عليه، بَل كانَ يَجِبُ أن يَكونوا مُضطَرّينَ إلىٰ معرفةِ إمامةِ أميرِ المؤمِنينَ كاضطرارِهم إلىٰ أنّ صلاةَ الظُّهرِ واجبةٌ‌، و صَومَ شَهرِ رَمَضانَ واجبٌ ، و حَجَّ البَيتِ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3494"/>
      </w:r>
      <w:r>
        <w:rPr>
          <w:rFonts w:ascii="Amiri" w:hAnsi="Amiri" w:eastAsia="Amiri" w:cs="Amiri"/>
          <w:color w:val="111111"/>
          <w:sz w:val="28"/>
          <w:sz w:val="28"/>
          <w:szCs w:val="28"/>
          <w:rtl w:val="true"/>
          <w:lang w:bidi="ar-SA"/>
        </w:rPr>
        <w:t>كانَ كذلكَ ما</w:t>
      </w:r>
      <w:r>
        <w:rPr>
          <w:rStyle w:val="FootnoteAnchor"/>
          <w:rtl w:val="true"/>
        </w:rPr>
        <w:footnoteReference w:id="3495"/>
      </w:r>
      <w:r>
        <w:rPr>
          <w:rFonts w:ascii="Amiri" w:hAnsi="Amiri" w:eastAsia="Amiri" w:cs="Amiri"/>
          <w:color w:val="111111"/>
          <w:sz w:val="28"/>
          <w:sz w:val="28"/>
          <w:szCs w:val="28"/>
          <w:rtl w:val="true"/>
          <w:lang w:bidi="ar-SA"/>
        </w:rPr>
        <w:t xml:space="preserve">صَحَّ ما قد ثبَتَ عنهم مِن مَواقفِ الإمامةِ و المنازَعةِ فيها،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في أنّا نَعلَمُ بُطلانَه باضطرارٍ بمَنزلةِ ما نَعلَمُه</w:t>
      </w:r>
      <w:r>
        <w:rPr>
          <w:rStyle w:val="FootnoteAnchor"/>
          <w:rtl w:val="true"/>
        </w:rPr>
        <w:footnoteReference w:id="3496"/>
      </w:r>
      <w:r>
        <w:rPr>
          <w:rFonts w:ascii="Amiri" w:hAnsi="Amiri" w:eastAsia="Amiri" w:cs="Amiri"/>
          <w:color w:val="111111"/>
          <w:sz w:val="28"/>
          <w:sz w:val="28"/>
          <w:szCs w:val="28"/>
          <w:rtl w:val="true"/>
          <w:lang w:bidi="ar-SA"/>
        </w:rPr>
        <w:t>مِن أنفسِنا؛ لأنّا كما نَعلَمُ أنّا لا نَعلَمُ‌</w:t>
      </w:r>
      <w:r>
        <w:rPr>
          <w:rStyle w:val="FootnoteAnchor"/>
          <w:rtl w:val="true"/>
        </w:rPr>
        <w:footnoteReference w:id="3497"/>
      </w:r>
      <w:r>
        <w:rPr>
          <w:rFonts w:ascii="Amiri" w:hAnsi="Amiri" w:eastAsia="Amiri" w:cs="Amiri"/>
          <w:color w:val="111111"/>
          <w:sz w:val="28"/>
          <w:sz w:val="28"/>
          <w:szCs w:val="28"/>
          <w:rtl w:val="true"/>
          <w:lang w:bidi="ar-SA"/>
        </w:rPr>
        <w:t>في الإمامةِ ما ادَّعَوه باضطرارٍ</w:t>
      </w:r>
      <w:r>
        <w:rPr>
          <w:rStyle w:val="FootnoteAnchor"/>
          <w:rtl w:val="true"/>
        </w:rPr>
        <w:footnoteReference w:id="3498"/>
      </w:r>
      <w:r>
        <w:rPr>
          <w:rFonts w:ascii="Amiri" w:hAnsi="Amiri" w:eastAsia="Amiri" w:cs="Amiri"/>
          <w:color w:val="111111"/>
          <w:sz w:val="28"/>
          <w:sz w:val="28"/>
          <w:szCs w:val="28"/>
          <w:rtl w:val="true"/>
          <w:lang w:bidi="ar-SA"/>
        </w:rPr>
        <w:t>و نَعتقِدُ خِلافَه، نَعلَمُ ذلكَ مِن حالِ الصحابةِ و أنّهم كانوا يَعتقِدونَ خِلافَ ذلكَ‌، و لا يُمكِنُ بَعدَ ذلكَ إلّانِسبةُ جميعِهم إلَى الارتدادِ و النفاقِ‌، و أنّهم لذلكَ صَحَّ أن يُخالِفوا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ممّا لا يَحِلُّ الكلامُ فيه؛ لأنّه طريقُ الشُّبَهِ‌</w:t>
      </w:r>
      <w:r>
        <w:rPr>
          <w:rStyle w:val="FootnoteAnchor"/>
          <w:rtl w:val="true"/>
        </w:rPr>
        <w:footnoteReference w:id="3499"/>
      </w:r>
      <w:r>
        <w:rPr>
          <w:rFonts w:ascii="Amiri" w:hAnsi="Amiri" w:eastAsia="Amiri" w:cs="Amiri"/>
          <w:color w:val="111111"/>
          <w:sz w:val="28"/>
          <w:sz w:val="28"/>
          <w:szCs w:val="28"/>
          <w:rtl w:val="true"/>
          <w:lang w:bidi="ar-SA"/>
        </w:rPr>
        <w:t>القادِحةِ‌</w:t>
      </w:r>
      <w:r>
        <w:rPr>
          <w:rStyle w:val="FootnoteAnchor"/>
          <w:rtl w:val="true"/>
        </w:rPr>
        <w:footnoteReference w:id="3500"/>
      </w:r>
      <w:r>
        <w:rPr>
          <w:rFonts w:ascii="Amiri" w:hAnsi="Amiri" w:eastAsia="Amiri" w:cs="Amiri"/>
          <w:color w:val="111111"/>
          <w:sz w:val="28"/>
          <w:sz w:val="28"/>
          <w:szCs w:val="28"/>
          <w:rtl w:val="true"/>
          <w:lang w:bidi="ar-SA"/>
        </w:rPr>
        <w:t>في النبوّاتِ‌، و إنّما ألقاه المَلاحِدةُ‌</w:t>
      </w:r>
      <w:r>
        <w:rPr>
          <w:rStyle w:val="FootnoteAnchor"/>
          <w:rtl w:val="true"/>
        </w:rPr>
        <w:footnoteReference w:id="3501"/>
      </w:r>
      <w:r>
        <w:rPr>
          <w:rFonts w:ascii="Amiri" w:hAnsi="Amiri" w:eastAsia="Amiri" w:cs="Amiri"/>
          <w:color w:val="111111"/>
          <w:sz w:val="28"/>
          <w:sz w:val="28"/>
          <w:szCs w:val="28"/>
          <w:rtl w:val="true"/>
          <w:lang w:bidi="ar-SA"/>
        </w:rPr>
        <w:t>الذينَ طريقتُهم</w:t>
      </w:r>
      <w:r>
        <w:rPr>
          <w:rStyle w:val="FootnoteAnchor"/>
          <w:rtl w:val="true"/>
        </w:rPr>
        <w:footnoteReference w:id="3502"/>
      </w:r>
      <w:r>
        <w:rPr>
          <w:rFonts w:ascii="Amiri" w:hAnsi="Amiri" w:eastAsia="Amiri" w:cs="Amiri"/>
          <w:color w:val="111111"/>
          <w:sz w:val="28"/>
          <w:sz w:val="28"/>
          <w:szCs w:val="28"/>
          <w:rtl w:val="true"/>
          <w:lang w:bidi="ar-SA"/>
        </w:rPr>
        <w:t>معروفةٌ‌؛ لأنّ اختصاصَ الرسولِ عليه السلامُ بأكابرِ</w:t>
      </w:r>
      <w:r>
        <w:rPr>
          <w:rStyle w:val="FootnoteAnchor"/>
          <w:rtl w:val="true"/>
        </w:rPr>
        <w:footnoteReference w:id="3503"/>
      </w:r>
      <w:r>
        <w:rPr>
          <w:rFonts w:ascii="Amiri" w:hAnsi="Amiri" w:eastAsia="Amiri" w:cs="Amiri"/>
          <w:color w:val="111111"/>
          <w:sz w:val="28"/>
          <w:sz w:val="28"/>
          <w:szCs w:val="28"/>
          <w:rtl w:val="true"/>
          <w:lang w:bidi="ar-SA"/>
        </w:rPr>
        <w:t>الصحابةِ‌، و مَن يُدَّعىٰ لهم الإمامةُ‌، و ما تواتَرَ مِن تعظيمِه لهم و إكرامِه، إلىٰ غيرِ ذلكَ ، يقارِبُ ما تواتَرَ مِن</w:t>
      </w:r>
      <w:r>
        <w:rPr>
          <w:rStyle w:val="FootnoteAnchor"/>
          <w:rtl w:val="true"/>
        </w:rPr>
        <w:footnoteReference w:id="3504"/>
      </w:r>
      <w:r>
        <w:rPr>
          <w:rFonts w:ascii="Amiri" w:hAnsi="Amiri" w:eastAsia="Amiri" w:cs="Amiri"/>
          <w:color w:val="111111"/>
          <w:sz w:val="28"/>
          <w:sz w:val="28"/>
          <w:szCs w:val="28"/>
          <w:rtl w:val="true"/>
          <w:lang w:bidi="ar-SA"/>
        </w:rPr>
        <w:t>الخبرِ في أميرِ المؤمِنينَ عليه السلامُ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يجوِّزُ فيهم الشِّركَ و النِّفاقَ فإنّما طعَنَ علَى الرسولِ عليه السلامُ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تعَلَّقوا في مِثلِ </w:t>
      </w:r>
      <w:r>
        <w:rPr>
          <w:rStyle w:val="FootnoteAnchor"/>
          <w:rtl w:val="true"/>
        </w:rPr>
        <w:footnoteReference w:id="3505"/>
      </w:r>
      <w:r>
        <w:rPr>
          <w:rFonts w:ascii="Amiri" w:hAnsi="Amiri" w:eastAsia="Amiri" w:cs="Amiri"/>
          <w:color w:val="111111"/>
          <w:sz w:val="28"/>
          <w:sz w:val="28"/>
          <w:szCs w:val="28"/>
          <w:rtl w:val="true"/>
          <w:lang w:bidi="ar-SA"/>
        </w:rPr>
        <w:t>ذلكَ بالتقيّةِ صارَ</w:t>
      </w:r>
      <w:r>
        <w:rPr>
          <w:rStyle w:val="FootnoteAnchor"/>
          <w:rtl w:val="true"/>
        </w:rPr>
        <w:footnoteReference w:id="3506"/>
      </w:r>
      <w:r>
        <w:rPr>
          <w:rFonts w:ascii="Amiri" w:hAnsi="Amiri" w:eastAsia="Amiri" w:cs="Amiri"/>
          <w:color w:val="111111"/>
          <w:sz w:val="28"/>
          <w:sz w:val="28"/>
          <w:szCs w:val="28"/>
          <w:rtl w:val="true"/>
          <w:lang w:bidi="ar-SA"/>
        </w:rPr>
        <w:t xml:space="preserve">الكلامُ فيه أعظَمَ ممّا تقدَّمَ ؛ </w:t>
      </w:r>
      <w:bookmarkStart w:id="579" w:name="pg20015_285138"/>
    </w:p>
    <w:p>
      <w:pPr>
        <w:pStyle w:val="BookText"/>
        <w:rPr/>
      </w:pPr>
      <w:bookmarkEnd w:id="579"/>
      <w:r>
        <w:rPr>
          <w:rFonts w:ascii="Amiri" w:hAnsi="Amiri" w:eastAsia="Amiri" w:cs="Amiri"/>
          <w:color w:val="111111"/>
          <w:sz w:val="28"/>
          <w:sz w:val="28"/>
          <w:szCs w:val="28"/>
          <w:rtl w:val="true"/>
          <w:lang w:bidi="ar-SA"/>
        </w:rPr>
        <w:t>لأنّ تجويزَ التقيّةِ علَى الرسولِ عليه السلامُ يشكِّكُ‌</w:t>
      </w:r>
      <w:r>
        <w:rPr>
          <w:rStyle w:val="FootnoteAnchor"/>
          <w:rtl w:val="true"/>
        </w:rPr>
        <w:footnoteReference w:id="3507"/>
      </w:r>
      <w:r>
        <w:rPr>
          <w:rFonts w:ascii="Amiri" w:hAnsi="Amiri" w:eastAsia="Amiri" w:cs="Amiri"/>
          <w:color w:val="111111"/>
          <w:sz w:val="28"/>
          <w:sz w:val="28"/>
          <w:szCs w:val="28"/>
          <w:rtl w:val="true"/>
          <w:lang w:bidi="ar-SA"/>
        </w:rPr>
        <w:t>فيما يؤدّيهِ عن اللّٰهِ تَعالىٰ‌</w:t>
      </w:r>
      <w:r>
        <w:rPr>
          <w:rStyle w:val="FootnoteAnchor"/>
          <w:rtl w:val="true"/>
        </w:rPr>
        <w:footnoteReference w:id="3508"/>
      </w:r>
      <w:r>
        <w:rPr>
          <w:rFonts w:ascii="Amiri" w:hAnsi="Amiri" w:eastAsia="Amiri" w:cs="Amiri"/>
          <w:color w:val="111111"/>
          <w:sz w:val="28"/>
          <w:sz w:val="28"/>
          <w:szCs w:val="28"/>
          <w:rtl w:val="true"/>
          <w:lang w:bidi="ar-SA"/>
        </w:rPr>
        <w:t>، و نحنُ‌</w:t>
      </w:r>
      <w:r>
        <w:rPr>
          <w:rStyle w:val="FootnoteAnchor"/>
          <w:rtl w:val="true"/>
        </w:rPr>
        <w:footnoteReference w:id="3509"/>
      </w:r>
      <w:r>
        <w:rPr>
          <w:rFonts w:ascii="Amiri" w:hAnsi="Amiri" w:eastAsia="Amiri" w:cs="Amiri"/>
          <w:color w:val="111111"/>
          <w:sz w:val="28"/>
          <w:sz w:val="28"/>
          <w:szCs w:val="28"/>
          <w:rtl w:val="true"/>
          <w:lang w:bidi="ar-SA"/>
        </w:rPr>
        <w:t xml:space="preserve">لا نجوِّزُ عليه التقيّةَ في ذلكَ </w:t>
      </w:r>
      <w:r>
        <w:rPr>
          <w:rStyle w:val="FootnoteAnchor"/>
          <w:rtl w:val="true"/>
        </w:rPr>
        <w:footnoteReference w:id="3510"/>
      </w:r>
      <w:r>
        <w:rPr>
          <w:rFonts w:ascii="Amiri" w:hAnsi="Amiri" w:eastAsia="Amiri" w:cs="Amiri"/>
          <w:color w:val="111111"/>
          <w:sz w:val="28"/>
          <w:sz w:val="28"/>
          <w:szCs w:val="28"/>
          <w:rtl w:val="true"/>
          <w:lang w:bidi="ar-SA"/>
        </w:rPr>
        <w:t>، و لَو جَوَّزنا</w:t>
      </w:r>
      <w:r>
        <w:rPr>
          <w:rStyle w:val="FootnoteAnchor"/>
          <w:rtl w:val="true"/>
        </w:rPr>
        <w:footnoteReference w:id="3511"/>
      </w:r>
      <w:r>
        <w:rPr>
          <w:rFonts w:ascii="Amiri" w:hAnsi="Amiri" w:eastAsia="Amiri" w:cs="Amiri"/>
          <w:color w:val="111111"/>
          <w:sz w:val="28"/>
          <w:sz w:val="28"/>
          <w:szCs w:val="28"/>
          <w:rtl w:val="true"/>
          <w:lang w:bidi="ar-SA"/>
        </w:rPr>
        <w:t xml:space="preserve">لكُنّا إنّما نجوِّزُ عندَ الأماراتِ الظاهرةِ ، و عند الإكراهِ </w:t>
      </w:r>
      <w:r>
        <w:rPr>
          <w:rStyle w:val="FootnoteAnchor"/>
          <w:rtl w:val="true"/>
        </w:rPr>
        <w:footnoteReference w:id="3512"/>
      </w:r>
      <w:r>
        <w:rPr>
          <w:rFonts w:ascii="Amiri" w:hAnsi="Amiri" w:eastAsia="Amiri" w:cs="Amiri"/>
          <w:color w:val="111111"/>
          <w:sz w:val="28"/>
          <w:sz w:val="28"/>
          <w:szCs w:val="28"/>
          <w:rtl w:val="true"/>
          <w:lang w:bidi="ar-SA"/>
        </w:rPr>
        <w:t xml:space="preserve">، فأمّا مع سَلامةِ الحالِ فغَيرُ جائزٍ ذلكَ </w:t>
      </w:r>
      <w:r>
        <w:rPr>
          <w:rFonts w:eastAsia="Amiri" w:cs="Amiri" w:ascii="Amiri" w:hAnsi="Amiri"/>
          <w:color w:val="111111"/>
          <w:sz w:val="28"/>
          <w:szCs w:val="28"/>
          <w:rtl w:val="true"/>
          <w:lang w:bidi="ar-SA"/>
        </w:rPr>
        <w:t>.</w:t>
      </w:r>
      <w:r>
        <w:rPr>
          <w:rStyle w:val="FootnoteAnchor"/>
          <w:rtl w:val="true"/>
        </w:rPr>
        <w:footnoteReference w:id="3513"/>
      </w:r>
    </w:p>
    <w:p>
      <w:pPr>
        <w:pStyle w:val="Heading4"/>
        <w:numPr>
          <w:ilvl w:val="3"/>
          <w:numId w:val="1"/>
        </w:numPr>
        <w:rPr/>
      </w:pPr>
      <w:bookmarkStart w:id="580" w:name="__RefHeading___Toc895131_2320776876"/>
      <w:bookmarkStart w:id="581" w:name="_Toc207"/>
      <w:bookmarkEnd w:id="580"/>
      <w:r>
        <w:rPr>
          <w:rtl w:val="true"/>
        </w:rPr>
        <w:t>بيان سبب إنكار بعض الصحابةِ النصَّ علىٰ أمير المؤمنين عليه السلام</w:t>
      </w:r>
      <w:bookmarkEnd w:id="581"/>
    </w:p>
    <w:p>
      <w:pPr>
        <w:pStyle w:val="Heading5"/>
        <w:numPr>
          <w:ilvl w:val="4"/>
          <w:numId w:val="1"/>
        </w:numPr>
        <w:rPr/>
      </w:pPr>
      <w:bookmarkStart w:id="582" w:name="__RefHeading___Toc895133_2320776876"/>
      <w:bookmarkStart w:id="583" w:name="_Toc208"/>
      <w:bookmarkEnd w:id="582"/>
      <w:r>
        <w:rPr>
          <w:rtl w:val="true"/>
        </w:rPr>
        <w:t>الوجه الأوّل</w:t>
      </w:r>
      <w:bookmarkEnd w:id="583"/>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w:t>
      </w:r>
      <w:r>
        <w:rPr>
          <w:rStyle w:val="FootnoteAnchor"/>
          <w:rtl w:val="true"/>
        </w:rPr>
        <w:footnoteReference w:id="3515"/>
      </w:r>
      <w:r>
        <w:rPr>
          <w:rFonts w:ascii="Amiri" w:hAnsi="Amiri" w:eastAsia="Amiri" w:cs="Amiri"/>
          <w:color w:val="111111"/>
          <w:sz w:val="28"/>
          <w:sz w:val="28"/>
          <w:szCs w:val="28"/>
          <w:rtl w:val="true"/>
          <w:lang w:bidi="ar-SA"/>
        </w:rPr>
        <w:t>إليه أصحابُنا هو</w:t>
      </w:r>
      <w:r>
        <w:rPr>
          <w:rStyle w:val="FootnoteAnchor"/>
          <w:rtl w:val="true"/>
        </w:rPr>
        <w:footnoteReference w:id="3516"/>
      </w:r>
      <w:r>
        <w:rPr>
          <w:rFonts w:ascii="Amiri" w:hAnsi="Amiri" w:eastAsia="Amiri" w:cs="Amiri"/>
          <w:color w:val="111111"/>
          <w:sz w:val="28"/>
          <w:sz w:val="28"/>
          <w:szCs w:val="28"/>
          <w:rtl w:val="true"/>
          <w:lang w:bidi="ar-SA"/>
        </w:rPr>
        <w:t xml:space="preserve">الذي أشارَ إليه أبو جعفرٍ بنُ قِبةَ رحمهُ اللّٰهُ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الناسَ بَعدَ رسولِ اللّٰهِ صَلَّى اللّٰهُ عليه و آلِه لَم يَكونوا بأسْرِهم دافِعينَ‌</w:t>
      </w:r>
      <w:r>
        <w:rPr>
          <w:rStyle w:val="FootnoteAnchor"/>
          <w:rtl w:val="true"/>
        </w:rPr>
        <w:footnoteReference w:id="3517"/>
      </w:r>
      <w:r>
        <w:rPr>
          <w:rFonts w:ascii="Amiri" w:hAnsi="Amiri" w:eastAsia="Amiri" w:cs="Amiri"/>
          <w:color w:val="111111"/>
          <w:sz w:val="28"/>
          <w:sz w:val="28"/>
          <w:szCs w:val="28"/>
          <w:rtl w:val="true"/>
          <w:lang w:bidi="ar-SA"/>
        </w:rPr>
        <w:t>للنصِّ‌</w:t>
      </w:r>
      <w:r>
        <w:rPr>
          <w:rStyle w:val="FootnoteAnchor"/>
          <w:rtl w:val="true"/>
        </w:rPr>
        <w:footnoteReference w:id="3518"/>
      </w:r>
      <w:r>
        <w:rPr>
          <w:rFonts w:ascii="Amiri" w:hAnsi="Amiri" w:eastAsia="Amiri" w:cs="Amiri"/>
          <w:color w:val="111111"/>
          <w:sz w:val="28"/>
          <w:sz w:val="28"/>
          <w:szCs w:val="28"/>
          <w:rtl w:val="true"/>
          <w:lang w:bidi="ar-SA"/>
        </w:rPr>
        <w:t xml:space="preserve">و عامِلينَ </w:t>
      </w:r>
      <w:r>
        <w:rPr>
          <w:rStyle w:val="FootnoteAnchor"/>
          <w:rtl w:val="true"/>
        </w:rPr>
        <w:footnoteReference w:id="3519"/>
      </w:r>
      <w:r>
        <w:rPr>
          <w:rFonts w:ascii="Amiri" w:hAnsi="Amiri" w:eastAsia="Amiri" w:cs="Amiri"/>
          <w:color w:val="111111"/>
          <w:sz w:val="28"/>
          <w:sz w:val="28"/>
          <w:szCs w:val="28"/>
          <w:rtl w:val="true"/>
          <w:lang w:bidi="ar-SA"/>
        </w:rPr>
        <w:t xml:space="preserve">بخِلافِه مع عِلمِهم الضروريِّ به، و إنّما </w:t>
      </w:r>
    </w:p>
    <w:p>
      <w:pPr>
        <w:pStyle w:val="BookText"/>
        <w:rPr/>
      </w:pPr>
      <w:r>
        <w:rPr>
          <w:rFonts w:ascii="Amiri" w:hAnsi="Amiri" w:eastAsia="Amiri" w:cs="Amiri"/>
          <w:color w:val="111111"/>
          <w:sz w:val="28"/>
          <w:sz w:val="28"/>
          <w:szCs w:val="28"/>
          <w:rtl w:val="true"/>
          <w:lang w:bidi="ar-SA"/>
        </w:rPr>
        <w:t>بادَرَ قومٌ مِن الأنصارِ لمّا قُبِضَ رسولُ اللّٰهِ‌</w:t>
      </w:r>
      <w:r>
        <w:rPr>
          <w:rStyle w:val="FootnoteAnchor"/>
          <w:rtl w:val="true"/>
        </w:rPr>
        <w:footnoteReference w:id="3520"/>
      </w:r>
      <w:r>
        <w:rPr>
          <w:rFonts w:ascii="Amiri" w:hAnsi="Amiri" w:eastAsia="Amiri" w:cs="Amiri"/>
          <w:color w:val="111111"/>
          <w:sz w:val="28"/>
          <w:sz w:val="28"/>
          <w:szCs w:val="28"/>
          <w:rtl w:val="true"/>
          <w:lang w:bidi="ar-SA"/>
        </w:rPr>
        <w:t>صَلّى اللّٰهُ عليه و آلِه إلىٰ طلبِ الإمامةِ‌، و اختَلَفت كلمةُ‌</w:t>
      </w:r>
      <w:r>
        <w:rPr>
          <w:rStyle w:val="FootnoteAnchor"/>
          <w:rtl w:val="true"/>
        </w:rPr>
        <w:footnoteReference w:id="3521"/>
      </w:r>
      <w:r>
        <w:rPr>
          <w:rFonts w:ascii="Amiri" w:hAnsi="Amiri" w:eastAsia="Amiri" w:cs="Amiri"/>
          <w:color w:val="111111"/>
          <w:sz w:val="28"/>
          <w:sz w:val="28"/>
          <w:szCs w:val="28"/>
          <w:rtl w:val="true"/>
          <w:lang w:bidi="ar-SA"/>
        </w:rPr>
        <w:t>رؤَسائهِم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حالُهم بجَماعةٍ مِن المهاجِرينَ‌، فقَصَدوا السقيفةَ عامِلينَ‌</w:t>
      </w:r>
      <w:r>
        <w:rPr>
          <w:rStyle w:val="FootnoteAnchor"/>
          <w:rtl w:val="true"/>
        </w:rPr>
        <w:footnoteReference w:id="3522"/>
      </w:r>
      <w:r>
        <w:rPr>
          <w:rFonts w:ascii="Amiri" w:hAnsi="Amiri" w:eastAsia="Amiri" w:cs="Amiri"/>
          <w:color w:val="111111"/>
          <w:sz w:val="28"/>
          <w:sz w:val="28"/>
          <w:szCs w:val="28"/>
          <w:rtl w:val="true"/>
          <w:lang w:bidi="ar-SA"/>
        </w:rPr>
        <w:t>علىٰ إزالةِ الأمرِ عن مستحِقِّه و الاستبدادِ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الداعي لهم إلىٰ ذلكَ و الحاملُ عليه</w:t>
      </w:r>
      <w:r>
        <w:rPr>
          <w:rStyle w:val="FootnoteAnchor"/>
          <w:rtl w:val="true"/>
        </w:rPr>
        <w:footnoteReference w:id="3523"/>
      </w:r>
      <w:r>
        <w:rPr>
          <w:rFonts w:ascii="Amiri" w:hAnsi="Amiri" w:eastAsia="Amiri" w:cs="Amiri"/>
          <w:color w:val="111111"/>
          <w:sz w:val="28"/>
          <w:sz w:val="28"/>
          <w:szCs w:val="28"/>
          <w:rtl w:val="true"/>
          <w:lang w:bidi="ar-SA"/>
        </w:rPr>
        <w:t>رغبتَهم في عاجلِ الرئاسةِ‌، و التمكُّنَ مِن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انضافَ إلىٰ هذا الداعي ما كانَ في نفسِ جماعةٍ منهم مِن الحسدِ لأميرِ</w:t>
      </w:r>
    </w:p>
    <w:p>
      <w:pPr>
        <w:pStyle w:val="BookText"/>
        <w:rPr/>
      </w:pPr>
      <w:r>
        <w:rPr>
          <w:rFonts w:ascii="Amiri" w:hAnsi="Amiri" w:eastAsia="Amiri" w:cs="Amiri"/>
          <w:color w:val="111111"/>
          <w:sz w:val="28"/>
          <w:sz w:val="28"/>
          <w:szCs w:val="28"/>
          <w:rtl w:val="true"/>
          <w:lang w:bidi="ar-SA"/>
        </w:rPr>
        <w:t>المؤمِنينَ عليه السلامُ و العَداوةِ له؛ لِقَتلِ مَن قتَلَ مِن آبائهم و أقارِبِهم، و لِتقدُّمِه و اختصاصِه بالفَضائلِ الباهرةِ‌، و المَناقبِ الظاهرةِ‌</w:t>
      </w:r>
      <w:r>
        <w:rPr>
          <w:rStyle w:val="FootnoteAnchor"/>
          <w:rtl w:val="true"/>
        </w:rPr>
        <w:footnoteReference w:id="3524"/>
      </w:r>
      <w:r>
        <w:rPr>
          <w:rFonts w:ascii="Amiri" w:hAnsi="Amiri" w:eastAsia="Amiri" w:cs="Amiri"/>
          <w:color w:val="111111"/>
          <w:sz w:val="28"/>
          <w:sz w:val="28"/>
          <w:szCs w:val="28"/>
          <w:rtl w:val="true"/>
          <w:lang w:bidi="ar-SA"/>
        </w:rPr>
        <w:t>، التي لَم يَخلُ مَن اختَصَّ ببعضِها مِن حسدٍ و غِبطةٍ‌</w:t>
      </w:r>
      <w:r>
        <w:rPr>
          <w:rStyle w:val="FootnoteAnchor"/>
          <w:rtl w:val="true"/>
        </w:rPr>
        <w:footnoteReference w:id="3525"/>
      </w:r>
      <w:r>
        <w:rPr>
          <w:rFonts w:ascii="Amiri" w:hAnsi="Amiri" w:eastAsia="Amiri" w:cs="Amiri"/>
          <w:color w:val="111111"/>
          <w:sz w:val="28"/>
          <w:sz w:val="28"/>
          <w:szCs w:val="28"/>
          <w:rtl w:val="true"/>
          <w:lang w:bidi="ar-SA"/>
        </w:rPr>
        <w:t xml:space="preserve">و قَصدٍ بَعداوةٍ ، و آنَسَهم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ما حاوَلوه بعضَ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بَني هاشمٍ بمصيبتِهم، و عُكوفُهم علىٰ تجهيزِ نبيِّهم صَلّى اللّٰهُ عليه و آلِه</w:t>
      </w:r>
      <w:r>
        <w:rPr>
          <w:rStyle w:val="FootnoteAnchor"/>
          <w:rtl w:val="true"/>
        </w:rPr>
        <w:footnoteReference w:id="3526"/>
      </w:r>
      <w:r>
        <w:rPr>
          <w:rFonts w:ascii="Amiri" w:hAnsi="Amiri" w:eastAsia="Amiri" w:cs="Amiri"/>
          <w:color w:val="111111"/>
          <w:sz w:val="28"/>
          <w:sz w:val="28"/>
          <w:szCs w:val="28"/>
          <w:rtl w:val="true"/>
          <w:lang w:bidi="ar-SA"/>
        </w:rPr>
        <w:t xml:space="preserve">، فحَضَروا السقيفةَ ، و نازَعوا في الأمرِ، و قَوَوا علَى الأنصارِ، و جَرىٰ </w:t>
      </w:r>
      <w:r>
        <w:rPr>
          <w:rStyle w:val="FootnoteAnchor"/>
          <w:rtl w:val="true"/>
        </w:rPr>
        <w:footnoteReference w:id="3527"/>
      </w:r>
      <w:r>
        <w:rPr>
          <w:rFonts w:ascii="Amiri" w:hAnsi="Amiri" w:eastAsia="Amiri" w:cs="Amiri"/>
          <w:color w:val="111111"/>
          <w:sz w:val="28"/>
          <w:sz w:val="28"/>
          <w:szCs w:val="28"/>
          <w:rtl w:val="true"/>
          <w:lang w:bidi="ar-SA"/>
        </w:rPr>
        <w:t>ما هو مذكورٌ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الناسُ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w:t>
      </w:r>
      <w:r>
        <w:rPr>
          <w:rStyle w:val="FootnoteAnchor"/>
          <w:rtl w:val="true"/>
        </w:rPr>
        <w:footnoteReference w:id="3528"/>
      </w:r>
      <w:r>
        <w:rPr>
          <w:rFonts w:ascii="Amiri" w:hAnsi="Amiri" w:eastAsia="Amiri" w:cs="Amiri"/>
          <w:color w:val="111111"/>
          <w:sz w:val="28"/>
          <w:sz w:val="28"/>
          <w:szCs w:val="28"/>
          <w:rtl w:val="true"/>
          <w:lang w:bidi="ar-SA"/>
        </w:rPr>
        <w:t>وجوهِ الصحابةِ ممّن</w:t>
      </w:r>
      <w:r>
        <w:rPr>
          <w:rStyle w:val="FootnoteAnchor"/>
          <w:rtl w:val="true"/>
        </w:rPr>
        <w:footnoteReference w:id="3529"/>
      </w:r>
      <w:r>
        <w:rPr>
          <w:rFonts w:ascii="Amiri" w:hAnsi="Amiri" w:eastAsia="Amiri" w:cs="Amiri"/>
          <w:color w:val="111111"/>
          <w:sz w:val="28"/>
          <w:sz w:val="28"/>
          <w:szCs w:val="28"/>
          <w:rtl w:val="true"/>
          <w:lang w:bidi="ar-SA"/>
        </w:rPr>
        <w:t xml:space="preserve">يحسُنُ الظنُّ </w:t>
      </w:r>
    </w:p>
    <w:p>
      <w:pPr>
        <w:pStyle w:val="BookText"/>
        <w:rPr/>
      </w:pPr>
      <w:r>
        <w:rPr>
          <w:rFonts w:ascii="Amiri" w:hAnsi="Amiri" w:eastAsia="Amiri" w:cs="Amiri"/>
          <w:color w:val="111111"/>
          <w:sz w:val="28"/>
          <w:sz w:val="28"/>
          <w:szCs w:val="28"/>
          <w:rtl w:val="true"/>
          <w:lang w:bidi="ar-SA"/>
        </w:rPr>
        <w:t>بمِثلِه و تدخُلُ‌</w:t>
      </w:r>
      <w:r>
        <w:rPr>
          <w:rStyle w:val="FootnoteAnchor"/>
          <w:rtl w:val="true"/>
        </w:rPr>
        <w:footnoteReference w:id="3530"/>
      </w:r>
      <w:r>
        <w:rPr>
          <w:rFonts w:ascii="Amiri" w:hAnsi="Amiri" w:eastAsia="Amiri" w:cs="Amiri"/>
          <w:color w:val="111111"/>
          <w:sz w:val="28"/>
          <w:sz w:val="28"/>
          <w:szCs w:val="28"/>
          <w:rtl w:val="true"/>
          <w:lang w:bidi="ar-SA"/>
        </w:rPr>
        <w:t xml:space="preserve">الشُّبهةُ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أكثرُهم</w:t>
      </w:r>
      <w:r>
        <w:rPr>
          <w:rStyle w:val="FootnoteAnchor"/>
          <w:rtl w:val="true"/>
        </w:rPr>
        <w:footnoteReference w:id="3531"/>
      </w:r>
      <w:r>
        <w:rPr>
          <w:rFonts w:ascii="Amiri" w:hAnsi="Amiri" w:eastAsia="Amiri" w:cs="Amiri"/>
          <w:color w:val="111111"/>
          <w:sz w:val="28"/>
          <w:sz w:val="28"/>
          <w:szCs w:val="28"/>
          <w:rtl w:val="true"/>
          <w:lang w:bidi="ar-SA"/>
        </w:rPr>
        <w:t>أنّهم لَم يَتلبَّسوا بالأمرِ و لا أقدَموا فيه علىٰ ما أقدَموا عليه إلّابعُذرٍ يسوِّغُ لهم ذلكَ و يجوِّزُه، فدخَلَت عليهم الشُّبهةُ‌، و استَحكَمَت في</w:t>
      </w:r>
      <w:r>
        <w:rPr>
          <w:rStyle w:val="FootnoteAnchor"/>
          <w:rtl w:val="true"/>
        </w:rPr>
        <w:footnoteReference w:id="3532"/>
      </w:r>
      <w:r>
        <w:rPr>
          <w:rFonts w:ascii="Amiri" w:hAnsi="Amiri" w:eastAsia="Amiri" w:cs="Amiri"/>
          <w:color w:val="111111"/>
          <w:sz w:val="28"/>
          <w:sz w:val="28"/>
          <w:szCs w:val="28"/>
          <w:rtl w:val="true"/>
          <w:lang w:bidi="ar-SA"/>
        </w:rPr>
        <w:t>نُفوسِهم، و لَم يُنعِموا النظَرَ في حَلِّها، فمالوا مَيلَهم، و سَلَّموا لهم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العارِفونَ بالحَقِّ و الثابِتونَ عليه غيرَ متمكِّنينَ مِن إظهارِ ما في نُفوسِهم، فتكلَّمَ بعضُهم</w:t>
      </w:r>
      <w:r>
        <w:rPr>
          <w:rStyle w:val="FootnoteAnchor"/>
          <w:rtl w:val="true"/>
        </w:rPr>
        <w:footnoteReference w:id="3533"/>
      </w:r>
      <w:r>
        <w:rPr>
          <w:rFonts w:ascii="Amiri" w:hAnsi="Amiri" w:eastAsia="Amiri" w:cs="Amiri"/>
          <w:color w:val="111111"/>
          <w:sz w:val="28"/>
          <w:sz w:val="28"/>
          <w:szCs w:val="28"/>
          <w:rtl w:val="true"/>
          <w:lang w:bidi="ar-SA"/>
        </w:rPr>
        <w:t>، و وَقَعَ منهم</w:t>
      </w:r>
      <w:r>
        <w:rPr>
          <w:rStyle w:val="FootnoteAnchor"/>
          <w:rtl w:val="true"/>
        </w:rPr>
        <w:footnoteReference w:id="3534"/>
      </w:r>
      <w:r>
        <w:rPr>
          <w:rFonts w:ascii="Amiri" w:hAnsi="Amiri" w:eastAsia="Amiri" w:cs="Amiri"/>
          <w:color w:val="111111"/>
          <w:sz w:val="28"/>
          <w:sz w:val="28"/>
          <w:szCs w:val="28"/>
          <w:rtl w:val="true"/>
          <w:lang w:bidi="ar-SA"/>
        </w:rPr>
        <w:t xml:space="preserve">مِن النزاعِ ما قد أتَت به الروايةُ </w:t>
      </w:r>
      <w:r>
        <w:rPr>
          <w:rStyle w:val="FootnoteAnchor"/>
          <w:rtl w:val="true"/>
        </w:rPr>
        <w:footnoteReference w:id="3535"/>
      </w:r>
      <w:r>
        <w:rPr>
          <w:rFonts w:ascii="Amiri" w:hAnsi="Amiri" w:eastAsia="Amiri" w:cs="Amiri"/>
          <w:color w:val="111111"/>
          <w:sz w:val="28"/>
          <w:sz w:val="28"/>
          <w:szCs w:val="28"/>
          <w:rtl w:val="true"/>
          <w:lang w:bidi="ar-SA"/>
        </w:rPr>
        <w:t xml:space="preserve">، ثُمّ </w:t>
      </w:r>
      <w:bookmarkStart w:id="584" w:name="pg20015_285141"/>
    </w:p>
    <w:p>
      <w:pPr>
        <w:pStyle w:val="BookText"/>
        <w:rPr/>
      </w:pPr>
      <w:bookmarkEnd w:id="584"/>
      <w:r>
        <w:rPr>
          <w:rFonts w:ascii="IRNazanin" w:hAnsi="IRNazanin" w:eastAsia="IRNazanin"/>
          <w:color w:val="111111"/>
          <w:sz w:val="28"/>
          <w:sz w:val="28"/>
          <w:szCs w:val="28"/>
          <w:rtl w:val="true"/>
          <w:lang w:bidi="fa-IR"/>
        </w:rPr>
        <w:t>عادوا</w:t>
      </w:r>
      <w:r>
        <w:rPr>
          <w:rStyle w:val="FootnoteAnchor"/>
          <w:rtl w:val="true"/>
        </w:rPr>
        <w:footnoteReference w:id="3536"/>
      </w:r>
      <w:r>
        <w:rPr>
          <w:rFonts w:ascii="Amiri" w:hAnsi="Amiri" w:eastAsia="Amiri" w:cs="Amiri"/>
          <w:color w:val="111111"/>
          <w:sz w:val="28"/>
          <w:sz w:val="28"/>
          <w:szCs w:val="28"/>
          <w:rtl w:val="true"/>
          <w:lang w:bidi="ar-SA"/>
        </w:rPr>
        <w:t xml:space="preserve">عندَ الضَّرورةِ إلَى الكَفِّ و الإمساكِ و إظهارِ التسليمِ مع إبطانِ </w:t>
      </w:r>
      <w:r>
        <w:rPr>
          <w:rStyle w:val="FootnoteAnchor"/>
          <w:rtl w:val="true"/>
        </w:rPr>
        <w:footnoteReference w:id="3537"/>
      </w:r>
      <w:r>
        <w:rPr>
          <w:rFonts w:ascii="Amiri" w:hAnsi="Amiri" w:eastAsia="Amiri" w:cs="Amiri"/>
          <w:color w:val="111111"/>
          <w:sz w:val="28"/>
          <w:sz w:val="28"/>
          <w:szCs w:val="28"/>
          <w:rtl w:val="true"/>
          <w:lang w:bidi="ar-SA"/>
        </w:rPr>
        <w:t xml:space="preserve">الاعتقادِ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وُسعِ هؤلاءِ </w:t>
      </w:r>
      <w:r>
        <w:rPr>
          <w:rStyle w:val="FootnoteAnchor"/>
          <w:rtl w:val="true"/>
        </w:rPr>
        <w:footnoteReference w:id="3538"/>
      </w:r>
      <w:r>
        <w:rPr>
          <w:rFonts w:ascii="Amiri" w:hAnsi="Amiri" w:eastAsia="Amiri" w:cs="Amiri"/>
          <w:color w:val="111111"/>
          <w:sz w:val="28"/>
          <w:sz w:val="28"/>
          <w:szCs w:val="28"/>
          <w:rtl w:val="true"/>
          <w:lang w:bidi="ar-SA"/>
        </w:rPr>
        <w:t>إلّانقلُ ما عَلِموه و سَمِعوه</w:t>
      </w:r>
      <w:r>
        <w:rPr>
          <w:rStyle w:val="FootnoteAnchor"/>
          <w:rtl w:val="true"/>
        </w:rPr>
        <w:footnoteReference w:id="3539"/>
      </w:r>
      <w:r>
        <w:rPr>
          <w:rFonts w:ascii="Amiri" w:hAnsi="Amiri" w:eastAsia="Amiri" w:cs="Amiri"/>
          <w:color w:val="111111"/>
          <w:sz w:val="28"/>
          <w:sz w:val="28"/>
          <w:szCs w:val="28"/>
          <w:rtl w:val="true"/>
          <w:lang w:bidi="ar-SA"/>
        </w:rPr>
        <w:t>مِن النصِّ إلىٰ أخلافِهم و مَن يأمَنونَه علىٰ نفُوسِهم، فنَقَلوه، و تواتَرَ الخبرُ به</w:t>
      </w:r>
      <w:r>
        <w:rPr>
          <w:rStyle w:val="FootnoteAnchor"/>
          <w:rtl w:val="true"/>
        </w:rPr>
        <w:footnoteReference w:id="3540"/>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Heading5"/>
        <w:numPr>
          <w:ilvl w:val="4"/>
          <w:numId w:val="1"/>
        </w:numPr>
        <w:rPr/>
      </w:pPr>
      <w:bookmarkStart w:id="585" w:name="__RefHeading___Toc895135_2320776876"/>
      <w:bookmarkStart w:id="586" w:name="_Toc209"/>
      <w:bookmarkEnd w:id="585"/>
      <w:r>
        <w:rPr>
          <w:rtl w:val="true"/>
        </w:rPr>
        <w:t>الوجه الثاني</w:t>
      </w:r>
      <w:bookmarkEnd w:id="586"/>
    </w:p>
    <w:p>
      <w:pPr>
        <w:pStyle w:val="BookText"/>
        <w:rPr/>
      </w:pPr>
      <w:r>
        <w:rPr>
          <w:rFonts w:ascii="Amiri" w:hAnsi="Amiri" w:eastAsia="Amiri" w:cs="Amiri"/>
          <w:color w:val="111111"/>
          <w:sz w:val="28"/>
          <w:sz w:val="28"/>
          <w:szCs w:val="28"/>
          <w:rtl w:val="true"/>
          <w:lang w:bidi="ar-SA"/>
        </w:rPr>
        <w:t xml:space="preserve">و قد ذَكرَ أبو جعفرٍ رحمهُ اللّٰهُ </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وَجهَ دخولِ الشُّبهةِ علَى القومِ </w:t>
      </w:r>
      <w:r>
        <w:rPr>
          <w:rStyle w:val="FootnoteAnchor"/>
          <w:rtl w:val="true"/>
        </w:rPr>
        <w:footnoteReference w:id="3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سَمِعوا الروايةَ عن الرسولِ صَلّى اللّٰهُ عليه و آلِه</w:t>
      </w:r>
      <w:r>
        <w:rPr>
          <w:rStyle w:val="FootnoteAnchor"/>
          <w:rtl w:val="true"/>
        </w:rPr>
        <w:footnoteReference w:id="354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 ذلكَ إباحةٌ للِاختيارِ</w:t>
      </w:r>
      <w:r>
        <w:rPr>
          <w:rStyle w:val="FootnoteAnchor"/>
          <w:rtl w:val="true"/>
        </w:rPr>
        <w:footnoteReference w:id="3544"/>
      </w:r>
      <w:r>
        <w:rPr>
          <w:rFonts w:ascii="Amiri" w:hAnsi="Amiri" w:eastAsia="Amiri" w:cs="Amiri"/>
          <w:color w:val="111111"/>
          <w:sz w:val="28"/>
          <w:sz w:val="28"/>
          <w:szCs w:val="28"/>
          <w:rtl w:val="true"/>
          <w:lang w:bidi="ar-SA"/>
        </w:rPr>
        <w:t>، و أنّ الأخذَ بهذا القولِ العامِّ أَولىٰ مِن الأخذِ بالقولِ الخاصِّ المسموعِ في يومِ الغديرِ و غيرِه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شراركم؛ ألا و إنّ أهل بيتي هم الوارثون لأمري، و العالمون لأمر أُمّتي من بعدي؛ اللّهمّ و من أساء خلافتي في أهل بيتي فاحرمه الجنّة التي عرضها كعرض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تستعرض الرواية احتجاج الباقين بهذا و شبهه من تذكير لأبي بكر بالروايات التي سمعوها من النبيّ صلّى اللّٰه عليه و آله في حقّ أمير المؤمنين عليه السلام الدالّة بالنصّ و المضمون على أحقّيته بالخلافة، دون غيره</w:t>
      </w:r>
      <w:r>
        <w:rPr>
          <w:rFonts w:eastAsia="Amiri" w:cs="Amiri" w:ascii="Amiri" w:hAnsi="Amiri"/>
          <w:color w:val="111111"/>
          <w:sz w:val="28"/>
          <w:szCs w:val="28"/>
          <w:rtl w:val="true"/>
          <w:lang w:bidi="ar-SA"/>
        </w:rPr>
        <w:t xml:space="preserve">. </w:t>
      </w:r>
      <w:bookmarkStart w:id="587" w:name="pg20015_285142"/>
    </w:p>
    <w:p>
      <w:pPr>
        <w:pStyle w:val="BookText"/>
        <w:rPr/>
      </w:pPr>
      <w:bookmarkEnd w:id="587"/>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 يَنقسِمُ علىٰ </w:t>
      </w:r>
      <w:r>
        <w:rPr>
          <w:rStyle w:val="FootnoteAnchor"/>
          <w:rtl w:val="true"/>
        </w:rPr>
        <w:footnoteReference w:id="3545"/>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وقَعَ بحضرةِ جماعةٍ مِن الصحابةِ </w:t>
      </w:r>
      <w:r>
        <w:rPr>
          <w:rStyle w:val="FootnoteAnchor"/>
          <w:rtl w:val="true"/>
        </w:rPr>
        <w:footnoteReference w:id="3546"/>
      </w:r>
      <w:r>
        <w:rPr>
          <w:rFonts w:ascii="Amiri" w:hAnsi="Amiri" w:eastAsia="Amiri" w:cs="Amiri"/>
          <w:color w:val="111111"/>
          <w:sz w:val="28"/>
          <w:sz w:val="28"/>
          <w:szCs w:val="28"/>
          <w:rtl w:val="true"/>
          <w:lang w:bidi="ar-SA"/>
        </w:rPr>
        <w:t>قليلةِ العَددِ، و النصُّ الآخَرُ وقَعَ بحضرةِ الخَلقِ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 الذي وقَعَ بحضرةِ الجماعةِ القليلةِ العَددِ، فيُمكِنُ كِتمانُه، و يَجوزُ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 الذي وقَعَ بحضرةِ العَددِ الكثيرِ، فإنّما كانَ يومَ الغَديرِ، و كُلُّهم كانوا ذاكِرينَ لكَلامِه عليه السلامُ ، غيرَ أنّهم ذَهَبوا عنه بتأويلٍ فاسدٍ؛ لأنّهم لمّا دخَلَت عليهم الشُّبهةُ توَهَّموا أنّ لذلكَ الكَلامِ ضَرباً مِن التأويلِ يَجوزُ معه للرؤَساءِ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الفتنةُ و اختلَفَت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يَختاروا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ألفاظُه</w:t>
      </w:r>
      <w:r>
        <w:rPr>
          <w:rStyle w:val="FootnoteAnchor"/>
          <w:rtl w:val="true"/>
        </w:rPr>
        <w:footnoteReference w:id="3547"/>
      </w:r>
      <w:r>
        <w:rPr>
          <w:rFonts w:ascii="Amiri" w:hAnsi="Amiri" w:eastAsia="Amiri" w:cs="Amiri"/>
          <w:color w:val="111111"/>
          <w:sz w:val="28"/>
          <w:sz w:val="28"/>
          <w:szCs w:val="28"/>
          <w:rtl w:val="true"/>
          <w:lang w:bidi="ar-SA"/>
        </w:rPr>
        <w:t>بعَينِها، و إن كُنّا في صدرِ كلامِنا في هذا الفصلِ توَخَّينا</w:t>
      </w:r>
      <w:r>
        <w:rPr>
          <w:rStyle w:val="FootnoteAnchor"/>
          <w:rtl w:val="true"/>
        </w:rPr>
        <w:footnoteReference w:id="3548"/>
      </w:r>
      <w:r>
        <w:rPr>
          <w:rFonts w:ascii="Amiri" w:hAnsi="Amiri" w:eastAsia="Amiri" w:cs="Amiri"/>
          <w:color w:val="111111"/>
          <w:sz w:val="28"/>
          <w:sz w:val="28"/>
          <w:szCs w:val="28"/>
          <w:rtl w:val="true"/>
          <w:lang w:bidi="ar-SA"/>
        </w:rPr>
        <w:t>إيرادَ معنىٰ كلامِه و كثيرٍ مِن ألفاظِه، و لَم نأتِ بالجميعِ علىٰ وجهِه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895137_2320776876"/>
      <w:bookmarkStart w:id="589" w:name="_Toc210"/>
      <w:bookmarkEnd w:id="588"/>
      <w:r>
        <w:rPr>
          <w:rtl w:val="true"/>
        </w:rPr>
        <w:t>تجويز التسوية بين النصّ الجليّ و نصّ الغدير في كثرة السامعين</w:t>
      </w:r>
      <w:bookmarkEnd w:id="58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طريقةٌ حسَنةٌ ، غيرَ أنّه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التقسيمِ لأحوالِ الصحابةِ و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يفرَّقَ </w:t>
      </w:r>
      <w:r>
        <w:rPr>
          <w:rStyle w:val="FootnoteAnchor"/>
          <w:rtl w:val="true"/>
        </w:rPr>
        <w:footnoteReference w:id="3549"/>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الواقعِ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الوقوعِ </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بحَضرةِ الأكثَرِ، و يُسَوّىٰ‌</w:t>
      </w:r>
      <w:r>
        <w:rPr>
          <w:rStyle w:val="FootnoteAnchor"/>
          <w:rtl w:val="true"/>
        </w:rPr>
        <w:footnoteReference w:id="3551"/>
      </w:r>
      <w:r>
        <w:rPr>
          <w:rFonts w:ascii="Amiri" w:hAnsi="Amiri" w:eastAsia="Amiri" w:cs="Amiri"/>
          <w:color w:val="111111"/>
          <w:sz w:val="28"/>
          <w:sz w:val="28"/>
          <w:szCs w:val="28"/>
          <w:rtl w:val="true"/>
          <w:lang w:bidi="ar-SA"/>
        </w:rPr>
        <w:t>بَينَ النصَّينِ في كَثرةِ‌</w:t>
      </w:r>
      <w:r>
        <w:rPr>
          <w:rStyle w:val="FootnoteAnchor"/>
          <w:rtl w:val="true"/>
        </w:rPr>
        <w:footnoteReference w:id="3552"/>
      </w:r>
      <w:r>
        <w:rPr>
          <w:rFonts w:ascii="Amiri" w:hAnsi="Amiri" w:eastAsia="Amiri" w:cs="Amiri"/>
          <w:color w:val="111111"/>
          <w:sz w:val="28"/>
          <w:sz w:val="28"/>
          <w:szCs w:val="28"/>
          <w:rtl w:val="true"/>
          <w:lang w:bidi="ar-SA"/>
        </w:rPr>
        <w:t>السامِعينَ به</w:t>
      </w:r>
      <w:r>
        <w:rPr>
          <w:rStyle w:val="FootnoteAnchor"/>
          <w:rtl w:val="true"/>
        </w:rPr>
        <w:footnoteReference w:id="3553"/>
      </w:r>
      <w:r>
        <w:rPr>
          <w:rFonts w:ascii="Amiri" w:hAnsi="Amiri" w:eastAsia="Amiri" w:cs="Amiri"/>
          <w:color w:val="111111"/>
          <w:sz w:val="28"/>
          <w:sz w:val="28"/>
          <w:szCs w:val="28"/>
          <w:rtl w:val="true"/>
          <w:lang w:bidi="ar-SA"/>
        </w:rPr>
        <w:t>و الشاهِدينَ له</w:t>
      </w:r>
      <w:r>
        <w:rPr>
          <w:rStyle w:val="FootnoteAnchor"/>
          <w:rtl w:val="true"/>
        </w:rPr>
        <w:footnoteReference w:id="3554"/>
      </w:r>
      <w:r>
        <w:rPr>
          <w:rFonts w:ascii="Amiri" w:hAnsi="Amiri" w:eastAsia="Amiri" w:cs="Amiri"/>
          <w:color w:val="111111"/>
          <w:sz w:val="28"/>
          <w:sz w:val="28"/>
          <w:szCs w:val="28"/>
          <w:rtl w:val="true"/>
          <w:lang w:bidi="ar-SA"/>
        </w:rPr>
        <w:t>لأنّه لا يَمتنِعُ علىٰ هذا أن يَكونَ النبيُّ صَلّى اللّٰهُ عليه و آلِه أسمَعَ النصَّ الجَليَّ سائرَ مَن أسمَعَه خبرَ يومِ الغَديرِ؛ غيرَ أنّه لمّا وقَعَت الفتنةُ‌، و اختَلَفَت الكلمةُ‌، و وَقَع ممّن حضَرَ السقيفةَ‌</w:t>
      </w:r>
      <w:r>
        <w:rPr>
          <w:rStyle w:val="FootnoteAnchor"/>
          <w:rtl w:val="true"/>
        </w:rPr>
        <w:footnoteReference w:id="3555"/>
      </w:r>
      <w:r>
        <w:rPr>
          <w:rFonts w:ascii="Amiri" w:hAnsi="Amiri" w:eastAsia="Amiri" w:cs="Amiri"/>
          <w:color w:val="111111"/>
          <w:sz w:val="28"/>
          <w:sz w:val="28"/>
          <w:szCs w:val="28"/>
          <w:rtl w:val="true"/>
          <w:lang w:bidi="ar-SA"/>
        </w:rPr>
        <w:t>مِن المهاجِرينَ و الأنصارِ ما وقَعَ للعِلَلِ و الأسبابِ التي ذَكَرنا بعضَها، و رأَى الناسُ صنيعَهم، اعتقَدَ كثيرٌ منهم</w:t>
      </w:r>
      <w:r>
        <w:rPr>
          <w:rStyle w:val="FootnoteAnchor"/>
          <w:rtl w:val="true"/>
        </w:rPr>
        <w:footnoteReference w:id="3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بالنصَّينِ و الذِّكرِ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الذينَ راموا</w:t>
      </w:r>
      <w:r>
        <w:rPr>
          <w:rStyle w:val="FootnoteAnchor"/>
          <w:rtl w:val="true"/>
        </w:rPr>
        <w:footnoteReference w:id="3557"/>
      </w:r>
      <w:r>
        <w:rPr>
          <w:rFonts w:ascii="Amiri" w:hAnsi="Amiri" w:eastAsia="Amiri" w:cs="Amiri"/>
          <w:color w:val="111111"/>
          <w:sz w:val="28"/>
          <w:sz w:val="28"/>
          <w:szCs w:val="28"/>
          <w:rtl w:val="true"/>
          <w:lang w:bidi="ar-SA"/>
        </w:rPr>
        <w:t>الأمرَ و عَقَدوه لأحدِهم لَم يَفعَلوا ذلكَ إلّابعهدٍ مِن الرسولِ صَلّى اللّٰهُ عليه و آلِه خاصٍّ إليهم و قولٍ منه تأخَّرَ عمّا عَلِموه مِن النصِّ‌، و كانَ كالناسخِ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ذلكَ عهدٌ يُنافي النصَّ الظاهرَ الذي عَرَفوه لَما جازَ أن يَكونَ خاصّاً، و أنّ النسخَ في مِثلِه لا يَقَعُ‌؛ لأنّه موجِبٌ للبَداءِ </w:t>
      </w:r>
      <w:r>
        <w:rPr>
          <w:rStyle w:val="FootnoteAnchor"/>
          <w:rtl w:val="true"/>
        </w:rPr>
        <w:footnoteReference w:id="3558"/>
      </w:r>
      <w:r>
        <w:rPr>
          <w:rFonts w:ascii="Amiri" w:hAnsi="Amiri" w:eastAsia="Amiri" w:cs="Amiri"/>
          <w:color w:val="111111"/>
          <w:sz w:val="28"/>
          <w:sz w:val="28"/>
          <w:szCs w:val="28"/>
          <w:rtl w:val="true"/>
          <w:lang w:bidi="ar-SA"/>
        </w:rPr>
        <w:t>، إلىٰ غيرِ هذا</w:t>
      </w:r>
    </w:p>
    <w:p>
      <w:pPr>
        <w:pStyle w:val="BookText"/>
        <w:rPr/>
      </w:pPr>
      <w:r>
        <w:rPr>
          <w:rFonts w:ascii="Amiri" w:hAnsi="Amiri" w:eastAsia="Amiri" w:cs="Amiri"/>
          <w:color w:val="111111"/>
          <w:sz w:val="28"/>
          <w:sz w:val="28"/>
          <w:szCs w:val="28"/>
          <w:rtl w:val="true"/>
          <w:lang w:bidi="ar-SA"/>
        </w:rPr>
        <w:t xml:space="preserve">مِن الوجوهِ المُبطِلةِ لهذه الشُّبهةِ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ما ذَكَرناه ممّا لا يَشتَبِهُ علىٰ مَن لَم يُنعِمِ النظَرَ فيه، بل معلومٌ اشتباهُه، و أنّ الحَقَّ فيه</w:t>
      </w:r>
      <w:r>
        <w:rPr>
          <w:rStyle w:val="FootnoteAnchor"/>
          <w:rtl w:val="true"/>
        </w:rPr>
        <w:footnoteReference w:id="3559"/>
      </w:r>
      <w:r>
        <w:rPr>
          <w:rFonts w:ascii="Amiri" w:hAnsi="Amiri" w:eastAsia="Amiri" w:cs="Amiri"/>
          <w:color w:val="111111"/>
          <w:sz w:val="28"/>
          <w:sz w:val="28"/>
          <w:szCs w:val="28"/>
          <w:rtl w:val="true"/>
          <w:lang w:bidi="ar-SA"/>
        </w:rPr>
        <w:t xml:space="preserve">لا يوصَلُ إليه إلّابثاقبِ </w:t>
      </w:r>
      <w:r>
        <w:rPr>
          <w:rStyle w:val="FootnoteAnchor"/>
          <w:rtl w:val="true"/>
        </w:rPr>
        <w:footnoteReference w:id="3560"/>
      </w:r>
      <w:r>
        <w:rPr>
          <w:rFonts w:ascii="Amiri" w:hAnsi="Amiri" w:eastAsia="Amiri" w:cs="Amiri"/>
          <w:color w:val="111111"/>
          <w:sz w:val="28"/>
          <w:sz w:val="28"/>
          <w:szCs w:val="28"/>
          <w:rtl w:val="true"/>
          <w:lang w:bidi="ar-SA"/>
        </w:rPr>
        <w:t xml:space="preserve">النظَرِ الصحيحِ </w:t>
      </w:r>
      <w:r>
        <w:rPr>
          <w:rFonts w:eastAsia="Amiri" w:cs="Amiri" w:ascii="Amiri" w:hAnsi="Amiri"/>
          <w:color w:val="111111"/>
          <w:sz w:val="28"/>
          <w:szCs w:val="28"/>
          <w:rtl w:val="true"/>
          <w:lang w:bidi="ar-SA"/>
        </w:rPr>
        <w:t xml:space="preserve">. </w:t>
      </w:r>
      <w:bookmarkStart w:id="590" w:name="pg20015_285144"/>
    </w:p>
    <w:p>
      <w:pPr>
        <w:pStyle w:val="BookText"/>
        <w:rPr/>
      </w:pPr>
      <w:bookmarkEnd w:id="590"/>
      <w:r>
        <w:rPr>
          <w:rFonts w:ascii="Amiri" w:hAnsi="Amiri" w:eastAsia="Amiri" w:cs="Amiri"/>
          <w:color w:val="111111"/>
          <w:sz w:val="28"/>
          <w:sz w:val="28"/>
          <w:szCs w:val="28"/>
          <w:rtl w:val="true"/>
          <w:lang w:bidi="ar-SA"/>
        </w:rPr>
        <w:t>و إذا جازَ أن يدخُلَ‌</w:t>
      </w:r>
      <w:r>
        <w:rPr>
          <w:rStyle w:val="FootnoteAnchor"/>
          <w:rtl w:val="true"/>
        </w:rPr>
        <w:footnoteReference w:id="3561"/>
      </w:r>
      <w:r>
        <w:rPr>
          <w:rFonts w:ascii="Amiri" w:hAnsi="Amiri" w:eastAsia="Amiri" w:cs="Amiri"/>
          <w:color w:val="111111"/>
          <w:sz w:val="28"/>
          <w:sz w:val="28"/>
          <w:szCs w:val="28"/>
          <w:rtl w:val="true"/>
          <w:lang w:bidi="ar-SA"/>
        </w:rPr>
        <w:t xml:space="preserve">علَى القومِ الشُّبهةُ‌، حتّىٰ يَعتقِدوا أنّ القولَ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بأن يُعمَلَ عليه مِن القولِ الخاصِّ الواقعِ في يومِ الغَديرِ مع عِلمِهم بالمُرادِ مِن خبرِ يومِ الغَديرِ؛ لأنّهم لا بُدَّ أن يَكونوا قد عَلِموا المُرادَ به، إن لَم يَكُن ضرورةً فمِن طريقِ الدليلِ ؛ إذ كانوا مِن أهلِ اللُّغةِ و ممّن</w:t>
      </w:r>
      <w:r>
        <w:rPr>
          <w:rStyle w:val="FootnoteAnchor"/>
          <w:rtl w:val="true"/>
        </w:rPr>
        <w:footnoteReference w:id="3562"/>
      </w:r>
      <w:r>
        <w:rPr>
          <w:rFonts w:ascii="Amiri" w:hAnsi="Amiri" w:eastAsia="Amiri" w:cs="Amiri"/>
          <w:color w:val="111111"/>
          <w:sz w:val="28"/>
          <w:sz w:val="28"/>
          <w:szCs w:val="28"/>
          <w:rtl w:val="true"/>
          <w:lang w:bidi="ar-SA"/>
        </w:rPr>
        <w:t>لا يَجوزُ أن يَشتَبِهَ عليه</w:t>
      </w:r>
      <w:r>
        <w:rPr>
          <w:rStyle w:val="FootnoteAnchor"/>
          <w:rtl w:val="true"/>
        </w:rPr>
        <w:footnoteReference w:id="3563"/>
      </w:r>
      <w:r>
        <w:rPr>
          <w:rFonts w:ascii="Amiri" w:hAnsi="Amiri" w:eastAsia="Amiri" w:cs="Amiri"/>
          <w:color w:val="111111"/>
          <w:sz w:val="28"/>
          <w:sz w:val="28"/>
          <w:szCs w:val="28"/>
          <w:rtl w:val="true"/>
          <w:lang w:bidi="ar-SA"/>
        </w:rPr>
        <w:t xml:space="preserve">ما يَرجِعُ إليها و يُبنىٰ </w:t>
      </w:r>
      <w:r>
        <w:rPr>
          <w:rStyle w:val="FootnoteAnchor"/>
          <w:rtl w:val="true"/>
        </w:rPr>
        <w:footnoteReference w:id="3564"/>
      </w:r>
      <w:r>
        <w:rPr>
          <w:rFonts w:ascii="Amiri" w:hAnsi="Amiri" w:eastAsia="Amiri" w:cs="Amiri"/>
          <w:color w:val="111111"/>
          <w:sz w:val="28"/>
          <w:sz w:val="28"/>
          <w:szCs w:val="28"/>
          <w:rtl w:val="true"/>
          <w:lang w:bidi="ar-SA"/>
        </w:rPr>
        <w:t>في</w:t>
      </w:r>
      <w:r>
        <w:rPr>
          <w:rStyle w:val="FootnoteAnchor"/>
          <w:rtl w:val="true"/>
        </w:rPr>
        <w:footnoteReference w:id="3565"/>
      </w:r>
      <w:r>
        <w:rPr>
          <w:rFonts w:ascii="Amiri" w:hAnsi="Amiri" w:eastAsia="Amiri" w:cs="Amiri"/>
          <w:color w:val="111111"/>
          <w:sz w:val="28"/>
          <w:sz w:val="28"/>
          <w:szCs w:val="28"/>
          <w:rtl w:val="true"/>
          <w:lang w:bidi="ar-SA"/>
        </w:rPr>
        <w:t xml:space="preserve">دَلالتِه عليها؛ فدُخولُ الشُّبهةِ عليهم فيما ذَكَرناه و علَى الوجهِ الذي بيّنّاه أجوَزُ و أقرَبُ </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حالُ القومِ يَنقسِمُ في هذا الوجهِ أيضاً إلَى الأقسامِ الثلاثةِ المتقدِّمةِ </w:t>
      </w:r>
      <w:r>
        <w:rPr>
          <w:rStyle w:val="FootnoteAnchor"/>
          <w:rtl w:val="true"/>
        </w:rPr>
        <w:footnoteReference w:id="3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بعضُهم قصَدَ إلَى الكِتمانِ و الخِلافِ مع العِلمِ و زَوالِ الشُّبهةِ للأغراضِ التي ذَكَرناها، و بعضٌ آخَرُ</w:t>
      </w:r>
      <w:r>
        <w:rPr>
          <w:rStyle w:val="FootnoteAnchor"/>
          <w:rtl w:val="true"/>
        </w:rPr>
        <w:footnoteReference w:id="3568"/>
      </w:r>
      <w:r>
        <w:rPr>
          <w:rFonts w:ascii="Amiri" w:hAnsi="Amiri" w:eastAsia="Amiri" w:cs="Amiri"/>
          <w:color w:val="111111"/>
          <w:sz w:val="28"/>
          <w:sz w:val="28"/>
          <w:szCs w:val="28"/>
          <w:rtl w:val="true"/>
          <w:lang w:bidi="ar-SA"/>
        </w:rPr>
        <w:t>دخَلَت عليه الشُّبهةُ مِن الجهةِ التي تقدَّمَت، و بعضٌ آخَرُ أقامَ علَى الحقِّ مُبطِناً</w:t>
      </w:r>
      <w:r>
        <w:rPr>
          <w:rStyle w:val="FootnoteAnchor"/>
          <w:rtl w:val="true"/>
        </w:rPr>
        <w:footnoteReference w:id="3569"/>
      </w:r>
      <w:r>
        <w:rPr>
          <w:rFonts w:ascii="Amiri" w:hAnsi="Amiri" w:eastAsia="Amiri" w:cs="Amiri"/>
          <w:color w:val="111111"/>
          <w:sz w:val="28"/>
          <w:sz w:val="28"/>
          <w:szCs w:val="28"/>
          <w:rtl w:val="true"/>
          <w:lang w:bidi="ar-SA"/>
        </w:rPr>
        <w:t>له و نقَلَ ما عَلِمَه مِن النصِّ علَى الوَجهِ الذي تمكَّنَ مِن نقلِه</w:t>
      </w:r>
      <w:r>
        <w:rPr>
          <w:rStyle w:val="FootnoteAnchor"/>
          <w:rtl w:val="true"/>
        </w:rPr>
        <w:footnoteReference w:id="357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895139_2320776876"/>
      <w:bookmarkStart w:id="592" w:name="_Toc211"/>
      <w:bookmarkEnd w:id="591"/>
      <w:r>
        <w:rPr>
          <w:rtl w:val="true"/>
        </w:rPr>
        <w:t>جواز العدول عن نقل النصِّ الجليِّ للشبهة</w:t>
      </w:r>
      <w:bookmarkEnd w:id="59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قَدَّرتموه صحيحاً لَوجَبَ أن يَنقُلَ الذينَ دخَلَت عليهم الشُّبهةُ </w:t>
      </w:r>
      <w:r>
        <w:rPr>
          <w:rStyle w:val="FootnoteAnchor"/>
          <w:rtl w:val="true"/>
        </w:rPr>
        <w:footnoteReference w:id="3571"/>
      </w:r>
      <w:r>
        <w:rPr>
          <w:rFonts w:ascii="Amiri" w:hAnsi="Amiri" w:eastAsia="Amiri" w:cs="Amiri"/>
          <w:color w:val="111111"/>
          <w:sz w:val="28"/>
          <w:sz w:val="28"/>
          <w:szCs w:val="28"/>
          <w:rtl w:val="true"/>
          <w:lang w:bidi="ar-SA"/>
        </w:rPr>
        <w:t xml:space="preserve">بفِعلِ الأكابِرِ النصَّ ، و لا يَعدِلوا عن ذِكرِه جُملةً ؛ لأنّ الشُّبهةَ </w:t>
      </w:r>
    </w:p>
    <w:p>
      <w:pPr>
        <w:pStyle w:val="BookText"/>
        <w:rPr/>
      </w:pPr>
      <w:r>
        <w:rPr>
          <w:rFonts w:ascii="Amiri" w:hAnsi="Amiri" w:eastAsia="Amiri" w:cs="Amiri"/>
          <w:color w:val="111111"/>
          <w:sz w:val="28"/>
          <w:sz w:val="28"/>
          <w:szCs w:val="28"/>
          <w:rtl w:val="true"/>
          <w:lang w:bidi="ar-SA"/>
        </w:rPr>
        <w:t xml:space="preserve">المانِعةَ لهم مِن العملِ بموجَبِه غيرُ مقتضيةٍ للعُدولِ عن نقلِه، كما أنّهم عندَكم لمّا اشتبَهَ عليهم المُرادُ بخبرِ يومِ الغَديرِ و ما جَرىٰ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اعتَقَدوا بالشُّبهةِ أنّه غيرُ مقتضٍ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w:t>
      </w:r>
      <w:r>
        <w:rPr>
          <w:rStyle w:val="FootnoteAnchor"/>
          <w:rtl w:val="true"/>
        </w:rPr>
        <w:footnoteReference w:id="3572"/>
      </w:r>
      <w:r>
        <w:rPr>
          <w:rFonts w:ascii="Amiri" w:hAnsi="Amiri" w:eastAsia="Amiri" w:cs="Amiri"/>
          <w:color w:val="111111"/>
          <w:sz w:val="28"/>
          <w:sz w:val="28"/>
          <w:szCs w:val="28"/>
          <w:rtl w:val="true"/>
          <w:lang w:bidi="ar-SA"/>
        </w:rPr>
        <w:t>ذلكَ عُدولَهم عن نقلِه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غيرُ ممتنِعٍ أن يَعدِلوا عن نقلِه بالشُّبهةِ كما عَدَلوا عن العملِ به و عَمِلوا بخِلافِه بالشُّبهةِ‌؛ لأنّهم إذا كانوا قد اعتَقَدوا أنّ القومَ الذينَ أحسَنوا الظنَّ بهم لَم يَقَعْ منهم ما وقَعَ إلّابعَهدٍ إليهم، أو شَرطٍ، أو ما جَرىٰ مَجرَى العهدِ و الشرطِ يسوِّغُ ما فَعَلوه؛ فقَد بطَلَ عندَهم حُكمُ الخبرِ، و صارَ ممّا لا فائدةَ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الغَديرِ</w:t>
      </w:r>
    </w:p>
    <w:p>
      <w:pPr>
        <w:pStyle w:val="BookText"/>
        <w:rPr/>
      </w:pPr>
      <w:r>
        <w:rPr>
          <w:rFonts w:ascii="Amiri" w:hAnsi="Amiri" w:eastAsia="Amiri" w:cs="Amiri"/>
          <w:color w:val="111111"/>
          <w:sz w:val="28"/>
          <w:sz w:val="28"/>
          <w:szCs w:val="28"/>
          <w:rtl w:val="true"/>
          <w:lang w:bidi="ar-SA"/>
        </w:rPr>
        <w:t>مفارِقٌ للنصِّ الجليِّ‌؛ لأنّه إذا اشتبَهَ عليهم إيجابُه للنصِّ فغيرُ مشتَبِهٍ إيجابُه للفضيلةِ‌، فيَكونُ نقلُهم له لِمَكانِ فائدتِه</w:t>
      </w:r>
      <w:r>
        <w:rPr>
          <w:rStyle w:val="FootnoteAnchor"/>
          <w:rtl w:val="true"/>
        </w:rPr>
        <w:footnoteReference w:id="3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أنّهم إذا وَجَدوا القومَ الذينَ بفِعلِهم قَوِيَت الشُّبهةُ و وقَعَ الاغترارُ، قد أضرَبوا عن</w:t>
      </w:r>
      <w:r>
        <w:rPr>
          <w:rStyle w:val="FootnoteAnchor"/>
          <w:rtl w:val="true"/>
        </w:rPr>
        <w:footnoteReference w:id="3574"/>
      </w:r>
      <w:r>
        <w:rPr>
          <w:rFonts w:ascii="Amiri" w:hAnsi="Amiri" w:eastAsia="Amiri" w:cs="Amiri"/>
          <w:color w:val="111111"/>
          <w:sz w:val="28"/>
          <w:sz w:val="28"/>
          <w:szCs w:val="28"/>
          <w:rtl w:val="true"/>
          <w:lang w:bidi="ar-SA"/>
        </w:rPr>
        <w:t xml:space="preserve">ذِكرِ هذا النصِّ و التلفُّظِ به، و تَناسَوه، و وَجَدوا مَن عَداهم مِن أهل الحَقِّ قد أخفَوه للتقيّةِ ، و عَدَلوا عن التظاهُرِ بنقلِه و ذِكرِه، و لَم يَجِدوا هذا في خبرِ الغَدير و ما ماثَلَه، فقَد صارَ هذا شُبهةً أُخرىٰ في العُدولِ عن نقلِ النصِّ الجَليِّ </w:t>
      </w:r>
      <w:r>
        <w:rPr>
          <w:rStyle w:val="FootnoteAnchor"/>
          <w:rtl w:val="true"/>
        </w:rPr>
        <w:footnoteReference w:id="3575"/>
      </w:r>
      <w:r>
        <w:rPr>
          <w:rFonts w:ascii="Amiri" w:hAnsi="Amiri" w:eastAsia="Amiri" w:cs="Amiri"/>
          <w:color w:val="111111"/>
          <w:sz w:val="28"/>
          <w:sz w:val="28"/>
          <w:szCs w:val="28"/>
          <w:rtl w:val="true"/>
          <w:lang w:bidi="ar-SA"/>
        </w:rPr>
        <w:t>دونَ الواقِعِ في يومِ الغَديرِ، و يَجوزُ أن يَعتقِدوا عندَها أنّ ذِكرَه غيرُ جائزٍ كما أنّ العملَ به غيرُ جائزٍ</w:t>
      </w:r>
      <w:r>
        <w:rPr>
          <w:rStyle w:val="FootnoteAnchor"/>
          <w:rtl w:val="true"/>
        </w:rPr>
        <w:footnoteReference w:id="3576"/>
      </w:r>
      <w:r>
        <w:rPr>
          <w:rFonts w:ascii="Amiri" w:hAnsi="Amiri" w:eastAsia="Amiri" w:cs="Amiri"/>
          <w:color w:val="111111"/>
          <w:sz w:val="28"/>
          <w:sz w:val="28"/>
          <w:szCs w:val="28"/>
          <w:rtl w:val="true"/>
          <w:lang w:bidi="ar-SA"/>
        </w:rPr>
        <w:t xml:space="preserve">، و أنّه جارٍ مَجرىٰ ما نُسِخَ حُكمُه و لفظُه مِن الكتابِ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سَلَكناهما في حالِ القومِ و</w:t>
      </w:r>
      <w:r>
        <w:rPr>
          <w:rStyle w:val="FootnoteAnchor"/>
          <w:rtl w:val="true"/>
        </w:rPr>
        <w:footnoteReference w:id="3577"/>
      </w:r>
      <w:r>
        <w:rPr>
          <w:rFonts w:ascii="Amiri" w:hAnsi="Amiri" w:eastAsia="Amiri" w:cs="Amiri"/>
          <w:color w:val="111111"/>
          <w:sz w:val="28"/>
          <w:sz w:val="28"/>
          <w:szCs w:val="28"/>
          <w:rtl w:val="true"/>
          <w:lang w:bidi="ar-SA"/>
        </w:rPr>
        <w:t xml:space="preserve">دخولِ الشُّبهةِ علىٰ </w:t>
      </w:r>
      <w:bookmarkStart w:id="593" w:name="pg20015_285146"/>
    </w:p>
    <w:p>
      <w:pPr>
        <w:pStyle w:val="BookText"/>
        <w:rPr/>
      </w:pPr>
      <w:bookmarkEnd w:id="593"/>
      <w:r>
        <w:rPr>
          <w:rFonts w:ascii="Amiri" w:hAnsi="Amiri" w:eastAsia="Amiri" w:cs="Amiri"/>
          <w:color w:val="111111"/>
          <w:sz w:val="28"/>
          <w:sz w:val="28"/>
          <w:szCs w:val="28"/>
          <w:rtl w:val="true"/>
          <w:lang w:bidi="ar-SA"/>
        </w:rPr>
        <w:t xml:space="preserve">بعضِهم في النصَّينِ </w:t>
      </w:r>
      <w:r>
        <w:rPr>
          <w:rStyle w:val="FootnoteAnchor"/>
          <w:rtl w:val="true"/>
        </w:rPr>
        <w:footnoteReference w:id="3578"/>
      </w:r>
      <w:r>
        <w:rPr>
          <w:rFonts w:ascii="Amiri" w:hAnsi="Amiri" w:eastAsia="Amiri" w:cs="Amiri"/>
          <w:color w:val="111111"/>
          <w:sz w:val="28"/>
          <w:sz w:val="28"/>
          <w:szCs w:val="28"/>
          <w:rtl w:val="true"/>
          <w:lang w:bidi="ar-SA"/>
        </w:rPr>
        <w:t xml:space="preserve">معاً أو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ثبَتَ ، فقَد سقَطَ به ما ألزَمَناه صاحبُ الكتابِ </w:t>
      </w:r>
      <w:r>
        <w:rPr>
          <w:rStyle w:val="FootnoteAnchor"/>
          <w:rtl w:val="true"/>
        </w:rPr>
        <w:footnoteReference w:id="3579"/>
      </w:r>
      <w:r>
        <w:rPr>
          <w:rFonts w:ascii="Amiri" w:hAnsi="Amiri" w:eastAsia="Amiri" w:cs="Amiri"/>
          <w:color w:val="111111"/>
          <w:sz w:val="28"/>
          <w:sz w:val="28"/>
          <w:szCs w:val="28"/>
          <w:rtl w:val="true"/>
          <w:lang w:bidi="ar-SA"/>
        </w:rPr>
        <w:t xml:space="preserve">، و قَصَدَ التشنيعَ به علينا مِن نسبةِ </w:t>
      </w:r>
      <w:r>
        <w:rPr>
          <w:rStyle w:val="FootnoteAnchor"/>
          <w:rtl w:val="true"/>
        </w:rPr>
        <w:footnoteReference w:id="3580"/>
      </w:r>
      <w:r>
        <w:rPr>
          <w:rFonts w:ascii="Amiri" w:hAnsi="Amiri" w:eastAsia="Amiri" w:cs="Amiri"/>
          <w:color w:val="111111"/>
          <w:sz w:val="28"/>
          <w:sz w:val="28"/>
          <w:szCs w:val="28"/>
          <w:rtl w:val="true"/>
          <w:lang w:bidi="ar-SA"/>
        </w:rPr>
        <w:t>جميعِهم إلَى الارتدادِ و النِّفاقِ و عِنادِ الرسولِ صَلّى اللّٰهُ عليه و آلِه</w:t>
      </w:r>
      <w:r>
        <w:rPr>
          <w:rStyle w:val="FootnoteAnchor"/>
          <w:rtl w:val="true"/>
        </w:rPr>
        <w:footnoteReference w:id="3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895141_2320776876"/>
      <w:bookmarkStart w:id="595" w:name="_Toc212"/>
      <w:bookmarkEnd w:id="594"/>
      <w:r>
        <w:rPr>
          <w:rtl w:val="true"/>
        </w:rPr>
        <w:t>بيان الوجه في عدم نقل أهل الملل النصَّ الجليَّ</w:t>
      </w:r>
      <w:bookmarkEnd w:id="59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3582"/>
      </w:r>
      <w:r>
        <w:rPr>
          <w:rFonts w:ascii="Amiri" w:hAnsi="Amiri" w:eastAsia="Amiri" w:cs="Amiri"/>
          <w:color w:val="111111"/>
          <w:sz w:val="28"/>
          <w:sz w:val="28"/>
          <w:szCs w:val="28"/>
          <w:rtl w:val="true"/>
          <w:lang w:bidi="ar-SA"/>
        </w:rPr>
        <w:t xml:space="preserve">الأمرُ في كِتمانِ أهلِ المِلّةِ للنصِّ علىٰ ما ذَكَرتم، فألّا نقَلَه اليهودُ و النَّصارىٰ و مَن جَرىٰ مَجراهم مِن طوائفِ أهلِ الخِلاف للمِلّةِ؟ و قد عَلِمنا أنّ جميعَ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للأغراضِ التي ذَكَرتموها في أهلِ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مرتفعةٌ‌، و أنّهم قد نَقَلوا مِن أحوالِ الرسولِ صَلّى اللّٰهُ عليه و آلِه</w:t>
      </w:r>
      <w:r>
        <w:rPr>
          <w:rStyle w:val="FootnoteAnchor"/>
          <w:rtl w:val="true"/>
        </w:rPr>
        <w:footnoteReference w:id="3583"/>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كتأميرِه</w:t>
      </w:r>
      <w:r>
        <w:rPr>
          <w:rStyle w:val="FootnoteAnchor"/>
          <w:rtl w:val="true"/>
        </w:rPr>
        <w:footnoteReference w:id="3584"/>
      </w:r>
      <w:r>
        <w:rPr>
          <w:rFonts w:ascii="Amiri" w:hAnsi="Amiri" w:eastAsia="Amiri" w:cs="Amiri"/>
          <w:color w:val="111111"/>
          <w:sz w:val="28"/>
          <w:sz w:val="28"/>
          <w:szCs w:val="28"/>
          <w:rtl w:val="true"/>
          <w:lang w:bidi="ar-SA"/>
        </w:rPr>
        <w:t xml:space="preserve">الأُمراءَ ، و نصِّه علَى الأحكامِ </w:t>
      </w:r>
      <w:r>
        <w:rPr>
          <w:rStyle w:val="FootnoteAnchor"/>
          <w:rtl w:val="true"/>
        </w:rPr>
        <w:footnoteReference w:id="3585"/>
      </w:r>
      <w:r>
        <w:rPr>
          <w:rFonts w:ascii="Amiri" w:hAnsi="Amiri" w:eastAsia="Amiri" w:cs="Amiri"/>
          <w:color w:val="111111"/>
          <w:sz w:val="28"/>
          <w:sz w:val="28"/>
          <w:szCs w:val="28"/>
          <w:rtl w:val="true"/>
          <w:lang w:bidi="ar-SA"/>
        </w:rPr>
        <w:t>، و حُروبِه</w:t>
      </w:r>
      <w:r>
        <w:rPr>
          <w:rStyle w:val="FootnoteAnchor"/>
          <w:rtl w:val="true"/>
        </w:rPr>
        <w:footnoteReference w:id="3586"/>
      </w:r>
      <w:r>
        <w:rPr>
          <w:rFonts w:ascii="Amiri" w:hAnsi="Amiri" w:eastAsia="Amiri" w:cs="Amiri"/>
          <w:color w:val="111111"/>
          <w:sz w:val="28"/>
          <w:sz w:val="28"/>
          <w:szCs w:val="28"/>
          <w:rtl w:val="true"/>
          <w:lang w:bidi="ar-SA"/>
        </w:rPr>
        <w:t xml:space="preserve">للأعداءِ </w:t>
      </w:r>
      <w:r>
        <w:rPr>
          <w:rStyle w:val="FootnoteAnchor"/>
          <w:rtl w:val="true"/>
        </w:rPr>
        <w:footnoteReference w:id="3587"/>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3588"/>
      </w:r>
      <w:r>
        <w:rPr>
          <w:rFonts w:ascii="Amiri" w:hAnsi="Amiri" w:eastAsia="Amiri" w:cs="Amiri"/>
          <w:color w:val="111111"/>
          <w:sz w:val="28"/>
          <w:sz w:val="28"/>
          <w:szCs w:val="28"/>
          <w:rtl w:val="true"/>
          <w:lang w:bidi="ar-SA"/>
        </w:rPr>
        <w:t>حالُ النصِّ عندَكم في الظهورِ كحالِه</w:t>
      </w:r>
      <w:r>
        <w:rPr>
          <w:rStyle w:val="FootnoteAnchor"/>
          <w:rtl w:val="true"/>
        </w:rPr>
        <w:footnoteReference w:id="3589"/>
      </w:r>
      <w:r>
        <w:rPr>
          <w:rFonts w:ascii="Amiri" w:hAnsi="Amiri" w:eastAsia="Amiri" w:cs="Amiri"/>
          <w:color w:val="111111"/>
          <w:sz w:val="28"/>
          <w:sz w:val="28"/>
          <w:szCs w:val="28"/>
          <w:rtl w:val="true"/>
          <w:lang w:bidi="ar-SA"/>
        </w:rPr>
        <w:t>، و الداعي</w:t>
      </w:r>
      <w:r>
        <w:rPr>
          <w:rStyle w:val="FootnoteAnchor"/>
          <w:rtl w:val="true"/>
        </w:rPr>
        <w:footnoteReference w:id="3590"/>
      </w:r>
      <w:r>
        <w:rPr>
          <w:rFonts w:ascii="Amiri" w:hAnsi="Amiri" w:eastAsia="Amiri" w:cs="Amiri"/>
          <w:color w:val="111111"/>
          <w:sz w:val="28"/>
          <w:sz w:val="28"/>
          <w:szCs w:val="28"/>
          <w:rtl w:val="true"/>
          <w:lang w:bidi="ar-SA"/>
        </w:rPr>
        <w:t xml:space="preserve">إلىٰ نقلِه لهم داعٍ إلىٰ نقلِ النصِّ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للنصِّ مزيّةً ظاهرةً عندَهم؛ لأنّهم إذا نَقَلوه مع ما جَرىٰ مِن الناسِ‌</w:t>
      </w:r>
      <w:r>
        <w:rPr>
          <w:rStyle w:val="FootnoteAnchor"/>
          <w:rtl w:val="true"/>
        </w:rPr>
        <w:footnoteReference w:id="3591"/>
      </w:r>
      <w:r>
        <w:rPr>
          <w:rFonts w:ascii="Amiri" w:hAnsi="Amiri" w:eastAsia="Amiri" w:cs="Amiri"/>
          <w:color w:val="111111"/>
          <w:sz w:val="28"/>
          <w:sz w:val="28"/>
          <w:szCs w:val="28"/>
          <w:rtl w:val="true"/>
          <w:lang w:bidi="ar-SA"/>
        </w:rPr>
        <w:t>مِن العملِ بخِلافِه، كانَت</w:t>
      </w:r>
      <w:r>
        <w:rPr>
          <w:rStyle w:val="FootnoteAnchor"/>
          <w:rtl w:val="true"/>
        </w:rPr>
        <w:footnoteReference w:id="3592"/>
      </w:r>
      <w:r>
        <w:rPr>
          <w:rFonts w:ascii="Amiri" w:hAnsi="Amiri" w:eastAsia="Amiri" w:cs="Amiri"/>
          <w:color w:val="111111"/>
          <w:sz w:val="28"/>
          <w:sz w:val="28"/>
          <w:szCs w:val="28"/>
          <w:rtl w:val="true"/>
          <w:lang w:bidi="ar-SA"/>
        </w:rPr>
        <w:t>فيه لهم حُجّةٌ علىٰ أهلِ الإسلامِ واضحةٌ‌، و مَعيَرَةٌ‌</w:t>
      </w:r>
      <w:r>
        <w:rPr>
          <w:rStyle w:val="FootnoteAnchor"/>
          <w:rtl w:val="true"/>
        </w:rPr>
        <w:footnoteReference w:id="3593"/>
      </w:r>
      <w:r>
        <w:rPr>
          <w:rFonts w:ascii="Amiri" w:hAnsi="Amiri" w:eastAsia="Amiri" w:cs="Amiri"/>
          <w:color w:val="111111"/>
          <w:sz w:val="28"/>
          <w:sz w:val="28"/>
          <w:szCs w:val="28"/>
          <w:rtl w:val="true"/>
          <w:lang w:bidi="ar-SA"/>
        </w:rPr>
        <w:t>ظاهرةٌ‌؛</w:t>
      </w:r>
    </w:p>
    <w:p>
      <w:pPr>
        <w:pStyle w:val="BookText"/>
        <w:rPr/>
      </w:pPr>
      <w:r>
        <w:rPr>
          <w:rFonts w:ascii="Amiri" w:hAnsi="Amiri" w:eastAsia="Amiri" w:cs="Amiri"/>
          <w:color w:val="111111"/>
          <w:sz w:val="28"/>
          <w:sz w:val="28"/>
          <w:szCs w:val="28"/>
          <w:rtl w:val="true"/>
          <w:lang w:bidi="ar-SA"/>
        </w:rPr>
        <w:t>مِن حَيثُ خالَفوا فيه عهدَ نبيِّهم، و أقدَموا علَى اطِّراح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يَمتَنِعوا مِن نقلِ النصِّ الجَليِّ‌</w:t>
      </w:r>
      <w:r>
        <w:rPr>
          <w:rStyle w:val="FootnoteAnchor"/>
          <w:rtl w:val="true"/>
        </w:rPr>
        <w:footnoteReference w:id="3594"/>
      </w:r>
      <w:r>
        <w:rPr>
          <w:rFonts w:ascii="Amiri" w:hAnsi="Amiri" w:eastAsia="Amiri" w:cs="Amiri"/>
          <w:color w:val="111111"/>
          <w:sz w:val="28"/>
          <w:sz w:val="28"/>
          <w:szCs w:val="28"/>
          <w:rtl w:val="true"/>
          <w:lang w:bidi="ar-SA"/>
        </w:rPr>
        <w:t>للخَوفِ مِن المُتَآمِرينَ في تلكَ الأحوالِ ؛ لأنّه</w:t>
      </w:r>
      <w:r>
        <w:rPr>
          <w:rStyle w:val="FootnoteAnchor"/>
          <w:rtl w:val="true"/>
        </w:rPr>
        <w:footnoteReference w:id="3595"/>
      </w:r>
      <w:r>
        <w:rPr>
          <w:rFonts w:ascii="Amiri" w:hAnsi="Amiri" w:eastAsia="Amiri" w:cs="Amiri"/>
          <w:color w:val="111111"/>
          <w:sz w:val="28"/>
          <w:sz w:val="28"/>
          <w:szCs w:val="28"/>
          <w:rtl w:val="true"/>
          <w:lang w:bidi="ar-SA"/>
        </w:rPr>
        <w:t>لَو كانَ خَوفُهم مِن النقلِ يَمنعُهم منه و يَقطَعُ نِظامَه، لَكانَ يَجِبُ أن يَمتَنِعوا مِن نقلِ مَذاهبِهم و دياناتِهم المُخالِفةِ لرأيِ المسلمينَ و مَذاهبِ أئمّتِهم، و يَعدِلوا عن نقلِ سائرِ ما يَكرَهُه</w:t>
      </w:r>
      <w:r>
        <w:rPr>
          <w:rStyle w:val="FootnoteAnchor"/>
          <w:rtl w:val="true"/>
        </w:rPr>
        <w:footnoteReference w:id="3596"/>
      </w:r>
      <w:r>
        <w:rPr>
          <w:rFonts w:ascii="Amiri" w:hAnsi="Amiri" w:eastAsia="Amiri" w:cs="Amiri"/>
          <w:color w:val="111111"/>
          <w:sz w:val="28"/>
          <w:sz w:val="28"/>
          <w:szCs w:val="28"/>
          <w:rtl w:val="true"/>
          <w:lang w:bidi="ar-SA"/>
        </w:rPr>
        <w:t>المسلمونَ منهم، مِن الخِلافِ لهم، و التكذيبِ للرسولِ صَلّى اللّٰهُ عليه و آلِه</w:t>
      </w:r>
      <w:r>
        <w:rPr>
          <w:rStyle w:val="FootnoteAnchor"/>
          <w:rtl w:val="true"/>
        </w:rPr>
        <w:footnoteReference w:id="3597"/>
      </w:r>
      <w:r>
        <w:rPr>
          <w:rFonts w:ascii="Amiri" w:hAnsi="Amiri" w:eastAsia="Amiri" w:cs="Amiri"/>
          <w:color w:val="111111"/>
          <w:sz w:val="28"/>
          <w:sz w:val="28"/>
          <w:szCs w:val="28"/>
          <w:rtl w:val="true"/>
          <w:lang w:bidi="ar-SA"/>
        </w:rPr>
        <w:t>، إلىٰ سائِر ما تَمحَّلوه</w:t>
      </w:r>
      <w:r>
        <w:rPr>
          <w:rStyle w:val="FootnoteAnchor"/>
          <w:rtl w:val="true"/>
        </w:rPr>
        <w:footnoteReference w:id="3598"/>
      </w:r>
      <w:r>
        <w:rPr>
          <w:rFonts w:ascii="Amiri" w:hAnsi="Amiri" w:eastAsia="Amiri" w:cs="Amiri"/>
          <w:color w:val="111111"/>
          <w:sz w:val="28"/>
          <w:sz w:val="28"/>
          <w:szCs w:val="28"/>
          <w:rtl w:val="true"/>
          <w:lang w:bidi="ar-SA"/>
        </w:rPr>
        <w:t>مِن الطُّعونِ ، كالهِجاءِ و السَّبِّ و ما هو 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w:t>
      </w:r>
      <w:r>
        <w:rPr>
          <w:rStyle w:val="FootnoteAnchor"/>
          <w:rtl w:val="true"/>
        </w:rPr>
        <w:footnoteReference w:id="3599"/>
      </w:r>
      <w:r>
        <w:rPr>
          <w:rFonts w:ascii="IRNazanin" w:hAnsi="IRNazanin" w:eastAsia="IRNazanin"/>
          <w:color w:val="111111"/>
          <w:sz w:val="28"/>
          <w:sz w:val="28"/>
          <w:szCs w:val="28"/>
          <w:rtl w:val="true"/>
          <w:lang w:bidi="fa-IR"/>
        </w:rPr>
        <w:t>أن</w:t>
      </w:r>
      <w:r>
        <w:rPr>
          <w:rStyle w:val="FootnoteAnchor"/>
          <w:rtl w:val="true"/>
        </w:rPr>
        <w:footnoteReference w:id="3600"/>
      </w:r>
      <w:r>
        <w:rPr>
          <w:rFonts w:ascii="Amiri" w:hAnsi="Amiri" w:eastAsia="Amiri" w:cs="Amiri"/>
          <w:color w:val="111111"/>
          <w:sz w:val="28"/>
          <w:sz w:val="28"/>
          <w:szCs w:val="28"/>
          <w:rtl w:val="true"/>
          <w:lang w:bidi="ar-SA"/>
        </w:rPr>
        <w:t>لَم يَمنَعِ الخَوفُ مِن جميعِ ما عَدَّدناه، وَجَبَ أن لا يَمنَعَ مِن نقلِ النصِّ لَو كانَت</w:t>
      </w:r>
      <w:r>
        <w:rPr>
          <w:rStyle w:val="FootnoteAnchor"/>
          <w:rtl w:val="true"/>
        </w:rPr>
        <w:footnoteReference w:id="3601"/>
      </w:r>
      <w:r>
        <w:rPr>
          <w:rFonts w:ascii="Amiri" w:hAnsi="Amiri" w:eastAsia="Amiri" w:cs="Amiri"/>
          <w:color w:val="111111"/>
          <w:sz w:val="28"/>
          <w:sz w:val="28"/>
          <w:szCs w:val="28"/>
          <w:rtl w:val="true"/>
          <w:lang w:bidi="ar-SA"/>
        </w:rPr>
        <w:t xml:space="preserve">له حقيقةٌ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مَن ذَكَرتَه مِن مُخالِفي الإسلامِ النصَّ لَكانوا إنّما يَنقُلونَه </w:t>
      </w:r>
    </w:p>
    <w:p>
      <w:pPr>
        <w:pStyle w:val="BookText"/>
        <w:rPr/>
      </w:pPr>
      <w:r>
        <w:rPr>
          <w:rFonts w:ascii="Amiri" w:hAnsi="Amiri" w:eastAsia="Amiri" w:cs="Amiri"/>
          <w:color w:val="111111"/>
          <w:sz w:val="28"/>
          <w:sz w:val="28"/>
          <w:szCs w:val="28"/>
          <w:rtl w:val="true"/>
          <w:lang w:bidi="ar-SA"/>
        </w:rPr>
        <w:t>للوجهِ الذي له يَنقُلونَ‌</w:t>
      </w:r>
      <w:r>
        <w:rPr>
          <w:rStyle w:val="FootnoteAnchor"/>
          <w:rtl w:val="true"/>
        </w:rPr>
        <w:footnoteReference w:id="3602"/>
      </w:r>
      <w:r>
        <w:rPr>
          <w:rFonts w:ascii="Amiri" w:hAnsi="Amiri" w:eastAsia="Amiri" w:cs="Amiri"/>
          <w:color w:val="111111"/>
          <w:sz w:val="28"/>
          <w:sz w:val="28"/>
          <w:szCs w:val="28"/>
          <w:rtl w:val="true"/>
          <w:lang w:bidi="ar-SA"/>
        </w:rPr>
        <w:t xml:space="preserve">الحَوادِثَ العجيبةَ و الأُمورَ البَديعةَ الظاهرةَ‌، 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سببُ نقلِه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الخَوفَ اليَسيرَ يَمنعُ منه، و يَقتَضي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يَحمِلُ نفسَه عاقلٌ </w:t>
      </w:r>
      <w:r>
        <w:rPr>
          <w:rStyle w:val="FootnoteAnchor"/>
          <w:rtl w:val="true"/>
        </w:rPr>
        <w:footnoteReference w:id="3603"/>
      </w:r>
      <w:r>
        <w:rPr>
          <w:rFonts w:ascii="Amiri" w:hAnsi="Amiri" w:eastAsia="Amiri" w:cs="Amiri"/>
          <w:color w:val="111111"/>
          <w:sz w:val="28"/>
          <w:sz w:val="28"/>
          <w:szCs w:val="28"/>
          <w:rtl w:val="true"/>
          <w:lang w:bidi="ar-SA"/>
        </w:rPr>
        <w:t>علىٰ تحمُّلِ الضَّرَرِ و الخِطارِ</w:t>
      </w:r>
      <w:r>
        <w:rPr>
          <w:rStyle w:val="FootnoteAnchor"/>
          <w:rtl w:val="true"/>
        </w:rPr>
        <w:footnoteReference w:id="3604"/>
      </w:r>
      <w:r>
        <w:rPr>
          <w:rFonts w:ascii="Amiri" w:hAnsi="Amiri" w:eastAsia="Amiri" w:cs="Amiri"/>
          <w:color w:val="111111"/>
          <w:sz w:val="28"/>
          <w:sz w:val="28"/>
          <w:szCs w:val="28"/>
          <w:rtl w:val="true"/>
          <w:lang w:bidi="ar-SA"/>
        </w:rPr>
        <w:t xml:space="preserve">بالنفسِ فيما جَرىٰ هذا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الخَوفُ الشَّديدُ سبباً لِانقِطاعِ نقلِ ما يَرجِعُ إلَى الدياناتِ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w:t>
      </w:r>
      <w:r>
        <w:rPr>
          <w:rStyle w:val="FootnoteAnchor"/>
          <w:rtl w:val="true"/>
        </w:rPr>
        <w:footnoteReference w:id="3605"/>
      </w:r>
      <w:r>
        <w:rPr>
          <w:rFonts w:ascii="Amiri" w:hAnsi="Amiri" w:eastAsia="Amiri" w:cs="Amiri"/>
          <w:color w:val="111111"/>
          <w:sz w:val="28"/>
          <w:sz w:val="28"/>
          <w:szCs w:val="28"/>
          <w:rtl w:val="true"/>
          <w:lang w:bidi="ar-SA"/>
        </w:rPr>
        <w:t xml:space="preserve">لا يَرجِعُ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يَعتَقِدُ المُعرِضُ عن نقلِه أنّه قد ضيَّعَ بإعراضِه فَرضاً، أو أهمَلَ </w:t>
      </w:r>
      <w:r>
        <w:rPr>
          <w:rStyle w:val="FootnoteAnchor"/>
          <w:rtl w:val="true"/>
        </w:rPr>
        <w:footnoteReference w:id="3606"/>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3607"/>
      </w:r>
      <w:r>
        <w:rPr>
          <w:rFonts w:ascii="Amiri" w:hAnsi="Amiri" w:eastAsia="Amiri" w:cs="Amiri"/>
          <w:color w:val="111111"/>
          <w:sz w:val="28"/>
          <w:sz w:val="28"/>
          <w:szCs w:val="28"/>
          <w:rtl w:val="true"/>
          <w:lang w:bidi="ar-SA"/>
        </w:rPr>
        <w:t>كانَ في نقلِ النصِّ و إشاعتِه</w:t>
      </w:r>
      <w:r>
        <w:rPr>
          <w:rStyle w:val="FootnoteAnchor"/>
          <w:rtl w:val="true"/>
        </w:rPr>
        <w:footnoteReference w:id="3608"/>
      </w:r>
      <w:r>
        <w:rPr>
          <w:rFonts w:ascii="Amiri" w:hAnsi="Amiri" w:eastAsia="Amiri" w:cs="Amiri"/>
          <w:color w:val="111111"/>
          <w:sz w:val="28"/>
          <w:sz w:val="28"/>
          <w:szCs w:val="28"/>
          <w:rtl w:val="true"/>
          <w:lang w:bidi="ar-SA"/>
        </w:rPr>
        <w:t>و تداوُلِه شهادةٌ علىٰ أئمّةِ القومِ بالانسلاخِ عن الدِّينِ ، و المخالَفةِ للرسولِ صَلّى اللّٰهُ عليه و آلِه</w:t>
      </w:r>
      <w:r>
        <w:rPr>
          <w:rStyle w:val="FootnoteAnchor"/>
          <w:rtl w:val="true"/>
        </w:rPr>
        <w:footnoteReference w:id="3609"/>
      </w:r>
      <w:r>
        <w:rPr>
          <w:rFonts w:ascii="Amiri" w:hAnsi="Amiri" w:eastAsia="Amiri" w:cs="Amiri"/>
          <w:color w:val="111111"/>
          <w:sz w:val="28"/>
          <w:sz w:val="28"/>
          <w:szCs w:val="28"/>
          <w:rtl w:val="true"/>
          <w:lang w:bidi="ar-SA"/>
        </w:rPr>
        <w:t>، و علىٰ كُلِّ تابعٍ لهم و مقتَدٍ بهم، ففي تعرُّضِ اليهودِ و أهلِ الذِّمّةِ له</w:t>
      </w:r>
      <w:r>
        <w:rPr>
          <w:rStyle w:val="FootnoteAnchor"/>
          <w:rtl w:val="true"/>
        </w:rPr>
        <w:footnoteReference w:id="3610"/>
      </w:r>
      <w:r>
        <w:rPr>
          <w:rFonts w:ascii="Amiri" w:hAnsi="Amiri" w:eastAsia="Amiri" w:cs="Amiri"/>
          <w:color w:val="111111"/>
          <w:sz w:val="28"/>
          <w:sz w:val="28"/>
          <w:szCs w:val="28"/>
          <w:rtl w:val="true"/>
          <w:lang w:bidi="ar-SA"/>
        </w:rPr>
        <w:t>فَسخٌ لذِمّتِهم، و نَقضٌ لعَهدِهم</w:t>
      </w:r>
      <w:r>
        <w:rPr>
          <w:rStyle w:val="FootnoteAnchor"/>
          <w:rtl w:val="true"/>
        </w:rPr>
        <w:footnoteReference w:id="3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يَنشَطُ هؤلاءِ مع بَقاءِ عُقولِهم أن يَسفِكوا دِماءَهم و يُبيحوا حَريمَهم بما لا يُجدي عليهم نفعاً، و لَيسَ في تعييرِ المسلمينَ بخِلافِهم لنبيِّهم </w:t>
      </w:r>
      <w:bookmarkStart w:id="596" w:name="pg20015_285149"/>
    </w:p>
    <w:p>
      <w:pPr>
        <w:pStyle w:val="BookText"/>
        <w:rPr/>
      </w:pPr>
      <w:bookmarkEnd w:id="596"/>
      <w:r>
        <w:rPr>
          <w:rFonts w:ascii="Amiri" w:hAnsi="Amiri" w:eastAsia="Amiri" w:cs="Amiri"/>
          <w:color w:val="111111"/>
          <w:sz w:val="28"/>
          <w:sz w:val="28"/>
          <w:szCs w:val="28"/>
          <w:rtl w:val="true"/>
          <w:lang w:bidi="ar-SA"/>
        </w:rPr>
        <w:t>صَلّى اللّٰهُ عليه و آلِه</w:t>
      </w:r>
      <w:r>
        <w:rPr>
          <w:rStyle w:val="FootnoteAnchor"/>
          <w:rtl w:val="true"/>
        </w:rPr>
        <w:footnoteReference w:id="3612"/>
      </w:r>
      <w:r>
        <w:rPr>
          <w:rFonts w:ascii="Amiri" w:hAnsi="Amiri" w:eastAsia="Amiri" w:cs="Amiri"/>
          <w:color w:val="111111"/>
          <w:sz w:val="28"/>
          <w:sz w:val="28"/>
          <w:szCs w:val="28"/>
          <w:rtl w:val="true"/>
          <w:lang w:bidi="ar-SA"/>
        </w:rPr>
        <w:t xml:space="preserve">مِن النفعِ لهم ما يَفي ببعضِ الضرَرِ المتخَوَّفِ </w:t>
      </w:r>
      <w:r>
        <w:rPr>
          <w:rStyle w:val="FootnoteAnchor"/>
          <w:rtl w:val="true"/>
        </w:rPr>
        <w:footnoteReference w:id="3613"/>
      </w:r>
      <w:r>
        <w:rPr>
          <w:rFonts w:ascii="Amiri" w:hAnsi="Amiri" w:eastAsia="Amiri" w:cs="Amiri"/>
          <w:color w:val="111111"/>
          <w:sz w:val="28"/>
          <w:sz w:val="28"/>
          <w:szCs w:val="28"/>
          <w:rtl w:val="true"/>
          <w:lang w:bidi="ar-SA"/>
        </w:rPr>
        <w:t>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يُشبِهُ هذا ما يَنقُلونَه مِن دياناتِهم و مَذاهبِهم و طُعونِهم في الإسلامِ ؛ لأنّ جميعَ ذلكَ لا خَوفَ عليهم مِن المسلمينَ فيه؛ لأنّ ذِمّتَهم عليه انعقَدَت، و لَم تَجرِ</w:t>
      </w:r>
      <w:r>
        <w:rPr>
          <w:rStyle w:val="FootnoteAnchor"/>
          <w:rtl w:val="true"/>
        </w:rPr>
        <w:footnoteReference w:id="3614"/>
      </w:r>
      <w:r>
        <w:rPr>
          <w:rFonts w:ascii="Amiri" w:hAnsi="Amiri" w:eastAsia="Amiri" w:cs="Amiri"/>
          <w:color w:val="111111"/>
          <w:sz w:val="28"/>
          <w:sz w:val="28"/>
          <w:szCs w:val="28"/>
          <w:rtl w:val="true"/>
          <w:lang w:bidi="ar-SA"/>
        </w:rPr>
        <w:t>عادةُ أحدٍ مِن وُلاةِ أُمورِ</w:t>
      </w:r>
      <w:r>
        <w:rPr>
          <w:rStyle w:val="FootnoteAnchor"/>
          <w:rtl w:val="true"/>
        </w:rPr>
        <w:footnoteReference w:id="3615"/>
      </w:r>
      <w:r>
        <w:rPr>
          <w:rFonts w:ascii="Amiri" w:hAnsi="Amiri" w:eastAsia="Amiri" w:cs="Amiri"/>
          <w:color w:val="111111"/>
          <w:sz w:val="28"/>
          <w:sz w:val="28"/>
          <w:szCs w:val="28"/>
          <w:rtl w:val="true"/>
          <w:lang w:bidi="ar-SA"/>
        </w:rPr>
        <w:t>المسلمينَ بأن يَحظُرَ علىٰ أهلِ الذِّمَمِ إظهارَ مَذاهبِهم و إن 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w:t>
      </w:r>
      <w:r>
        <w:rPr>
          <w:rStyle w:val="FootnoteAnchor"/>
          <w:rtl w:val="true"/>
        </w:rPr>
        <w:footnoteReference w:id="3616"/>
      </w:r>
      <w:r>
        <w:rPr>
          <w:rFonts w:ascii="Amiri" w:hAnsi="Amiri" w:eastAsia="Amiri" w:cs="Amiri"/>
          <w:color w:val="111111"/>
          <w:sz w:val="28"/>
          <w:sz w:val="28"/>
          <w:szCs w:val="28"/>
          <w:rtl w:val="true"/>
          <w:lang w:bidi="ar-SA"/>
        </w:rPr>
        <w:t>عادتُهم</w:t>
      </w:r>
      <w:r>
        <w:rPr>
          <w:rStyle w:val="FootnoteAnchor"/>
          <w:rtl w:val="true"/>
        </w:rPr>
        <w:footnoteReference w:id="3617"/>
      </w:r>
      <w:r>
        <w:rPr>
          <w:rFonts w:ascii="Amiri" w:hAnsi="Amiri" w:eastAsia="Amiri" w:cs="Amiri"/>
          <w:color w:val="111111"/>
          <w:sz w:val="28"/>
          <w:sz w:val="28"/>
          <w:szCs w:val="28"/>
          <w:rtl w:val="true"/>
          <w:lang w:bidi="ar-SA"/>
        </w:rPr>
        <w:t>جاريةً بأن لا يُقِرّوا أحداً منهم علىٰ غَضٍّ مِن مُسلمٍ أو طَعنٍ علىٰ مؤمنٍ بتظليمٍ أو تكفيرٍ خارجٍ عمّا يَقتَضيه دينُهم و استقَرَّت عليه ذِمّتُهم، فكَيفَ لهم</w:t>
      </w:r>
      <w:r>
        <w:rPr>
          <w:rStyle w:val="FootnoteAnchor"/>
          <w:rtl w:val="true"/>
        </w:rPr>
        <w:footnoteReference w:id="3618"/>
      </w:r>
      <w:r>
        <w:rPr>
          <w:rFonts w:ascii="Amiri" w:hAnsi="Amiri" w:eastAsia="Amiri" w:cs="Amiri"/>
          <w:color w:val="111111"/>
          <w:sz w:val="28"/>
          <w:sz w:val="28"/>
          <w:szCs w:val="28"/>
          <w:rtl w:val="true"/>
          <w:lang w:bidi="ar-SA"/>
        </w:rPr>
        <w:t>إذا تَجاوَزوا إلَى الطَّعنِ علَى الخُلَفاءِ و تظليمِ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الخَوفَ لَو كانَ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يَنقُلونَه مِن مَذاهبِهم و دياناتِهم و في نقلِ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 لَم يَفتَرِقِ الأمرانِ مِن حَيثُ ذَكَرنا، لَوجَبَ العُدولُ عن ذِكرِ النصِّ دونَ ما يَتعلَّقُ بالدِّينِ ؛ لأنّ لِداعي الدِّينِ </w:t>
      </w:r>
      <w:r>
        <w:rPr>
          <w:rStyle w:val="FootnoteAnchor"/>
          <w:rtl w:val="true"/>
        </w:rPr>
        <w:footnoteReference w:id="3619"/>
      </w:r>
      <w:r>
        <w:rPr>
          <w:rFonts w:ascii="Amiri" w:hAnsi="Amiri" w:eastAsia="Amiri" w:cs="Amiri"/>
          <w:color w:val="111111"/>
          <w:sz w:val="28"/>
          <w:sz w:val="28"/>
          <w:szCs w:val="28"/>
          <w:rtl w:val="true"/>
          <w:lang w:bidi="ar-SA"/>
        </w:rPr>
        <w:t>مِن القوّةِ ما لَيسَ لغَيرِه، و قد يَجوزُ أن يُتحمَّلَ فيه ما لا يُتحمَّلُ في غيرِه</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95143_2320776876"/>
      <w:bookmarkStart w:id="598" w:name="_Toc213"/>
      <w:bookmarkEnd w:id="597"/>
      <w:r>
        <w:rPr>
          <w:rtl w:val="true"/>
        </w:rPr>
        <w:t>جواز اجتماع العلم بالنصِّ ، و المنازعة في الإمامة</w:t>
      </w:r>
      <w:bookmarkEnd w:id="59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كانَ يَجِبُ أن يَكونوا مُضطَرّينَ إلىٰ معرفةِ النصِّ ، و لَو كانَ ذلكَ </w:t>
      </w:r>
      <w:r>
        <w:rPr>
          <w:rStyle w:val="FootnoteAnchor"/>
          <w:rtl w:val="true"/>
        </w:rPr>
        <w:footnoteReference w:id="3620"/>
      </w:r>
    </w:p>
    <w:p>
      <w:pPr>
        <w:pStyle w:val="BookText"/>
        <w:rPr/>
      </w:pPr>
      <w:r>
        <w:rPr>
          <w:rFonts w:ascii="Amiri" w:hAnsi="Amiri" w:eastAsia="Amiri" w:cs="Amiri"/>
          <w:color w:val="111111"/>
          <w:sz w:val="28"/>
          <w:sz w:val="28"/>
          <w:szCs w:val="28"/>
          <w:rtl w:val="true"/>
          <w:lang w:bidi="ar-SA"/>
        </w:rPr>
        <w:t>كذلكَ لَما صَحَّ ما قد ثبَتَ عنهم مِن مَواقفِ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إنّما يُقالُ فيما يَتَنافىٰ و لا يَصِحُّ ثُبوتُه علَى الاجتماعِ‌، و قد كانَ يَجِبُ أن يبيِّنَ مِن أيِّ وجهٍ يَجِبُ إذا كانوا يَعلَمونَ النصَّ أن لا يَقِفوا في أمرِ الإمامةِ تلكَ المَواقِفَ؟ و قد بيّنّا أنّ جميعَهم لَم يَدفَعِ الضرورةَ في النصِّ‌، و لا عَمِلَ بخِلافِه علىٰ جهةِ التعمُّدِ، و أنّهم يَنقَسِمونَ إلَى</w:t>
      </w:r>
      <w:r>
        <w:rPr>
          <w:rStyle w:val="FootnoteAnchor"/>
          <w:rtl w:val="true"/>
        </w:rPr>
        <w:footnoteReference w:id="3621"/>
      </w:r>
      <w:r>
        <w:rPr>
          <w:rFonts w:ascii="Amiri" w:hAnsi="Amiri" w:eastAsia="Amiri" w:cs="Amiri"/>
          <w:color w:val="111111"/>
          <w:sz w:val="28"/>
          <w:sz w:val="28"/>
          <w:szCs w:val="28"/>
          <w:rtl w:val="true"/>
          <w:lang w:bidi="ar-SA"/>
        </w:rPr>
        <w:t>الأقسامِ الثلاثةِ التي ذَكَرناها</w:t>
      </w:r>
      <w:r>
        <w:rPr>
          <w:rFonts w:eastAsia="Amiri" w:cs="Amiri" w:ascii="Amiri" w:hAnsi="Amiri"/>
          <w:color w:val="111111"/>
          <w:sz w:val="28"/>
          <w:szCs w:val="28"/>
          <w:rtl w:val="true"/>
          <w:lang w:bidi="ar-SA"/>
        </w:rPr>
        <w:t>.</w:t>
      </w:r>
      <w:r>
        <w:rPr>
          <w:rStyle w:val="FootnoteAnchor"/>
          <w:rtl w:val="true"/>
        </w:rPr>
        <w:footnoteReference w:id="3622"/>
      </w:r>
    </w:p>
    <w:p>
      <w:pPr>
        <w:pStyle w:val="BookText"/>
        <w:rPr/>
      </w:pPr>
      <w:r>
        <w:rPr>
          <w:rFonts w:ascii="Amiri" w:hAnsi="Amiri" w:eastAsia="Amiri" w:cs="Amiri"/>
          <w:color w:val="111111"/>
          <w:sz w:val="28"/>
          <w:sz w:val="28"/>
          <w:szCs w:val="28"/>
          <w:rtl w:val="true"/>
          <w:lang w:bidi="ar-SA"/>
        </w:rPr>
        <w:t>و إذا كانَ الذي أجَزنا</w:t>
      </w:r>
      <w:r>
        <w:rPr>
          <w:rStyle w:val="FootnoteAnchor"/>
          <w:rtl w:val="true"/>
        </w:rPr>
        <w:footnoteReference w:id="3623"/>
      </w:r>
      <w:r>
        <w:rPr>
          <w:rFonts w:ascii="Amiri" w:hAnsi="Amiri" w:eastAsia="Amiri" w:cs="Amiri"/>
          <w:color w:val="111111"/>
          <w:sz w:val="28"/>
          <w:sz w:val="28"/>
          <w:szCs w:val="28"/>
          <w:rtl w:val="true"/>
          <w:lang w:bidi="ar-SA"/>
        </w:rPr>
        <w:t>عليه تَعمُّدَ الكِتمانِ للنصِّ مع العِلمِ به و تَعَمُّدَ العملِ بخِلافِه</w:t>
      </w:r>
      <w:r>
        <w:rPr>
          <w:rStyle w:val="FootnoteAnchor"/>
          <w:rtl w:val="true"/>
        </w:rPr>
        <w:footnoteReference w:id="3624"/>
      </w:r>
      <w:r>
        <w:rPr>
          <w:rFonts w:ascii="Amiri" w:hAnsi="Amiri" w:eastAsia="Amiri" w:cs="Amiri"/>
          <w:color w:val="111111"/>
          <w:sz w:val="28"/>
          <w:sz w:val="28"/>
          <w:szCs w:val="28"/>
          <w:rtl w:val="true"/>
          <w:lang w:bidi="ar-SA"/>
        </w:rPr>
        <w:t>جماعةً قليلةَ العَددِ، 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لَو كانَ حقّاً لَم يَجرِ مِن القَومِ‌</w:t>
      </w:r>
      <w:r>
        <w:rPr>
          <w:rStyle w:val="FootnoteAnchor"/>
          <w:rtl w:val="true"/>
        </w:rPr>
        <w:footnoteReference w:id="3625"/>
      </w:r>
      <w:r>
        <w:rPr>
          <w:rFonts w:ascii="Amiri" w:hAnsi="Amiri" w:eastAsia="Amiri" w:cs="Amiri"/>
          <w:color w:val="111111"/>
          <w:sz w:val="28"/>
          <w:sz w:val="28"/>
          <w:szCs w:val="28"/>
          <w:rtl w:val="true"/>
          <w:lang w:bidi="ar-SA"/>
        </w:rPr>
        <w:t>ما جَرىٰ؟</w:t>
      </w:r>
    </w:p>
    <w:p>
      <w:pPr>
        <w:pStyle w:val="BookText"/>
        <w:rPr/>
      </w:pPr>
      <w:r>
        <w:rPr>
          <w:rFonts w:ascii="Amiri" w:hAnsi="Amiri" w:eastAsia="Amiri" w:cs="Amiri"/>
          <w:color w:val="111111"/>
          <w:sz w:val="28"/>
          <w:sz w:val="28"/>
          <w:szCs w:val="28"/>
          <w:rtl w:val="true"/>
          <w:lang w:bidi="ar-SA"/>
        </w:rPr>
        <w:t>و لَم يَبقَ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الجماعةِ القليلةِ أن تَعملَ بخِلافِ ما تَعلَمُه و تَدفعَ ما تَعرفُه لبعضِ الأغراضِ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إذا قيلَ عُرِفَت صورةُ قائلِه؛ فإنّ خُصومَنا لا يَمنَعون ما ذَكَرناه في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القليلةِ‌، و إن مَنَعوه في الجماعاتِ‌</w:t>
      </w:r>
      <w:r>
        <w:rPr>
          <w:rStyle w:val="FootnoteAnchor"/>
          <w:rtl w:val="true"/>
        </w:rPr>
        <w:footnoteReference w:id="3626"/>
      </w:r>
      <w:r>
        <w:rPr>
          <w:rFonts w:ascii="Amiri" w:hAnsi="Amiri" w:eastAsia="Amiri" w:cs="Amiri"/>
          <w:color w:val="111111"/>
          <w:sz w:val="28"/>
          <w:sz w:val="28"/>
          <w:szCs w:val="28"/>
          <w:rtl w:val="true"/>
          <w:lang w:bidi="ar-SA"/>
        </w:rPr>
        <w:t>الكثيرةِ التي تَبلُغُ إلىٰ حَدٍّ مخصوصٍ و تَختَصُّ‌</w:t>
      </w:r>
      <w:r>
        <w:rPr>
          <w:rStyle w:val="FootnoteAnchor"/>
          <w:rtl w:val="true"/>
        </w:rPr>
        <w:footnoteReference w:id="3627"/>
      </w:r>
      <w:r>
        <w:rPr>
          <w:rFonts w:ascii="Amiri" w:hAnsi="Amiri" w:eastAsia="Amiri" w:cs="Amiri"/>
          <w:color w:val="111111"/>
          <w:sz w:val="28"/>
          <w:sz w:val="28"/>
          <w:szCs w:val="28"/>
          <w:rtl w:val="true"/>
          <w:lang w:bidi="ar-SA"/>
        </w:rPr>
        <w:t>بصِفاتٍ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w:t>
      </w:r>
      <w:r>
        <w:rPr>
          <w:rStyle w:val="FootnoteAnchor"/>
          <w:rtl w:val="true"/>
        </w:rPr>
        <w:footnoteReference w:id="3628"/>
      </w:r>
      <w:r>
        <w:rPr>
          <w:rFonts w:ascii="Amiri" w:hAnsi="Amiri" w:eastAsia="Amiri" w:cs="Amiri"/>
          <w:color w:val="111111"/>
          <w:sz w:val="28"/>
          <w:sz w:val="28"/>
          <w:szCs w:val="28"/>
          <w:rtl w:val="true"/>
          <w:lang w:bidi="ar-SA"/>
        </w:rPr>
        <w:t xml:space="preserve">مَن لَم تَثبُتْ </w:t>
      </w:r>
      <w:r>
        <w:rPr>
          <w:rStyle w:val="FootnoteAnchor"/>
          <w:rtl w:val="true"/>
        </w:rPr>
        <w:footnoteReference w:id="3629"/>
      </w:r>
      <w:r>
        <w:rPr>
          <w:rFonts w:ascii="Amiri" w:hAnsi="Amiri" w:eastAsia="Amiri" w:cs="Amiri"/>
          <w:color w:val="111111"/>
          <w:sz w:val="28"/>
          <w:sz w:val="28"/>
          <w:szCs w:val="28"/>
          <w:rtl w:val="true"/>
          <w:lang w:bidi="ar-SA"/>
        </w:rPr>
        <w:t xml:space="preserve">عصمتُه، أو ما يَجري مَجرىٰ </w:t>
      </w:r>
    </w:p>
    <w:p>
      <w:pPr>
        <w:pStyle w:val="BookText"/>
        <w:rPr/>
      </w:pPr>
      <w:r>
        <w:rPr>
          <w:rFonts w:ascii="Amiri" w:hAnsi="Amiri" w:eastAsia="Amiri" w:cs="Amiri"/>
          <w:color w:val="111111"/>
          <w:sz w:val="28"/>
          <w:sz w:val="28"/>
          <w:szCs w:val="28"/>
          <w:rtl w:val="true"/>
          <w:lang w:bidi="ar-SA"/>
        </w:rPr>
        <w:t xml:space="preserve">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تؤمِنُ‌</w:t>
      </w:r>
      <w:r>
        <w:rPr>
          <w:rStyle w:val="FootnoteAnchor"/>
          <w:rtl w:val="true"/>
        </w:rPr>
        <w:footnoteReference w:id="3630"/>
      </w:r>
      <w:r>
        <w:rPr>
          <w:rFonts w:ascii="Amiri" w:hAnsi="Amiri" w:eastAsia="Amiri" w:cs="Amiri"/>
          <w:color w:val="111111"/>
          <w:sz w:val="28"/>
          <w:sz w:val="28"/>
          <w:szCs w:val="28"/>
          <w:rtl w:val="true"/>
          <w:lang w:bidi="ar-SA"/>
        </w:rPr>
        <w:t>مِن وقوعِ مِثلِ‌</w:t>
      </w:r>
      <w:r>
        <w:rPr>
          <w:rStyle w:val="FootnoteAnchor"/>
          <w:rtl w:val="true"/>
        </w:rPr>
        <w:footnoteReference w:id="3631"/>
      </w:r>
      <w:r>
        <w:rPr>
          <w:rFonts w:ascii="Amiri" w:hAnsi="Amiri" w:eastAsia="Amiri" w:cs="Amiri"/>
          <w:color w:val="111111"/>
          <w:sz w:val="28"/>
          <w:sz w:val="28"/>
          <w:szCs w:val="28"/>
          <w:rtl w:val="true"/>
          <w:lang w:bidi="ar-SA"/>
        </w:rPr>
        <w:t xml:space="preserve">ما ذَكَرناه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عليه، و لا مانعَ يَقتَضي امتناعَه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يَتمكَّنُ أحدٌ مِن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الجماعاتِ بخِلافِ ما تَعلَمُه</w:t>
      </w:r>
      <w:r>
        <w:rPr>
          <w:rStyle w:val="FootnoteAnchor"/>
          <w:rtl w:val="true"/>
        </w:rPr>
        <w:footnoteReference w:id="3632"/>
      </w:r>
      <w:r>
        <w:rPr>
          <w:rFonts w:ascii="Amiri" w:hAnsi="Amiri" w:eastAsia="Amiri" w:cs="Amiri"/>
          <w:color w:val="111111"/>
          <w:sz w:val="28"/>
          <w:sz w:val="28"/>
          <w:szCs w:val="28"/>
          <w:rtl w:val="true"/>
          <w:lang w:bidi="ar-SA"/>
        </w:rPr>
        <w:t>لبعضِ الأغراضِ‌، و كِتمانِ ما تَعرفُه</w:t>
      </w:r>
      <w:r>
        <w:rPr>
          <w:rStyle w:val="FootnoteAnchor"/>
          <w:rtl w:val="true"/>
        </w:rPr>
        <w:footnoteReference w:id="3633"/>
      </w: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نطَقَ الكتابُ‌</w:t>
      </w:r>
      <w:r>
        <w:rPr>
          <w:rStyle w:val="FootnoteAnchor"/>
          <w:rtl w:val="true"/>
        </w:rPr>
        <w:footnoteReference w:id="3634"/>
      </w:r>
      <w:r>
        <w:rPr>
          <w:rFonts w:ascii="Amiri" w:hAnsi="Amiri" w:eastAsia="Amiri" w:cs="Amiri"/>
          <w:color w:val="111111"/>
          <w:sz w:val="28"/>
          <w:sz w:val="28"/>
          <w:szCs w:val="28"/>
          <w:rtl w:val="true"/>
          <w:lang w:bidi="ar-SA"/>
        </w:rPr>
        <w:t>بمِثلِه؛ قالَ اللّٰهُ تَعالىٰ‌</w:t>
      </w:r>
      <w:r>
        <w:rPr>
          <w:rStyle w:val="FootnoteAnchor"/>
          <w:rtl w:val="true"/>
        </w:rPr>
        <w:footnoteReference w:id="3635"/>
      </w:r>
      <w:r>
        <w:rPr>
          <w:rFonts w:ascii="Amiri" w:hAnsi="Amiri" w:eastAsia="Amiri" w:cs="Amiri"/>
          <w:color w:val="111111"/>
          <w:sz w:val="28"/>
          <w:sz w:val="28"/>
          <w:szCs w:val="28"/>
          <w:rtl w:val="true"/>
          <w:lang w:bidi="ar-SA"/>
        </w:rPr>
        <w:t>مُخبِراً عن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أَبْنٰاءَهُمْ وَ إِنَّ فَرِيقاً مِنْهُمْ لَيَكْتُمُونَ الْحَقَّ وَ هُمْ يَعْلَمُونَ‌</w:t>
      </w:r>
      <w:r>
        <w:rPr>
          <w:rFonts w:eastAsia="Amiri" w:cs="Amiri" w:ascii="Amiri" w:hAnsi="Amiri"/>
          <w:color w:val="111111"/>
          <w:sz w:val="28"/>
          <w:szCs w:val="28"/>
          <w:rtl w:val="true"/>
          <w:lang w:bidi="ar-SA"/>
        </w:rPr>
        <w:t>)</w:t>
      </w:r>
      <w:r>
        <w:rPr>
          <w:rStyle w:val="FootnoteAnchor"/>
          <w:rtl w:val="true"/>
        </w:rPr>
        <w:footnoteReference w:id="3636"/>
      </w:r>
      <w:r>
        <w:rPr>
          <w:rFonts w:ascii="Amiri" w:hAnsi="Amiri" w:eastAsia="Amiri" w:cs="Amiri"/>
          <w:color w:val="111111"/>
          <w:sz w:val="28"/>
          <w:sz w:val="28"/>
          <w:szCs w:val="28"/>
          <w:rtl w:val="true"/>
          <w:lang w:bidi="ar-SA"/>
        </w:rPr>
        <w:t>، و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Style w:val="FootnoteAnchor"/>
          <w:rtl w:val="true"/>
        </w:rPr>
        <w:footnoteReference w:id="363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مِن جهةِ القُرآنِ أيضاً و الأخبارِ ما وقَعَ مِن ضَلالِ قومِ موسىٰ عليه السلامُ عندَ دُعاءِ السامريِّ لهم إلىٰ عبادةِ العِجلِ‌، و كَثرةِ مَن اغتَرَّ به و مالَ إلىٰ قَولِه، مع قُربِ عهدِهم بنبيِّهم عليه السلامُ‌، و كَثرةِ ما تَكرَّرَ علىٰ أسماعِهم مِن بَيّناتِه</w:t>
      </w:r>
      <w:r>
        <w:rPr>
          <w:rStyle w:val="FootnoteAnchor"/>
          <w:rtl w:val="true"/>
        </w:rPr>
        <w:footnoteReference w:id="3638"/>
      </w:r>
      <w:r>
        <w:rPr>
          <w:rFonts w:ascii="Amiri" w:hAnsi="Amiri" w:eastAsia="Amiri" w:cs="Amiri"/>
          <w:color w:val="111111"/>
          <w:sz w:val="28"/>
          <w:sz w:val="28"/>
          <w:szCs w:val="28"/>
          <w:rtl w:val="true"/>
          <w:lang w:bidi="ar-SA"/>
        </w:rPr>
        <w:t xml:space="preserve">و حُججِه التي يَقتَضي جميعُها توَقّيَ الشُّبهةِ بنَفيِ التشبيهِ </w:t>
      </w:r>
      <w:r>
        <w:rPr>
          <w:rStyle w:val="FootnoteAnchor"/>
          <w:rtl w:val="true"/>
        </w:rPr>
        <w:footnoteReference w:id="3639"/>
      </w:r>
      <w:r>
        <w:rPr>
          <w:rFonts w:ascii="Amiri" w:hAnsi="Amiri" w:eastAsia="Amiri" w:cs="Amiri"/>
          <w:color w:val="111111"/>
          <w:sz w:val="28"/>
          <w:sz w:val="28"/>
          <w:szCs w:val="28"/>
          <w:rtl w:val="true"/>
          <w:lang w:bidi="ar-SA"/>
        </w:rPr>
        <w:t xml:space="preserve">عن رَبِّه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مَن ضَلَّ بعِبادةِ العِجلِ مِن قومِ موسىٰ عليه السلامُ كانوا أكثَرَ مِن جميعِ المسلمينَ الذينَ كانوا في المَدينةِ لمّا قُبِضَ رسولُ اللّٰهِ‌</w:t>
      </w:r>
      <w:r>
        <w:rPr>
          <w:rStyle w:val="FootnoteAnchor"/>
          <w:rtl w:val="true"/>
        </w:rPr>
        <w:footnoteReference w:id="3640"/>
      </w:r>
      <w:r>
        <w:rPr>
          <w:rFonts w:ascii="Amiri" w:hAnsi="Amiri" w:eastAsia="Amiri" w:cs="Amiri"/>
          <w:color w:val="111111"/>
          <w:sz w:val="28"/>
          <w:sz w:val="28"/>
          <w:szCs w:val="28"/>
          <w:rtl w:val="true"/>
          <w:lang w:bidi="ar-SA"/>
        </w:rPr>
        <w:t>صَلّى اللّٰهُ عليه و آلِه، و إذا جازَ الضَّلالُ و العُدولُ عن المعلومِ علىٰ أُمّةٍ‌</w:t>
      </w:r>
      <w:r>
        <w:rPr>
          <w:rStyle w:val="FootnoteAnchor"/>
          <w:rtl w:val="true"/>
        </w:rPr>
        <w:footnoteReference w:id="3641"/>
      </w:r>
      <w:r>
        <w:rPr>
          <w:rFonts w:ascii="Amiri" w:hAnsi="Amiri" w:eastAsia="Amiri" w:cs="Amiri"/>
          <w:color w:val="111111"/>
          <w:sz w:val="28"/>
          <w:sz w:val="28"/>
          <w:szCs w:val="28"/>
          <w:rtl w:val="true"/>
          <w:lang w:bidi="ar-SA"/>
        </w:rPr>
        <w:t>مِن الأُمَمِ فهو علىٰ جَماعةٍ مِن جُملةِ أُمّةٍ أجوَزُ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يَقولُه المخالِفونَ عندَ احتجاجِنا بقِصّةِ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ضَلالَ قومِ موسىٰ بعِبادةِ‌</w:t>
      </w:r>
      <w:r>
        <w:rPr>
          <w:rStyle w:val="FootnoteAnchor"/>
          <w:rtl w:val="true"/>
        </w:rPr>
        <w:footnoteReference w:id="3642"/>
      </w:r>
      <w:r>
        <w:rPr>
          <w:rFonts w:ascii="Amiri" w:hAnsi="Amiri" w:eastAsia="Amiri" w:cs="Amiri"/>
          <w:color w:val="111111"/>
          <w:sz w:val="28"/>
          <w:sz w:val="28"/>
          <w:szCs w:val="28"/>
          <w:rtl w:val="true"/>
          <w:lang w:bidi="ar-SA"/>
        </w:rPr>
        <w:t xml:space="preserve">العِجلِ إنّما كانَ للشُّبهةِ‌، لا علىٰ طريقِ التعمُّدِ و العِنادِ، و قولَكم في النصِّ يُخالِفُ هذا؛ لأنّه كانَ معلوماً لهم عندَكم، فعَدَلوا عنه و عَمِلوا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القومَ الذينَ ضَلّوا بالسامِريِّ قد كانوا مِن أُمّةِ موسىٰ عليه السلامُ و ممّن قد</w:t>
      </w:r>
      <w:r>
        <w:rPr>
          <w:rStyle w:val="FootnoteAnchor"/>
          <w:rtl w:val="true"/>
        </w:rPr>
        <w:footnoteReference w:id="3643"/>
      </w:r>
      <w:r>
        <w:rPr>
          <w:rFonts w:ascii="Amiri" w:hAnsi="Amiri" w:eastAsia="Amiri" w:cs="Amiri"/>
          <w:color w:val="111111"/>
          <w:sz w:val="28"/>
          <w:sz w:val="28"/>
          <w:szCs w:val="28"/>
          <w:rtl w:val="true"/>
          <w:lang w:bidi="ar-SA"/>
        </w:rPr>
        <w:t>سَمِعَ حُججَه و بَيّناتِه، و عرَفَ شَرعَه و دِينَه و ما كانَ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المعلومَ مِن دِينِ موسىٰ </w:t>
      </w:r>
      <w:r>
        <w:rPr>
          <w:rStyle w:val="FootnoteAnchor"/>
          <w:rtl w:val="true"/>
        </w:rPr>
        <w:footnoteReference w:id="3644"/>
      </w:r>
      <w:r>
        <w:rPr>
          <w:rFonts w:ascii="IRNazanin" w:hAnsi="IRNazanin" w:eastAsia="IRNazanin"/>
          <w:color w:val="111111"/>
          <w:sz w:val="28"/>
          <w:sz w:val="28"/>
          <w:szCs w:val="28"/>
          <w:rtl w:val="true"/>
          <w:lang w:bidi="fa-IR"/>
        </w:rPr>
        <w:t>لهم</w:t>
      </w:r>
      <w:r>
        <w:rPr>
          <w:rStyle w:val="FootnoteAnchor"/>
          <w:rtl w:val="true"/>
        </w:rPr>
        <w:footnoteReference w:id="3645"/>
      </w:r>
      <w:r>
        <w:rPr>
          <w:rFonts w:ascii="Amiri" w:hAnsi="Amiri" w:eastAsia="Amiri" w:cs="Amiri"/>
          <w:color w:val="111111"/>
          <w:sz w:val="28"/>
          <w:sz w:val="28"/>
          <w:szCs w:val="28"/>
          <w:rtl w:val="true"/>
          <w:lang w:bidi="ar-SA"/>
        </w:rPr>
        <w:t>نفيُ التشبيهِ عن خالِقِه</w:t>
      </w:r>
      <w:r>
        <w:rPr>
          <w:rStyle w:val="FootnoteAnchor"/>
          <w:rtl w:val="true"/>
        </w:rPr>
        <w:footnoteReference w:id="3646"/>
      </w:r>
      <w:r>
        <w:rPr>
          <w:rFonts w:ascii="Amiri" w:hAnsi="Amiri" w:eastAsia="Amiri" w:cs="Amiri"/>
          <w:color w:val="111111"/>
          <w:sz w:val="28"/>
          <w:sz w:val="28"/>
          <w:szCs w:val="28"/>
          <w:rtl w:val="true"/>
          <w:lang w:bidi="ar-SA"/>
        </w:rPr>
        <w:t>، و أنّه دَعاهم إلىٰ عِبادةِ مَن لا يُشبِهُ الأجسامَ و لا يَحُلُّها</w:t>
      </w:r>
      <w:r>
        <w:rPr>
          <w:rStyle w:val="FootnoteAnchor"/>
          <w:rtl w:val="true"/>
        </w:rPr>
        <w:footnoteReference w:id="3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كانوا عارِفينَ بهذا مِن دِينِه ضَرورةً ، فلَيسَ تدخُلُ عليهم شُبهةٌ فيه، إلّامِن حَيثُ شَكّوا في نُبوّتِه، و اعتَقَدوا أنّ ما دَعاهم إليه 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القومُ الذينَ ضَلّوا بالسامِريِّ ممّن أظهَرَ الشكَّ في نُبوّةِ </w:t>
      </w:r>
      <w:bookmarkStart w:id="599" w:name="pg20015_285153"/>
    </w:p>
    <w:p>
      <w:pPr>
        <w:pStyle w:val="BookText"/>
        <w:rPr/>
      </w:pPr>
      <w:bookmarkEnd w:id="599"/>
      <w:r>
        <w:rPr>
          <w:rFonts w:ascii="Amiri" w:hAnsi="Amiri" w:eastAsia="Amiri" w:cs="Amiri"/>
          <w:color w:val="111111"/>
          <w:sz w:val="28"/>
          <w:sz w:val="28"/>
          <w:szCs w:val="28"/>
          <w:rtl w:val="true"/>
          <w:lang w:bidi="ar-SA"/>
        </w:rPr>
        <w:t xml:space="preserve">موسىٰ عليه السلامُ و الخروجَ عن دِينِه، بَل الظاهرُ عنهم أنّهم كانوا مع عِبادتِهم له متمسِّكينَ بشَريعتِه، و لهذا قالَ لهم السامِريُّ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إِلٰهُكُمْ وَ إِلٰهُ مُوسىٰ </w:t>
      </w:r>
      <w:r>
        <w:rPr>
          <w:rFonts w:eastAsia="Amiri" w:cs="Amiri" w:ascii="Amiri" w:hAnsi="Amiri"/>
          <w:color w:val="111111"/>
          <w:sz w:val="28"/>
          <w:szCs w:val="28"/>
          <w:rtl w:val="true"/>
          <w:lang w:bidi="ar-SA"/>
        </w:rPr>
        <w:t>)</w:t>
      </w:r>
      <w:r>
        <w:rPr>
          <w:rStyle w:val="FootnoteAnchor"/>
          <w:rtl w:val="true"/>
        </w:rPr>
        <w:footnoteReference w:id="3648"/>
      </w:r>
      <w:r>
        <w:rPr>
          <w:rFonts w:ascii="Amiri" w:hAnsi="Amiri" w:eastAsia="Amiri" w:cs="Amiri"/>
          <w:color w:val="111111"/>
          <w:sz w:val="28"/>
          <w:sz w:val="28"/>
          <w:szCs w:val="28"/>
          <w:rtl w:val="true"/>
          <w:lang w:bidi="ar-SA"/>
        </w:rPr>
        <w:t xml:space="preserve">مُشيراً إلَى العِجلِ ، 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ضَلالِهم بالعِجلِ و عِبادتِهم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إلّاالعملُ بخِلافِ المعلومِ لبعضِ الأغراضِ </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95145_2320776876"/>
      <w:bookmarkStart w:id="601" w:name="_Toc214"/>
      <w:bookmarkEnd w:id="600"/>
      <w:r>
        <w:rPr>
          <w:rtl w:val="true"/>
        </w:rPr>
        <w:t>نماذج من مخالفة سلوك بعض الصحابة للنصوص الدالّة علىٰ فضل أمير المؤمنين عليه السلام</w:t>
      </w:r>
      <w:bookmarkEnd w:id="601"/>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يَجِبُ أن لا يَجريَ منهم في الإمامةِ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يُحمَلُ علىٰ‌</w:t>
      </w:r>
      <w:r>
        <w:rPr>
          <w:rStyle w:val="FootnoteAnchor"/>
          <w:rtl w:val="true"/>
        </w:rPr>
        <w:footnoteReference w:id="3649"/>
      </w:r>
      <w:r>
        <w:rPr>
          <w:rFonts w:ascii="Amiri" w:hAnsi="Amiri" w:eastAsia="Amiri" w:cs="Amiri"/>
          <w:color w:val="111111"/>
          <w:sz w:val="28"/>
          <w:sz w:val="28"/>
          <w:szCs w:val="28"/>
          <w:rtl w:val="true"/>
          <w:lang w:bidi="ar-SA"/>
        </w:rPr>
        <w:t>حُسنِ الظنِّ بالقومِ‌، و لَيسَ لحُسنِ الظنِّ مَجالٌ حيثُ يقَعُ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كُنّا قد دَلَّلنا علىٰ صحّةِ النصِّ بأدلّةٍ تَقتَضي العِلمَ‌، فلا معنىٰ لدَفعِها بما يُرجَعُ فيه إلىٰ حُسنِ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جميعَ ما يَقتَضي حُسنَ الظنِّ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الدافعينَ للنصِّ و القائمينَ مَقامَ المنصوصِ عليه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الصُّحبةِ للنبيِّ صَلّى اللّٰهُ عليه و آلِه و ظهورِ الفَضلِ قد حصَلَ لغَيرِهم أو أكثَرُه، و لَم يَكُن ذلكَ نافياً عنه الضَّلالَ ، و العملَ بخِلافِ الحقِّ مع العِلمِ به؛</w:t>
      </w:r>
    </w:p>
    <w:p>
      <w:pPr>
        <w:pStyle w:val="BookText"/>
        <w:rPr/>
      </w:pPr>
      <w:r>
        <w:rPr>
          <w:rFonts w:ascii="Amiri" w:hAnsi="Amiri" w:eastAsia="Amiri" w:cs="Amiri"/>
          <w:color w:val="111111"/>
          <w:sz w:val="28"/>
          <w:sz w:val="28"/>
          <w:szCs w:val="28"/>
          <w:rtl w:val="true"/>
          <w:lang w:bidi="ar-SA"/>
        </w:rPr>
        <w:t xml:space="preserve">ألا تَرىٰ أنّ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صُحبتِهما، و كَثرةِ فَضلِهما في الظاهرِ، و مَقاماتِهما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بايَعا أميرَ المؤمِنينَ عليه السلامُ طائعَينِ غَيرَ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مُكرَهَينِ ، ثُمّ عادا ناكثَينِ لبَيعتِه، مُجلِبَينِ </w:t>
      </w:r>
      <w:r>
        <w:rPr>
          <w:rStyle w:val="FootnoteAnchor"/>
          <w:rtl w:val="true"/>
        </w:rPr>
        <w:footnoteReference w:id="3650"/>
      </w:r>
      <w:r>
        <w:rPr>
          <w:rFonts w:ascii="Amiri" w:hAnsi="Amiri" w:eastAsia="Amiri" w:cs="Amiri"/>
          <w:color w:val="111111"/>
          <w:sz w:val="28"/>
          <w:sz w:val="28"/>
          <w:szCs w:val="28"/>
          <w:rtl w:val="true"/>
          <w:lang w:bidi="ar-SA"/>
        </w:rPr>
        <w:t xml:space="preserve">عليه، ضاربَينِ لوَجهِه و وجوهِ أنصارِه </w:t>
      </w:r>
    </w:p>
    <w:p>
      <w:pPr>
        <w:pStyle w:val="BookText"/>
        <w:rPr/>
      </w:pPr>
      <w:r>
        <w:rPr>
          <w:rFonts w:ascii="Amiri" w:hAnsi="Amiri" w:eastAsia="Amiri" w:cs="Amiri"/>
          <w:color w:val="111111"/>
          <w:sz w:val="28"/>
          <w:sz w:val="28"/>
          <w:szCs w:val="28"/>
          <w:rtl w:val="true"/>
          <w:lang w:bidi="ar-SA"/>
        </w:rPr>
        <w:t xml:space="preserve">بالسَّيفِ ، ثُمّ حمَلَهما خَطَؤهما القَبيحُ علىٰ أن نَسَبا إليه عليه السلامُ مِن المُشارَكةِ في دَمِ عُثمانَ ما هو بَريءٌ مِنه، و هما مُنغَمِسانِ </w:t>
      </w:r>
      <w:r>
        <w:rPr>
          <w:rStyle w:val="FootnoteAnchor"/>
          <w:rtl w:val="true"/>
        </w:rPr>
        <w:footnoteReference w:id="3651"/>
      </w:r>
      <w:r>
        <w:rPr>
          <w:rFonts w:ascii="Amiri" w:hAnsi="Amiri" w:eastAsia="Amiri" w:cs="Amiri"/>
          <w:color w:val="111111"/>
          <w:sz w:val="28"/>
          <w:sz w:val="28"/>
          <w:szCs w:val="28"/>
          <w:rtl w:val="true"/>
          <w:lang w:bidi="ar-SA"/>
        </w:rPr>
        <w:t>فيه</w:t>
      </w:r>
      <w:r>
        <w:rPr>
          <w:rStyle w:val="FootnoteAnchor"/>
          <w:rtl w:val="true"/>
        </w:rPr>
        <w:footnoteReference w:id="36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653"/>
      </w:r>
      <w:r>
        <w:rPr>
          <w:rFonts w:ascii="Amiri" w:hAnsi="Amiri" w:eastAsia="Amiri" w:cs="Amiri"/>
          <w:color w:val="111111"/>
          <w:sz w:val="28"/>
          <w:sz w:val="28"/>
          <w:szCs w:val="28"/>
          <w:rtl w:val="true"/>
          <w:lang w:bidi="ar-SA"/>
        </w:rPr>
        <w:t>قد جمَعَت إلَى الصُّحبةِ الاختصاصَ و الالتصاقَ بالرسولِ صَلَّى اللّٰهُ عليه و آلِه</w:t>
      </w:r>
      <w:r>
        <w:rPr>
          <w:rStyle w:val="FootnoteAnchor"/>
          <w:rtl w:val="true"/>
        </w:rPr>
        <w:footnoteReference w:id="3654"/>
      </w:r>
      <w:r>
        <w:rPr>
          <w:rFonts w:ascii="Amiri" w:hAnsi="Amiri" w:eastAsia="Amiri" w:cs="Amiri"/>
          <w:color w:val="111111"/>
          <w:sz w:val="28"/>
          <w:sz w:val="28"/>
          <w:szCs w:val="28"/>
          <w:rtl w:val="true"/>
          <w:lang w:bidi="ar-SA"/>
        </w:rPr>
        <w:t xml:space="preserve">و سَماعَ الوحيِ النازلِ في بيتِها و المتكرِّرِ علىٰ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وقَعَ منها مِن حَربِ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بفَضلِه، و كَثرةِ سَوابقِه، و رِوايَتِها فيه ما يَزيدُ علىٰ كُلِّ تعظيمٍ و تبجيلٍ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شارَكَت فيه طَلحةَ و الزُّبَيرَ و زادَت عليهما</w:t>
      </w:r>
      <w:r>
        <w:rPr>
          <w:rFonts w:eastAsia="Amiri" w:cs="Amiri" w:ascii="Amiri" w:hAnsi="Amiri"/>
          <w:color w:val="111111"/>
          <w:sz w:val="28"/>
          <w:szCs w:val="28"/>
          <w:rtl w:val="true"/>
          <w:lang w:bidi="ar-SA"/>
        </w:rPr>
        <w:t>.</w:t>
      </w:r>
      <w:r>
        <w:rPr>
          <w:rStyle w:val="FootnoteAnchor"/>
          <w:rtl w:val="true"/>
        </w:rPr>
        <w:footnoteReference w:id="365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سَعدُ بنُ أبي وَقّاصٍ و مُحمّدُ بنُ مَسْلَمةَ </w:t>
      </w:r>
      <w:r>
        <w:rPr>
          <w:rStyle w:val="FootnoteAnchor"/>
          <w:rtl w:val="true"/>
        </w:rPr>
        <w:footnoteReference w:id="3656"/>
      </w:r>
      <w:r>
        <w:rPr>
          <w:rFonts w:ascii="Amiri" w:hAnsi="Amiri" w:eastAsia="Amiri" w:cs="Amiri"/>
          <w:color w:val="111111"/>
          <w:sz w:val="28"/>
          <w:sz w:val="28"/>
          <w:szCs w:val="28"/>
          <w:rtl w:val="true"/>
          <w:lang w:bidi="ar-SA"/>
        </w:rPr>
        <w:t>يَمتَنِعانِ مِن بَيعَتِه عليه السلامُ مع انتفاءِ كُلِّ عُذرٍ يُمكِنُ أن يُقامَ لهما</w:t>
      </w:r>
      <w:r>
        <w:rPr>
          <w:rStyle w:val="FootnoteAnchor"/>
          <w:rtl w:val="true"/>
        </w:rPr>
        <w:footnoteReference w:id="3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معاويةُ 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صُحبتِهما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منهما مِن حَربِ أميرِ المؤمِنينَ عليه السلامُ و إظهارِ عَداوتِه و لَعنِه في قُنوتِ الصَّلَواتِ‌، ما شُهرتُه</w:t>
      </w:r>
      <w:r>
        <w:rPr>
          <w:rStyle w:val="FootnoteAnchor"/>
          <w:rtl w:val="true"/>
        </w:rPr>
        <w:footnoteReference w:id="3658"/>
      </w:r>
      <w:r>
        <w:rPr>
          <w:rFonts w:ascii="Amiri" w:hAnsi="Amiri" w:eastAsia="Amiri" w:cs="Amiri"/>
          <w:color w:val="111111"/>
          <w:sz w:val="28"/>
          <w:sz w:val="28"/>
          <w:szCs w:val="28"/>
          <w:rtl w:val="true"/>
          <w:lang w:bidi="ar-SA"/>
        </w:rPr>
        <w:t>تُغني عن ذِكرِه</w:t>
      </w:r>
      <w:r>
        <w:rPr>
          <w:rStyle w:val="FootnoteAnchor"/>
          <w:rtl w:val="true"/>
        </w:rPr>
        <w:footnoteReference w:id="3659"/>
      </w:r>
      <w:r>
        <w:rPr>
          <w:rFonts w:ascii="Amiri" w:hAnsi="Amiri" w:eastAsia="Amiri" w:cs="Amiri"/>
          <w:color w:val="111111"/>
          <w:sz w:val="28"/>
          <w:sz w:val="28"/>
          <w:szCs w:val="28"/>
          <w:rtl w:val="true"/>
          <w:lang w:bidi="ar-SA"/>
        </w:rPr>
        <w:t>، و هم يَسمَعونَ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w:t>
      </w:r>
      <w:r>
        <w:rPr>
          <w:rStyle w:val="FootnoteAnchor"/>
          <w:rtl w:val="true"/>
        </w:rPr>
        <w:footnoteReference w:id="366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p>
    <w:p>
      <w:pPr>
        <w:pStyle w:val="BookText"/>
        <w:rPr/>
      </w:pPr>
      <w:r>
        <w:rPr>
          <w:rFonts w:ascii="Amiri" w:hAnsi="Amiri" w:eastAsia="Amiri" w:cs="Amiri"/>
          <w:color w:val="111111"/>
          <w:sz w:val="28"/>
          <w:sz w:val="28"/>
          <w:szCs w:val="28"/>
          <w:rtl w:val="true"/>
          <w:lang w:bidi="ar-SA"/>
        </w:rPr>
        <w:t>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366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 يَدورُ حَيثُما دارَ</w:t>
      </w:r>
      <w:r>
        <w:rPr>
          <w:rFonts w:eastAsia="Amiri" w:cs="Amiri" w:ascii="Amiri" w:hAnsi="Amiri"/>
          <w:color w:val="111111"/>
          <w:sz w:val="28"/>
          <w:szCs w:val="28"/>
          <w:rtl w:val="true"/>
          <w:lang w:bidi="ar-SA"/>
        </w:rPr>
        <w:t>»</w:t>
      </w:r>
      <w:r>
        <w:rPr>
          <w:rStyle w:val="FootnoteAnchor"/>
          <w:rtl w:val="true"/>
        </w:rPr>
        <w:footnoteReference w:id="3662"/>
      </w:r>
      <w:r>
        <w:rPr>
          <w:rFonts w:ascii="Amiri" w:hAnsi="Amiri" w:eastAsia="Amiri" w:cs="Amiri"/>
          <w:color w:val="111111"/>
          <w:sz w:val="28"/>
          <w:sz w:val="28"/>
          <w:szCs w:val="28"/>
          <w:rtl w:val="true"/>
          <w:lang w:bidi="ar-SA"/>
        </w:rPr>
        <w:t xml:space="preserve">، إلىٰ </w:t>
      </w:r>
      <w:r>
        <w:rPr>
          <w:rStyle w:val="FootnoteAnchor"/>
          <w:rtl w:val="true"/>
        </w:rPr>
        <w:footnoteReference w:id="3663"/>
      </w:r>
      <w:r>
        <w:rPr>
          <w:rFonts w:ascii="Amiri" w:hAnsi="Amiri" w:eastAsia="Amiri" w:cs="Amiri"/>
          <w:color w:val="111111"/>
          <w:sz w:val="28"/>
          <w:sz w:val="28"/>
          <w:szCs w:val="28"/>
          <w:rtl w:val="true"/>
          <w:lang w:bidi="ar-SA"/>
        </w:rPr>
        <w:t>غيرِ ما ذَكَرناه</w:t>
      </w:r>
      <w:r>
        <w:rPr>
          <w:rStyle w:val="FootnoteAnchor"/>
          <w:rtl w:val="true"/>
        </w:rPr>
        <w:footnoteReference w:id="3664"/>
      </w:r>
      <w:r>
        <w:rPr>
          <w:rFonts w:ascii="Amiri" w:hAnsi="Amiri" w:eastAsia="Amiri" w:cs="Amiri"/>
          <w:color w:val="111111"/>
          <w:sz w:val="28"/>
          <w:sz w:val="28"/>
          <w:szCs w:val="28"/>
          <w:rtl w:val="true"/>
          <w:lang w:bidi="ar-SA"/>
        </w:rPr>
        <w:t>مِن الأقوالِ و الأفعالِ التي تدُلُّ علىٰ نِهايةِ الإعظامِ و الإكرامِ ، و غايةِ الفَضلِ و التقدُّمِ ، و أقَلُّ أحوالِها أن تَقتَضيَ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إلى محمّد بن مسلمة، فلمّا أتاه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أمرني إذا اختلف الناس و صاروا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بسيفي فأضرب به عُرض أحد، فإذا تقطّع أتيت منزلي، فكنت فيه لا أبرحه حتّى تأتيني يد خاطية، أو منيّة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إذَن، فكن كما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02" w:name="pg20015_285157"/>
    </w:p>
    <w:p>
      <w:pPr>
        <w:pStyle w:val="BookText"/>
        <w:rPr/>
      </w:pPr>
      <w:bookmarkEnd w:id="602"/>
      <w:r>
        <w:rPr>
          <w:rFonts w:ascii="Amiri" w:hAnsi="Amiri" w:eastAsia="Amiri" w:cs="Amiri"/>
          <w:color w:val="111111"/>
          <w:sz w:val="28"/>
          <w:sz w:val="28"/>
          <w:szCs w:val="28"/>
          <w:rtl w:val="true"/>
          <w:lang w:bidi="ar-SA"/>
        </w:rPr>
        <w:t xml:space="preserve">المَنعَ مِن حَربِه و لَعنِه، و مظاهَرَتِه بالعَداوةِ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أنّه لَيسَ فيمَن ذَكَرناه ممّن ضَلَّ عن الحَقِّ و عدَلَ عن سَنَنِه</w:t>
      </w:r>
      <w:r>
        <w:rPr>
          <w:rStyle w:val="FootnoteAnchor"/>
          <w:rtl w:val="true"/>
        </w:rPr>
        <w:footnoteReference w:id="3665"/>
      </w:r>
      <w:r>
        <w:rPr>
          <w:rFonts w:ascii="Amiri" w:hAnsi="Amiri" w:eastAsia="Amiri" w:cs="Amiri"/>
          <w:color w:val="111111"/>
          <w:sz w:val="28"/>
          <w:sz w:val="28"/>
          <w:szCs w:val="28"/>
          <w:rtl w:val="true"/>
          <w:lang w:bidi="ar-SA"/>
        </w:rPr>
        <w:t xml:space="preserve">إلّامَن كانَت له صُحبةٌ و ظاهرُ فَضلٍ ، إن لَم يُساوِ فيه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يُشارُ إليهم بدَفعِ النصِّ و التواطؤِ علىٰ إزالتِه عن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مُقارِبٌ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فَرقُ </w:t>
      </w:r>
      <w:r>
        <w:rPr>
          <w:rStyle w:val="FootnoteAnchor"/>
          <w:rtl w:val="true"/>
        </w:rPr>
        <w:footnoteReference w:id="3666"/>
      </w:r>
      <w:r>
        <w:rPr>
          <w:rFonts w:ascii="Amiri" w:hAnsi="Amiri" w:eastAsia="Amiri" w:cs="Amiri"/>
          <w:color w:val="111111"/>
          <w:sz w:val="28"/>
          <w:sz w:val="28"/>
          <w:szCs w:val="28"/>
          <w:rtl w:val="true"/>
          <w:lang w:bidi="ar-SA"/>
        </w:rPr>
        <w:t>ما بَينَ الفَضلَينِ ممّا</w:t>
      </w:r>
      <w:r>
        <w:rPr>
          <w:rStyle w:val="FootnoteAnchor"/>
          <w:rtl w:val="true"/>
        </w:rPr>
        <w:footnoteReference w:id="3667"/>
      </w:r>
      <w:r>
        <w:rPr>
          <w:rFonts w:ascii="Amiri" w:hAnsi="Amiri" w:eastAsia="Amiri" w:cs="Amiri"/>
          <w:color w:val="111111"/>
          <w:sz w:val="28"/>
          <w:sz w:val="28"/>
          <w:szCs w:val="28"/>
          <w:rtl w:val="true"/>
          <w:lang w:bidi="ar-SA"/>
        </w:rPr>
        <w:t xml:space="preserve">يَقتَضي أن يَجوزَ علىٰ هؤلاءِ مِن الضَّلالِ و العِنادِ ما لا يَجوزُ علىٰ أُولئكَ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895147_2320776876"/>
      <w:bookmarkStart w:id="604" w:name="_Toc215"/>
      <w:bookmarkEnd w:id="603"/>
      <w:r>
        <w:rPr>
          <w:rtl w:val="true"/>
        </w:rPr>
        <w:t>نفي دخول الشبهة على الصحابة المخالفين لأمير المؤمنين عليه السلام</w:t>
      </w:r>
      <w:bookmarkEnd w:id="604"/>
    </w:p>
    <w:p>
      <w:pPr>
        <w:pStyle w:val="BookText"/>
        <w:rPr/>
      </w:pPr>
      <w:r>
        <w:rPr>
          <w:rFonts w:ascii="Amiri" w:hAnsi="Amiri" w:eastAsia="Amiri" w:cs="Amiri"/>
          <w:color w:val="111111"/>
          <w:sz w:val="28"/>
          <w:sz w:val="28"/>
          <w:szCs w:val="28"/>
          <w:rtl w:val="true"/>
          <w:lang w:bidi="ar-SA"/>
        </w:rPr>
        <w:t xml:space="preserve">و لَيسَ للمخالِفِ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 ذَكَرتم</w:t>
      </w:r>
      <w:r>
        <w:rPr>
          <w:rStyle w:val="FootnoteAnchor"/>
          <w:rtl w:val="true"/>
        </w:rPr>
        <w:footnoteReference w:id="3668"/>
      </w:r>
      <w:r>
        <w:rPr>
          <w:rFonts w:ascii="Amiri" w:hAnsi="Amiri" w:eastAsia="Amiri" w:cs="Amiri"/>
          <w:color w:val="111111"/>
          <w:sz w:val="28"/>
          <w:sz w:val="28"/>
          <w:szCs w:val="28"/>
          <w:rtl w:val="true"/>
          <w:lang w:bidi="ar-SA"/>
        </w:rPr>
        <w:t xml:space="preserve">ممّن حارَبَ أميرَ المؤمِنينَ عليه السلامُ و قعَدَ عن بَيعَتِه إنّما تَمَّ </w:t>
      </w:r>
      <w:r>
        <w:rPr>
          <w:rStyle w:val="FootnoteAnchor"/>
          <w:rtl w:val="true"/>
        </w:rPr>
        <w:footnoteReference w:id="3669"/>
      </w:r>
      <w:r>
        <w:rPr>
          <w:rFonts w:ascii="Amiri" w:hAnsi="Amiri" w:eastAsia="Amiri" w:cs="Amiri"/>
          <w:color w:val="111111"/>
          <w:sz w:val="28"/>
          <w:sz w:val="28"/>
          <w:szCs w:val="28"/>
          <w:rtl w:val="true"/>
          <w:lang w:bidi="ar-SA"/>
        </w:rPr>
        <w:t>الخطأُ عليه</w:t>
      </w:r>
      <w:r>
        <w:rPr>
          <w:rStyle w:val="FootnoteAnchor"/>
          <w:rtl w:val="true"/>
        </w:rPr>
        <w:footnoteReference w:id="3670"/>
      </w:r>
      <w:r>
        <w:rPr>
          <w:rFonts w:ascii="Amiri" w:hAnsi="Amiri" w:eastAsia="Amiri" w:cs="Amiri"/>
          <w:color w:val="111111"/>
          <w:sz w:val="28"/>
          <w:sz w:val="28"/>
          <w:szCs w:val="28"/>
          <w:rtl w:val="true"/>
          <w:lang w:bidi="ar-SA"/>
        </w:rPr>
        <w:t>بالشُّبهةِ ، دونَ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مِن قائلِه يدُلُّ علىٰ غَفلةٍ شديدةٍ و قِلّةِ عِلمٍ بحالِ القومِ الذينَ وقَعَ منهم ما عدَّدناه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شُبهةٍ يَصِحُّ أن تدخُلَ </w:t>
      </w:r>
      <w:r>
        <w:rPr>
          <w:rStyle w:val="FootnoteAnchor"/>
          <w:rtl w:val="true"/>
        </w:rPr>
        <w:footnoteReference w:id="3671"/>
      </w:r>
      <w:r>
        <w:rPr>
          <w:rFonts w:ascii="Amiri" w:hAnsi="Amiri" w:eastAsia="Amiri" w:cs="Amiri"/>
          <w:color w:val="111111"/>
          <w:sz w:val="28"/>
          <w:sz w:val="28"/>
          <w:szCs w:val="28"/>
          <w:rtl w:val="true"/>
          <w:lang w:bidi="ar-SA"/>
        </w:rPr>
        <w:t xml:space="preserve">علىٰ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بَيعَتِهما له عليه السلامُ طَوعاً و إيثاراً، و عِلمِهما باختصاصِه عليه السلامُ مِن الفَضائلِ و السَّوابقِ و العُلومِ بما يَزيدُ علىٰ ما يَحتاجُ إليه الأئمّةُ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يَنكُثا بَيعَتَه، و يَضرِبا وجهَه بالسَّيفِ ، و يُسفَكَ </w:t>
      </w:r>
      <w:r>
        <w:rPr>
          <w:rStyle w:val="FootnoteAnchor"/>
          <w:rtl w:val="true"/>
        </w:rPr>
        <w:footnoteReference w:id="3672"/>
      </w:r>
      <w:r>
        <w:rPr>
          <w:rFonts w:ascii="Amiri" w:hAnsi="Amiri" w:eastAsia="Amiri" w:cs="Amiri"/>
          <w:color w:val="111111"/>
          <w:sz w:val="28"/>
          <w:sz w:val="28"/>
          <w:szCs w:val="28"/>
          <w:rtl w:val="true"/>
          <w:lang w:bidi="ar-SA"/>
        </w:rPr>
        <w:t>مِن دِماءِ المسلمينَ بسبَبِهما ما سُفِكَ؟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حالُ عائشةَ في امتناعِ دخولِ شُبهةٍ عليها في قِتالِه و خَلعِ طاعتِه و مطالَبتِه بما قد عَلِمَت و عَلِمَ كُلُّ أحَدٍ بَراءتَه منه</w:t>
      </w:r>
      <w:r>
        <w:rPr>
          <w:rStyle w:val="FootnoteAnchor"/>
          <w:rtl w:val="true"/>
        </w:rPr>
        <w:footnoteReference w:id="3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عُذرٍ لسَعدِ بنِ أبي وَقّاصٍ و ابنِ مَسلَمةَ في الامتناعِ عن بَيعَتِه، و قد بايَعا مَن لَم يَظهَرْ مِن فَضلِه و عِلمِه و دِينِه و زُهدِه ما ظهَرَ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شاهَدا الناسَ قد اجتَمَعوا عليه و رَضُوا بإمامتِه كما اجتَمَعوا علَى الثلاثةِ المتقدِّمينَ‌؛ فلَم يَبقَ للشُّبهةِ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يَشتَبِهُ علىٰ مُعاويةَ و عَمرٍو و أشياعِهما أمرُ حَربِه و لَعنِه، و هُما يَعلَمانِ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الرسولِ‌</w:t>
      </w:r>
      <w:r>
        <w:rPr>
          <w:rStyle w:val="FootnoteAnchor"/>
          <w:rtl w:val="true"/>
        </w:rPr>
        <w:footnoteReference w:id="3674"/>
      </w:r>
      <w:r>
        <w:rPr>
          <w:rFonts w:ascii="Amiri" w:hAnsi="Amiri" w:eastAsia="Amiri" w:cs="Amiri"/>
          <w:color w:val="111111"/>
          <w:sz w:val="28"/>
          <w:sz w:val="28"/>
          <w:szCs w:val="28"/>
          <w:rtl w:val="true"/>
          <w:lang w:bidi="ar-SA"/>
        </w:rPr>
        <w:t>صَلّى اللّٰهُ عليه و آلِه</w:t>
      </w:r>
      <w:r>
        <w:rPr>
          <w:rStyle w:val="FootnoteAnchor"/>
          <w:rtl w:val="true"/>
        </w:rPr>
        <w:footnoteReference w:id="3675"/>
      </w:r>
      <w:r>
        <w:rPr>
          <w:rFonts w:ascii="Amiri" w:hAnsi="Amiri" w:eastAsia="Amiri" w:cs="Amiri"/>
          <w:color w:val="111111"/>
          <w:sz w:val="28"/>
          <w:sz w:val="28"/>
          <w:szCs w:val="28"/>
          <w:rtl w:val="true"/>
          <w:lang w:bidi="ar-SA"/>
        </w:rPr>
        <w:t>ما يَمنَعُ مِن ذلكَ فيه، مع ما عَلِموه مِن ثُبوتِ إمامتِه و رِضا المسلمينَ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جازَ أن تدخُلَ الشُّبهةُ علىٰ مَن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لا نَعرِفُ لدُخولِها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فليَجوزَنّ‌</w:t>
      </w:r>
      <w:r>
        <w:rPr>
          <w:rStyle w:val="FootnoteAnchor"/>
          <w:rtl w:val="true"/>
        </w:rPr>
        <w:footnoteReference w:id="3676"/>
      </w:r>
      <w:r>
        <w:rPr>
          <w:rFonts w:ascii="Amiri" w:hAnsi="Amiri" w:eastAsia="Amiri" w:cs="Amiri"/>
          <w:color w:val="111111"/>
          <w:sz w:val="28"/>
          <w:sz w:val="28"/>
          <w:szCs w:val="28"/>
          <w:rtl w:val="true"/>
          <w:lang w:bidi="ar-SA"/>
        </w:rPr>
        <w:t xml:space="preserve">أن تدخُلَ </w:t>
      </w:r>
      <w:r>
        <w:rPr>
          <w:rStyle w:val="FootnoteAnchor"/>
          <w:rtl w:val="true"/>
        </w:rPr>
        <w:footnoteReference w:id="3677"/>
      </w:r>
      <w:r>
        <w:rPr>
          <w:rFonts w:ascii="Amiri" w:hAnsi="Amiri" w:eastAsia="Amiri" w:cs="Amiri"/>
          <w:color w:val="111111"/>
          <w:sz w:val="28"/>
          <w:sz w:val="28"/>
          <w:szCs w:val="28"/>
          <w:rtl w:val="true"/>
          <w:lang w:bidi="ar-SA"/>
        </w:rPr>
        <w:t xml:space="preserve">الشُّبهةُ </w:t>
      </w:r>
      <w:r>
        <w:rPr>
          <w:rStyle w:val="FootnoteAnchor"/>
          <w:rtl w:val="true"/>
        </w:rPr>
        <w:footnoteReference w:id="3678"/>
      </w:r>
      <w:r>
        <w:rPr>
          <w:rFonts w:ascii="Amiri" w:hAnsi="Amiri" w:eastAsia="Amiri" w:cs="Amiri"/>
          <w:color w:val="111111"/>
          <w:sz w:val="28"/>
          <w:sz w:val="28"/>
          <w:szCs w:val="28"/>
          <w:rtl w:val="true"/>
          <w:lang w:bidi="ar-SA"/>
        </w:rPr>
        <w:t xml:space="preserve">علىٰ جميعِ مَن عَمِلَ بخِلافِ النصِّ علىٰ أميرِ المؤمِنينَ عليه السلامُ و عقَدَ الأمرَ لغيرِه و عدَلَ عن ذِكرِ النصِّ و نقلِه، حتّىٰ يَكونَ جميعُ مَن فعَلَ ذلكَ لَم يَفعَلْه إلّابالشُّبهةِ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w:t>
      </w:r>
      <w:r>
        <w:rPr>
          <w:rStyle w:val="FootnoteAnchor"/>
          <w:rtl w:val="true"/>
        </w:rPr>
        <w:footnoteReference w:id="3679"/>
      </w:r>
      <w:r>
        <w:rPr>
          <w:rFonts w:ascii="Amiri" w:hAnsi="Amiri" w:eastAsia="Amiri" w:cs="Amiri"/>
          <w:color w:val="111111"/>
          <w:sz w:val="28"/>
          <w:sz w:val="28"/>
          <w:szCs w:val="28"/>
          <w:rtl w:val="true"/>
          <w:lang w:bidi="ar-SA"/>
        </w:rPr>
        <w:t>لا فَصلَ فيه و لا مَحيصَ عنه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كُنّا ذَكَرنا فيما مَضىٰ مِن هذا الكتابِ ما يُمكِنُ أن يعارَضَ به هاهنا</w:t>
      </w:r>
      <w:r>
        <w:rPr>
          <w:rStyle w:val="FootnoteAnchor"/>
          <w:rtl w:val="true"/>
        </w:rPr>
        <w:footnoteReference w:id="3680"/>
      </w:r>
    </w:p>
    <w:p>
      <w:pPr>
        <w:pStyle w:val="BookText"/>
        <w:rPr/>
      </w:pPr>
      <w:r>
        <w:rPr>
          <w:rFonts w:ascii="Amiri" w:hAnsi="Amiri" w:eastAsia="Amiri" w:cs="Amiri"/>
          <w:color w:val="111111"/>
          <w:sz w:val="28"/>
          <w:sz w:val="28"/>
          <w:szCs w:val="28"/>
          <w:rtl w:val="true"/>
          <w:lang w:bidi="ar-SA"/>
        </w:rPr>
        <w:t xml:space="preserve">حيثُ قُلنا لصاحبِ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يَكونَ النبيُّ صَلّى اللّٰهُ عليه و آلِه قد بيَّنَ صفاتِ الإمامِ التي مِن جُملتِها أن يَكونَ مِن قُرَيشٍ ، و صِفاتِ العاقِدينَ للإمامةِ ، ثُمّ حضَرَ الأنصارُ مع ذلكَ طالِبينَ للأمرِ</w:t>
      </w:r>
      <w:r>
        <w:rPr>
          <w:rStyle w:val="FootnoteAnchor"/>
          <w:rtl w:val="true"/>
        </w:rPr>
        <w:footnoteReference w:id="3681"/>
      </w:r>
      <w:r>
        <w:rPr>
          <w:rFonts w:ascii="Amiri" w:hAnsi="Amiri" w:eastAsia="Amiri" w:cs="Amiri"/>
          <w:color w:val="111111"/>
          <w:sz w:val="28"/>
          <w:sz w:val="28"/>
          <w:szCs w:val="28"/>
          <w:rtl w:val="true"/>
          <w:lang w:bidi="ar-SA"/>
        </w:rPr>
        <w:t>و منازِعينَ فيه، فألّا جازَ عليهم و علىٰ مَن طَلَبَ الأمرَ مِن المهاجِرينَ أن يَطلُبوه مع عِلمِهم بالنصِّ ؛ للوجهِ الذي له طَلَبَتِ الأمرَ</w:t>
      </w:r>
      <w:r>
        <w:rPr>
          <w:rStyle w:val="FootnoteAnchor"/>
          <w:rtl w:val="true"/>
        </w:rPr>
        <w:footnoteReference w:id="3682"/>
      </w:r>
      <w:r>
        <w:rPr>
          <w:rFonts w:ascii="Amiri" w:hAnsi="Amiri" w:eastAsia="Amiri" w:cs="Amiri"/>
          <w:color w:val="111111"/>
          <w:sz w:val="28"/>
          <w:sz w:val="28"/>
          <w:szCs w:val="28"/>
          <w:rtl w:val="true"/>
          <w:lang w:bidi="ar-SA"/>
        </w:rPr>
        <w:t>الأنصارُ؟</w:t>
      </w:r>
    </w:p>
    <w:p>
      <w:pPr>
        <w:pStyle w:val="BookText"/>
        <w:rPr/>
      </w:pPr>
      <w:r>
        <w:rPr>
          <w:rFonts w:ascii="Amiri" w:hAnsi="Amiri" w:eastAsia="Amiri" w:cs="Amiri"/>
          <w:color w:val="111111"/>
          <w:sz w:val="28"/>
          <w:sz w:val="28"/>
          <w:szCs w:val="28"/>
          <w:rtl w:val="true"/>
          <w:lang w:bidi="ar-SA"/>
        </w:rPr>
        <w:t>و بيّنّا</w:t>
      </w:r>
      <w:r>
        <w:rPr>
          <w:rStyle w:val="FootnoteAnchor"/>
          <w:rtl w:val="true"/>
        </w:rPr>
        <w:footnoteReference w:id="3683"/>
      </w:r>
      <w:r>
        <w:rPr>
          <w:rFonts w:ascii="Amiri" w:hAnsi="Amiri" w:eastAsia="Amiri" w:cs="Amiri"/>
          <w:color w:val="111111"/>
          <w:sz w:val="28"/>
          <w:sz w:val="28"/>
          <w:szCs w:val="28"/>
          <w:rtl w:val="true"/>
          <w:lang w:bidi="ar-SA"/>
        </w:rPr>
        <w:t>أنّه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لَم تَسمَعِ‌</w:t>
      </w:r>
      <w:r>
        <w:rPr>
          <w:rStyle w:val="FootnoteAnchor"/>
          <w:rtl w:val="true"/>
        </w:rPr>
        <w:footnoteReference w:id="3684"/>
      </w:r>
      <w:r>
        <w:rPr>
          <w:rFonts w:ascii="Amiri" w:hAnsi="Amiri" w:eastAsia="Amiri" w:cs="Amiri"/>
          <w:color w:val="111111"/>
          <w:sz w:val="28"/>
          <w:sz w:val="28"/>
          <w:szCs w:val="28"/>
          <w:rtl w:val="true"/>
          <w:lang w:bidi="ar-SA"/>
        </w:rPr>
        <w:t xml:space="preserve">النصَّ </w:t>
      </w:r>
      <w:r>
        <w:rPr>
          <w:rStyle w:val="FootnoteAnchor"/>
          <w:rtl w:val="true"/>
        </w:rPr>
        <w:footnoteReference w:id="3685"/>
      </w:r>
      <w:r>
        <w:rPr>
          <w:rFonts w:ascii="Amiri" w:hAnsi="Amiri" w:eastAsia="Amiri" w:cs="Amiri"/>
          <w:color w:val="111111"/>
          <w:sz w:val="28"/>
          <w:sz w:val="28"/>
          <w:szCs w:val="28"/>
          <w:rtl w:val="true"/>
          <w:lang w:bidi="ar-SA"/>
        </w:rPr>
        <w:t xml:space="preserve">علىٰ صِفاتِ الإمامِ و صِفاتِ العاقِدينَ </w:t>
      </w:r>
      <w:r>
        <w:rPr>
          <w:rStyle w:val="FootnoteAnchor"/>
          <w:rtl w:val="true"/>
        </w:rPr>
        <w:footnoteReference w:id="3686"/>
      </w:r>
      <w:r>
        <w:rPr>
          <w:rFonts w:ascii="Amiri" w:hAnsi="Amiri" w:eastAsia="Amiri" w:cs="Amiri"/>
          <w:color w:val="111111"/>
          <w:sz w:val="28"/>
          <w:sz w:val="28"/>
          <w:szCs w:val="28"/>
          <w:rtl w:val="true"/>
          <w:lang w:bidi="ar-SA"/>
        </w:rPr>
        <w:t xml:space="preserve">، مع أنّهم مِن أهلِ الحَلِّ و العَقدِ و ممّن قد خوطِبَ بإمامةِ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 أيضاً أن يَكونَ النصُّ لَم يَسمَعْه القومُ الذينَ استَبَدّوا بالخِلافةِ‌</w:t>
      </w:r>
      <w:r>
        <w:rPr>
          <w:rStyle w:val="FootnoteAnchor"/>
          <w:rtl w:val="true"/>
        </w:rPr>
        <w:footnoteReference w:id="3687"/>
      </w:r>
      <w:r>
        <w:rPr>
          <w:rFonts w:ascii="Amiri" w:hAnsi="Amiri" w:eastAsia="Amiri" w:cs="Amiri"/>
          <w:color w:val="111111"/>
          <w:sz w:val="28"/>
          <w:sz w:val="28"/>
          <w:szCs w:val="28"/>
          <w:rtl w:val="true"/>
          <w:lang w:bidi="ar-SA"/>
        </w:rPr>
        <w:t>و تَمالَؤوا</w:t>
      </w:r>
      <w:r>
        <w:rPr>
          <w:rStyle w:val="FootnoteAnchor"/>
          <w:rtl w:val="true"/>
        </w:rPr>
        <w:footnoteReference w:id="3688"/>
      </w:r>
      <w:r>
        <w:rPr>
          <w:rFonts w:ascii="Amiri" w:hAnsi="Amiri" w:eastAsia="Amiri" w:cs="Amiri"/>
          <w:color w:val="111111"/>
          <w:sz w:val="28"/>
          <w:sz w:val="28"/>
          <w:szCs w:val="28"/>
          <w:rtl w:val="true"/>
          <w:lang w:bidi="ar-SA"/>
        </w:rPr>
        <w:t>علىٰ جَرِّها إليهم</w:t>
      </w:r>
      <w:r>
        <w:rPr>
          <w:rStyle w:val="FootnoteAnchor"/>
          <w:rtl w:val="true"/>
        </w:rPr>
        <w:footnoteReference w:id="368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أشبَعنا هذه المعارَضةَ فيما مضىٰ‌، و يُمكِنُ </w:t>
      </w:r>
      <w:r>
        <w:rPr>
          <w:rStyle w:val="FootnoteAnchor"/>
          <w:rtl w:val="true"/>
        </w:rPr>
        <w:footnoteReference w:id="3690"/>
      </w:r>
      <w:r>
        <w:rPr>
          <w:rFonts w:ascii="Amiri" w:hAnsi="Amiri" w:eastAsia="Amiri" w:cs="Amiri"/>
          <w:color w:val="111111"/>
          <w:sz w:val="28"/>
          <w:sz w:val="28"/>
          <w:szCs w:val="28"/>
          <w:rtl w:val="true"/>
          <w:lang w:bidi="ar-SA"/>
        </w:rPr>
        <w:t>أن يُذكَرَ</w:t>
      </w:r>
      <w:r>
        <w:rPr>
          <w:rStyle w:val="FootnoteAnchor"/>
          <w:rtl w:val="true"/>
        </w:rPr>
        <w:footnoteReference w:id="3691"/>
      </w:r>
      <w:r>
        <w:rPr>
          <w:rFonts w:ascii="Amiri" w:hAnsi="Amiri" w:eastAsia="Amiri" w:cs="Amiri"/>
          <w:color w:val="111111"/>
          <w:sz w:val="28"/>
          <w:sz w:val="28"/>
          <w:szCs w:val="28"/>
          <w:rtl w:val="true"/>
          <w:lang w:bidi="ar-SA"/>
        </w:rPr>
        <w:t xml:space="preserve">في هذا المَوضعِ مقابَلةٌ لكلامِه المبنيِّ علىٰ حُسنِ الظنِّ بالقومِ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يَقولونَه</w:t>
      </w:r>
      <w:r>
        <w:rPr>
          <w:rStyle w:val="FootnoteAnchor"/>
          <w:rtl w:val="true"/>
        </w:rPr>
        <w:footnoteReference w:id="3692"/>
      </w:r>
      <w:r>
        <w:rPr>
          <w:rFonts w:ascii="Amiri" w:hAnsi="Amiri" w:eastAsia="Amiri" w:cs="Amiri"/>
          <w:color w:val="111111"/>
          <w:sz w:val="28"/>
          <w:sz w:val="28"/>
          <w:szCs w:val="28"/>
          <w:rtl w:val="true"/>
          <w:lang w:bidi="ar-SA"/>
        </w:rPr>
        <w:t>في النصِّ حَقّاً لَما فَعَلوا كَذا و كَذا</w:t>
      </w:r>
      <w:r>
        <w:rPr>
          <w:rFonts w:eastAsia="Amiri" w:cs="Amiri" w:ascii="Amiri" w:hAnsi="Amiri"/>
          <w:color w:val="111111"/>
          <w:sz w:val="28"/>
          <w:szCs w:val="28"/>
          <w:rtl w:val="true"/>
          <w:lang w:bidi="ar-SA"/>
        </w:rPr>
        <w:t xml:space="preserve">». </w:t>
      </w:r>
      <w:bookmarkStart w:id="605" w:name="pg20015_285160"/>
    </w:p>
    <w:p>
      <w:pPr>
        <w:pStyle w:val="BookText"/>
        <w:rPr/>
      </w:pPr>
      <w:bookmarkEnd w:id="605"/>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693"/>
      </w:r>
      <w:r>
        <w:rPr>
          <w:rFonts w:ascii="Amiri" w:hAnsi="Amiri" w:eastAsia="Amiri" w:cs="Amiri"/>
          <w:color w:val="111111"/>
          <w:sz w:val="28"/>
          <w:sz w:val="28"/>
          <w:szCs w:val="28"/>
          <w:rtl w:val="true"/>
          <w:lang w:bidi="ar-SA"/>
        </w:rPr>
        <w:t xml:space="preserve">لَو كانَ ما تَدَّعيه مِن النصِّ علىٰ صفاتِ الإمامِ و العاقِدينَ حَقّاً لَما جَرىٰ مِن الأنصارِ ما جَرىٰ مِن المنازَعةِ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95149_2320776876"/>
      <w:bookmarkStart w:id="607" w:name="_Toc216"/>
      <w:bookmarkEnd w:id="606"/>
      <w:r>
        <w:rPr>
          <w:rtl w:val="true"/>
        </w:rPr>
        <w:t>عدم جواز القطع علىٰ بواطن الصحابة</w:t>
      </w:r>
      <w:bookmarkEnd w:id="607"/>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Style w:val="FootnoteAnchor"/>
          <w:rtl w:val="true"/>
        </w:rPr>
        <w:footnoteReference w:id="3694"/>
      </w:r>
      <w:r>
        <w:rPr>
          <w:rFonts w:ascii="Amiri" w:hAnsi="Amiri" w:eastAsia="Amiri" w:cs="Amiri"/>
          <w:color w:val="111111"/>
          <w:sz w:val="28"/>
          <w:sz w:val="28"/>
          <w:szCs w:val="28"/>
          <w:rtl w:val="true"/>
          <w:lang w:bidi="ar-SA"/>
        </w:rPr>
        <w:t xml:space="preserve">في أنّا نَعلَمُ بُطلانَه باضطرارٍ بمَنزلةِ ما نَعلَمُه مِن أنفُسِنا؛ لأنّا كما نَعلَمُ أنّا لا نَعلَمُ في الإمامةِ ما ادَّعَوه باضطرارٍ و نَعتقِدُ خِلافَه، نَعلَمُ ذلكَ مِن حالِ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فطَريفٌ‌؛ لأنّه لا سَبيلَ إلَى العِلمِ بما كانَ يَعتقِدُه القومُ باطناً في النصِّ‌، و أكثَرُ ما يدُلُّ عليه حالُهم كَونُهم مُظهِرينَ لِاعتقادِ خِلافِه، و ما سِوىٰ‌</w:t>
      </w:r>
      <w:r>
        <w:rPr>
          <w:rStyle w:val="FootnoteAnchor"/>
          <w:rtl w:val="true"/>
        </w:rPr>
        <w:footnoteReference w:id="3695"/>
      </w:r>
      <w:r>
        <w:rPr>
          <w:rFonts w:ascii="Amiri" w:hAnsi="Amiri" w:eastAsia="Amiri" w:cs="Amiri"/>
          <w:color w:val="111111"/>
          <w:sz w:val="28"/>
          <w:sz w:val="28"/>
          <w:szCs w:val="28"/>
          <w:rtl w:val="true"/>
          <w:lang w:bidi="ar-SA"/>
        </w:rPr>
        <w:t xml:space="preserve">ذلكَ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 ذَكَره معلوماً باضطرارٍ له و لأصحابِه، لَوجَبَ أن تَعلَمَه</w:t>
      </w:r>
      <w:r>
        <w:rPr>
          <w:rStyle w:val="FootnoteAnchor"/>
          <w:rtl w:val="true"/>
        </w:rPr>
        <w:footnoteReference w:id="3696"/>
      </w:r>
      <w:r>
        <w:rPr>
          <w:rFonts w:ascii="Amiri" w:hAnsi="Amiri" w:eastAsia="Amiri" w:cs="Amiri"/>
          <w:color w:val="111111"/>
          <w:sz w:val="28"/>
          <w:sz w:val="28"/>
          <w:szCs w:val="28"/>
          <w:rtl w:val="true"/>
          <w:lang w:bidi="ar-SA"/>
        </w:rPr>
        <w:t>الشيعةُ كعِلمِهم؛ لأنّه</w:t>
      </w:r>
      <w:r>
        <w:rPr>
          <w:rStyle w:val="FootnoteAnchor"/>
          <w:rtl w:val="true"/>
        </w:rPr>
        <w:footnoteReference w:id="3697"/>
      </w:r>
      <w:r>
        <w:rPr>
          <w:rFonts w:ascii="Amiri" w:hAnsi="Amiri" w:eastAsia="Amiri" w:cs="Amiri"/>
          <w:color w:val="111111"/>
          <w:sz w:val="28"/>
          <w:sz w:val="28"/>
          <w:szCs w:val="28"/>
          <w:rtl w:val="true"/>
          <w:lang w:bidi="ar-SA"/>
        </w:rPr>
        <w:t xml:space="preserve">لَيسَ يُمكِنُ أن يُدَّعىٰ فيه طريقٌ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فَصلَ بَينَ مَن ادَّعىٰ ذلكَ مِن المخالِفينَ و بَينَ مَن ادَّعىٰ مِن الشيعةِ أنّه يَعلَمُ ضَرورةً أنّ القومَ كانوا يَعتقِدونَ النصَّ و يَعلَمونَه، و إن كانوا عامِلينَ في الظاهرِ بخِلافِه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يُشبِهُ ما يَعلَمُه</w:t>
      </w:r>
      <w:r>
        <w:rPr>
          <w:rStyle w:val="FootnoteAnchor"/>
          <w:rtl w:val="true"/>
        </w:rPr>
        <w:footnoteReference w:id="3698"/>
      </w:r>
      <w:r>
        <w:rPr>
          <w:rFonts w:ascii="Amiri" w:hAnsi="Amiri" w:eastAsia="Amiri" w:cs="Amiri"/>
          <w:color w:val="111111"/>
          <w:sz w:val="28"/>
          <w:sz w:val="28"/>
          <w:szCs w:val="28"/>
          <w:rtl w:val="true"/>
          <w:lang w:bidi="ar-SA"/>
        </w:rPr>
        <w:t xml:space="preserve">الإنسانُ مِن نفسِه ما يَعلَمُه مِن غيرِه؛ لأنّه يَجِدُ نفسَه معتقِداً للشيءِ ضَرورةً ، ثُمّ يَفصِلُ بَينَ أن يَكونَ معتقِداً لبعضِ المَذاهبِ و بَينَ أن لا يَكونَ كذلكَ ، و لا سَبيلَ له إلىٰ أن يَعلَمَ أنّ غيرَه معتقِدٌ لبعضِ المَذاهبِ إلّا </w:t>
      </w:r>
    </w:p>
    <w:p>
      <w:pPr>
        <w:pStyle w:val="BookText"/>
        <w:rPr/>
      </w:pPr>
      <w:r>
        <w:rPr>
          <w:rFonts w:ascii="Amiri" w:hAnsi="Amiri" w:eastAsia="Amiri" w:cs="Amiri"/>
          <w:color w:val="111111"/>
          <w:sz w:val="28"/>
          <w:sz w:val="28"/>
          <w:szCs w:val="28"/>
          <w:rtl w:val="true"/>
          <w:lang w:bidi="ar-SA"/>
        </w:rPr>
        <w:t>علىٰ شُروطٍ، بأن</w:t>
      </w:r>
      <w:r>
        <w:rPr>
          <w:rStyle w:val="FootnoteAnchor"/>
          <w:rtl w:val="true"/>
        </w:rPr>
        <w:footnoteReference w:id="3699"/>
      </w:r>
      <w:r>
        <w:rPr>
          <w:rFonts w:ascii="Amiri" w:hAnsi="Amiri" w:eastAsia="Amiri" w:cs="Amiri"/>
          <w:color w:val="111111"/>
          <w:sz w:val="28"/>
          <w:sz w:val="28"/>
          <w:szCs w:val="28"/>
          <w:rtl w:val="true"/>
          <w:lang w:bidi="ar-SA"/>
        </w:rPr>
        <w:t>يَظهَرَ القولُ بالمَذهبِ‌</w:t>
      </w:r>
      <w:r>
        <w:rPr>
          <w:rStyle w:val="FootnoteAnchor"/>
          <w:rtl w:val="true"/>
        </w:rPr>
        <w:footnoteReference w:id="3700"/>
      </w:r>
      <w:r>
        <w:rPr>
          <w:rFonts w:ascii="Amiri" w:hAnsi="Amiri" w:eastAsia="Amiri" w:cs="Amiri"/>
          <w:color w:val="111111"/>
          <w:sz w:val="28"/>
          <w:sz w:val="28"/>
          <w:szCs w:val="28"/>
          <w:rtl w:val="true"/>
          <w:lang w:bidi="ar-SA"/>
        </w:rPr>
        <w:t>منه في أحوالٍ قد عُلِمَ أنّه لا داعيَ يَدعو إلىٰ إظهارِه إلّاالاعتقادُ و التديُّنُ‌، و يُقطَعَ‌</w:t>
      </w:r>
      <w:r>
        <w:rPr>
          <w:rStyle w:val="FootnoteAnchor"/>
          <w:rtl w:val="true"/>
        </w:rPr>
        <w:footnoteReference w:id="3701"/>
      </w:r>
      <w:r>
        <w:rPr>
          <w:rFonts w:ascii="Amiri" w:hAnsi="Amiri" w:eastAsia="Amiri" w:cs="Amiri"/>
          <w:color w:val="111111"/>
          <w:sz w:val="28"/>
          <w:sz w:val="28"/>
          <w:szCs w:val="28"/>
          <w:rtl w:val="true"/>
          <w:lang w:bidi="ar-SA"/>
        </w:rPr>
        <w:t>علَى انتفاءِ كُلِّ أمرٍ يُمكِنُ‌</w:t>
      </w:r>
      <w:r>
        <w:rPr>
          <w:rStyle w:val="FootnoteAnchor"/>
          <w:rtl w:val="true"/>
        </w:rPr>
        <w:footnoteReference w:id="3702"/>
      </w:r>
      <w:r>
        <w:rPr>
          <w:rFonts w:ascii="Amiri" w:hAnsi="Amiri" w:eastAsia="Amiri" w:cs="Amiri"/>
          <w:color w:val="111111"/>
          <w:sz w:val="28"/>
          <w:sz w:val="28"/>
          <w:szCs w:val="28"/>
          <w:rtl w:val="true"/>
          <w:lang w:bidi="ar-SA"/>
        </w:rPr>
        <w:t>صَرفُ الإظهارِ إليه، و هذا ممّا له خصائصُ و شرائطُ تدُلُّ‌</w:t>
      </w:r>
      <w:r>
        <w:rPr>
          <w:rStyle w:val="FootnoteAnchor"/>
          <w:rtl w:val="true"/>
        </w:rPr>
        <w:footnoteReference w:id="3703"/>
      </w:r>
      <w:r>
        <w:rPr>
          <w:rFonts w:ascii="Amiri" w:hAnsi="Amiri" w:eastAsia="Amiri" w:cs="Amiri"/>
          <w:color w:val="111111"/>
          <w:sz w:val="28"/>
          <w:sz w:val="28"/>
          <w:szCs w:val="28"/>
          <w:rtl w:val="true"/>
          <w:lang w:bidi="ar-SA"/>
        </w:rPr>
        <w:t>عليها الأحوالُ و مَشاهِدُها</w:t>
      </w:r>
      <w:r>
        <w:rPr>
          <w:rStyle w:val="FootnoteAnchor"/>
          <w:rtl w:val="true"/>
        </w:rPr>
        <w:footnoteReference w:id="3704"/>
      </w:r>
      <w:r>
        <w:rPr>
          <w:rFonts w:ascii="Amiri" w:hAnsi="Amiri" w:eastAsia="Amiri" w:cs="Amiri"/>
          <w:color w:val="111111"/>
          <w:sz w:val="28"/>
          <w:sz w:val="28"/>
          <w:szCs w:val="28"/>
          <w:rtl w:val="true"/>
          <w:lang w:bidi="ar-SA"/>
        </w:rPr>
        <w:t>، فكَيفَ يُمكِنُ أن يُدَّعَى العِلمُ باعتقادٍ غائبٍ لا سَبيلَ فيه إلىٰ هذه الطريقةِ؟ و يَجوزُ أن يَكونَ ما أظهَرَه مِن الاعتقادِ لأسبابٍ و أغراضٍ كثيرةٍ لَيسَت للتديُّنِ‌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المعلومَ مِن مَذهَبِ مخالِفينا أنّهم لا يَقطَعونَ علىٰ بَواطنِ الصَّحابةِ إلّا فيمَن عَلِموا بالدليلِ موافَقةَ باطنِه لظاهرِه، و أنّهم</w:t>
      </w:r>
      <w:r>
        <w:rPr>
          <w:rStyle w:val="FootnoteAnchor"/>
          <w:rtl w:val="true"/>
        </w:rPr>
        <w:footnoteReference w:id="3705"/>
      </w:r>
      <w:r>
        <w:rPr>
          <w:rFonts w:ascii="Amiri" w:hAnsi="Amiri" w:eastAsia="Amiri" w:cs="Amiri"/>
          <w:color w:val="111111"/>
          <w:sz w:val="28"/>
          <w:sz w:val="28"/>
          <w:szCs w:val="28"/>
          <w:rtl w:val="true"/>
          <w:lang w:bidi="ar-SA"/>
        </w:rPr>
        <w:t>يجوِّزونَ أن يَكونوا مُبطِنينَ بخِلافِ‌</w:t>
      </w:r>
      <w:r>
        <w:rPr>
          <w:rStyle w:val="FootnoteAnchor"/>
          <w:rtl w:val="true"/>
        </w:rPr>
        <w:footnoteReference w:id="3706"/>
      </w:r>
      <w:r>
        <w:rPr>
          <w:rFonts w:ascii="IRNazanin" w:hAnsi="IRNazanin" w:eastAsia="IRNazanin"/>
          <w:color w:val="111111"/>
          <w:sz w:val="28"/>
          <w:sz w:val="28"/>
          <w:szCs w:val="28"/>
          <w:rtl w:val="true"/>
          <w:lang w:bidi="fa-IR"/>
        </w:rPr>
        <w:t>ما هم له</w:t>
      </w:r>
      <w:r>
        <w:rPr>
          <w:rStyle w:val="FootnoteAnchor"/>
          <w:rtl w:val="true"/>
        </w:rPr>
        <w:footnoteReference w:id="3707"/>
      </w:r>
      <w:r>
        <w:rPr>
          <w:rFonts w:ascii="Amiri" w:hAnsi="Amiri" w:eastAsia="Amiri" w:cs="Amiri"/>
          <w:color w:val="111111"/>
          <w:sz w:val="28"/>
          <w:sz w:val="28"/>
          <w:szCs w:val="28"/>
          <w:rtl w:val="true"/>
          <w:lang w:bidi="ar-SA"/>
        </w:rPr>
        <w:t>مُظهِرونَ ؛ فكَيفَ يُدَّعَى العِلمُ باعتقادِهم في النصِّ و القَطعُ علىٰ باطنِهم فيه دونَ غيرِه، و أحوالُهم في الكُلِّ متساويةٌ؟ و نحنُ نَعلَمُ أنّ إظهارَهم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لاعتقادِ</w:t>
      </w:r>
      <w:r>
        <w:rPr>
          <w:rStyle w:val="FootnoteAnchor"/>
          <w:rtl w:val="true"/>
        </w:rPr>
        <w:footnoteReference w:id="3708"/>
      </w:r>
      <w:r>
        <w:rPr>
          <w:rFonts w:ascii="Amiri" w:hAnsi="Amiri" w:eastAsia="Amiri" w:cs="Amiri"/>
          <w:color w:val="111111"/>
          <w:sz w:val="28"/>
          <w:sz w:val="28"/>
          <w:szCs w:val="28"/>
          <w:rtl w:val="true"/>
          <w:lang w:bidi="ar-SA"/>
        </w:rPr>
        <w:t>خِلافِ النصِّ كإظهارِهم جميعَ دياناتِهم و مَذاهبِهم، بَل إظهارُهم لِما عَدا الاعتقادَ في النصِّ آكَدُ و أظهَرُ؛ فتجويزُ مخالَفةِ باطنِهم لظاهرِهم في أحدِ الأمرَينِ كتجويزِه في الآخَرِ</w:t>
      </w:r>
      <w:r>
        <w:rPr>
          <w:rStyle w:val="FootnoteAnchor"/>
          <w:rtl w:val="true"/>
        </w:rPr>
        <w:footnoteReference w:id="3709"/>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المُدَّعيَ للعِلمِ بباطنِ الصحابةِ في هذا الوجهِ لا يَجِدُ فَصلاً بَينَه و بَينَ مَن ادَّعىٰ مِن الحَشويّةِ‌</w:t>
      </w:r>
      <w:r>
        <w:rPr>
          <w:rStyle w:val="FootnoteAnchor"/>
          <w:rtl w:val="true"/>
        </w:rPr>
        <w:footnoteReference w:id="3710"/>
      </w:r>
      <w:r>
        <w:rPr>
          <w:rFonts w:ascii="Amiri" w:hAnsi="Amiri" w:eastAsia="Amiri" w:cs="Amiri"/>
          <w:color w:val="111111"/>
          <w:sz w:val="28"/>
          <w:sz w:val="28"/>
          <w:szCs w:val="28"/>
          <w:rtl w:val="true"/>
          <w:lang w:bidi="ar-SA"/>
        </w:rPr>
        <w:t>و أصحابِ الحديثِ العِلمَ‌</w:t>
      </w:r>
      <w:r>
        <w:rPr>
          <w:rStyle w:val="FootnoteAnchor"/>
          <w:rtl w:val="true"/>
        </w:rPr>
        <w:footnoteReference w:id="3711"/>
      </w:r>
      <w:r>
        <w:rPr>
          <w:rFonts w:ascii="Amiri" w:hAnsi="Amiri" w:eastAsia="Amiri" w:cs="Amiri"/>
          <w:color w:val="111111"/>
          <w:sz w:val="28"/>
          <w:sz w:val="28"/>
          <w:szCs w:val="28"/>
          <w:rtl w:val="true"/>
          <w:lang w:bidi="ar-SA"/>
        </w:rPr>
        <w:t>بباطنِ مَن بَقيَ مِنَ‌</w:t>
      </w:r>
      <w:r>
        <w:rPr>
          <w:rStyle w:val="FootnoteAnchor"/>
          <w:rtl w:val="true"/>
        </w:rPr>
        <w:footnoteReference w:id="3712"/>
      </w:r>
      <w:r>
        <w:rPr>
          <w:rFonts w:ascii="Amiri" w:hAnsi="Amiri" w:eastAsia="Amiri" w:cs="Amiri"/>
          <w:color w:val="111111"/>
          <w:sz w:val="28"/>
          <w:sz w:val="28"/>
          <w:szCs w:val="28"/>
          <w:rtl w:val="true"/>
          <w:lang w:bidi="ar-SA"/>
        </w:rPr>
        <w:t>الصحابةِ و التابِعينَ إلىٰ عَصرِ معاويةَ في اعتقادِ إمامتِه</w:t>
      </w:r>
      <w:r>
        <w:rPr>
          <w:rStyle w:val="FootnoteAnchor"/>
          <w:rtl w:val="true"/>
        </w:rPr>
        <w:footnoteReference w:id="3713"/>
      </w:r>
      <w:r>
        <w:rPr>
          <w:rFonts w:ascii="Amiri" w:hAnsi="Amiri" w:eastAsia="Amiri" w:cs="Amiri"/>
          <w:color w:val="111111"/>
          <w:sz w:val="28"/>
          <w:sz w:val="28"/>
          <w:szCs w:val="28"/>
          <w:rtl w:val="true"/>
          <w:lang w:bidi="ar-SA"/>
        </w:rPr>
        <w:t>و تصويبِه و الرِّضا بأحكامِه بَعدَ مَوتِ الحَسَنِ بنِ عليٍّ عليهما السلامُ‌؛ فإنّه لَم يوجَدْ في تلكَ الأحوالِ إلّامُظهِرٌ</w:t>
      </w:r>
      <w:r>
        <w:rPr>
          <w:rStyle w:val="FootnoteAnchor"/>
          <w:rtl w:val="true"/>
        </w:rPr>
        <w:footnoteReference w:id="3714"/>
      </w:r>
      <w:r>
        <w:rPr>
          <w:rFonts w:ascii="Amiri" w:hAnsi="Amiri" w:eastAsia="Amiri" w:cs="Amiri"/>
          <w:color w:val="111111"/>
          <w:sz w:val="28"/>
          <w:sz w:val="28"/>
          <w:szCs w:val="28"/>
          <w:rtl w:val="true"/>
          <w:lang w:bidi="ar-SA"/>
        </w:rPr>
        <w:t>لِما ذَكَرناه، و يَقولُ مِثلَ قولِ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Style w:val="FootnoteAnchor"/>
          <w:rtl w:val="true"/>
        </w:rPr>
        <w:footnoteReference w:id="3715"/>
      </w:r>
      <w:r>
        <w:rPr>
          <w:rFonts w:ascii="Amiri" w:hAnsi="Amiri" w:eastAsia="Amiri" w:cs="Amiri"/>
          <w:color w:val="111111"/>
          <w:sz w:val="28"/>
          <w:sz w:val="28"/>
          <w:szCs w:val="28"/>
          <w:rtl w:val="true"/>
          <w:lang w:bidi="ar-SA"/>
        </w:rPr>
        <w:t xml:space="preserve">كما أعلَمُ مِن نفسي اعتقادَ إمامةِ معاويةَ و تصويبِه في أحكامِه، فهكذا أنا مُضطَرٌّ إلىٰ أنّ جماعةَ المسلمينَ و وجوهَ الصحابةِ و التابعينَ في الأحوالِ التي أشَرنا إليها كانوا معتقِدينَ لمِثلِ </w:t>
      </w:r>
      <w:r>
        <w:rPr>
          <w:rStyle w:val="FootnoteAnchor"/>
          <w:rtl w:val="true"/>
        </w:rPr>
        <w:footnoteReference w:id="371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يَجِدُ صاحبُ الكتابِ مَهرَباً مِن هذه المعارَضةِ </w:t>
      </w:r>
      <w:r>
        <w:rPr>
          <w:rStyle w:val="FootnoteAnchor"/>
          <w:rtl w:val="true"/>
        </w:rPr>
        <w:footnoteReference w:id="3717"/>
      </w:r>
      <w:r>
        <w:rPr>
          <w:rFonts w:ascii="Amiri" w:hAnsi="Amiri" w:eastAsia="Amiri" w:cs="Amiri"/>
          <w:color w:val="111111"/>
          <w:sz w:val="28"/>
          <w:sz w:val="28"/>
          <w:szCs w:val="28"/>
          <w:rtl w:val="true"/>
          <w:lang w:bidi="ar-SA"/>
        </w:rPr>
        <w:t>، و لا يَتعلَّقُ بشيءٍ يَجعَلُه فَصلاً إلّاو يُمكِنُنا أن نُقابِلَه بمِثلِه فيما ادَّعاه</w:t>
      </w:r>
      <w:r>
        <w:rPr>
          <w:rFonts w:eastAsia="Amiri" w:cs="Amiri" w:ascii="Amiri" w:hAnsi="Amiri"/>
          <w:color w:val="111111"/>
          <w:sz w:val="28"/>
          <w:szCs w:val="28"/>
          <w:rtl w:val="true"/>
          <w:lang w:bidi="ar-SA"/>
        </w:rPr>
        <w:t xml:space="preserve">. </w:t>
      </w:r>
      <w:bookmarkStart w:id="608" w:name="pg20015_285163"/>
    </w:p>
    <w:p>
      <w:pPr>
        <w:pStyle w:val="Heading4"/>
        <w:numPr>
          <w:ilvl w:val="3"/>
          <w:numId w:val="1"/>
        </w:numPr>
        <w:rPr/>
      </w:pPr>
      <w:bookmarkStart w:id="609" w:name="__RefHeading___Toc895151_2320776876"/>
      <w:bookmarkStart w:id="610" w:name="_Toc217"/>
      <w:bookmarkEnd w:id="608"/>
      <w:bookmarkEnd w:id="609"/>
      <w:r>
        <w:rPr>
          <w:rtl w:val="true"/>
        </w:rPr>
        <w:t>عدم دلالة التعظيم و الإكرام على السلامة في جميع الأحوال</w:t>
      </w:r>
      <w:bookmarkEnd w:id="610"/>
    </w:p>
    <w:p>
      <w:pPr>
        <w:pStyle w:val="BookText"/>
        <w:rPr/>
      </w:pPr>
      <w:r>
        <w:rPr>
          <w:rFonts w:ascii="Amiri" w:hAnsi="Amiri" w:eastAsia="Amiri" w:cs="Amiri"/>
          <w:color w:val="111111"/>
          <w:sz w:val="28"/>
          <w:sz w:val="28"/>
          <w:szCs w:val="28"/>
          <w:rtl w:val="true"/>
          <w:lang w:bidi="ar-SA"/>
        </w:rPr>
        <w:t>فأمّا تَعلُّقُه بإكرامِ الرسولِ صَلّى اللّٰهُ عليه و آلِه للقومِ و تعظيمِه لهم و أنّ الخبرَ بذلكَ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يؤثِّرُ فيما ذَهَبنا إليه؛ لأنّ جميعَ ما رُويَ مِن التعظيمِ و الإكرامِ </w:t>
      </w:r>
      <w:r>
        <w:rPr>
          <w:rStyle w:val="FootnoteAnchor"/>
          <w:rtl w:val="true"/>
        </w:rPr>
        <w:footnoteReference w:id="3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يَقتَضي أكثَرَ مِن حُسنِ الظاهرِ و سَلامتِه في الحالِ ، فأمّا أن يَنفيَ ما يَقَعُ منهم في المستَقبَلِ مِن قَبيحٍ فغَيرُ 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دَفعُ النصِّ و العملُ بخِلافِه إنّما وَقَعَ بَعدَ الرسولِ صَلّى اللّٰهُ عليه و آلِه، فكَيفَ يكونُ مَدحُه في حياتِه لهم و إكرامُه يُنافيهِ و يَمنَعُ منه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 الإكرامَ و المَدحَ و الإعظامَ </w:t>
      </w:r>
      <w:r>
        <w:rPr>
          <w:rStyle w:val="FootnoteAnchor"/>
          <w:rtl w:val="true"/>
        </w:rPr>
        <w:footnoteReference w:id="3719"/>
      </w:r>
      <w:r>
        <w:rPr>
          <w:rFonts w:ascii="Amiri" w:hAnsi="Amiri" w:eastAsia="Amiri" w:cs="Amiri"/>
          <w:color w:val="111111"/>
          <w:sz w:val="28"/>
          <w:sz w:val="28"/>
          <w:szCs w:val="28"/>
          <w:rtl w:val="true"/>
          <w:lang w:bidi="ar-SA"/>
        </w:rPr>
        <w:t xml:space="preserve">يَمنَعُ مِن وقوعِ النِّفاقِ في تلكَ الحالِ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بما</w:t>
      </w:r>
      <w:r>
        <w:rPr>
          <w:rStyle w:val="FootnoteAnchor"/>
          <w:rtl w:val="true"/>
        </w:rPr>
        <w:footnoteReference w:id="3720"/>
      </w:r>
      <w:r>
        <w:rPr>
          <w:rFonts w:ascii="Amiri" w:hAnsi="Amiri" w:eastAsia="Amiri" w:cs="Amiri"/>
          <w:color w:val="111111"/>
          <w:sz w:val="28"/>
          <w:sz w:val="28"/>
          <w:szCs w:val="28"/>
          <w:rtl w:val="true"/>
          <w:lang w:bidi="ar-SA"/>
        </w:rPr>
        <w:t>وقَعَ منهم مِن دَفعِ النصِّ أن يَكونوا في حياةِ الرسولِ صَلّى اللّٰهُ عليه و آلِه</w:t>
      </w:r>
      <w:r>
        <w:rPr>
          <w:rStyle w:val="FootnoteAnchor"/>
          <w:rtl w:val="true"/>
        </w:rPr>
        <w:footnoteReference w:id="3721"/>
      </w:r>
      <w:r>
        <w:rPr>
          <w:rFonts w:ascii="Amiri" w:hAnsi="Amiri" w:eastAsia="Amiri" w:cs="Amiri"/>
          <w:color w:val="111111"/>
          <w:sz w:val="28"/>
          <w:sz w:val="28"/>
          <w:szCs w:val="28"/>
          <w:rtl w:val="true"/>
          <w:lang w:bidi="ar-SA"/>
        </w:rPr>
        <w:t xml:space="preserve">علىٰ نِفاقٍ‌؛ لأنّ فيمَن يَقطَعُ علىٰ أنّ دَفْعَ النصِّ كُفرٌ مِن فاعلِه مَن لا يَمنعُ مِن وقوعِه بَعدَ الإيمانِ الواقعِ علىٰ جهةِ الإخلاصِ‌، فأمّا مَن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المُوافاةِ </w:t>
      </w:r>
      <w:r>
        <w:rPr>
          <w:rFonts w:eastAsia="Amiri" w:cs="Amiri" w:ascii="Amiri" w:hAnsi="Amiri"/>
          <w:color w:val="111111"/>
          <w:sz w:val="28"/>
          <w:szCs w:val="28"/>
          <w:rtl w:val="true"/>
          <w:lang w:bidi="ar-SA"/>
        </w:rPr>
        <w:t>»</w:t>
      </w:r>
      <w:r>
        <w:rPr>
          <w:rStyle w:val="FootnoteAnchor"/>
          <w:rtl w:val="true"/>
        </w:rPr>
        <w:footnoteReference w:id="3722"/>
      </w:r>
      <w:r>
        <w:rPr>
          <w:rFonts w:ascii="Amiri" w:hAnsi="Amiri" w:eastAsia="Amiri" w:cs="Amiri"/>
          <w:color w:val="111111"/>
          <w:sz w:val="28"/>
          <w:sz w:val="28"/>
          <w:szCs w:val="28"/>
          <w:rtl w:val="true"/>
          <w:lang w:bidi="ar-SA"/>
        </w:rPr>
        <w:t>فإنّه يَحتاجُ في مَنعِ وقوعِ الإيمانِ متقدِّماً، إلىٰ أن يَثبُتَ له كَونُ دفعِ النصِّ كُفراً، و أنّه يُخرِجُ عن مَنزلةِ الفِسقِ و يُلحِقُ بمَنزلةِ الكُفرِ، ثُمّ يُثبِتَ أنّ فاعِلَه</w:t>
      </w:r>
      <w:r>
        <w:rPr>
          <w:rStyle w:val="FootnoteAnchor"/>
          <w:rtl w:val="true"/>
        </w:rPr>
        <w:footnoteReference w:id="3723"/>
      </w:r>
      <w:r>
        <w:rPr>
          <w:rFonts w:ascii="Amiri" w:hAnsi="Amiri" w:eastAsia="Amiri" w:cs="Amiri"/>
          <w:color w:val="111111"/>
          <w:sz w:val="28"/>
          <w:sz w:val="28"/>
          <w:szCs w:val="28"/>
          <w:rtl w:val="true"/>
          <w:lang w:bidi="ar-SA"/>
        </w:rPr>
        <w:t xml:space="preserve">فارَقَ الدُّنيا عليه؛ لأنّه إن لَم يَثبُتْ له ذلكَ لَم يَمتنِعْ علىٰ مَذهبِه تقدُّمُ الإيمانِ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غيرُ ممتنِعٍ عقلاً أن يَكونَ الرسولُ صَلّى اللّٰهُ عليه و آلِه</w:t>
      </w:r>
      <w:r>
        <w:rPr>
          <w:rStyle w:val="FootnoteAnchor"/>
          <w:rtl w:val="true"/>
        </w:rPr>
        <w:footnoteReference w:id="3724"/>
      </w:r>
      <w:r>
        <w:rPr>
          <w:rFonts w:ascii="Amiri" w:hAnsi="Amiri" w:eastAsia="Amiri" w:cs="Amiri"/>
          <w:color w:val="111111"/>
          <w:sz w:val="28"/>
          <w:sz w:val="28"/>
          <w:szCs w:val="28"/>
          <w:rtl w:val="true"/>
          <w:lang w:bidi="ar-SA"/>
        </w:rPr>
        <w:t>غيرَ عالِمٍ ببَواطنِ أصحابِه</w:t>
      </w:r>
      <w:r>
        <w:rPr>
          <w:rStyle w:val="FootnoteAnchor"/>
          <w:rtl w:val="true"/>
        </w:rPr>
        <w:footnoteReference w:id="3725"/>
      </w:r>
      <w:r>
        <w:rPr>
          <w:rFonts w:ascii="Amiri" w:hAnsi="Amiri" w:eastAsia="Amiri" w:cs="Amiri"/>
          <w:color w:val="111111"/>
          <w:sz w:val="28"/>
          <w:sz w:val="28"/>
          <w:szCs w:val="28"/>
          <w:rtl w:val="true"/>
          <w:lang w:bidi="ar-SA"/>
        </w:rPr>
        <w:t>و سَرائرِهم مِن خَيرٍ و شَرٍّ</w:t>
      </w:r>
      <w:r>
        <w:rPr>
          <w:rStyle w:val="FootnoteAnchor"/>
          <w:rtl w:val="true"/>
        </w:rPr>
        <w:footnoteReference w:id="3726"/>
      </w:r>
      <w:r>
        <w:rPr>
          <w:rFonts w:ascii="Amiri" w:hAnsi="Amiri" w:eastAsia="Amiri" w:cs="Amiri"/>
          <w:color w:val="111111"/>
          <w:sz w:val="28"/>
          <w:sz w:val="28"/>
          <w:szCs w:val="28"/>
          <w:rtl w:val="true"/>
          <w:lang w:bidi="ar-SA"/>
        </w:rPr>
        <w:t>، فيَكونَ مَدحُه لهم</w:t>
      </w:r>
      <w:r>
        <w:rPr>
          <w:rStyle w:val="FootnoteAnchor"/>
          <w:rtl w:val="true"/>
        </w:rPr>
        <w:footnoteReference w:id="3727"/>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انقطَعَ العُذرُ بالسمعِ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صَلّى اللّٰهُ عليه و آلِه</w:t>
      </w:r>
      <w:r>
        <w:rPr>
          <w:rStyle w:val="FootnoteAnchor"/>
          <w:rtl w:val="true"/>
        </w:rPr>
        <w:footnoteReference w:id="3728"/>
      </w:r>
      <w:r>
        <w:rPr>
          <w:rFonts w:ascii="Amiri" w:hAnsi="Amiri" w:eastAsia="Amiri" w:cs="Amiri"/>
          <w:color w:val="111111"/>
          <w:sz w:val="28"/>
          <w:sz w:val="28"/>
          <w:szCs w:val="28"/>
          <w:rtl w:val="true"/>
          <w:lang w:bidi="ar-SA"/>
        </w:rPr>
        <w:t xml:space="preserve">كانَ يَعرِفُ بَواطِنَ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w:t>
      </w:r>
      <w:r>
        <w:rPr>
          <w:rStyle w:val="FootnoteAnchor"/>
          <w:rtl w:val="true"/>
        </w:rPr>
        <w:footnoteReference w:id="3729"/>
      </w:r>
      <w:r>
        <w:rPr>
          <w:rFonts w:ascii="Amiri" w:hAnsi="Amiri" w:eastAsia="Amiri" w:cs="Amiri"/>
          <w:color w:val="111111"/>
          <w:sz w:val="28"/>
          <w:sz w:val="28"/>
          <w:szCs w:val="28"/>
          <w:rtl w:val="true"/>
          <w:lang w:bidi="ar-SA"/>
        </w:rPr>
        <w:t xml:space="preserve">عَلِمَ بذلكَ في حالٍ لَم يَكُن منه بَعدَها مَدحٌ و لا تعظيمٌ لِمَن عَلِمَ سوءَ باطنِه؛ فإنّ الحالَ بعَينِها غيرُ مقطوعٍ عليها و يُمكِنُ أن يَكونَ </w:t>
      </w:r>
      <w:r>
        <w:rPr>
          <w:rStyle w:val="FootnoteAnchor"/>
          <w:rtl w:val="true"/>
        </w:rPr>
        <w:footnoteReference w:id="3730"/>
      </w:r>
      <w:r>
        <w:rPr>
          <w:rFonts w:ascii="Amiri" w:hAnsi="Amiri" w:eastAsia="Amiri" w:cs="Amiri"/>
          <w:color w:val="111111"/>
          <w:sz w:val="28"/>
          <w:sz w:val="28"/>
          <w:szCs w:val="28"/>
          <w:rtl w:val="true"/>
          <w:lang w:bidi="ar-SA"/>
        </w:rPr>
        <w:t xml:space="preserve">قَبلَ وفاتِه عليه السلامُ </w:t>
      </w:r>
      <w:r>
        <w:rPr>
          <w:rStyle w:val="FootnoteAnchor"/>
          <w:rtl w:val="true"/>
        </w:rPr>
        <w:footnoteReference w:id="3731"/>
      </w:r>
      <w:r>
        <w:rPr>
          <w:rFonts w:ascii="Amiri" w:hAnsi="Amiri" w:eastAsia="Amiri" w:cs="Amiri"/>
          <w:color w:val="111111"/>
          <w:sz w:val="28"/>
          <w:sz w:val="28"/>
          <w:szCs w:val="28"/>
          <w:rtl w:val="true"/>
          <w:lang w:bidi="ar-SA"/>
        </w:rPr>
        <w:t>بزَمانٍ يَسيرٍ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ممتنِعٍ أن يَمدَحَ النبيُّ صَلّى اللّٰهُ عليه و آلِه مَن عَلِمَ خُبثَ باطنِه إذا كانَ مُظهِراً للحَقِّ و الدِّينِ ، كما أنّه صَلّى اللّٰهُ عليه و آلِه</w:t>
      </w:r>
      <w:r>
        <w:rPr>
          <w:rStyle w:val="FootnoteAnchor"/>
          <w:rtl w:val="true"/>
        </w:rPr>
        <w:footnoteReference w:id="3732"/>
      </w:r>
      <w:r>
        <w:rPr>
          <w:rFonts w:ascii="Amiri" w:hAnsi="Amiri" w:eastAsia="Amiri" w:cs="Amiri"/>
          <w:color w:val="111111"/>
          <w:sz w:val="28"/>
          <w:sz w:val="28"/>
          <w:szCs w:val="28"/>
          <w:rtl w:val="true"/>
          <w:lang w:bidi="ar-SA"/>
        </w:rPr>
        <w:t>مع عِلمِه بالمنافِقينَ و تمييزِه</w:t>
      </w:r>
      <w:r>
        <w:rPr>
          <w:rStyle w:val="FootnoteAnchor"/>
          <w:rtl w:val="true"/>
        </w:rPr>
        <w:footnoteReference w:id="3733"/>
      </w:r>
      <w:r>
        <w:rPr>
          <w:rFonts w:ascii="Amiri" w:hAnsi="Amiri" w:eastAsia="Amiri" w:cs="Amiri"/>
          <w:color w:val="111111"/>
          <w:sz w:val="28"/>
          <w:sz w:val="28"/>
          <w:szCs w:val="28"/>
          <w:rtl w:val="true"/>
          <w:lang w:bidi="ar-SA"/>
        </w:rPr>
        <w:t xml:space="preserve">لهم مِن جُملةِ أصحابِه قد كانَ يُجري عليهم أحكامَ المؤمِنينَ </w:t>
      </w:r>
      <w:r>
        <w:rPr>
          <w:rStyle w:val="FootnoteAnchor"/>
          <w:rtl w:val="true"/>
        </w:rPr>
        <w:footnoteReference w:id="3734"/>
      </w:r>
      <w:r>
        <w:rPr>
          <w:rFonts w:ascii="Amiri" w:hAnsi="Amiri" w:eastAsia="Amiri" w:cs="Amiri"/>
          <w:color w:val="111111"/>
          <w:sz w:val="28"/>
          <w:sz w:val="28"/>
          <w:szCs w:val="28"/>
          <w:rtl w:val="true"/>
          <w:lang w:bidi="ar-SA"/>
        </w:rPr>
        <w:t xml:space="preserve">، و لا يُخالِفُ بَينَهم في شيءٍ منها، إلّافيما نطَقَ به الكتابُ </w:t>
      </w:r>
      <w:r>
        <w:rPr>
          <w:rStyle w:val="FootnoteAnchor"/>
          <w:rtl w:val="true"/>
        </w:rPr>
        <w:footnoteReference w:id="3735"/>
      </w:r>
      <w:r>
        <w:rPr>
          <w:rFonts w:ascii="Amiri" w:hAnsi="Amiri" w:eastAsia="Amiri" w:cs="Amiri"/>
          <w:color w:val="111111"/>
          <w:sz w:val="28"/>
          <w:sz w:val="28"/>
          <w:szCs w:val="28"/>
          <w:rtl w:val="true"/>
          <w:lang w:bidi="ar-SA"/>
        </w:rPr>
        <w:t>مِن تَركِ الصلاةِ علىٰ أحدِهم عندَ</w:t>
      </w:r>
      <w:r>
        <w:rPr>
          <w:rStyle w:val="FootnoteAnchor"/>
          <w:rtl w:val="true"/>
        </w:rPr>
        <w:footnoteReference w:id="3736"/>
      </w:r>
      <w:r>
        <w:rPr>
          <w:rFonts w:ascii="Amiri" w:hAnsi="Amiri" w:eastAsia="Amiri" w:cs="Amiri"/>
          <w:color w:val="111111"/>
          <w:sz w:val="28"/>
          <w:sz w:val="28"/>
          <w:szCs w:val="28"/>
          <w:rtl w:val="true"/>
          <w:lang w:bidi="ar-SA"/>
        </w:rPr>
        <w:t>مَوتِه و القيامِ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إجراءُ أحكامِ </w:t>
      </w:r>
    </w:p>
    <w:p>
      <w:pPr>
        <w:pStyle w:val="BookText"/>
        <w:rPr/>
      </w:pPr>
      <w:r>
        <w:rPr>
          <w:rFonts w:ascii="Amiri" w:hAnsi="Amiri" w:eastAsia="Amiri" w:cs="Amiri"/>
          <w:color w:val="111111"/>
          <w:sz w:val="28"/>
          <w:sz w:val="28"/>
          <w:szCs w:val="28"/>
          <w:rtl w:val="true"/>
          <w:lang w:bidi="ar-SA"/>
        </w:rPr>
        <w:t xml:space="preserve">المؤمِنينَ </w:t>
      </w:r>
      <w:r>
        <w:rPr>
          <w:rStyle w:val="FootnoteAnchor"/>
          <w:rtl w:val="true"/>
        </w:rPr>
        <w:footnoteReference w:id="3737"/>
      </w:r>
      <w:r>
        <w:rPr>
          <w:rFonts w:ascii="Amiri" w:hAnsi="Amiri" w:eastAsia="Amiri" w:cs="Amiri"/>
          <w:color w:val="111111"/>
          <w:sz w:val="28"/>
          <w:sz w:val="28"/>
          <w:szCs w:val="28"/>
          <w:rtl w:val="true"/>
          <w:lang w:bidi="ar-SA"/>
        </w:rPr>
        <w:t xml:space="preserve">عليهم و دعاؤهم في جُملتِهم ضَربٌ مِن المَدحِ و التعظيمِ </w:t>
      </w:r>
      <w:r>
        <w:rPr>
          <w:rStyle w:val="FootnoteAnchor"/>
          <w:rtl w:val="true"/>
        </w:rPr>
        <w:footnoteReference w:id="3738"/>
      </w:r>
      <w:r>
        <w:rPr>
          <w:rFonts w:ascii="IRNazanin" w:hAnsi="IRNazanin" w:eastAsia="IRNazanin"/>
          <w:color w:val="111111"/>
          <w:sz w:val="28"/>
          <w:sz w:val="28"/>
          <w:szCs w:val="28"/>
          <w:rtl w:val="true"/>
          <w:lang w:bidi="fa-IR"/>
        </w:rPr>
        <w:t>فلئن</w:t>
      </w:r>
      <w:r>
        <w:rPr>
          <w:rStyle w:val="FootnoteAnchor"/>
          <w:rtl w:val="true"/>
        </w:rPr>
        <w:footnoteReference w:id="3739"/>
      </w:r>
      <w:r>
        <w:rPr>
          <w:rFonts w:ascii="Amiri" w:hAnsi="Amiri" w:eastAsia="Amiri" w:cs="Amiri"/>
          <w:color w:val="111111"/>
          <w:sz w:val="28"/>
          <w:sz w:val="28"/>
          <w:szCs w:val="28"/>
          <w:rtl w:val="true"/>
          <w:lang w:bidi="ar-SA"/>
        </w:rPr>
        <w:t xml:space="preserve">جازَ هذا جازَ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لَم يَكُن يَعرفُ المنافِقينَ‌</w:t>
      </w:r>
    </w:p>
    <w:p>
      <w:pPr>
        <w:pStyle w:val="BookText"/>
        <w:rPr/>
      </w:pP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يَشهَدُ بأنّه صَلّى اللّٰهُ عليه و آلِه</w:t>
      </w:r>
      <w:r>
        <w:rPr>
          <w:rStyle w:val="FootnoteAnchor"/>
          <w:rtl w:val="true"/>
        </w:rPr>
        <w:footnoteReference w:id="3740"/>
      </w:r>
      <w:r>
        <w:rPr>
          <w:rFonts w:ascii="Amiri" w:hAnsi="Amiri" w:eastAsia="Amiri" w:cs="Amiri"/>
          <w:color w:val="111111"/>
          <w:sz w:val="28"/>
          <w:sz w:val="28"/>
          <w:szCs w:val="28"/>
          <w:rtl w:val="true"/>
          <w:lang w:bidi="ar-SA"/>
        </w:rPr>
        <w:t>قد كانَ يَعرِفُهم؛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w:t>
      </w:r>
      <w:r>
        <w:rPr>
          <w:rStyle w:val="FootnoteAnchor"/>
          <w:rtl w:val="true"/>
        </w:rPr>
        <w:footnoteReference w:id="3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ص،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التميّز</w:t>
      </w:r>
      <w:r>
        <w:rPr>
          <w:rFonts w:eastAsia="Amiri" w:cs="Amiri" w:ascii="Amiri" w:hAnsi="Amiri"/>
          <w:color w:val="111111"/>
          <w:sz w:val="28"/>
          <w:szCs w:val="28"/>
          <w:rtl w:val="true"/>
          <w:lang w:bidi="ar-SA"/>
        </w:rPr>
        <w:t>».</w:t>
      </w:r>
      <w:r>
        <w:rPr>
          <w:rStyle w:val="FootnoteAnchor"/>
          <w:rtl w:val="true"/>
        </w:rPr>
        <w:footnoteReference w:id="3742"/>
      </w:r>
      <w:r>
        <w:rPr>
          <w:rFonts w:ascii="Amiri" w:hAnsi="Amiri" w:eastAsia="Amiri" w:cs="Amiri"/>
          <w:color w:val="111111"/>
          <w:sz w:val="28"/>
          <w:sz w:val="28"/>
          <w:szCs w:val="28"/>
          <w:rtl w:val="true"/>
          <w:lang w:bidi="ar-SA"/>
        </w:rPr>
        <w:t xml:space="preserve">و لَيسَ يَصِحُّ </w:t>
      </w:r>
      <w:r>
        <w:rPr>
          <w:rStyle w:val="FootnoteAnchor"/>
          <w:rtl w:val="true"/>
        </w:rPr>
        <w:footnoteReference w:id="3743"/>
      </w:r>
      <w:r>
        <w:rPr>
          <w:rFonts w:ascii="Amiri" w:hAnsi="Amiri" w:eastAsia="Amiri" w:cs="Amiri"/>
          <w:color w:val="111111"/>
          <w:sz w:val="28"/>
          <w:sz w:val="28"/>
          <w:szCs w:val="28"/>
          <w:rtl w:val="true"/>
          <w:lang w:bidi="ar-SA"/>
        </w:rPr>
        <w:t xml:space="preserve">أن تَتوَجَّهَ </w:t>
      </w:r>
      <w:r>
        <w:rPr>
          <w:rStyle w:val="FootnoteAnchor"/>
          <w:rtl w:val="true"/>
        </w:rPr>
        <w:footnoteReference w:id="3744"/>
      </w:r>
      <w:r>
        <w:rPr>
          <w:rFonts w:ascii="Amiri" w:hAnsi="Amiri" w:eastAsia="Amiri" w:cs="Amiri"/>
          <w:color w:val="111111"/>
          <w:sz w:val="28"/>
          <w:sz w:val="28"/>
          <w:szCs w:val="28"/>
          <w:rtl w:val="true"/>
          <w:lang w:bidi="ar-SA"/>
        </w:rPr>
        <w:t>إليه صَلّى اللّٰهُ عليه و آلِه</w:t>
      </w:r>
      <w:r>
        <w:rPr>
          <w:rStyle w:val="FootnoteAnchor"/>
          <w:rtl w:val="true"/>
        </w:rPr>
        <w:footnoteReference w:id="3745"/>
      </w:r>
      <w:r>
        <w:rPr>
          <w:rFonts w:ascii="Amiri" w:hAnsi="Amiri" w:eastAsia="Amiri" w:cs="Amiri"/>
          <w:color w:val="111111"/>
          <w:sz w:val="28"/>
          <w:sz w:val="28"/>
          <w:szCs w:val="28"/>
          <w:rtl w:val="true"/>
          <w:lang w:bidi="ar-SA"/>
        </w:rPr>
        <w:t>هذه العبارةُ فيهم إلّامع المعرفةِ و التمييزِ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و عَزَّ</w:t>
      </w:r>
      <w:r>
        <w:rPr>
          <w:rStyle w:val="FootnoteAnchor"/>
          <w:rtl w:val="true"/>
        </w:rPr>
        <w:footnoteReference w:id="3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w:t>
      </w:r>
      <w:r>
        <w:rPr>
          <w:rFonts w:eastAsia="Amiri" w:cs="Amiri" w:ascii="Amiri" w:hAnsi="Amiri"/>
          <w:color w:val="111111"/>
          <w:sz w:val="28"/>
          <w:szCs w:val="28"/>
          <w:rtl w:val="true"/>
          <w:lang w:bidi="ar-SA"/>
        </w:rPr>
        <w:t>)</w:t>
      </w:r>
      <w:r>
        <w:rPr>
          <w:rStyle w:val="FootnoteAnchor"/>
          <w:rtl w:val="true"/>
        </w:rPr>
        <w:footnoteReference w:id="3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تصريحٌ بأنّه صَلّى اللّٰهُ عليه و آلِه</w:t>
      </w:r>
      <w:r>
        <w:rPr>
          <w:rStyle w:val="FootnoteAnchor"/>
          <w:rtl w:val="true"/>
        </w:rPr>
        <w:footnoteReference w:id="3748"/>
      </w:r>
      <w:r>
        <w:rPr>
          <w:rFonts w:ascii="Amiri" w:hAnsi="Amiri" w:eastAsia="Amiri" w:cs="Amiri"/>
          <w:color w:val="111111"/>
          <w:sz w:val="28"/>
          <w:sz w:val="28"/>
          <w:szCs w:val="28"/>
          <w:rtl w:val="true"/>
          <w:lang w:bidi="ar-SA"/>
        </w:rPr>
        <w:t>كانَ يَعرفُهم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ذَكَرناه واضحٌ لِمَن تَدَبَّرهُ </w:t>
      </w:r>
      <w:r>
        <w:rPr>
          <w:rStyle w:val="FootnoteAnchor"/>
          <w:rtl w:val="true"/>
        </w:rPr>
        <w:footnoteReference w:id="3749"/>
      </w:r>
      <w:r>
        <w:rPr>
          <w:rFonts w:eastAsia="Times New Roman" w:cs="Times New Roman" w:ascii="Times New Roman" w:hAnsi="Times New Roman"/>
          <w:color w:val="111111"/>
          <w:sz w:val="28"/>
          <w:szCs w:val="28"/>
          <w:rtl w:val="true"/>
          <w:lang w:val="en-US" w:bidi="en-US"/>
        </w:rPr>
        <w:t xml:space="preserve">. </w:t>
      </w:r>
      <w:bookmarkStart w:id="611" w:name="pg20015_285166"/>
    </w:p>
    <w:p>
      <w:pPr>
        <w:pStyle w:val="Heading3"/>
        <w:numPr>
          <w:ilvl w:val="2"/>
          <w:numId w:val="1"/>
        </w:numPr>
        <w:rPr/>
      </w:pPr>
      <w:bookmarkStart w:id="612" w:name="__RefHeading___Toc895153_2320776876"/>
      <w:bookmarkStart w:id="613" w:name="_Toc218"/>
      <w:bookmarkEnd w:id="611"/>
      <w:bookmarkEnd w:id="612"/>
      <w:r>
        <w:rPr>
          <w:rtl w:val="true"/>
        </w:rPr>
        <w:t>الكلام في كتمان النصّ ، و مناقشة ما نقله القاضي عن أبي هاشم الجبّائيّ حول ذلك</w:t>
      </w:r>
      <w:bookmarkEnd w:id="613"/>
    </w:p>
    <w:p>
      <w:pPr>
        <w:pStyle w:val="Heading4"/>
        <w:numPr>
          <w:ilvl w:val="3"/>
          <w:numId w:val="1"/>
        </w:numPr>
        <w:rPr/>
      </w:pPr>
      <w:bookmarkStart w:id="614" w:name="__RefHeading___Toc895155_2320776876"/>
      <w:bookmarkStart w:id="615" w:name="_Toc219"/>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Style w:val="FootnoteAnchor"/>
          <w:rtl w:val="true"/>
        </w:rPr>
        <w:footnoteReference w:id="3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الإمامةِ و إن كانَ ما ذَكَرناه، فإنّ النقلَ انقطَعَ للكِتمانِ </w:t>
      </w:r>
      <w:r>
        <w:rPr>
          <w:rStyle w:val="FootnoteAnchor"/>
          <w:rtl w:val="true"/>
        </w:rPr>
        <w:footnoteReference w:id="3751"/>
      </w:r>
      <w:r>
        <w:rPr>
          <w:rFonts w:ascii="Amiri" w:hAnsi="Amiri" w:eastAsia="Amiri" w:cs="Amiri"/>
          <w:color w:val="111111"/>
          <w:sz w:val="28"/>
          <w:sz w:val="28"/>
          <w:szCs w:val="28"/>
          <w:rtl w:val="true"/>
          <w:lang w:bidi="ar-SA"/>
        </w:rPr>
        <w:t>لأنّا نجوِّزُ علَى الخَلقِ العظيمِ أن يَكتُموا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الحُجّةَ لا تَقومُ إلّامِن هذا الوجهِ‌، و المَصلَحةُ للأُمّةِ أن لا تَعلَمَ الإمامةَ إلّامِن هذا الوجهِ‌، فلا بُدَّ لأمرٍ يَرجِعُ إلىٰ‌</w:t>
      </w:r>
      <w:r>
        <w:rPr>
          <w:rStyle w:val="FootnoteAnchor"/>
          <w:rtl w:val="true"/>
        </w:rPr>
        <w:footnoteReference w:id="3752"/>
      </w:r>
      <w:r>
        <w:rPr>
          <w:rFonts w:ascii="Amiri" w:hAnsi="Amiri" w:eastAsia="Amiri" w:cs="Amiri"/>
          <w:color w:val="111111"/>
          <w:sz w:val="28"/>
          <w:sz w:val="28"/>
          <w:szCs w:val="28"/>
          <w:rtl w:val="true"/>
          <w:lang w:bidi="ar-SA"/>
        </w:rPr>
        <w:t>حِكمةِ المكلِّفِ‌</w:t>
      </w:r>
      <w:r>
        <w:rPr>
          <w:rStyle w:val="FootnoteAnchor"/>
          <w:rtl w:val="true"/>
        </w:rPr>
        <w:footnoteReference w:id="3753"/>
      </w:r>
      <w:r>
        <w:rPr>
          <w:rFonts w:ascii="Amiri" w:hAnsi="Amiri" w:eastAsia="Amiri" w:cs="Amiri"/>
          <w:color w:val="111111"/>
          <w:sz w:val="28"/>
          <w:sz w:val="28"/>
          <w:szCs w:val="28"/>
          <w:rtl w:val="true"/>
          <w:lang w:bidi="ar-SA"/>
        </w:rPr>
        <w:t xml:space="preserve">مِن أن يَمنَعَ </w:t>
      </w:r>
      <w:r>
        <w:rPr>
          <w:rStyle w:val="FootnoteAnchor"/>
          <w:rtl w:val="true"/>
        </w:rPr>
        <w:footnoteReference w:id="3754"/>
      </w:r>
      <w:r>
        <w:rPr>
          <w:rFonts w:ascii="Amiri" w:hAnsi="Amiri" w:eastAsia="Amiri" w:cs="Amiri"/>
          <w:color w:val="111111"/>
          <w:sz w:val="28"/>
          <w:sz w:val="28"/>
          <w:szCs w:val="28"/>
          <w:rtl w:val="true"/>
          <w:lang w:bidi="ar-SA"/>
        </w:rPr>
        <w:t xml:space="preserve">ممّا يَقطَعُ هذا النقلَ </w:t>
      </w:r>
      <w:r>
        <w:rPr>
          <w:rStyle w:val="FootnoteAnchor"/>
          <w:rtl w:val="true"/>
        </w:rPr>
        <w:footnoteReference w:id="3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Style w:val="FootnoteAnchor"/>
          <w:rtl w:val="true"/>
        </w:rPr>
        <w:footnoteReference w:id="3756"/>
      </w:r>
      <w:r>
        <w:rPr>
          <w:rFonts w:ascii="Amiri" w:hAnsi="Amiri" w:eastAsia="Amiri" w:cs="Amiri"/>
          <w:color w:val="111111"/>
          <w:sz w:val="28"/>
          <w:sz w:val="28"/>
          <w:szCs w:val="28"/>
          <w:rtl w:val="true"/>
          <w:lang w:bidi="ar-SA"/>
        </w:rPr>
        <w:t>جازَ</w:t>
      </w:r>
      <w:r>
        <w:rPr>
          <w:rStyle w:val="FootnoteAnchor"/>
          <w:rtl w:val="true"/>
        </w:rPr>
        <w:footnoteReference w:id="3757"/>
      </w:r>
      <w:r>
        <w:rPr>
          <w:rFonts w:ascii="Amiri" w:hAnsi="Amiri" w:eastAsia="Amiri" w:cs="Amiri"/>
          <w:color w:val="111111"/>
          <w:sz w:val="28"/>
          <w:sz w:val="28"/>
          <w:szCs w:val="28"/>
          <w:rtl w:val="true"/>
          <w:lang w:bidi="ar-SA"/>
        </w:rPr>
        <w:t xml:space="preserve">الكِتمانُ بالعادةِ علىٰ ما ذَكَرتموه لَوجَبَ أن يُقطَعَ </w:t>
      </w:r>
      <w:r>
        <w:rPr>
          <w:rStyle w:val="FootnoteAnchor"/>
          <w:rtl w:val="true"/>
        </w:rPr>
        <w:footnoteReference w:id="3758"/>
      </w:r>
      <w:r>
        <w:rPr>
          <w:rFonts w:ascii="Amiri" w:hAnsi="Amiri" w:eastAsia="Amiri" w:cs="Amiri"/>
          <w:color w:val="111111"/>
          <w:sz w:val="28"/>
          <w:sz w:val="28"/>
          <w:szCs w:val="28"/>
          <w:rtl w:val="true"/>
          <w:lang w:bidi="ar-SA"/>
        </w:rPr>
        <w:t>فيما هذه</w:t>
      </w:r>
      <w:r>
        <w:rPr>
          <w:rStyle w:val="FootnoteAnchor"/>
          <w:rtl w:val="true"/>
        </w:rPr>
        <w:footnoteReference w:id="3759"/>
      </w:r>
      <w:r>
        <w:rPr>
          <w:rFonts w:ascii="Amiri" w:hAnsi="Amiri" w:eastAsia="Amiri" w:cs="Amiri"/>
          <w:color w:val="111111"/>
          <w:sz w:val="28"/>
          <w:sz w:val="28"/>
          <w:szCs w:val="28"/>
          <w:rtl w:val="true"/>
          <w:lang w:bidi="ar-SA"/>
        </w:rPr>
        <w:t xml:space="preserve">حالُه أنّه لَم يَقَعْ ، </w:t>
      </w:r>
      <w:bookmarkStart w:id="616" w:name="pg20015_285167"/>
    </w:p>
    <w:p>
      <w:pPr>
        <w:pStyle w:val="BookText"/>
        <w:rPr/>
      </w:pPr>
      <w:bookmarkEnd w:id="616"/>
      <w:r>
        <w:rPr>
          <w:rFonts w:ascii="Amiri" w:hAnsi="Amiri" w:eastAsia="Amiri" w:cs="Amiri"/>
          <w:color w:val="111111"/>
          <w:sz w:val="28"/>
          <w:sz w:val="28"/>
          <w:szCs w:val="28"/>
          <w:rtl w:val="true"/>
          <w:lang w:bidi="ar-SA"/>
        </w:rPr>
        <w:t xml:space="preserve">فكَيفَ و الكِتمانُ في ذلكَ لا يَصِحُّ كما لا يَصِحُّ في سائرِ الأُمورِ الظاهرةِ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ذلكَ إن صَحَّ أوجَبَ كَونَنا معذورينَ علىٰ ما قَدَّمناه، بَل يوجِبُ أنّ الحُجّةَ كما لَم تَقُم عَلَينا لَم تَقُم عَلَيهم</w:t>
      </w:r>
      <w:r>
        <w:rPr>
          <w:rFonts w:eastAsia="Amiri" w:cs="Amiri" w:ascii="Amiri" w:hAnsi="Amiri"/>
          <w:color w:val="111111"/>
          <w:sz w:val="28"/>
          <w:szCs w:val="28"/>
          <w:rtl w:val="true"/>
          <w:lang w:bidi="ar-SA"/>
        </w:rPr>
        <w:t>.</w:t>
      </w:r>
      <w:r>
        <w:rPr>
          <w:rStyle w:val="FootnoteAnchor"/>
          <w:rtl w:val="true"/>
        </w:rPr>
        <w:footnoteReference w:id="3760"/>
      </w:r>
    </w:p>
    <w:p>
      <w:pPr>
        <w:pStyle w:val="Heading4"/>
        <w:numPr>
          <w:ilvl w:val="3"/>
          <w:numId w:val="1"/>
        </w:numPr>
        <w:rPr/>
      </w:pPr>
      <w:bookmarkStart w:id="617" w:name="__RefHeading___Toc895157_2320776876"/>
      <w:bookmarkStart w:id="618" w:name="_Toc220"/>
      <w:bookmarkEnd w:id="617"/>
      <w:r>
        <w:rPr>
          <w:rtl w:val="true"/>
        </w:rPr>
        <w:t>جواز انقطاع نقل النصّ من قِبَل بعض الأُمّة</w:t>
      </w:r>
      <w:bookmarkEnd w:id="618"/>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 السؤالَ علىٰ ما لا يُسألُ‌</w:t>
      </w:r>
      <w:r>
        <w:rPr>
          <w:rStyle w:val="FootnoteAnchor"/>
          <w:rtl w:val="true"/>
        </w:rPr>
        <w:footnoteReference w:id="3762"/>
      </w:r>
      <w:r>
        <w:rPr>
          <w:rFonts w:ascii="Amiri" w:hAnsi="Amiri" w:eastAsia="Amiri" w:cs="Amiri"/>
          <w:color w:val="111111"/>
          <w:sz w:val="28"/>
          <w:sz w:val="28"/>
          <w:szCs w:val="28"/>
          <w:rtl w:val="true"/>
          <w:lang w:bidi="ar-SA"/>
        </w:rPr>
        <w:t>عنه؛ لأنّكَ إنْ أشَرتَ بانقطاعِ النقلِ‌</w:t>
      </w:r>
    </w:p>
    <w:p>
      <w:pPr>
        <w:pStyle w:val="BookText"/>
        <w:rPr/>
      </w:pPr>
      <w:r>
        <w:rPr>
          <w:rFonts w:ascii="Amiri" w:hAnsi="Amiri" w:eastAsia="Amiri" w:cs="Amiri"/>
          <w:color w:val="111111"/>
          <w:sz w:val="28"/>
          <w:sz w:val="28"/>
          <w:szCs w:val="28"/>
          <w:rtl w:val="true"/>
          <w:lang w:bidi="ar-SA"/>
        </w:rPr>
        <w:t>مِن أجلِ الكِتمانِ إلَى انقطاعِه مِن جميعِ الأُمّةِ حتّىٰ إنّه لَم يوجَدْ في طائفةٍ مِن طوائفِها، فهذا</w:t>
      </w:r>
      <w:r>
        <w:rPr>
          <w:rStyle w:val="FootnoteAnchor"/>
          <w:rtl w:val="true"/>
        </w:rPr>
        <w:footnoteReference w:id="3763"/>
      </w:r>
      <w:r>
        <w:rPr>
          <w:rFonts w:ascii="Amiri" w:hAnsi="Amiri" w:eastAsia="Amiri" w:cs="Amiri"/>
          <w:color w:val="111111"/>
          <w:sz w:val="28"/>
          <w:sz w:val="28"/>
          <w:szCs w:val="28"/>
          <w:rtl w:val="true"/>
          <w:lang w:bidi="ar-SA"/>
        </w:rPr>
        <w:t>ممّا يُعلَمُ أنّا لا نَذهبُ إليه، و كَيفَ يُتوهَّمُ علينا مِثلُه و نحنُ نُحاجُّ خصومَنا بنقلِنا للنصِّ‌، و نُلزِمُهم أن يَتأمَّلوه و يَستدِلّوا علىٰ صحّتِه ليَعلَموا مِن النصِّ ما عَلِمناه‌؟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أنّ نَقْلَ بعضِ الأُمّةِ انقطَعَ مِن أجلِ كِتمانِ أسلافِهم و عُدولِهم عن إلقاءِ النصِّ إليهم، فلَيسَ يَجِبُ إذا أرَدتَ هذا أن تَمنَعَ‌</w:t>
      </w:r>
      <w:r>
        <w:rPr>
          <w:rStyle w:val="FootnoteAnchor"/>
          <w:rtl w:val="true"/>
        </w:rPr>
        <w:footnoteReference w:id="3764"/>
      </w:r>
      <w:r>
        <w:rPr>
          <w:rFonts w:ascii="Amiri" w:hAnsi="Amiri" w:eastAsia="Amiri" w:cs="Amiri"/>
          <w:color w:val="111111"/>
          <w:sz w:val="28"/>
          <w:sz w:val="28"/>
          <w:szCs w:val="28"/>
          <w:rtl w:val="true"/>
          <w:lang w:bidi="ar-SA"/>
        </w:rPr>
        <w:t xml:space="preserve">حِكمةُ المكلِّفِ مِن انقطاعِ النقلِ‌؛ لأنّه إذا انقطَعَ هذا الضربُ مِن النقلِ </w:t>
      </w:r>
      <w:r>
        <w:rPr>
          <w:rStyle w:val="FootnoteAnchor"/>
          <w:rtl w:val="true"/>
        </w:rPr>
        <w:footnoteReference w:id="3765"/>
      </w:r>
      <w:r>
        <w:rPr>
          <w:rFonts w:ascii="Amiri" w:hAnsi="Amiri" w:eastAsia="Amiri" w:cs="Amiri"/>
          <w:color w:val="111111"/>
          <w:sz w:val="28"/>
          <w:sz w:val="28"/>
          <w:szCs w:val="28"/>
          <w:rtl w:val="true"/>
          <w:lang w:bidi="ar-SA"/>
        </w:rPr>
        <w:t xml:space="preserve">لَم تَبطُلِ </w:t>
      </w:r>
      <w:r>
        <w:rPr>
          <w:rStyle w:val="FootnoteAnchor"/>
          <w:rtl w:val="true"/>
        </w:rPr>
        <w:footnoteReference w:id="3766"/>
      </w:r>
      <w:r>
        <w:rPr>
          <w:rFonts w:ascii="Amiri" w:hAnsi="Amiri" w:eastAsia="Amiri" w:cs="Amiri"/>
          <w:color w:val="111111"/>
          <w:sz w:val="28"/>
          <w:sz w:val="28"/>
          <w:szCs w:val="28"/>
          <w:rtl w:val="true"/>
          <w:lang w:bidi="ar-SA"/>
        </w:rPr>
        <w:t xml:space="preserve">الحُجّةُ به علىٰ جماعةِ المكلَّفينَ ، و إنّما يَجِبُ أن تَمنَعَ الحِكمةُ </w:t>
      </w:r>
      <w:r>
        <w:rPr>
          <w:rStyle w:val="FootnoteAnchor"/>
          <w:rtl w:val="true"/>
        </w:rPr>
        <w:footnoteReference w:id="3767"/>
      </w:r>
      <w:r>
        <w:rPr>
          <w:rFonts w:ascii="Amiri" w:hAnsi="Amiri" w:eastAsia="Amiri" w:cs="Amiri"/>
          <w:color w:val="111111"/>
          <w:sz w:val="28"/>
          <w:sz w:val="28"/>
          <w:szCs w:val="28"/>
          <w:rtl w:val="true"/>
          <w:lang w:bidi="ar-SA"/>
        </w:rPr>
        <w:t xml:space="preserve">مِن انقطاعِ النقلِ علَى </w:t>
      </w:r>
    </w:p>
    <w:p>
      <w:pPr>
        <w:pStyle w:val="BookText"/>
        <w:rPr/>
      </w:pPr>
      <w:r>
        <w:rPr>
          <w:rFonts w:ascii="Amiri" w:hAnsi="Amiri" w:eastAsia="Amiri" w:cs="Amiri"/>
          <w:color w:val="111111"/>
          <w:sz w:val="28"/>
          <w:sz w:val="28"/>
          <w:szCs w:val="28"/>
          <w:rtl w:val="true"/>
          <w:lang w:bidi="ar-SA"/>
        </w:rPr>
        <w:t>الوجهِ الأوّلِ الذي تَزولُ‌</w:t>
      </w:r>
      <w:r>
        <w:rPr>
          <w:rStyle w:val="FootnoteAnchor"/>
          <w:rtl w:val="true"/>
        </w:rPr>
        <w:footnoteReference w:id="3768"/>
      </w:r>
      <w:r>
        <w:rPr>
          <w:rFonts w:ascii="Amiri" w:hAnsi="Amiri" w:eastAsia="Amiri" w:cs="Amiri"/>
          <w:color w:val="111111"/>
          <w:sz w:val="28"/>
          <w:sz w:val="28"/>
          <w:szCs w:val="28"/>
          <w:rtl w:val="true"/>
          <w:lang w:bidi="ar-SA"/>
        </w:rPr>
        <w:t>معه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3769"/>
      </w:r>
      <w:r>
        <w:rPr>
          <w:rFonts w:ascii="Amiri" w:hAnsi="Amiri" w:eastAsia="Amiri" w:cs="Amiri"/>
          <w:color w:val="111111"/>
          <w:sz w:val="28"/>
          <w:sz w:val="28"/>
          <w:szCs w:val="28"/>
          <w:rtl w:val="true"/>
          <w:lang w:bidi="ar-SA"/>
        </w:rPr>
        <w:t>كِتمانُ الأُمورِ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 في أُصولِها ما اتّفَقَ في النصِّ‌، و طمِعَ طامِعونَ في تَمامِ كِتمانِها و اندِفانِ‌</w:t>
      </w:r>
      <w:r>
        <w:rPr>
          <w:rStyle w:val="FootnoteAnchor"/>
          <w:rtl w:val="true"/>
        </w:rPr>
        <w:footnoteReference w:id="3770"/>
      </w:r>
      <w:r>
        <w:rPr>
          <w:rFonts w:ascii="Amiri" w:hAnsi="Amiri" w:eastAsia="Amiri" w:cs="Amiri"/>
          <w:color w:val="111111"/>
          <w:sz w:val="28"/>
          <w:sz w:val="28"/>
          <w:szCs w:val="28"/>
          <w:rtl w:val="true"/>
          <w:lang w:bidi="ar-SA"/>
        </w:rPr>
        <w:t xml:space="preserve">خبرِها لبعضِ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لَكانَت الحالُ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771"/>
      </w:r>
      <w:r>
        <w:rPr>
          <w:rFonts w:ascii="Amiri" w:hAnsi="Amiri" w:eastAsia="Amiri" w:cs="Amiri"/>
          <w:color w:val="111111"/>
          <w:sz w:val="28"/>
          <w:sz w:val="28"/>
          <w:szCs w:val="28"/>
          <w:rtl w:val="true"/>
          <w:lang w:bidi="ar-SA"/>
        </w:rPr>
        <w:t xml:space="preserve">قيامُ العُذرِ للمخالِفِ </w:t>
      </w:r>
      <w:r>
        <w:rPr>
          <w:rStyle w:val="FootnoteAnchor"/>
          <w:rtl w:val="true"/>
        </w:rPr>
        <w:footnoteReference w:id="3772"/>
      </w:r>
      <w:r>
        <w:rPr>
          <w:rFonts w:ascii="Amiri" w:hAnsi="Amiri" w:eastAsia="Amiri" w:cs="Amiri"/>
          <w:color w:val="111111"/>
          <w:sz w:val="28"/>
          <w:sz w:val="28"/>
          <w:szCs w:val="28"/>
          <w:rtl w:val="true"/>
          <w:lang w:bidi="ar-SA"/>
        </w:rPr>
        <w:t>و سُقوطُ الحُجّةِ عنه في بابِ النصِّ فقَد</w:t>
      </w:r>
      <w:r>
        <w:rPr>
          <w:rStyle w:val="FootnoteAnchor"/>
          <w:rtl w:val="true"/>
        </w:rPr>
        <w:footnoteReference w:id="3773"/>
      </w:r>
      <w:r>
        <w:rPr>
          <w:rFonts w:ascii="Amiri" w:hAnsi="Amiri" w:eastAsia="Amiri" w:cs="Amiri"/>
          <w:color w:val="111111"/>
          <w:sz w:val="28"/>
          <w:sz w:val="28"/>
          <w:szCs w:val="28"/>
          <w:rtl w:val="true"/>
          <w:lang w:bidi="ar-SA"/>
        </w:rPr>
        <w:t>تَقدَّمَ بُطلانُه</w:t>
      </w:r>
      <w:r>
        <w:rPr>
          <w:rStyle w:val="FootnoteAnchor"/>
          <w:rtl w:val="true"/>
        </w:rPr>
        <w:footnoteReference w:id="3774"/>
      </w:r>
      <w:r>
        <w:rPr>
          <w:rFonts w:ascii="Amiri" w:hAnsi="Amiri" w:eastAsia="Amiri" w:cs="Amiri"/>
          <w:color w:val="111111"/>
          <w:sz w:val="28"/>
          <w:sz w:val="28"/>
          <w:szCs w:val="28"/>
          <w:rtl w:val="true"/>
          <w:lang w:bidi="ar-SA"/>
        </w:rPr>
        <w:t>، و بيّنّا أنّ الحُجّةَ به قائمةٌ علَى الجميعِ ، و أنّه لا عُذرَ لِمَن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شَيخُنا أبو هاشِمٍ في بُطلانِ هذه الطريقةِ جُملةً حسَنةً نحنُ نورِدُها بلفظِه أو بقَريبٍ مِن لفظِه؛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تَقدَّمَ مِن الإماميّةِ إنّما ادَّعَى النصَّ بالأخبارِ التي تَعلَّقوا بها ممّا طريقُه طريقُ النظَرِ، و يَدخُلُ </w:t>
      </w:r>
      <w:r>
        <w:rPr>
          <w:rStyle w:val="FootnoteAnchor"/>
          <w:rtl w:val="true"/>
        </w:rPr>
        <w:footnoteReference w:id="3775"/>
      </w:r>
      <w:r>
        <w:rPr>
          <w:rFonts w:ascii="Amiri" w:hAnsi="Amiri" w:eastAsia="Amiri" w:cs="Amiri"/>
          <w:color w:val="111111"/>
          <w:sz w:val="28"/>
          <w:sz w:val="28"/>
          <w:szCs w:val="28"/>
          <w:rtl w:val="true"/>
          <w:lang w:bidi="ar-SA"/>
        </w:rPr>
        <w:t xml:space="preserve">في مِثلِه الشُّبهةُ </w:t>
      </w:r>
      <w:r>
        <w:rPr>
          <w:rStyle w:val="FootnoteAnchor"/>
          <w:rtl w:val="true"/>
        </w:rPr>
        <w:footnoteReference w:id="3776"/>
      </w:r>
      <w:r>
        <w:rPr>
          <w:rFonts w:ascii="Amiri" w:hAnsi="Amiri" w:eastAsia="Amiri" w:cs="Amiri"/>
          <w:color w:val="111111"/>
          <w:sz w:val="28"/>
          <w:sz w:val="28"/>
          <w:szCs w:val="28"/>
          <w:rtl w:val="true"/>
          <w:lang w:bidi="ar-SA"/>
        </w:rPr>
        <w:t>، و حدَثَ بَعدَهم قومٌ لَم يَكُن</w:t>
      </w:r>
      <w:r>
        <w:rPr>
          <w:rStyle w:val="FootnoteAnchor"/>
          <w:rtl w:val="true"/>
        </w:rPr>
        <w:footnoteReference w:id="3777"/>
      </w:r>
      <w:r>
        <w:rPr>
          <w:rFonts w:ascii="Amiri" w:hAnsi="Amiri" w:eastAsia="Amiri" w:cs="Amiri"/>
          <w:color w:val="111111"/>
          <w:sz w:val="28"/>
          <w:sz w:val="28"/>
          <w:szCs w:val="28"/>
          <w:rtl w:val="true"/>
          <w:lang w:bidi="ar-SA"/>
        </w:rPr>
        <w:t>منهم في</w:t>
      </w:r>
      <w:r>
        <w:rPr>
          <w:rStyle w:val="FootnoteAnchor"/>
          <w:rtl w:val="true"/>
        </w:rPr>
        <w:footnoteReference w:id="3778"/>
      </w:r>
      <w:r>
        <w:rPr>
          <w:rFonts w:ascii="Amiri" w:hAnsi="Amiri" w:eastAsia="Amiri" w:cs="Amiri"/>
          <w:color w:val="111111"/>
          <w:sz w:val="28"/>
          <w:sz w:val="28"/>
          <w:szCs w:val="28"/>
          <w:rtl w:val="true"/>
          <w:lang w:bidi="ar-SA"/>
        </w:rPr>
        <w:t xml:space="preserve">هذا القولِ تديُّنٌ </w:t>
      </w:r>
      <w:r>
        <w:rPr>
          <w:rStyle w:val="FootnoteAnchor"/>
          <w:rtl w:val="true"/>
        </w:rPr>
        <w:footnoteReference w:id="37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كانَ قَصدُهم المغالَبةَ‌، و رأوا أنّ تَعَلُّقَهم بهذه الأخبارِ لا يُقنِعُ‌، فادَّعَوا أنّه عليه السلامُ أخَذَ</w:t>
      </w:r>
      <w:r>
        <w:rPr>
          <w:rStyle w:val="FootnoteAnchor"/>
          <w:rtl w:val="true"/>
        </w:rPr>
        <w:footnoteReference w:id="3780"/>
      </w:r>
      <w:r>
        <w:rPr>
          <w:rFonts w:ascii="Amiri" w:hAnsi="Amiri" w:eastAsia="Amiri" w:cs="Amiri"/>
          <w:color w:val="111111"/>
          <w:sz w:val="28"/>
          <w:sz w:val="28"/>
          <w:szCs w:val="28"/>
          <w:rtl w:val="true"/>
          <w:lang w:bidi="ar-SA"/>
        </w:rPr>
        <w:t>بيَدِ أميرِ المؤمِنينَ عليه السلامُ‌</w:t>
      </w:r>
      <w:r>
        <w:rPr>
          <w:rStyle w:val="FootnoteAnchor"/>
          <w:rtl w:val="true"/>
        </w:rPr>
        <w:footnoteReference w:id="3781"/>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w:t>
      </w:r>
      <w:r>
        <w:rPr>
          <w:rStyle w:val="FootnoteAnchor"/>
          <w:rtl w:val="true"/>
        </w:rPr>
        <w:footnoteReference w:id="3782"/>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3783"/>
      </w:r>
      <w:r>
        <w:rPr>
          <w:rFonts w:ascii="Amiri" w:hAnsi="Amiri" w:eastAsia="Amiri" w:cs="Amiri"/>
          <w:color w:val="111111"/>
          <w:sz w:val="28"/>
          <w:sz w:val="28"/>
          <w:szCs w:val="28"/>
          <w:rtl w:val="true"/>
          <w:lang w:bidi="ar-SA"/>
        </w:rPr>
        <w:t>، و ادَّعَوا أنّه</w:t>
      </w:r>
      <w:r>
        <w:rPr>
          <w:rStyle w:val="FootnoteAnchor"/>
          <w:rtl w:val="true"/>
        </w:rPr>
        <w:footnoteReference w:id="3784"/>
      </w:r>
      <w:r>
        <w:rPr>
          <w:rFonts w:ascii="Amiri" w:hAnsi="Amiri" w:eastAsia="Amiri" w:cs="Amiri"/>
          <w:color w:val="111111"/>
          <w:sz w:val="28"/>
          <w:sz w:val="28"/>
          <w:szCs w:val="28"/>
          <w:rtl w:val="true"/>
          <w:lang w:bidi="ar-SA"/>
        </w:rPr>
        <w:t>نَقَلَ ذلكَ جَمعٌ عن جَمعٍ قد حصَلَ إلىٰ أن يَبلُغَ إلَى النبيِّ عليه السلامُ‌</w:t>
      </w:r>
      <w:r>
        <w:rPr>
          <w:rStyle w:val="FootnoteAnchor"/>
          <w:rtl w:val="true"/>
        </w:rPr>
        <w:footnoteReference w:id="3785"/>
      </w:r>
      <w:r>
        <w:rPr>
          <w:rFonts w:ascii="Amiri" w:hAnsi="Amiri" w:eastAsia="Amiri" w:cs="Amiri"/>
          <w:color w:val="111111"/>
          <w:sz w:val="28"/>
          <w:sz w:val="28"/>
          <w:szCs w:val="28"/>
          <w:rtl w:val="true"/>
          <w:lang w:bidi="ar-SA"/>
        </w:rPr>
        <w:t>، و أنّه قد وُجِدَ في ذلكَ النقلِ شرطُ التواتُرِ</w:t>
      </w:r>
      <w:r>
        <w:rPr>
          <w:rStyle w:val="FootnoteAnchor"/>
          <w:rtl w:val="true"/>
        </w:rPr>
        <w:footnoteReference w:id="3786"/>
      </w:r>
      <w:r>
        <w:rPr>
          <w:rFonts w:ascii="Amiri" w:hAnsi="Amiri" w:eastAsia="Amiri" w:cs="Amiri"/>
          <w:color w:val="111111"/>
          <w:sz w:val="28"/>
          <w:sz w:val="28"/>
          <w:szCs w:val="28"/>
          <w:rtl w:val="true"/>
          <w:lang w:bidi="ar-SA"/>
        </w:rPr>
        <w:t>، حتَّى ادَّعَوا علىٰ مخالِفيهم أنّهم يَعلَمونَ‌</w:t>
      </w:r>
      <w:r>
        <w:rPr>
          <w:rStyle w:val="FootnoteAnchor"/>
          <w:rtl w:val="true"/>
        </w:rPr>
        <w:footnoteReference w:id="3787"/>
      </w:r>
      <w:r>
        <w:rPr>
          <w:rFonts w:ascii="Amiri" w:hAnsi="Amiri" w:eastAsia="Amiri" w:cs="Amiri"/>
          <w:color w:val="111111"/>
          <w:sz w:val="28"/>
          <w:sz w:val="28"/>
          <w:szCs w:val="28"/>
          <w:rtl w:val="true"/>
          <w:lang w:bidi="ar-SA"/>
        </w:rPr>
        <w:t>صحّةَ قولِهم باضطرارٍ، فطرَّقوا</w:t>
      </w:r>
      <w:r>
        <w:rPr>
          <w:rStyle w:val="FootnoteAnchor"/>
          <w:rtl w:val="true"/>
        </w:rPr>
        <w:footnoteReference w:id="3788"/>
      </w:r>
      <w:r>
        <w:rPr>
          <w:rFonts w:ascii="Amiri" w:hAnsi="Amiri" w:eastAsia="Amiri" w:cs="Amiri"/>
          <w:color w:val="111111"/>
          <w:sz w:val="28"/>
          <w:sz w:val="28"/>
          <w:szCs w:val="28"/>
          <w:rtl w:val="true"/>
          <w:lang w:bidi="ar-SA"/>
        </w:rPr>
        <w:t>بهذا لمخالِفيهم</w:t>
      </w:r>
      <w:r>
        <w:rPr>
          <w:rStyle w:val="FootnoteAnchor"/>
          <w:rtl w:val="true"/>
        </w:rPr>
        <w:footnoteReference w:id="3789"/>
      </w:r>
      <w:r>
        <w:rPr>
          <w:rFonts w:ascii="Amiri" w:hAnsi="Amiri" w:eastAsia="Amiri" w:cs="Amiri"/>
          <w:color w:val="111111"/>
          <w:sz w:val="28"/>
          <w:sz w:val="28"/>
          <w:szCs w:val="28"/>
          <w:rtl w:val="true"/>
          <w:lang w:bidi="ar-SA"/>
        </w:rPr>
        <w:t>المعارَضةَ بأُمورٍ</w:t>
      </w:r>
      <w:r>
        <w:rPr>
          <w:rStyle w:val="FootnoteAnchor"/>
          <w:rtl w:val="true"/>
        </w:rPr>
        <w:footnoteReference w:id="3790"/>
      </w:r>
      <w:r>
        <w:rPr>
          <w:rFonts w:ascii="Amiri" w:hAnsi="Amiri" w:eastAsia="Amiri" w:cs="Amiri"/>
          <w:color w:val="111111"/>
          <w:sz w:val="28"/>
          <w:sz w:val="28"/>
          <w:szCs w:val="28"/>
          <w:rtl w:val="true"/>
          <w:lang w:bidi="ar-SA"/>
        </w:rPr>
        <w:t>لا أصلَ لها، مِثلُ أن يَدَّعوا</w:t>
      </w:r>
      <w:r>
        <w:rPr>
          <w:rStyle w:val="FootnoteAnchor"/>
          <w:rtl w:val="true"/>
        </w:rPr>
        <w:footnoteReference w:id="3791"/>
      </w:r>
      <w:r>
        <w:rPr>
          <w:rFonts w:ascii="Amiri" w:hAnsi="Amiri" w:eastAsia="Amiri" w:cs="Amiri"/>
          <w:color w:val="111111"/>
          <w:sz w:val="28"/>
          <w:sz w:val="28"/>
          <w:szCs w:val="28"/>
          <w:rtl w:val="true"/>
          <w:lang w:bidi="ar-SA"/>
        </w:rPr>
        <w:t>التواتُرَ في أنّه عليه السلامُ‌</w:t>
      </w:r>
      <w:r>
        <w:rPr>
          <w:rStyle w:val="FootnoteAnchor"/>
          <w:rtl w:val="true"/>
        </w:rPr>
        <w:footnoteReference w:id="3792"/>
      </w:r>
      <w:r>
        <w:rPr>
          <w:rFonts w:ascii="Amiri" w:hAnsi="Amiri" w:eastAsia="Amiri" w:cs="Amiri"/>
          <w:color w:val="111111"/>
          <w:sz w:val="28"/>
          <w:sz w:val="28"/>
          <w:szCs w:val="28"/>
          <w:rtl w:val="true"/>
          <w:lang w:bidi="ar-SA"/>
        </w:rPr>
        <w:t xml:space="preserve">أخَذَ بيَدِ أبي بكرٍ فقالَ </w:t>
      </w:r>
      <w:r>
        <w:rPr>
          <w:rStyle w:val="FootnoteAnchor"/>
          <w:rtl w:val="true"/>
        </w:rPr>
        <w:footnoteReference w:id="37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و خرَجَ الكلامُ بَينَهم و بَينَ مخالِفيهم</w:t>
      </w:r>
      <w:r>
        <w:rPr>
          <w:rStyle w:val="FootnoteAnchor"/>
          <w:rtl w:val="true"/>
        </w:rPr>
        <w:footnoteReference w:id="3794"/>
      </w:r>
      <w:r>
        <w:rPr>
          <w:rFonts w:ascii="Amiri" w:hAnsi="Amiri" w:eastAsia="Amiri" w:cs="Amiri"/>
          <w:color w:val="111111"/>
          <w:sz w:val="28"/>
          <w:sz w:val="28"/>
          <w:szCs w:val="28"/>
          <w:rtl w:val="true"/>
          <w:lang w:bidi="ar-SA"/>
        </w:rPr>
        <w:t xml:space="preserve">عن الموضوعاتِ ، و خَرَجوا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هُم </w:t>
      </w:r>
      <w:bookmarkStart w:id="619" w:name="pg20015_285170"/>
    </w:p>
    <w:p>
      <w:pPr>
        <w:pStyle w:val="BookText"/>
        <w:rPr/>
      </w:pPr>
      <w:bookmarkEnd w:id="619"/>
      <w:r>
        <w:rPr>
          <w:rFonts w:ascii="Amiri" w:hAnsi="Amiri" w:eastAsia="Amiri" w:cs="Amiri"/>
          <w:color w:val="111111"/>
          <w:sz w:val="28"/>
          <w:sz w:val="28"/>
          <w:szCs w:val="28"/>
          <w:rtl w:val="true"/>
          <w:lang w:bidi="ar-SA"/>
        </w:rPr>
        <w:t>و مخالِفيهم</w:t>
      </w:r>
      <w:r>
        <w:rPr>
          <w:rStyle w:val="FootnoteAnchor"/>
          <w:rtl w:val="true"/>
        </w:rPr>
        <w:footnoteReference w:id="3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الكلامِ عن الموضوعاتِ </w:t>
      </w:r>
      <w:r>
        <w:rPr>
          <w:rStyle w:val="FootnoteAnchor"/>
          <w:rtl w:val="true"/>
        </w:rPr>
        <w:footnoteReference w:id="3796"/>
      </w:r>
      <w:r>
        <w:rPr>
          <w:rFonts w:ascii="Amiri" w:hAnsi="Amiri" w:eastAsia="Amiri" w:cs="Amiri"/>
          <w:color w:val="111111"/>
          <w:sz w:val="28"/>
          <w:sz w:val="28"/>
          <w:szCs w:val="28"/>
          <w:rtl w:val="true"/>
          <w:lang w:bidi="ar-SA"/>
        </w:rPr>
        <w:t xml:space="preserve">التي نَتكلَّمُ </w:t>
      </w:r>
      <w:r>
        <w:rPr>
          <w:rStyle w:val="FootnoteAnchor"/>
          <w:rtl w:val="true"/>
        </w:rPr>
        <w:footnoteReference w:id="3797"/>
      </w:r>
      <w:r>
        <w:rPr>
          <w:rFonts w:ascii="Amiri" w:hAnsi="Amiri" w:eastAsia="Amiri" w:cs="Amiri"/>
          <w:color w:val="111111"/>
          <w:sz w:val="28"/>
          <w:sz w:val="28"/>
          <w:szCs w:val="28"/>
          <w:rtl w:val="true"/>
          <w:lang w:bidi="ar-SA"/>
        </w:rPr>
        <w:t xml:space="preserve">علىٰ مِثلِها، إلىٰ أن ادُّعيَ تكذيبُ البعضِ للبعضِ </w:t>
      </w:r>
      <w:r>
        <w:rPr>
          <w:rFonts w:eastAsia="Amiri" w:cs="Amiri" w:ascii="Amiri" w:hAnsi="Amiri"/>
          <w:color w:val="111111"/>
          <w:sz w:val="28"/>
          <w:szCs w:val="28"/>
          <w:rtl w:val="true"/>
          <w:lang w:bidi="ar-SA"/>
        </w:rPr>
        <w:t>».</w:t>
      </w:r>
      <w:r>
        <w:rPr>
          <w:rStyle w:val="FootnoteAnchor"/>
          <w:rtl w:val="true"/>
        </w:rPr>
        <w:footnoteReference w:id="3798"/>
      </w:r>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دَلَّلنا علىٰ إثباتِ سَلَفِ الشيعةِ رَحِمَهم اللّٰهُ في النصِّ الجَليِّ </w:t>
      </w:r>
      <w:r>
        <w:rPr>
          <w:rStyle w:val="FootnoteAnchor"/>
          <w:rtl w:val="true"/>
        </w:rPr>
        <w:footnoteReference w:id="3800"/>
      </w:r>
      <w:r>
        <w:rPr>
          <w:rFonts w:ascii="Amiri" w:hAnsi="Amiri" w:eastAsia="Amiri" w:cs="Amiri"/>
          <w:color w:val="111111"/>
          <w:sz w:val="28"/>
          <w:sz w:val="28"/>
          <w:szCs w:val="28"/>
          <w:rtl w:val="true"/>
          <w:lang w:bidi="ar-SA"/>
        </w:rPr>
        <w:t>، و أبطَلنا قولَ مَن رَماهم بابتداعِه و قُربِ إحداثِه،</w:t>
      </w:r>
      <w:r>
        <w:rPr>
          <w:rStyle w:val="FootnoteAnchor"/>
          <w:rtl w:val="true"/>
        </w:rPr>
        <w:footnoteReference w:id="3801"/>
      </w:r>
      <w:r>
        <w:rPr>
          <w:rFonts w:ascii="Amiri" w:hAnsi="Amiri" w:eastAsia="Amiri" w:cs="Amiri"/>
          <w:color w:val="111111"/>
          <w:sz w:val="28"/>
          <w:sz w:val="28"/>
          <w:szCs w:val="28"/>
          <w:rtl w:val="true"/>
          <w:lang w:bidi="ar-SA"/>
        </w:rPr>
        <w:t>و بيّنّا أنّ طريقَ العِلمِ بالمُرادِ مِن هذا النصِّ الجَليِّ أيضاً لِمَن غابَ عن زَمانِ الرسولِ صَلّى اللّٰهُ عليه و آلِه</w:t>
      </w:r>
      <w:r>
        <w:rPr>
          <w:rStyle w:val="FootnoteAnchor"/>
          <w:rtl w:val="true"/>
        </w:rPr>
        <w:footnoteReference w:id="3802"/>
      </w:r>
      <w:r>
        <w:rPr>
          <w:rFonts w:ascii="Amiri" w:hAnsi="Amiri" w:eastAsia="Amiri" w:cs="Amiri"/>
          <w:color w:val="111111"/>
          <w:sz w:val="28"/>
          <w:sz w:val="28"/>
          <w:szCs w:val="28"/>
          <w:rtl w:val="true"/>
          <w:lang w:bidi="ar-SA"/>
        </w:rPr>
        <w:t>الاستدلالُ ، دونَ الاضطرارِ، و كذلكَ الطريقُ إلىٰ إثباتِ النصِّ نفسِه</w:t>
      </w:r>
      <w:r>
        <w:rPr>
          <w:rFonts w:eastAsia="Amiri" w:cs="Amiri" w:ascii="Amiri" w:hAnsi="Amiri"/>
          <w:color w:val="111111"/>
          <w:sz w:val="28"/>
          <w:szCs w:val="28"/>
          <w:rtl w:val="true"/>
          <w:lang w:bidi="ar-SA"/>
        </w:rPr>
        <w:t>.</w:t>
      </w:r>
      <w:r>
        <w:rPr>
          <w:rStyle w:val="FootnoteAnchor"/>
          <w:rtl w:val="true"/>
        </w:rPr>
        <w:footnoteReference w:id="3803"/>
      </w:r>
    </w:p>
    <w:p>
      <w:pPr>
        <w:pStyle w:val="Heading4"/>
        <w:numPr>
          <w:ilvl w:val="3"/>
          <w:numId w:val="1"/>
        </w:numPr>
        <w:rPr/>
      </w:pPr>
      <w:bookmarkStart w:id="620" w:name="__RefHeading___Toc895159_2320776876"/>
      <w:bookmarkStart w:id="621" w:name="_Toc221"/>
      <w:bookmarkEnd w:id="620"/>
      <w:r>
        <w:rPr>
          <w:rtl w:val="true"/>
        </w:rPr>
        <w:t>نفي حصول الاضطرار من النصِّ الجليّ</w:t>
      </w:r>
      <w:bookmarkEnd w:id="62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اللفظُ الذي حكَيتَه مِن قولِه صَلّى اللّٰهُ عليه و آلِه</w:t>
      </w:r>
      <w:r>
        <w:rPr>
          <w:rStyle w:val="FootnoteAnchor"/>
          <w:rtl w:val="true"/>
        </w:rPr>
        <w:footnoteReference w:id="3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عندَنا حُكمُ سائرِ الألفاظِ المنقولةِ في أنّا نَستَدِلُّ علىٰ إثباتِها و علَى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نَعلَمُ إلىٰ مَن يُومئُ </w:t>
      </w:r>
      <w:r>
        <w:rPr>
          <w:rStyle w:val="FootnoteAnchor"/>
          <w:rtl w:val="true"/>
        </w:rPr>
        <w:footnoteReference w:id="3805"/>
      </w:r>
      <w:r>
        <w:rPr>
          <w:rFonts w:ascii="Amiri" w:hAnsi="Amiri" w:eastAsia="Amiri" w:cs="Amiri"/>
          <w:color w:val="111111"/>
          <w:sz w:val="28"/>
          <w:sz w:val="28"/>
          <w:szCs w:val="28"/>
          <w:rtl w:val="true"/>
          <w:lang w:bidi="ar-SA"/>
        </w:rPr>
        <w:t xml:space="preserve">مِنّا بِادّعاءِ الاضطرارِ علىٰ مخالِفيه إلىٰ صحّةِ قولِه ؟ فما نَعرِفُ أحَداً مِن أصحابِنا المتقدِّمينَ و المتأخِّرينَ رحمهم اللّٰهُ </w:t>
      </w:r>
      <w:r>
        <w:rPr>
          <w:rStyle w:val="FootnoteAnchor"/>
          <w:rtl w:val="true"/>
        </w:rPr>
        <w:footnoteReference w:id="3806"/>
      </w:r>
      <w:r>
        <w:rPr>
          <w:rFonts w:ascii="Amiri" w:hAnsi="Amiri" w:eastAsia="Amiri" w:cs="Amiri"/>
          <w:color w:val="111111"/>
          <w:sz w:val="28"/>
          <w:sz w:val="28"/>
          <w:szCs w:val="28"/>
          <w:rtl w:val="true"/>
          <w:lang w:bidi="ar-SA"/>
        </w:rPr>
        <w:t xml:space="preserve">ادَّعىٰ ذلكَ </w:t>
      </w:r>
      <w:r>
        <w:rPr>
          <w:rFonts w:eastAsia="Amiri" w:cs="Amiri" w:ascii="Amiri" w:hAnsi="Amiri"/>
          <w:color w:val="111111"/>
          <w:sz w:val="28"/>
          <w:szCs w:val="28"/>
          <w:rtl w:val="true"/>
          <w:lang w:bidi="ar-SA"/>
        </w:rPr>
        <w:t xml:space="preserve">. </w:t>
      </w:r>
      <w:bookmarkStart w:id="622" w:name="pg20015_285171"/>
    </w:p>
    <w:p>
      <w:pPr>
        <w:pStyle w:val="BookText"/>
        <w:rPr/>
      </w:pPr>
      <w:bookmarkEnd w:id="622"/>
      <w:r>
        <w:rPr>
          <w:rFonts w:ascii="Amiri" w:hAnsi="Amiri" w:eastAsia="Amiri" w:cs="Amiri"/>
          <w:color w:val="111111"/>
          <w:sz w:val="28"/>
          <w:sz w:val="28"/>
          <w:szCs w:val="28"/>
          <w:rtl w:val="true"/>
          <w:lang w:bidi="ar-SA"/>
        </w:rPr>
        <w:t xml:space="preserve">و هذا ابنُ الراوَنديِّ </w:t>
      </w:r>
      <w:r>
        <w:rPr>
          <w:rStyle w:val="FootnoteAnchor"/>
          <w:rtl w:val="true"/>
        </w:rPr>
        <w:footnoteReference w:id="3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تَدَّعونَ أنّ النصَّ مِن جهتِه ابتَدَأ، و أنّه لَم يُسبَقْ</w:t>
      </w:r>
    </w:p>
    <w:p>
      <w:pPr>
        <w:pStyle w:val="BookText"/>
        <w:rPr/>
      </w:pPr>
      <w:r>
        <w:rPr>
          <w:rFonts w:ascii="Amiri" w:hAnsi="Amiri" w:eastAsia="Amiri" w:cs="Amiri"/>
          <w:color w:val="111111"/>
          <w:sz w:val="28"/>
          <w:sz w:val="28"/>
          <w:szCs w:val="28"/>
          <w:rtl w:val="true"/>
          <w:lang w:bidi="ar-SA"/>
        </w:rPr>
        <w:t xml:space="preserve">إلَى ادّعائه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يَسلُكْ في كتابِه عندَ نُصرةِ القولِ بالنصِّ إلّاطريقةَ الدليلِ دونَ الضرورةِ ، و لا ادَّعىٰ علىٰ مخالِفيه أنّهم يَعلَمونَ صحّةَ قولِه</w:t>
      </w:r>
      <w:r>
        <w:rPr>
          <w:rStyle w:val="FootnoteAnchor"/>
          <w:rtl w:val="true"/>
        </w:rPr>
        <w:footnoteReference w:id="3808"/>
      </w:r>
      <w:r>
        <w:rPr>
          <w:rFonts w:ascii="Amiri" w:hAnsi="Amiri" w:eastAsia="Amiri" w:cs="Amiri"/>
          <w:color w:val="111111"/>
          <w:sz w:val="28"/>
          <w:sz w:val="28"/>
          <w:szCs w:val="28"/>
          <w:rtl w:val="true"/>
          <w:lang w:bidi="ar-SA"/>
        </w:rPr>
        <w:t>باضطرارٍ</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895161_2320776876"/>
      <w:bookmarkStart w:id="624" w:name="_Toc222"/>
      <w:bookmarkEnd w:id="623"/>
      <w:r>
        <w:rPr>
          <w:rtl w:val="true"/>
        </w:rPr>
        <w:t>بيان الفرق بين دعوى الشيعة و البكريّة للنصِّ</w:t>
      </w:r>
      <w:bookmarkEnd w:id="624"/>
    </w:p>
    <w:p>
      <w:pPr>
        <w:pStyle w:val="BookText"/>
        <w:rPr/>
      </w:pPr>
      <w:r>
        <w:rPr>
          <w:rFonts w:ascii="Amiri" w:hAnsi="Amiri" w:eastAsia="Amiri" w:cs="Amiri"/>
          <w:color w:val="111111"/>
          <w:sz w:val="28"/>
          <w:sz w:val="28"/>
          <w:szCs w:val="28"/>
          <w:rtl w:val="true"/>
          <w:lang w:bidi="ar-SA"/>
        </w:rPr>
        <w:t>فأمّا قولُه في الحكايةِ عن صاحبِه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طرَّقوا لِمخالِفيهم المعارَضةَ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اعترافٌ منه بإيرادِ هذه المعارَضةِ علىٰ طريقِ المقابَلةِ مِن غيرِ أن يَكونَ لها</w:t>
      </w:r>
      <w:r>
        <w:rPr>
          <w:rStyle w:val="FootnoteAnchor"/>
          <w:rtl w:val="true"/>
        </w:rPr>
        <w:footnoteReference w:id="3809"/>
      </w:r>
      <w:r>
        <w:rPr>
          <w:rFonts w:ascii="Amiri" w:hAnsi="Amiri" w:eastAsia="Amiri" w:cs="Amiri"/>
          <w:color w:val="111111"/>
          <w:sz w:val="28"/>
          <w:sz w:val="28"/>
          <w:szCs w:val="28"/>
          <w:rtl w:val="true"/>
          <w:lang w:bidi="ar-SA"/>
        </w:rPr>
        <w:t>حقيقةٌ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تَدَّعيهِ‌</w:t>
      </w:r>
      <w:r>
        <w:rPr>
          <w:rStyle w:val="FootnoteAnchor"/>
          <w:rtl w:val="true"/>
        </w:rPr>
        <w:footnoteReference w:id="3810"/>
      </w:r>
      <w:r>
        <w:rPr>
          <w:rFonts w:ascii="Amiri" w:hAnsi="Amiri" w:eastAsia="Amiri" w:cs="Amiri"/>
          <w:color w:val="111111"/>
          <w:sz w:val="28"/>
          <w:sz w:val="28"/>
          <w:szCs w:val="28"/>
          <w:rtl w:val="true"/>
          <w:lang w:bidi="ar-SA"/>
        </w:rPr>
        <w:t>البَكريّةُ مِن النصِّ علىٰ صاحبِهم يخالِفُ ما تَذهبُ‌</w:t>
      </w:r>
      <w:r>
        <w:rPr>
          <w:rStyle w:val="FootnoteAnchor"/>
          <w:rtl w:val="true"/>
        </w:rPr>
        <w:footnoteReference w:id="3811"/>
      </w:r>
      <w:r>
        <w:rPr>
          <w:rFonts w:ascii="Amiri" w:hAnsi="Amiri" w:eastAsia="Amiri" w:cs="Amiri"/>
          <w:color w:val="111111"/>
          <w:sz w:val="28"/>
          <w:sz w:val="28"/>
          <w:szCs w:val="28"/>
          <w:rtl w:val="true"/>
          <w:lang w:bidi="ar-SA"/>
        </w:rPr>
        <w:t xml:space="preserve">إليه الشيعةُ‌، و إنّ مَن حمَلَ نفسَه علىٰ أن يُسوّيَ بَينَ القولَينِ و الدَّعويَينِ فقَد كابَرَ، و كَيفَ يَصِحُّ أن يعارَضَ ما يَذهبُ </w:t>
      </w:r>
      <w:r>
        <w:rPr>
          <w:rStyle w:val="FootnoteAnchor"/>
          <w:rtl w:val="true"/>
        </w:rPr>
        <w:footnoteReference w:id="3812"/>
      </w:r>
      <w:r>
        <w:rPr>
          <w:rFonts w:ascii="Amiri" w:hAnsi="Amiri" w:eastAsia="Amiri" w:cs="Amiri"/>
          <w:color w:val="111111"/>
          <w:sz w:val="28"/>
          <w:sz w:val="28"/>
          <w:szCs w:val="28"/>
          <w:rtl w:val="true"/>
          <w:lang w:bidi="ar-SA"/>
        </w:rPr>
        <w:t xml:space="preserve">إليه فِرقةٌ معلومٌ كَثرةُ </w:t>
      </w:r>
      <w:r>
        <w:rPr>
          <w:rStyle w:val="FootnoteAnchor"/>
          <w:rtl w:val="true"/>
        </w:rPr>
        <w:footnoteReference w:id="3813"/>
      </w:r>
      <w:r>
        <w:rPr>
          <w:rFonts w:ascii="Amiri" w:hAnsi="Amiri" w:eastAsia="Amiri" w:cs="Amiri"/>
          <w:color w:val="111111"/>
          <w:sz w:val="28"/>
          <w:sz w:val="28"/>
          <w:szCs w:val="28"/>
          <w:rtl w:val="true"/>
          <w:lang w:bidi="ar-SA"/>
        </w:rPr>
        <w:t>عَددِها في هذه الأزمانِ و ما والاها بغَيرِ خِلافٍ بقَولٍ لَم يَذهبْ إليه أحَدٌ و لا ادَّعاه عاقلٌ؟ يَعترِفُ المُعارِضُ بذلكَ فيه، و يَعتذِرُ</w:t>
      </w:r>
      <w:r>
        <w:rPr>
          <w:rStyle w:val="FootnoteAnchor"/>
          <w:rtl w:val="true"/>
        </w:rPr>
        <w:footnoteReference w:id="3814"/>
      </w:r>
      <w:r>
        <w:rPr>
          <w:rFonts w:ascii="Amiri" w:hAnsi="Amiri" w:eastAsia="Amiri" w:cs="Amiri"/>
          <w:color w:val="111111"/>
          <w:sz w:val="28"/>
          <w:sz w:val="28"/>
          <w:szCs w:val="28"/>
          <w:rtl w:val="true"/>
          <w:lang w:bidi="ar-SA"/>
        </w:rPr>
        <w:t xml:space="preserve">بإيرادِه علىٰ سَبيلِ المعارَضةِ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جازَ هذا لِيَجوزَنّ لبعضِ مخالِفي الإسلامِ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أنّ جميعَ ما يَدَّعيه المسلمونَ مِن معجِزاتِ نبيِّهم</w:t>
      </w:r>
      <w:r>
        <w:rPr>
          <w:rStyle w:val="FootnoteAnchor"/>
          <w:rtl w:val="true"/>
        </w:rPr>
        <w:footnoteReference w:id="3815"/>
      </w:r>
      <w:r>
        <w:rPr>
          <w:rFonts w:ascii="Amiri" w:hAnsi="Amiri" w:eastAsia="Amiri" w:cs="Amiri"/>
          <w:color w:val="111111"/>
          <w:sz w:val="28"/>
          <w:sz w:val="28"/>
          <w:szCs w:val="28"/>
          <w:rtl w:val="true"/>
          <w:lang w:bidi="ar-SA"/>
        </w:rPr>
        <w:t xml:space="preserve">صَلّى اللّٰهُ عليه و آلِه لا أصلَ له، </w:t>
      </w:r>
    </w:p>
    <w:p>
      <w:pPr>
        <w:pStyle w:val="BookText"/>
        <w:rPr/>
      </w:pPr>
      <w:r>
        <w:rPr>
          <w:rFonts w:ascii="Amiri" w:hAnsi="Amiri" w:eastAsia="Amiri" w:cs="Amiri"/>
          <w:color w:val="111111"/>
          <w:sz w:val="28"/>
          <w:sz w:val="28"/>
          <w:szCs w:val="28"/>
          <w:rtl w:val="true"/>
          <w:lang w:bidi="ar-SA"/>
        </w:rPr>
        <w:t xml:space="preserve">و إنّما هو شيءٌ مولَّدٌ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دَعواهم</w:t>
      </w:r>
      <w:r>
        <w:rPr>
          <w:rStyle w:val="FootnoteAnchor"/>
          <w:rtl w:val="true"/>
        </w:rPr>
        <w:footnoteReference w:id="3816"/>
      </w:r>
      <w:r>
        <w:rPr>
          <w:rFonts w:ascii="Amiri" w:hAnsi="Amiri" w:eastAsia="Amiri" w:cs="Amiri"/>
          <w:color w:val="111111"/>
          <w:sz w:val="28"/>
          <w:sz w:val="28"/>
          <w:szCs w:val="28"/>
          <w:rtl w:val="true"/>
          <w:lang w:bidi="ar-SA"/>
        </w:rPr>
        <w:t>و بَينَ دَعوىٰ مَن أثبَتَ مِن مخالِفيهم نبيّاً في تلكَ الأحوالِ ، و روىٰ عنه مِن المعجِزاتِ و الآياتِ أكثَرَ ممّا رَوَوه و أبهَرَ</w:t>
      </w:r>
      <w:r>
        <w:rPr>
          <w:rStyle w:val="FootnoteAnchor"/>
          <w:rtl w:val="true"/>
        </w:rPr>
        <w:footnoteReference w:id="3817"/>
      </w:r>
      <w:r>
        <w:rPr>
          <w:rFonts w:ascii="Amiri" w:hAnsi="Amiri" w:eastAsia="Amiri" w:cs="Amiri"/>
          <w:color w:val="111111"/>
          <w:sz w:val="28"/>
          <w:sz w:val="28"/>
          <w:szCs w:val="28"/>
          <w:rtl w:val="true"/>
          <w:lang w:bidi="ar-SA"/>
        </w:rPr>
        <w:t>، و ادَّعىٰ أيضاً عليهم أنّ قرآنَهم قد عورِضَ بما يَجري في الفَصاحةِ مَجراه أو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Style w:val="FootnoteAnchor"/>
          <w:rtl w:val="true"/>
        </w:rPr>
        <w:footnoteReference w:id="3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الذي طَرَّقوه علىٰ نفُوسِهم لِمخالِفيهم مِن حَيثُ ادَّعَوا ما لا أصلَ له، فقوبِلوا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يعارَضُ نقلُ المسلمينَ للمعجِزاتِ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مسموعٌ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غيرِ معلومٍ ، و لا ذهَبَ إليه أحدٌ مِن مخالِفي الإسلامِ؟</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819"/>
      </w:r>
      <w:r>
        <w:rPr>
          <w:rFonts w:ascii="Amiri" w:hAnsi="Amiri" w:eastAsia="Amiri" w:cs="Amiri"/>
          <w:color w:val="111111"/>
          <w:sz w:val="28"/>
          <w:sz w:val="28"/>
          <w:szCs w:val="28"/>
          <w:rtl w:val="true"/>
          <w:lang w:bidi="ar-SA"/>
        </w:rPr>
        <w:t xml:space="preserve">كَيفَ يعارَضُ نقلُ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معلومٌ مسموعٌ يَتديَّنُ به الخَلقُ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تُضافُ إلَى البَكريّةِ ، لَم يَعتقِدْها بَكريٌّ قَطُّ و لا عاقلٌ؟</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بُطلانِ هذه الدعوىٰ أنّ هذا الأمرَ لَو كانَ صحيحاً لَم يَخلُ </w:t>
      </w:r>
      <w:r>
        <w:rPr>
          <w:rStyle w:val="FootnoteAnchor"/>
          <w:rtl w:val="true"/>
        </w:rPr>
        <w:footnoteReference w:id="3820"/>
      </w:r>
      <w:r>
        <w:rPr>
          <w:rFonts w:ascii="Amiri" w:hAnsi="Amiri" w:eastAsia="Amiri" w:cs="Amiri"/>
          <w:color w:val="111111"/>
          <w:sz w:val="28"/>
          <w:sz w:val="28"/>
          <w:szCs w:val="28"/>
          <w:rtl w:val="true"/>
          <w:lang w:bidi="ar-SA"/>
        </w:rPr>
        <w:t xml:space="preserve">مِن أن يَكونَ القولُ منه عليه السلامُ كانَ بحَضرةِ جميعِ الأُمّةِ </w:t>
      </w:r>
      <w:r>
        <w:rPr>
          <w:rStyle w:val="FootnoteAnchor"/>
          <w:rtl w:val="true"/>
        </w:rPr>
        <w:footnoteReference w:id="3821"/>
      </w:r>
      <w:r>
        <w:rPr>
          <w:rFonts w:ascii="Amiri" w:hAnsi="Amiri" w:eastAsia="Amiri" w:cs="Amiri"/>
          <w:color w:val="111111"/>
          <w:sz w:val="28"/>
          <w:sz w:val="28"/>
          <w:szCs w:val="28"/>
          <w:rtl w:val="true"/>
          <w:lang w:bidi="ar-SA"/>
        </w:rPr>
        <w:t>، أو نفَرٍ يَسيرٍ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بحَضرةِ نفَرٍ يَسيرٍ كَتَموه أو نقَلَه مَن لَم تَقُمِ الحُجّةُ به، فلَيسَ علينا أن نَعلَمَ </w:t>
      </w:r>
      <w:r>
        <w:rPr>
          <w:rStyle w:val="FootnoteAnchor"/>
          <w:rtl w:val="true"/>
        </w:rPr>
        <w:footnoteReference w:id="3822"/>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بِحضرةِ‌</w:t>
      </w:r>
      <w:r>
        <w:rPr>
          <w:rStyle w:val="FootnoteAnchor"/>
          <w:rtl w:val="true"/>
        </w:rPr>
        <w:footnoteReference w:id="3823"/>
      </w:r>
      <w:r>
        <w:rPr>
          <w:rFonts w:ascii="Amiri" w:hAnsi="Amiri" w:eastAsia="Amiri" w:cs="Amiri"/>
          <w:color w:val="111111"/>
          <w:sz w:val="28"/>
          <w:sz w:val="28"/>
          <w:szCs w:val="28"/>
          <w:rtl w:val="true"/>
          <w:lang w:bidi="ar-SA"/>
        </w:rPr>
        <w:t>جَمعٍ عظيمٍ‌</w:t>
      </w:r>
      <w:r>
        <w:rPr>
          <w:rStyle w:val="FootnoteAnchor"/>
          <w:rtl w:val="true"/>
        </w:rPr>
        <w:footnoteReference w:id="3824"/>
      </w:r>
      <w:r>
        <w:rPr>
          <w:rFonts w:ascii="Amiri" w:hAnsi="Amiri" w:eastAsia="Amiri" w:cs="Amiri"/>
          <w:color w:val="111111"/>
          <w:sz w:val="28"/>
          <w:sz w:val="28"/>
          <w:szCs w:val="28"/>
          <w:rtl w:val="true"/>
          <w:lang w:bidi="ar-SA"/>
        </w:rPr>
        <w:t>تَواطَؤوا علىٰ كِتمانِه، فسَبيلُهم سَبيلُ مَن وَصَفنا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كِتمانَ ذلكَ علىٰ جماعةِ الأُمّةِ لا يَجوزُ؛ لأنّها لا تَجتمِعُ‌</w:t>
      </w:r>
      <w:r>
        <w:rPr>
          <w:rStyle w:val="FootnoteAnchor"/>
          <w:rtl w:val="true"/>
        </w:rPr>
        <w:footnoteReference w:id="3825"/>
      </w:r>
      <w:r>
        <w:rPr>
          <w:rFonts w:ascii="Amiri" w:hAnsi="Amiri" w:eastAsia="Amiri" w:cs="Amiri"/>
          <w:color w:val="111111"/>
          <w:sz w:val="28"/>
          <w:sz w:val="28"/>
          <w:szCs w:val="28"/>
          <w:rtl w:val="true"/>
          <w:lang w:bidi="ar-SA"/>
        </w:rPr>
        <w:t>علىٰ كِتمانِ ما يَجِبُ إظهارُه كما لا تَجتَمِعُ علىٰ 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الجَمعِ العظيمِ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طريقُه الاضطرارُ مِن جهةِ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ما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لَم يَكتُموا</w:t>
      </w:r>
      <w:r>
        <w:rPr>
          <w:rStyle w:val="FootnoteAnchor"/>
          <w:rtl w:val="true"/>
        </w:rPr>
        <w:footnoteReference w:id="3826"/>
      </w:r>
      <w:r>
        <w:rPr>
          <w:rFonts w:ascii="Amiri" w:hAnsi="Amiri" w:eastAsia="Amiri" w:cs="Amiri"/>
          <w:color w:val="111111"/>
          <w:sz w:val="28"/>
          <w:sz w:val="28"/>
          <w:szCs w:val="28"/>
          <w:rtl w:val="true"/>
          <w:lang w:bidi="ar-SA"/>
        </w:rPr>
        <w:t>و لَم يَتَواطَؤوا علىٰ تَركِ إظهارِه، فكَيفَ يَجوزُ أن يقَعَ الخِلافُ بَعدَه عليه السلامُ حتّىٰ يَقولَ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معرفتِهم بهذا النصِّ الظاهرِ؟</w:t>
      </w:r>
    </w:p>
    <w:p>
      <w:pPr>
        <w:pStyle w:val="BookText"/>
        <w:rPr/>
      </w:pPr>
      <w:r>
        <w:rPr>
          <w:rFonts w:ascii="Amiri" w:hAnsi="Amiri" w:eastAsia="Amiri" w:cs="Amiri"/>
          <w:color w:val="111111"/>
          <w:sz w:val="28"/>
          <w:sz w:val="28"/>
          <w:szCs w:val="28"/>
          <w:rtl w:val="true"/>
          <w:lang w:bidi="ar-SA"/>
        </w:rPr>
        <w:t>و كَيفَ كانَ‌</w:t>
      </w:r>
      <w:r>
        <w:rPr>
          <w:rStyle w:val="FootnoteAnchor"/>
          <w:rtl w:val="true"/>
        </w:rPr>
        <w:footnoteReference w:id="3827"/>
      </w:r>
      <w:r>
        <w:rPr>
          <w:rFonts w:ascii="Amiri" w:hAnsi="Amiri" w:eastAsia="Amiri" w:cs="Amiri"/>
          <w:color w:val="111111"/>
          <w:sz w:val="28"/>
          <w:sz w:val="28"/>
          <w:szCs w:val="28"/>
          <w:rtl w:val="true"/>
          <w:lang w:bidi="ar-SA"/>
        </w:rPr>
        <w:t xml:space="preserve">يَجوزُ أن يُسَمّوا أبا بَكرٍ مُدّةَ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828"/>
      </w:r>
      <w:r>
        <w:rPr>
          <w:rFonts w:ascii="Amiri" w:hAnsi="Amiri" w:eastAsia="Amiri" w:cs="Amiri"/>
          <w:color w:val="111111"/>
          <w:sz w:val="28"/>
          <w:sz w:val="28"/>
          <w:szCs w:val="28"/>
          <w:rtl w:val="true"/>
          <w:lang w:bidi="ar-SA"/>
        </w:rPr>
        <w:t>لا يَدفَعَ ذلكَ دافعٌ؟</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نُقِلَ عن الحُسَينِ </w:t>
      </w:r>
      <w:r>
        <w:rPr>
          <w:rStyle w:val="FootnoteAnchor"/>
          <w:rtl w:val="true"/>
        </w:rPr>
        <w:footnoteReference w:id="3829"/>
      </w:r>
      <w:r>
        <w:rPr>
          <w:rFonts w:ascii="Amiri" w:hAnsi="Amiri" w:eastAsia="Amiri" w:cs="Amiri"/>
          <w:color w:val="111111"/>
          <w:sz w:val="28"/>
          <w:sz w:val="28"/>
          <w:szCs w:val="28"/>
          <w:rtl w:val="true"/>
          <w:lang w:bidi="ar-SA"/>
        </w:rPr>
        <w:t>عليه السلامُ أنّه ذَهَبَ إلىٰ أبي بَكرٍ و هو علَى المِنبَرِ فقالَ له</w:t>
      </w:r>
      <w:r>
        <w:rPr>
          <w:rStyle w:val="FootnoteAnchor"/>
          <w:rtl w:val="true"/>
        </w:rPr>
        <w:footnoteReference w:id="3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r>
        <w:rPr>
          <w:rStyle w:val="FootnoteAnchor"/>
          <w:rtl w:val="true"/>
        </w:rPr>
        <w:footnoteReference w:id="3831"/>
      </w:r>
      <w:r>
        <w:rPr>
          <w:rFonts w:ascii="Amiri" w:hAnsi="Amiri" w:eastAsia="Amiri" w:cs="Amiri"/>
          <w:color w:val="111111"/>
          <w:sz w:val="28"/>
          <w:sz w:val="28"/>
          <w:szCs w:val="28"/>
          <w:rtl w:val="true"/>
          <w:lang w:bidi="ar-SA"/>
        </w:rPr>
        <w:t xml:space="preserve">، و نُقِلَ ما كانَ مِن </w:t>
      </w:r>
    </w:p>
    <w:p>
      <w:pPr>
        <w:pStyle w:val="BookText"/>
        <w:rPr/>
      </w:pPr>
      <w:r>
        <w:rPr>
          <w:rFonts w:ascii="Amiri" w:hAnsi="Amiri" w:eastAsia="Amiri" w:cs="Amiri"/>
          <w:color w:val="111111"/>
          <w:sz w:val="28"/>
          <w:sz w:val="28"/>
          <w:szCs w:val="28"/>
          <w:rtl w:val="true"/>
          <w:lang w:bidi="ar-SA"/>
        </w:rPr>
        <w:t>فاطمةَ عليها السلامُ في أمرِ فَدَكَ‌</w:t>
      </w:r>
      <w:r>
        <w:rPr>
          <w:rStyle w:val="FootnoteAnchor"/>
          <w:rtl w:val="true"/>
        </w:rPr>
        <w:footnoteReference w:id="3832"/>
      </w:r>
      <w:r>
        <w:rPr>
          <w:rFonts w:ascii="Amiri" w:hAnsi="Amiri" w:eastAsia="Amiri" w:cs="Amiri"/>
          <w:color w:val="111111"/>
          <w:sz w:val="28"/>
          <w:sz w:val="28"/>
          <w:szCs w:val="28"/>
          <w:rtl w:val="true"/>
          <w:lang w:bidi="ar-SA"/>
        </w:rPr>
        <w:t>، و ما كانَ مِن</w:t>
      </w:r>
      <w:r>
        <w:rPr>
          <w:rStyle w:val="FootnoteAnchor"/>
          <w:rtl w:val="true"/>
        </w:rPr>
        <w:footnoteReference w:id="3833"/>
      </w:r>
      <w:r>
        <w:rPr>
          <w:rFonts w:ascii="Amiri" w:hAnsi="Amiri" w:eastAsia="Amiri" w:cs="Amiri"/>
          <w:color w:val="111111"/>
          <w:sz w:val="28"/>
          <w:sz w:val="28"/>
          <w:szCs w:val="28"/>
          <w:rtl w:val="true"/>
          <w:lang w:bidi="ar-SA"/>
        </w:rPr>
        <w:t>أميرِ المؤمِنينَ عليه السلامُ و الزُّبَيرِ مِن التأخُّرِ عن البَيعةِ أيّاماً</w:t>
      </w:r>
      <w:r>
        <w:rPr>
          <w:rStyle w:val="FootnoteAnchor"/>
          <w:rtl w:val="true"/>
        </w:rPr>
        <w:footnoteReference w:id="3834"/>
      </w:r>
      <w:r>
        <w:rPr>
          <w:rFonts w:ascii="Amiri" w:hAnsi="Amiri" w:eastAsia="Amiri" w:cs="Amiri"/>
          <w:color w:val="111111"/>
          <w:sz w:val="28"/>
          <w:sz w:val="28"/>
          <w:szCs w:val="28"/>
          <w:rtl w:val="true"/>
          <w:lang w:bidi="ar-SA"/>
        </w:rPr>
        <w:t>، و ما كانَ مِن</w:t>
      </w:r>
    </w:p>
    <w:p>
      <w:pPr>
        <w:pStyle w:val="BookText"/>
        <w:rPr/>
      </w:pPr>
      <w:r>
        <w:rPr>
          <w:rFonts w:ascii="Amiri" w:hAnsi="Amiri" w:eastAsia="Amiri" w:cs="Amiri"/>
          <w:color w:val="111111"/>
          <w:sz w:val="28"/>
          <w:sz w:val="28"/>
          <w:szCs w:val="28"/>
          <w:rtl w:val="true"/>
          <w:lang w:bidi="ar-SA"/>
        </w:rPr>
        <w:t>تأخُّرِ خالدِ بنِ سَعيدٍ</w:t>
      </w:r>
      <w:r>
        <w:rPr>
          <w:rStyle w:val="FootnoteAnchor"/>
          <w:rtl w:val="true"/>
        </w:rPr>
        <w:footnoteReference w:id="3835"/>
      </w:r>
      <w:r>
        <w:rPr>
          <w:rFonts w:ascii="Amiri" w:hAnsi="Amiri" w:eastAsia="Amiri" w:cs="Amiri"/>
          <w:color w:val="111111"/>
          <w:sz w:val="28"/>
          <w:sz w:val="28"/>
          <w:szCs w:val="28"/>
          <w:rtl w:val="true"/>
          <w:lang w:bidi="ar-SA"/>
        </w:rPr>
        <w:t xml:space="preserve">عن البَيعةِ مُدّةً ، و ما كانَ مِن أبي سُفيانَ و قولِه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رَضيتم يا بَني عَبدِ مَنافٍ أن يَليَ عليكم تَيمٌ؟ أُمدُدْ يدَكَ أُبايِعْكَ ، فَلأملأنَّها علىٰ أبي فَصيلٍ </w:t>
      </w:r>
      <w:r>
        <w:rPr>
          <w:rStyle w:val="FootnoteAnchor"/>
          <w:rtl w:val="true"/>
        </w:rPr>
        <w:footnoteReference w:id="3836"/>
      </w:r>
      <w:r>
        <w:rPr>
          <w:rFonts w:ascii="Amiri" w:hAnsi="Amiri" w:eastAsia="Amiri" w:cs="Amiri"/>
          <w:color w:val="111111"/>
          <w:sz w:val="28"/>
          <w:sz w:val="28"/>
          <w:szCs w:val="28"/>
          <w:rtl w:val="true"/>
          <w:lang w:bidi="ar-SA"/>
        </w:rPr>
        <w:t>خَيلاً و رَجِلاً</w:t>
      </w:r>
      <w:r>
        <w:rPr>
          <w:rFonts w:eastAsia="Amiri" w:cs="Amiri" w:ascii="Amiri" w:hAnsi="Amiri"/>
          <w:color w:val="111111"/>
          <w:sz w:val="28"/>
          <w:szCs w:val="28"/>
          <w:rtl w:val="true"/>
          <w:lang w:bidi="ar-SA"/>
        </w:rPr>
        <w:t>»</w:t>
      </w:r>
      <w:r>
        <w:rPr>
          <w:rStyle w:val="FootnoteAnchor"/>
          <w:rtl w:val="true"/>
        </w:rPr>
        <w:footnoteReference w:id="3837"/>
      </w:r>
      <w:r>
        <w:rPr>
          <w:rFonts w:ascii="IRNazanin" w:hAnsi="IRNazanin" w:eastAsia="IRNazanin"/>
          <w:color w:val="111111"/>
          <w:sz w:val="28"/>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14085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37665</w:t>
      </w:r>
      <w:r>
        <w:rPr>
          <w:rFonts w:ascii="Amiri" w:hAnsi="Amiri" w:eastAsia="Amiri" w:cs="Amiri"/>
          <w:color w:val="111111"/>
          <w:sz w:val="28"/>
          <w:sz w:val="28"/>
          <w:szCs w:val="28"/>
          <w:rtl w:val="true"/>
          <w:lang w:bidi="ar-SA"/>
        </w:rPr>
        <w:t xml:space="preserve">؛ الأمالي للطوسي، ص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25" w:name="pg20015_285175"/>
    </w:p>
    <w:p>
      <w:pPr>
        <w:pStyle w:val="BookText"/>
        <w:rPr/>
      </w:pPr>
      <w:bookmarkEnd w:id="625"/>
      <w:r>
        <w:rPr>
          <w:rFonts w:ascii="Amiri" w:hAnsi="Amiri" w:eastAsia="Amiri" w:cs="Amiri"/>
          <w:color w:val="111111"/>
          <w:sz w:val="28"/>
          <w:sz w:val="28"/>
          <w:szCs w:val="28"/>
          <w:rtl w:val="true"/>
          <w:lang w:bidi="ar-SA"/>
        </w:rPr>
        <w:t>و كَيفَ رُوِيَ‌</w:t>
      </w:r>
      <w:r>
        <w:rPr>
          <w:rStyle w:val="FootnoteAnchor"/>
          <w:rtl w:val="true"/>
        </w:rPr>
        <w:footnoteReference w:id="3838"/>
      </w:r>
      <w:r>
        <w:rPr>
          <w:rFonts w:ascii="Amiri" w:hAnsi="Amiri" w:eastAsia="Amiri" w:cs="Amiri"/>
          <w:color w:val="111111"/>
          <w:sz w:val="28"/>
          <w:sz w:val="28"/>
          <w:szCs w:val="28"/>
          <w:rtl w:val="true"/>
          <w:lang w:bidi="ar-SA"/>
        </w:rPr>
        <w:t>عن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أُمدُدْ يدَكَ أُبايِعْكَ و أجِئْ بهذا الشيخِ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 رسولِ اللّٰهِ بايَعَ‌</w:t>
      </w:r>
      <w:r>
        <w:rPr>
          <w:rStyle w:val="FootnoteAnchor"/>
          <w:rtl w:val="true"/>
        </w:rPr>
        <w:footnoteReference w:id="3839"/>
      </w:r>
      <w:r>
        <w:rPr>
          <w:rFonts w:ascii="Amiri" w:hAnsi="Amiri" w:eastAsia="Amiri" w:cs="Amiri"/>
          <w:color w:val="111111"/>
          <w:sz w:val="28"/>
          <w:sz w:val="28"/>
          <w:szCs w:val="28"/>
          <w:rtl w:val="true"/>
          <w:lang w:bidi="ar-SA"/>
        </w:rPr>
        <w:t>ابنَ عمِّه لم يُخالِفْ‌</w:t>
      </w:r>
      <w:r>
        <w:rPr>
          <w:rStyle w:val="FootnoteAnchor"/>
          <w:rtl w:val="true"/>
        </w:rPr>
        <w:footnoteReference w:id="3840"/>
      </w:r>
      <w:r>
        <w:rPr>
          <w:rFonts w:ascii="Amiri" w:hAnsi="Amiri" w:eastAsia="Amiri" w:cs="Amiri"/>
          <w:color w:val="111111"/>
          <w:sz w:val="28"/>
          <w:sz w:val="28"/>
          <w:szCs w:val="28"/>
          <w:rtl w:val="true"/>
          <w:lang w:bidi="ar-SA"/>
        </w:rPr>
        <w:t xml:space="preserve">علينا أحَدٌ مِن قُرَيشٍ‌، و الناسُ تَبَعٌ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Style w:val="FootnoteAnchor"/>
          <w:rtl w:val="true"/>
        </w:rPr>
        <w:footnoteReference w:id="3841"/>
      </w:r>
      <w:r>
        <w:rPr>
          <w:rFonts w:ascii="Amiri" w:hAnsi="Amiri" w:eastAsia="Amiri" w:cs="Amiri"/>
          <w:color w:val="111111"/>
          <w:sz w:val="28"/>
          <w:sz w:val="28"/>
          <w:szCs w:val="28"/>
          <w:rtl w:val="true"/>
          <w:lang w:bidi="ar-SA"/>
        </w:rPr>
        <w:t>رُويَ كُلُّ ذلكَ و لَم يُروَ عن أحَدٍ أنّه قالَ في تلكَ المَجامعِ و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المَذهبُ عن أميرِ المؤمِنينَ و هو الإمامُ الذي أقامَه النبيُّ صَلّى اللّٰهُ عليه</w:t>
      </w:r>
      <w:r>
        <w:rPr>
          <w:rStyle w:val="FootnoteAnchor"/>
          <w:rtl w:val="true"/>
        </w:rPr>
        <w:footnoteReference w:id="3842"/>
      </w:r>
      <w:r>
        <w:rPr>
          <w:rFonts w:ascii="Amiri" w:hAnsi="Amiri" w:eastAsia="Amiri" w:cs="Amiri"/>
          <w:color w:val="111111"/>
          <w:sz w:val="28"/>
          <w:sz w:val="28"/>
          <w:szCs w:val="28"/>
          <w:rtl w:val="true"/>
          <w:lang w:bidi="ar-SA"/>
        </w:rPr>
        <w:t xml:space="preserve">بالأمسِ </w:t>
      </w:r>
      <w:r>
        <w:rPr>
          <w:rStyle w:val="FootnoteAnchor"/>
          <w:rtl w:val="true"/>
        </w:rPr>
        <w:footnoteReference w:id="3843"/>
      </w:r>
      <w:r>
        <w:rPr>
          <w:rFonts w:ascii="Amiri" w:hAnsi="Amiri" w:eastAsia="Amiri" w:cs="Amiri"/>
          <w:color w:val="111111"/>
          <w:sz w:val="28"/>
          <w:sz w:val="28"/>
          <w:szCs w:val="28"/>
          <w:rtl w:val="true"/>
          <w:lang w:bidi="ar-SA"/>
        </w:rPr>
        <w:t>و نَصَّ عليه و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حاجةُ العبّاسِ و أبي سُفيانَ إلىٰ ما تَكلَّما به</w:t>
      </w:r>
      <w:r>
        <w:rPr>
          <w:rStyle w:val="FootnoteAnchor"/>
          <w:rtl w:val="true"/>
        </w:rPr>
        <w:footnoteReference w:id="3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895163_2320776876"/>
      <w:bookmarkStart w:id="627" w:name="_Toc223"/>
      <w:bookmarkEnd w:id="626"/>
      <w:r>
        <w:rPr>
          <w:rtl w:val="true"/>
        </w:rPr>
        <w:t>بيان الاحتمال الصحيح من بين الاحتمالات الموجودة في نقل النصّ</w:t>
      </w:r>
      <w:bookmarkEnd w:id="62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حَكيتَ عنه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 الصحيحِ الذي نَذهبُ إليه؛ لأنّه أفسَدَ أن يَكونَ النصُّ وقَعَ بحضرةِ نَفَرٍ يَسيرٍ فكَتَموه، و أفسَدَ أن يَكونَ بمَحضَرٍ مِن جَمعٍ كَثيرٍ فكَتَموه أيضاً و لَم يَنقُلْه أحَدٌ منهم، و أفسَدَ أن يَكونوا لَم يَكتُموه جُملةً و لا تَواطَؤوا علىٰ تَركِ إظهارِه، و بَقيَ القِسمُ </w:t>
      </w:r>
      <w:r>
        <w:rPr>
          <w:rStyle w:val="FootnoteAnchor"/>
          <w:rtl w:val="true"/>
        </w:rPr>
        <w:footnoteReference w:id="3846"/>
      </w:r>
      <w:r>
        <w:rPr>
          <w:rFonts w:ascii="Amiri" w:hAnsi="Amiri" w:eastAsia="Amiri" w:cs="Amiri"/>
          <w:color w:val="111111"/>
          <w:sz w:val="28"/>
          <w:sz w:val="28"/>
          <w:szCs w:val="28"/>
          <w:rtl w:val="true"/>
          <w:lang w:bidi="ar-SA"/>
        </w:rPr>
        <w:t>الصحيحُ ؛ و هو أن يَكونَ بعضُهم كتَمَه و بعضُهم نقَلَه</w:t>
      </w:r>
      <w:r>
        <w:rPr>
          <w:rStyle w:val="FootnoteAnchor"/>
          <w:rtl w:val="true"/>
        </w:rPr>
        <w:footnoteReference w:id="3847"/>
      </w:r>
      <w:r>
        <w:rPr>
          <w:rFonts w:eastAsia="Times New Roman" w:cs="Times New Roman" w:ascii="Times New Roman" w:hAnsi="Times New Roman"/>
          <w:color w:val="111111"/>
          <w:sz w:val="28"/>
          <w:szCs w:val="28"/>
          <w:rtl w:val="true"/>
          <w:lang w:val="en-US" w:bidi="en-US"/>
        </w:rPr>
        <w:t xml:space="preserve">. </w:t>
      </w:r>
      <w:bookmarkStart w:id="628" w:name="pg20015_285176"/>
    </w:p>
    <w:p>
      <w:pPr>
        <w:pStyle w:val="Heading4"/>
        <w:numPr>
          <w:ilvl w:val="3"/>
          <w:numId w:val="1"/>
        </w:numPr>
        <w:rPr/>
      </w:pPr>
      <w:bookmarkStart w:id="629" w:name="__RefHeading___Toc895165_2320776876"/>
      <w:bookmarkStart w:id="630" w:name="_Toc224"/>
      <w:bookmarkEnd w:id="628"/>
      <w:bookmarkEnd w:id="629"/>
      <w:r>
        <w:rPr>
          <w:rtl w:val="true"/>
        </w:rPr>
        <w:t xml:space="preserve">عدم ورود ما ذكره أبو هاشم </w:t>
      </w:r>
      <w:r>
        <w:rPr>
          <w:rtl w:val="true"/>
        </w:rPr>
        <w:t xml:space="preserve">- </w:t>
      </w:r>
      <w:r>
        <w:rPr>
          <w:rtl w:val="true"/>
        </w:rPr>
        <w:t xml:space="preserve">حول كتمان النصّ </w:t>
      </w:r>
      <w:r>
        <w:rPr>
          <w:rtl w:val="true"/>
        </w:rPr>
        <w:t xml:space="preserve">- </w:t>
      </w:r>
      <w:r>
        <w:rPr>
          <w:rtl w:val="true"/>
        </w:rPr>
        <w:t>علىٰ مختار المصنّف</w:t>
      </w:r>
      <w:bookmarkEnd w:id="630"/>
    </w:p>
    <w:p>
      <w:pPr>
        <w:pStyle w:val="BookText"/>
        <w:rPr/>
      </w:pPr>
      <w:r>
        <w:rPr>
          <w:rFonts w:ascii="Amiri" w:hAnsi="Amiri" w:eastAsia="Amiri" w:cs="Amiri"/>
          <w:color w:val="111111"/>
          <w:sz w:val="28"/>
          <w:sz w:val="28"/>
          <w:szCs w:val="28"/>
          <w:rtl w:val="true"/>
          <w:lang w:bidi="ar-SA"/>
        </w:rPr>
        <w:t>فأمّا نفيُه الكِتمانَ عن جماعةِ الأُمّةِ و عن الجَمعِ العظيمِ فيما طريقُه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w:t>
      </w:r>
      <w:r>
        <w:rPr>
          <w:rStyle w:val="FootnoteAnchor"/>
          <w:rtl w:val="true"/>
        </w:rPr>
        <w:footnoteReference w:id="3848"/>
      </w:r>
      <w:r>
        <w:rPr>
          <w:rFonts w:ascii="Amiri" w:hAnsi="Amiri" w:eastAsia="Amiri" w:cs="Amiri"/>
          <w:color w:val="111111"/>
          <w:sz w:val="28"/>
          <w:sz w:val="28"/>
          <w:szCs w:val="28"/>
          <w:rtl w:val="true"/>
          <w:lang w:bidi="ar-SA"/>
        </w:rPr>
        <w:t>لا نَحتاجُ إلىٰ مضايَقَتِه فيه؛ لأنّ كلامَنا يَتِمُّ مِن دونِه؛ مِن حَيثُ لَم نَجعَلِ‌</w:t>
      </w:r>
      <w:r>
        <w:rPr>
          <w:rStyle w:val="FootnoteAnchor"/>
          <w:rtl w:val="true"/>
        </w:rPr>
        <w:footnoteReference w:id="3849"/>
      </w:r>
      <w:r>
        <w:rPr>
          <w:rFonts w:ascii="Amiri" w:hAnsi="Amiri" w:eastAsia="Amiri" w:cs="Amiri"/>
          <w:color w:val="111111"/>
          <w:sz w:val="28"/>
          <w:sz w:val="28"/>
          <w:szCs w:val="28"/>
          <w:rtl w:val="true"/>
          <w:lang w:bidi="ar-SA"/>
        </w:rPr>
        <w:t>الأُمّةَ بأسرِها كاتمةً للنصِّ‌، و الجماعةُ الكثيرةُ التي كتَمَته قد جَعَلنا أكثَرَها كاتِماً بالشُّبهةِ ، و بعضَها علىٰ سَبيلِ التعمُّدِ و مع العِلمِ و اليقينِ ؛ إمّا بمواطأةٍ أو ما يَقومُ مَقامَها</w:t>
      </w:r>
      <w:r>
        <w:rPr>
          <w:rFonts w:eastAsia="Amiri" w:cs="Amiri" w:ascii="Amiri" w:hAnsi="Amiri"/>
          <w:color w:val="111111"/>
          <w:sz w:val="28"/>
          <w:szCs w:val="28"/>
          <w:rtl w:val="true"/>
          <w:lang w:bidi="ar-SA"/>
        </w:rPr>
        <w:t>.</w:t>
      </w:r>
      <w:r>
        <w:rPr>
          <w:rStyle w:val="FootnoteAnchor"/>
          <w:rtl w:val="true"/>
        </w:rPr>
        <w:footnoteReference w:id="3850"/>
      </w:r>
    </w:p>
    <w:p>
      <w:pPr>
        <w:pStyle w:val="BookText"/>
        <w:rPr/>
      </w:pPr>
      <w:r>
        <w:rPr>
          <w:rFonts w:ascii="Amiri" w:hAnsi="Amiri" w:eastAsia="Amiri" w:cs="Amiri"/>
          <w:color w:val="111111"/>
          <w:sz w:val="28"/>
          <w:sz w:val="28"/>
          <w:szCs w:val="28"/>
          <w:rtl w:val="true"/>
          <w:lang w:bidi="ar-SA"/>
        </w:rPr>
        <w:t xml:space="preserve">و لَيسَ هذا بمُستَنكَرٍ عندَ أبي هاشِمٍ و أصحابِه؛ يَعني أن يَكتُمَ الجماعةُ الكثيرةُ للشُّبهةِ </w:t>
      </w:r>
      <w:r>
        <w:rPr>
          <w:rStyle w:val="FootnoteAnchor"/>
          <w:rtl w:val="true"/>
        </w:rPr>
        <w:footnoteReference w:id="3851"/>
      </w:r>
      <w:r>
        <w:rPr>
          <w:rFonts w:ascii="Amiri" w:hAnsi="Amiri" w:eastAsia="Amiri" w:cs="Amiri"/>
          <w:color w:val="111111"/>
          <w:sz w:val="28"/>
          <w:sz w:val="28"/>
          <w:szCs w:val="28"/>
          <w:rtl w:val="true"/>
          <w:lang w:bidi="ar-SA"/>
        </w:rPr>
        <w:t xml:space="preserve">، و أن يَكتُمَ النفَرُ القليلُ بالمواطأةِ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لَم يَكتُموه، فكَيفَ يَجوزُ أن يقَعَ كَذا و يَجريَ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يُحتاجُ في إبطالِ أنّهم لَم يَكتُموا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ممّا ذَكرَه؛ لأنّه لَو لَم يَكتُمْه أكثَرُهم إمّا لشُبهةٍ أو عن عِلمٍ لَوجَبَ أن يقَعَ العملُ مِن الكُلِّ عليه دونَ غيرِه، و لَكانَ العِلمُ به كالعِلمِ بسائرِ الأُمورِ الظاهرةِ التي لَم يَجُز فيها كِتمانٌ‌؛ فالتغَلغُلُ‌</w:t>
      </w:r>
      <w:r>
        <w:rPr>
          <w:rStyle w:val="FootnoteAnchor"/>
          <w:rtl w:val="true"/>
        </w:rPr>
        <w:footnoteReference w:id="3852"/>
      </w:r>
      <w:r>
        <w:rPr>
          <w:rFonts w:ascii="Amiri" w:hAnsi="Amiri" w:eastAsia="Amiri" w:cs="Amiri"/>
          <w:color w:val="111111"/>
          <w:sz w:val="28"/>
          <w:sz w:val="28"/>
          <w:szCs w:val="28"/>
          <w:rtl w:val="true"/>
          <w:lang w:bidi="ar-SA"/>
        </w:rPr>
        <w:t xml:space="preserve">في إبطالِ هذا الوجهِ إلىٰ سائرِ ما ذَكرَه مِن العَبَثِ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إنّما أورَدَ جميعَ ما عدَّدَه مِن الأفعالِ و الأقوالِ </w:t>
      </w:r>
      <w:r>
        <w:rPr>
          <w:rStyle w:val="FootnoteAnchor"/>
          <w:rtl w:val="true"/>
        </w:rPr>
        <w:footnoteReference w:id="3853"/>
      </w:r>
      <w:r>
        <w:rPr>
          <w:rFonts w:ascii="Amiri" w:hAnsi="Amiri" w:eastAsia="Amiri" w:cs="Amiri"/>
          <w:color w:val="111111"/>
          <w:sz w:val="28"/>
          <w:sz w:val="28"/>
          <w:szCs w:val="28"/>
          <w:rtl w:val="true"/>
          <w:lang w:bidi="ar-SA"/>
        </w:rPr>
        <w:t xml:space="preserve">رَدّاً علىٰ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لَم يَكتُمِ النصَّ و لا عَدَلَ عن نقلِه</w:t>
      </w:r>
      <w:r>
        <w:rPr>
          <w:rStyle w:val="FootnoteAnchor"/>
          <w:rtl w:val="true"/>
        </w:rPr>
        <w:footnoteReference w:id="3854"/>
      </w:r>
      <w:r>
        <w:rPr>
          <w:rFonts w:ascii="Amiri" w:hAnsi="Amiri" w:eastAsia="Amiri" w:cs="Amiri"/>
          <w:color w:val="111111"/>
          <w:sz w:val="28"/>
          <w:sz w:val="28"/>
          <w:szCs w:val="28"/>
          <w:rtl w:val="true"/>
          <w:lang w:bidi="ar-SA"/>
        </w:rPr>
        <w:t>و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w:t>
      </w:r>
      <w:r>
        <w:rPr>
          <w:rStyle w:val="FootnoteAnchor"/>
          <w:rtl w:val="true"/>
        </w:rPr>
        <w:footnoteReference w:id="3855"/>
      </w:r>
      <w:r>
        <w:rPr>
          <w:rFonts w:ascii="Amiri" w:hAnsi="Amiri" w:eastAsia="Amiri" w:cs="Amiri"/>
          <w:color w:val="111111"/>
          <w:sz w:val="28"/>
          <w:sz w:val="28"/>
          <w:szCs w:val="28"/>
          <w:rtl w:val="true"/>
          <w:lang w:bidi="ar-SA"/>
        </w:rPr>
        <w:t xml:space="preserve">لا نَذهبُ إلىٰ ذلكَ ؛ </w:t>
      </w:r>
    </w:p>
    <w:p>
      <w:pPr>
        <w:pStyle w:val="BookText"/>
        <w:rPr/>
      </w:pPr>
      <w:r>
        <w:rPr>
          <w:rFonts w:ascii="Amiri" w:hAnsi="Amiri" w:eastAsia="Amiri" w:cs="Amiri"/>
          <w:color w:val="111111"/>
          <w:sz w:val="28"/>
          <w:sz w:val="28"/>
          <w:szCs w:val="28"/>
          <w:rtl w:val="true"/>
          <w:lang w:bidi="ar-SA"/>
        </w:rPr>
        <w:t>فلَيسَ يَلزَمُنا الكلامُ علىٰ ما أورَدَه و بيانُ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إذا كانوا قد كَتَموا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تَذهبونَ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يَنقُلوا سائرَ ما ذَكَرناه، و الداعي إلىٰ كِتمانِ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إذا قيلَ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نقلِ النصِّ شهادةً علىٰ مَن عَمِلَ بخِلافِه بالضَّلالِ و الخِلافِ للرسولِ صَلّى اللّٰهُ عليه و آلِه، و لَيسَ في نقلِ ما جَرىٰ مِن المنازَعاتِ و الخِلافِ في العَقدِ شيءٌ مِن ذلكَ ؛ لأنّ كُلَّ مَن نقَلَ مِن مخالِفينا كلاماً</w:t>
      </w:r>
    </w:p>
    <w:p>
      <w:pPr>
        <w:pStyle w:val="BookText"/>
        <w:rPr/>
      </w:pPr>
      <w:r>
        <w:rPr>
          <w:rFonts w:ascii="Amiri" w:hAnsi="Amiri" w:eastAsia="Amiri" w:cs="Amiri"/>
          <w:color w:val="111111"/>
          <w:sz w:val="28"/>
          <w:sz w:val="28"/>
          <w:szCs w:val="28"/>
          <w:rtl w:val="true"/>
          <w:lang w:bidi="ar-SA"/>
        </w:rPr>
        <w:t>أو خِلافاً جَرىٰ ، نَقَلَ انقطاعَه و حصولَ الرِّضا بَعدَه</w:t>
      </w:r>
      <w:r>
        <w:rPr>
          <w:rStyle w:val="FootnoteAnchor"/>
          <w:rtl w:val="true"/>
        </w:rPr>
        <w:footnoteReference w:id="3856"/>
      </w:r>
      <w:r>
        <w:rPr>
          <w:rFonts w:ascii="Amiri" w:hAnsi="Amiri" w:eastAsia="Amiri" w:cs="Amiri"/>
          <w:color w:val="111111"/>
          <w:sz w:val="28"/>
          <w:sz w:val="28"/>
          <w:szCs w:val="28"/>
          <w:rtl w:val="true"/>
          <w:lang w:bidi="ar-SA"/>
        </w:rPr>
        <w:t>و التسليمِ ؛ فلَيسَ في نقلِ شيءٍ ممّا ذُكِرَ ما في النصِّ ، فكَيفَ يَلزَمُ أن يَكونَ الداعي إلىٰ كِتمانِ الأمرَينِ جميعاً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تسميةُ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مطابِقٌ لكِتمانِ النصِّ ، و لا حاجةَ </w:t>
      </w:r>
      <w:r>
        <w:rPr>
          <w:rStyle w:val="FootnoteAnchor"/>
          <w:rtl w:val="true"/>
        </w:rPr>
        <w:footnoteReference w:id="3857"/>
      </w:r>
      <w:r>
        <w:rPr>
          <w:rFonts w:ascii="Amiri" w:hAnsi="Amiri" w:eastAsia="Amiri" w:cs="Amiri"/>
          <w:color w:val="111111"/>
          <w:sz w:val="28"/>
          <w:sz w:val="28"/>
          <w:szCs w:val="28"/>
          <w:rtl w:val="true"/>
          <w:lang w:bidi="ar-SA"/>
        </w:rPr>
        <w:t xml:space="preserve">بنا إلىٰ تأويلِه و تخريجِ وجهِه، و إنّما أورَدَه رَدّاً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لَم يَكتُمْه أحَدٌ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نُقِلَ عن الحُسينِ عليه السلامُ‌ مِن قولِه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يَنقُلُه مِن مخالِفينا مَن يَنقُلُ </w:t>
      </w:r>
      <w:r>
        <w:rPr>
          <w:rStyle w:val="FootnoteAnchor"/>
          <w:rtl w:val="true"/>
        </w:rPr>
        <w:footnoteReference w:id="3858"/>
      </w:r>
      <w:r>
        <w:rPr>
          <w:rFonts w:ascii="Amiri" w:hAnsi="Amiri" w:eastAsia="Amiri" w:cs="Amiri"/>
          <w:color w:val="111111"/>
          <w:sz w:val="28"/>
          <w:sz w:val="28"/>
          <w:szCs w:val="28"/>
          <w:rtl w:val="true"/>
          <w:lang w:bidi="ar-SA"/>
        </w:rPr>
        <w:t>تأخُّرَ مَن تأخَّرَ عن البيعةِ ، و كلامَ مَن تَكلَّمَ فيها؛ فأكثَرُهم</w:t>
      </w:r>
      <w:r>
        <w:rPr>
          <w:rStyle w:val="FootnoteAnchor"/>
          <w:rtl w:val="true"/>
        </w:rPr>
        <w:footnoteReference w:id="3859"/>
      </w:r>
      <w:r>
        <w:rPr>
          <w:rFonts w:ascii="Amiri" w:hAnsi="Amiri" w:eastAsia="Amiri" w:cs="Amiri"/>
          <w:color w:val="111111"/>
          <w:sz w:val="28"/>
          <w:sz w:val="28"/>
          <w:szCs w:val="28"/>
          <w:rtl w:val="true"/>
          <w:lang w:bidi="ar-SA"/>
        </w:rPr>
        <w:t xml:space="preserve">بَل جميعُهم يكذِّبُ به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صنَعَته</w:t>
      </w:r>
      <w:r>
        <w:rPr>
          <w:rStyle w:val="FootnoteAnchor"/>
          <w:rtl w:val="true"/>
        </w:rPr>
        <w:footnoteReference w:id="3860"/>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رجَعَ مخالِفونا إلىٰ ما ورَدَ مَورِدَ هذا الخبرِ و نُقِلَ كنَقلِه، وَجَدوا شيئاً كثيراً ممّا ادَّعَوا فَقْدَه؛ مِن تظلُّمِ أميرِ المؤمِنينَ و التظلُّمِ له</w:t>
      </w:r>
      <w:r>
        <w:rPr>
          <w:rStyle w:val="FootnoteAnchor"/>
          <w:rtl w:val="true"/>
        </w:rPr>
        <w:footnoteReference w:id="3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ظَلَموني حَقّي و مَنَعوني إرثي</w:t>
      </w:r>
      <w:r>
        <w:rPr>
          <w:rFonts w:eastAsia="Amiri" w:cs="Amiri" w:ascii="Amiri" w:hAnsi="Amiri"/>
          <w:color w:val="111111"/>
          <w:sz w:val="28"/>
          <w:szCs w:val="28"/>
          <w:rtl w:val="true"/>
          <w:lang w:bidi="ar-SA"/>
        </w:rPr>
        <w:t>»</w:t>
      </w:r>
      <w:r>
        <w:rPr>
          <w:rStyle w:val="FootnoteAnchor"/>
          <w:rtl w:val="true"/>
        </w:rPr>
        <w:footnoteReference w:id="3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ظَلَموني الحجَرَ و المدَرَ</w:t>
      </w:r>
      <w:r>
        <w:rPr>
          <w:rFonts w:eastAsia="Amiri" w:cs="Amiri" w:ascii="Amiri" w:hAnsi="Amiri"/>
          <w:color w:val="111111"/>
          <w:sz w:val="28"/>
          <w:szCs w:val="28"/>
          <w:rtl w:val="true"/>
          <w:lang w:bidi="ar-SA"/>
        </w:rPr>
        <w:t>»</w:t>
      </w:r>
      <w:r>
        <w:rPr>
          <w:rStyle w:val="FootnoteAnchor"/>
          <w:rtl w:val="true"/>
        </w:rPr>
        <w:footnoteReference w:id="3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مظلوماً مُنذُ قُبِضَ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86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ما ذَكَرناه مِن الرواياتِ عنه عليه السلامُ و عن شيعتِه و خاصّتِه رحمهم اللّٰه التي ذِكْرُ جميعِها يَطولُ ، و هي موجودةٌ في الكُتُبِ </w:t>
      </w:r>
      <w:r>
        <w:rPr>
          <w:rFonts w:eastAsia="Amiri" w:cs="Amiri" w:ascii="Amiri" w:hAnsi="Amiri"/>
          <w:color w:val="111111"/>
          <w:sz w:val="28"/>
          <w:szCs w:val="28"/>
          <w:rtl w:val="true"/>
          <w:lang w:bidi="ar-SA"/>
        </w:rPr>
        <w:t>.</w:t>
      </w:r>
      <w:r>
        <w:rPr>
          <w:rStyle w:val="FootnoteAnchor"/>
          <w:rtl w:val="true"/>
        </w:rPr>
        <w:footnoteReference w:id="3865"/>
      </w:r>
      <w:bookmarkStart w:id="631" w:name="pg20015_285179"/>
    </w:p>
    <w:p>
      <w:pPr>
        <w:pStyle w:val="BookText"/>
        <w:rPr/>
      </w:pPr>
      <w:bookmarkEnd w:id="631"/>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غيرُ معروفةٍ ، و إنّما يَنفرِدُ بِادّعائها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بيّنّا أنّ الخبرَ عن الحُسَينِ عليه السلامُ يَجري مَجراها، و كانَ غرضُنا إسقاطَ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نُقِلَ كذا و لَم يُنقَلْ كذا؟</w:t>
      </w:r>
    </w:p>
    <w:p>
      <w:pPr>
        <w:pStyle w:val="BookText"/>
        <w:rPr/>
      </w:pPr>
      <w:r>
        <w:rPr>
          <w:rFonts w:ascii="Amiri" w:hAnsi="Amiri" w:eastAsia="Amiri" w:cs="Amiri"/>
          <w:color w:val="111111"/>
          <w:sz w:val="28"/>
          <w:sz w:val="28"/>
          <w:szCs w:val="28"/>
          <w:rtl w:val="true"/>
          <w:lang w:bidi="ar-SA"/>
        </w:rPr>
        <w:t>و ليس لهم أيضاً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866"/>
      </w:r>
      <w:r>
        <w:rPr>
          <w:rFonts w:ascii="Amiri" w:hAnsi="Amiri" w:eastAsia="Amiri" w:cs="Amiri"/>
          <w:color w:val="111111"/>
          <w:sz w:val="28"/>
          <w:sz w:val="28"/>
          <w:szCs w:val="28"/>
          <w:rtl w:val="true"/>
          <w:lang w:bidi="ar-SA"/>
        </w:rPr>
        <w:t xml:space="preserve">جميعَ ما رَوَيتموه لَيسَ فيه تصريحٌ مِن أميرِ المؤمِنينَ عليه السلامُ بالنصِّ ، و قد يُمكِنُ أن يَكونَ تظلُّمُه مصروفاً إلىٰ ما كانَ يَعتقِدُه عليه السلامُ مِن أنّه أحَقُّ بالأمرِ و أَولىٰ بالتقدُّمِ </w:t>
      </w:r>
      <w:r>
        <w:rPr>
          <w:rStyle w:val="FootnoteAnchor"/>
          <w:rtl w:val="true"/>
        </w:rPr>
        <w:footnoteReference w:id="3867"/>
      </w:r>
      <w:r>
        <w:rPr>
          <w:rFonts w:ascii="Amiri" w:hAnsi="Amiri" w:eastAsia="Amiri" w:cs="Amiri"/>
          <w:color w:val="111111"/>
          <w:sz w:val="28"/>
          <w:sz w:val="28"/>
          <w:szCs w:val="28"/>
          <w:rtl w:val="true"/>
          <w:lang w:bidi="ar-SA"/>
        </w:rPr>
        <w:t xml:space="preserve">فيه، و قد كانَ يَعتقِدُ أيضاً فيه ذلكَ جماعةٌ </w:t>
      </w:r>
      <w:r>
        <w:rPr>
          <w:rStyle w:val="FootnoteAnchor"/>
          <w:rtl w:val="true"/>
        </w:rPr>
        <w:footnoteReference w:id="3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ظاهرَ الأقوالِ المَرويّةِ يَقتَضي خِلافَ هذا التأويلِ الفاسدِ؛ لأنّ الظُّلْمَ لا يُطلِقُه أحَدٌ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مِثلُ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إلّافي غَصبِ الحقوقِ الواجبةِ ، فإذا انضافَ إلىٰ ذلكَ التصريحُ بذِكرِ مَنعِ الإرثِ و الحَقِّ علىٰ جهةِ الاستعداءِ ، لَم يَبقَ شُبهةٌ في فَسادِ تأويلِ المخالِفِ </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895167_2320776876"/>
      <w:bookmarkStart w:id="633" w:name="_Toc225"/>
      <w:bookmarkEnd w:id="632"/>
      <w:r>
        <w:rPr>
          <w:rtl w:val="true"/>
        </w:rPr>
        <w:t>عدم دلالة البيعة علىٰ بطلان النصّ</w:t>
      </w:r>
      <w:bookmarkEnd w:id="63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الوجهُ في قولِ العبّاسِ رحمه اللّٰه لأميرِ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أُمدُدْ يدَكَ أُبايِعْكَ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لَيسَ هذا</w:t>
      </w:r>
      <w:r>
        <w:rPr>
          <w:rStyle w:val="FootnoteAnchor"/>
          <w:rtl w:val="true"/>
        </w:rPr>
        <w:footnoteReference w:id="3869"/>
      </w:r>
      <w:r>
        <w:rPr>
          <w:rFonts w:ascii="Amiri" w:hAnsi="Amiri" w:eastAsia="Amiri" w:cs="Amiri"/>
          <w:color w:val="111111"/>
          <w:sz w:val="28"/>
          <w:sz w:val="28"/>
          <w:szCs w:val="28"/>
          <w:rtl w:val="true"/>
          <w:lang w:bidi="ar-SA"/>
        </w:rPr>
        <w:t>ظاهرَ القولِ يَقتَضي بُطلانَ النصِّ؟ لأنّ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رسوله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ساكت لا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عليّ بقبر رسول اللّٰه صلى اللّٰه عليه و آله يصيح و يبكي 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اسْتَضْعَفُونِي وَ 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المنصوصَ عليه لا يَحتاجُ إلَى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رحمه اللّٰه لمّا بلَغَه فِعلُ أهلِ السقيفةِ و قَصدُهم الأمرَ مِن جهةِ الاختيارِ، أرادَ أن يَحتجَّ عليهم بمِثلِ حُجّتِهم، فسألَ أميرَ المؤمِنينَ عليه السلامُ بَسْطَ يدِه للبَيعةِ ليُبايِعَه، فيَكونَ آخِذاً للحُجّةِ مِن جميعِ جهاتِها، و مُضيِّعاً</w:t>
      </w:r>
      <w:r>
        <w:rPr>
          <w:rStyle w:val="FootnoteAnchor"/>
          <w:rtl w:val="true"/>
        </w:rPr>
        <w:footnoteReference w:id="3870"/>
      </w:r>
      <w:r>
        <w:rPr>
          <w:rFonts w:ascii="Amiri" w:hAnsi="Amiri" w:eastAsia="Amiri" w:cs="Amiri"/>
          <w:color w:val="111111"/>
          <w:sz w:val="28"/>
          <w:sz w:val="28"/>
          <w:szCs w:val="28"/>
          <w:rtl w:val="true"/>
          <w:lang w:bidi="ar-SA"/>
        </w:rPr>
        <w:t>لعُذرِهم فيما صَنَعوه؛ مِن حَيثُ كانَت حالُهم لا تَعدو</w:t>
      </w:r>
      <w:r>
        <w:rPr>
          <w:rStyle w:val="FootnoteAnchor"/>
          <w:rtl w:val="true"/>
        </w:rPr>
        <w:footnoteReference w:id="3871"/>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يَرجِعوا إلَى الحَقِّ و يُسلِّموا الأمرَ إلىٰ مَن عقَدَه له الرسولُ </w:t>
      </w:r>
      <w:r>
        <w:rPr>
          <w:rStyle w:val="FootnoteAnchor"/>
          <w:rtl w:val="true"/>
        </w:rPr>
        <w:footnoteReference w:id="3872"/>
      </w:r>
      <w:r>
        <w:rPr>
          <w:rFonts w:ascii="Amiri" w:hAnsi="Amiri" w:eastAsia="Amiri" w:cs="Amiri"/>
          <w:color w:val="111111"/>
          <w:sz w:val="28"/>
          <w:sz w:val="28"/>
          <w:szCs w:val="28"/>
          <w:rtl w:val="true"/>
          <w:lang w:bidi="ar-SA"/>
        </w:rPr>
        <w:t xml:space="preserve">صَلّى اللّٰهُ عليه و آلِه، فيَكونَ الأَولىٰ و الأَوجَبَ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يَتمسَّكوا بالاختيارِ و يَحتَجّوا به، فيَكونَ ما فعَلَه العبّاسُ رضي اللّٰه عنه مِن البَيعةِ في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البَيعةَ لا تُنافي النصَّ‌، و لا تدُلُّ علىٰ بُطلانِه؛ لأنّه غيرُ ممتنِعٍ‌</w:t>
      </w:r>
      <w:r>
        <w:rPr>
          <w:rStyle w:val="FootnoteAnchor"/>
          <w:rtl w:val="true"/>
        </w:rPr>
        <w:footnoteReference w:id="3873"/>
      </w:r>
      <w:r>
        <w:rPr>
          <w:rFonts w:ascii="Amiri" w:hAnsi="Amiri" w:eastAsia="Amiri" w:cs="Amiri"/>
          <w:color w:val="111111"/>
          <w:sz w:val="28"/>
          <w:sz w:val="28"/>
          <w:szCs w:val="28"/>
          <w:rtl w:val="true"/>
          <w:lang w:bidi="ar-SA"/>
        </w:rPr>
        <w:t>أن تقَعَ‌</w:t>
      </w:r>
      <w:r>
        <w:rPr>
          <w:rStyle w:val="FootnoteAnchor"/>
          <w:rtl w:val="true"/>
        </w:rPr>
        <w:footnoteReference w:id="3874"/>
      </w:r>
      <w:r>
        <w:rPr>
          <w:rFonts w:ascii="Amiri" w:hAnsi="Amiri" w:eastAsia="Amiri" w:cs="Amiri"/>
          <w:color w:val="111111"/>
          <w:sz w:val="28"/>
          <w:sz w:val="28"/>
          <w:szCs w:val="28"/>
          <w:rtl w:val="true"/>
          <w:lang w:bidi="ar-SA"/>
        </w:rPr>
        <w:t>البَيعةُ مع تقدُّمِ النصِّ‌، و يَكونَ الغرضُ في إيقاعِها القيامَ بالنُّصرةِ و الذبِّ عن الأمرِ، و دَفْعَ مَن 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علىٰ ما ظَنُّوه مِن دَلالةِ البَيعةِ علىٰ صحّةِ الاختيارِ، لَوَجَبَ أن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w:t>
      </w:r>
      <w:r>
        <w:rPr>
          <w:rStyle w:val="FootnoteAnchor"/>
          <w:rtl w:val="true"/>
        </w:rPr>
        <w:footnoteReference w:id="3875"/>
      </w:r>
      <w:r>
        <w:rPr>
          <w:rFonts w:ascii="Amiri" w:hAnsi="Amiri" w:eastAsia="Amiri" w:cs="Amiri"/>
          <w:color w:val="111111"/>
          <w:sz w:val="28"/>
          <w:sz w:val="28"/>
          <w:szCs w:val="28"/>
          <w:rtl w:val="true"/>
          <w:lang w:bidi="ar-SA"/>
        </w:rPr>
        <w:t>مبايَعةُ النبيِّ صَلّى اللّٰهُ عليه و آلِه الأنصارَ</w:t>
      </w:r>
      <w:r>
        <w:rPr>
          <w:rStyle w:val="FootnoteAnchor"/>
          <w:rtl w:val="true"/>
        </w:rPr>
        <w:footnoteReference w:id="3876"/>
      </w:r>
      <w:r>
        <w:rPr>
          <w:rFonts w:ascii="Amiri" w:hAnsi="Amiri" w:eastAsia="Amiri" w:cs="Amiri"/>
          <w:color w:val="111111"/>
          <w:sz w:val="28"/>
          <w:sz w:val="28"/>
          <w:szCs w:val="28"/>
          <w:rtl w:val="true"/>
          <w:lang w:bidi="ar-SA"/>
        </w:rPr>
        <w:t xml:space="preserve">لَيلةَ العَقَبةِ </w:t>
      </w:r>
      <w:r>
        <w:rPr>
          <w:rStyle w:val="FootnoteAnchor"/>
          <w:rtl w:val="true"/>
        </w:rPr>
        <w:footnoteReference w:id="3877"/>
      </w:r>
      <w:r>
        <w:rPr>
          <w:rFonts w:ascii="Amiri" w:hAnsi="Amiri" w:eastAsia="Amiri" w:cs="Amiri"/>
          <w:color w:val="111111"/>
          <w:sz w:val="28"/>
          <w:sz w:val="28"/>
          <w:szCs w:val="28"/>
          <w:rtl w:val="true"/>
          <w:lang w:bidi="ar-SA"/>
        </w:rPr>
        <w:t xml:space="preserve">و مبايَعةُ المهاجِرينَ </w:t>
      </w:r>
    </w:p>
    <w:p>
      <w:pPr>
        <w:pStyle w:val="BookText"/>
        <w:rPr/>
      </w:pPr>
      <w:r>
        <w:rPr>
          <w:rFonts w:ascii="Amiri" w:hAnsi="Amiri" w:eastAsia="Amiri" w:cs="Amiri"/>
          <w:color w:val="111111"/>
          <w:sz w:val="28"/>
          <w:sz w:val="28"/>
          <w:szCs w:val="28"/>
          <w:rtl w:val="true"/>
          <w:lang w:bidi="ar-SA"/>
        </w:rPr>
        <w:t xml:space="preserve">و الأنصارِ بَيعةَ الرِّضوانِ عندَ الشجَرةِ </w:t>
      </w:r>
      <w:r>
        <w:rPr>
          <w:rStyle w:val="FootnoteAnchor"/>
          <w:rtl w:val="true"/>
        </w:rPr>
        <w:footnoteReference w:id="3878"/>
      </w:r>
      <w:r>
        <w:rPr>
          <w:rFonts w:ascii="Amiri" w:hAnsi="Amiri" w:eastAsia="Amiri" w:cs="Amiri"/>
          <w:color w:val="111111"/>
          <w:sz w:val="28"/>
          <w:sz w:val="28"/>
          <w:szCs w:val="28"/>
          <w:rtl w:val="true"/>
          <w:lang w:bidi="ar-SA"/>
        </w:rPr>
        <w:t xml:space="preserve">دَلالةً علىٰ ثُبوتِ نُبوّتِه و فَرضِ طاعتِه مِن جهةِ الاختيارِ، و لَساغَ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الحاجةُ إلَى البَيعةِ مع تقدُّمِ النبوّةِ و وجوبِ فَرضِ الطاعةِ؟ و لَوَجَبَ أيضاً أن يَكونَ نصُّ أبي بَكرٍ علىٰ عُمَرَ بالخِلافةِ يُغنيهِ عن البَيعةِ ؛ و قد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 أبي بكَرٍ عليه</w:t>
      </w:r>
      <w:r>
        <w:rPr>
          <w:rStyle w:val="FootnoteAnchor"/>
          <w:rtl w:val="true"/>
        </w:rPr>
        <w:footnoteReference w:id="3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الناسَ علىٰ بَيعتِه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الأنصار اثنا عشر رجلاً، فبايعوه بيعة النساء أي من غير قتال، و ذلك قبل أن تفرض الحرب عليهم، و كان في طليعتهم عبادة بن الصامت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العقبة الأُولى، و كنّا اثني عشر رجلاً، فبايعنا رسول اللّٰه صلّى اللّٰه عليه و آله على بيعة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أن تفترض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نشرك باللّٰه شيئاً، و لا نسرق، و لا نزني، و لا نقتل أولادنا، و لا نأتي ببهتان نفتريه بين أيدينا و أرجلنا، و لا نعصيه في معروف، فإن توفّيتم فلكم الجنّة، و إن غشيتم من ذلك شيئاً فأمركم إلى اللّٰه عزّ و جلّ ، إن شاء عذّب و إن شاء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تلاحقت القبائل للبيعة على ذلك كبني النجّار، و بني زريق، و بني عوف، و بني سالم، و بني سلمة، و بني سواد، و الأوس، و بني عمرو، و بعد أن تمّت البيعة بعث النبيّ صلّى اللّٰه عليه و آله مصعب بن عمير، و أمره أن يقرئهم القرآن، و يعلّمهم الإسلام و يفقّههم في الدين، فكان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على أسعد بن زرارة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634" w:name="pg20015_285182"/>
    </w:p>
    <w:p>
      <w:pPr>
        <w:pStyle w:val="BookText"/>
        <w:rPr/>
      </w:pPr>
      <w:bookmarkEnd w:id="634"/>
      <w:r>
        <w:rPr>
          <w:rFonts w:ascii="Amiri" w:hAnsi="Amiri" w:eastAsia="Amiri" w:cs="Amiri"/>
          <w:color w:val="111111"/>
          <w:sz w:val="28"/>
          <w:sz w:val="28"/>
          <w:szCs w:val="28"/>
          <w:rtl w:val="true"/>
          <w:lang w:bidi="ar-SA"/>
        </w:rPr>
        <w:t>و دَعاهم إليها فبايَعوه، و لَم يَمنَعْ تقدُّمُ النصِّ مِن</w:t>
      </w:r>
      <w:r>
        <w:rPr>
          <w:rStyle w:val="FootnoteAnchor"/>
          <w:rtl w:val="true"/>
        </w:rPr>
        <w:footnoteReference w:id="3880"/>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بجميعِ ما ذَكَرناه ما توَهَّموه</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95169_2320776876"/>
      <w:bookmarkStart w:id="636" w:name="_Toc226"/>
      <w:bookmarkEnd w:id="635"/>
      <w:r>
        <w:rPr>
          <w:rtl w:val="true"/>
        </w:rPr>
        <w:t>بيان الوجه في عدم الاحتجاج بالنصِّ</w:t>
      </w:r>
      <w:bookmarkEnd w:id="63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رُويَ كُلُّ ذلكَ ، و لَم يُروَ عن أحَدٍ أنّه قالَ في تلكَ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المَذهبُ عن أميرِ المؤمِنينَ عليه السلامُ و هو الإمامُ الذي أقامَه الرسولُ صَلّى اللّٰهُ عليه و آلِه بالأمسِ و نَصَّ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لَم يُروَ لأنّه لَم يَكُنْ‌، و السببُ في أنّه لَم يَقَعْ في تلكَ المَجامعِ أمثالُ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الحاضِرينَ للسَّقيفةِ قَصَدوا في الأمرِ طريقَ التغلُّبِ و الاستبدادِ؛ لأنّهم تفَرَّدوا بتدبيرِه مِن غيرِ مشاوَرةٍ لبَني هاشِمٍ و خاصّتِهم و المنضَمّينَ‌</w:t>
      </w:r>
      <w:r>
        <w:rPr>
          <w:rStyle w:val="FootnoteAnchor"/>
          <w:rtl w:val="true"/>
        </w:rPr>
        <w:footnoteReference w:id="3881"/>
      </w:r>
      <w:r>
        <w:rPr>
          <w:rFonts w:ascii="Amiri" w:hAnsi="Amiri" w:eastAsia="Amiri" w:cs="Amiri"/>
          <w:color w:val="111111"/>
          <w:sz w:val="28"/>
          <w:sz w:val="28"/>
          <w:szCs w:val="28"/>
          <w:rtl w:val="true"/>
          <w:lang w:bidi="ar-SA"/>
        </w:rPr>
        <w:t>إليهم فيه</w:t>
      </w:r>
      <w:r>
        <w:rPr>
          <w:rStyle w:val="FootnoteAnchor"/>
          <w:rtl w:val="true"/>
        </w:rPr>
        <w:footnoteReference w:id="3882"/>
      </w:r>
      <w:r>
        <w:rPr>
          <w:rFonts w:ascii="Amiri" w:hAnsi="Amiri" w:eastAsia="Amiri" w:cs="Amiri"/>
          <w:color w:val="111111"/>
          <w:sz w:val="28"/>
          <w:sz w:val="28"/>
          <w:szCs w:val="28"/>
          <w:rtl w:val="true"/>
          <w:lang w:bidi="ar-SA"/>
        </w:rPr>
        <w:t>، و لا مطالَعةٍ لواحِدٍ</w:t>
      </w:r>
      <w:r>
        <w:rPr>
          <w:rStyle w:val="FootnoteAnchor"/>
          <w:rtl w:val="true"/>
        </w:rPr>
        <w:footnoteReference w:id="3883"/>
      </w:r>
      <w:r>
        <w:rPr>
          <w:rFonts w:ascii="IRNazanin" w:hAnsi="IRNazanin" w:eastAsia="IRNazanin"/>
          <w:color w:val="111111"/>
          <w:sz w:val="28"/>
          <w:sz w:val="28"/>
          <w:szCs w:val="28"/>
          <w:rtl w:val="true"/>
          <w:lang w:bidi="fa-IR"/>
        </w:rPr>
        <w:t>منهم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ظهَرَت كلمتُهم علَى</w:t>
      </w:r>
      <w:r>
        <w:rPr>
          <w:rStyle w:val="FootnoteAnchor"/>
          <w:rtl w:val="true"/>
        </w:rPr>
        <w:footnoteReference w:id="3884"/>
      </w:r>
      <w:r>
        <w:rPr>
          <w:rFonts w:ascii="Amiri" w:hAnsi="Amiri" w:eastAsia="Amiri" w:cs="Amiri"/>
          <w:color w:val="111111"/>
          <w:sz w:val="28"/>
          <w:sz w:val="28"/>
          <w:szCs w:val="28"/>
          <w:rtl w:val="true"/>
          <w:lang w:bidi="ar-SA"/>
        </w:rPr>
        <w:t>الأنصارِ بمَيلِ مَن مالَ إليهم مِن جُملتِهم بادَرَ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 فصفَقَ علىٰ يدِ أبي بَكرٍ بالبَيعةِ‌،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المسلمونَ‌، و اجتمَعَ عليه الأنصارُ و المهاجِرونَ ، و حُمِلَ الناسُ علَى المبايَعةِ حَملاً، و أُخِذوا بها أخذاً؛ حتّىٰ وُطئَ </w:t>
      </w:r>
      <w:r>
        <w:rPr>
          <w:rStyle w:val="FootnoteAnchor"/>
          <w:rtl w:val="true"/>
        </w:rPr>
        <w:footnoteReference w:id="3885"/>
      </w:r>
      <w:r>
        <w:rPr>
          <w:rFonts w:ascii="Amiri" w:hAnsi="Amiri" w:eastAsia="Amiri" w:cs="Amiri"/>
          <w:color w:val="111111"/>
          <w:sz w:val="28"/>
          <w:sz w:val="28"/>
          <w:szCs w:val="28"/>
          <w:rtl w:val="true"/>
          <w:lang w:bidi="ar-SA"/>
        </w:rPr>
        <w:t xml:space="preserve">سَعدُ بنُ عُبادةَ ، و وُجئَ عُنُقُ عَمّارٍ، و كُسِرَ سَيفُ الزُّبَيرِ، و روسِلَ أميرُ المؤمِنينَ عليه السلامُ و مَن كانَ في جهتِه بالدُّعاءِ إلَى البَيعةِ مُراسَلةَ مَن يَرىٰ أنّ </w:t>
      </w:r>
    </w:p>
    <w:p>
      <w:pPr>
        <w:pStyle w:val="BookText"/>
        <w:rPr/>
      </w:pPr>
      <w:r>
        <w:rPr>
          <w:rFonts w:ascii="Amiri" w:hAnsi="Amiri" w:eastAsia="Amiri" w:cs="Amiri"/>
          <w:color w:val="111111"/>
          <w:sz w:val="28"/>
          <w:sz w:val="28"/>
          <w:szCs w:val="28"/>
          <w:rtl w:val="true"/>
          <w:lang w:bidi="ar-SA"/>
        </w:rPr>
        <w:t>البَيعةَ قد لَزِمَته، و أنّ التأخُّرَ عنها خَلعٌ للطاعةِ و خِلافٌ علَى الجماعةِ ، و ضَمُّوا إلىٰ ذلكَ ضَرباً مِن التوَعُّدِ و التهدُّدِ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ذَكَرناه قد ذَكرَه الرُّواةُ و شَرَحوه، فأيُّ كلامٍ يَبقىٰ لمتكلِّمٍ؟ و أيُّ حُجّةٍ تثبُتُ لمُحتجٍّ؟</w:t>
      </w:r>
    </w:p>
    <w:p>
      <w:pPr>
        <w:pStyle w:val="BookText"/>
        <w:rPr/>
      </w:pPr>
      <w:r>
        <w:rPr>
          <w:rFonts w:ascii="Amiri" w:hAnsi="Amiri" w:eastAsia="Amiri" w:cs="Amiri"/>
          <w:color w:val="111111"/>
          <w:sz w:val="28"/>
          <w:sz w:val="28"/>
          <w:szCs w:val="28"/>
          <w:rtl w:val="true"/>
          <w:lang w:bidi="ar-SA"/>
        </w:rPr>
        <w:t xml:space="preserve">و في بعضِ ما جَرىٰ عُذرٌ واضحٌ و مانعٌ ظاهرٌ لِمَن أمسَكَ عن مواقَفةٍ </w:t>
      </w:r>
      <w:r>
        <w:rPr>
          <w:rStyle w:val="FootnoteAnchor"/>
          <w:rtl w:val="true"/>
        </w:rPr>
        <w:footnoteReference w:id="3886"/>
      </w:r>
      <w:r>
        <w:rPr>
          <w:rFonts w:ascii="Amiri" w:hAnsi="Amiri" w:eastAsia="Amiri" w:cs="Amiri"/>
          <w:color w:val="111111"/>
          <w:sz w:val="28"/>
          <w:sz w:val="28"/>
          <w:szCs w:val="28"/>
          <w:rtl w:val="true"/>
          <w:lang w:bidi="ar-SA"/>
        </w:rPr>
        <w:t xml:space="preserve">أو إيرادِ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 حِكايةً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جازَ أن يَقولَ له العبّاسُ و رسولُ اللّٰهِ صَلّى اللّٰهُ عليه</w:t>
      </w:r>
      <w:r>
        <w:rPr>
          <w:rStyle w:val="FootnoteAnchor"/>
          <w:rtl w:val="true"/>
        </w:rPr>
        <w:footnoteReference w:id="3887"/>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w:t>
      </w:r>
      <w:r>
        <w:rPr>
          <w:rStyle w:val="FootnoteAnchor"/>
          <w:rtl w:val="true"/>
        </w:rPr>
        <w:footnoteReference w:id="3888"/>
      </w:r>
      <w:r>
        <w:rPr>
          <w:rFonts w:ascii="Amiri" w:hAnsi="Amiri" w:eastAsia="Amiri" w:cs="Amiri"/>
          <w:color w:val="111111"/>
          <w:sz w:val="28"/>
          <w:sz w:val="28"/>
          <w:szCs w:val="28"/>
          <w:rtl w:val="true"/>
          <w:lang w:bidi="ar-SA"/>
        </w:rPr>
        <w:t>عن هذا الأمرِ؛ فإنْ كانَ لنا بَيَّنَه، و إنْ كانَ لغَيرِنا وَصّىٰ‌</w:t>
      </w:r>
      <w:r>
        <w:rPr>
          <w:rStyle w:val="FootnoteAnchor"/>
          <w:rtl w:val="true"/>
        </w:rPr>
        <w:footnoteReference w:id="3889"/>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البَيانِ المتقدِّمِ؟</w:t>
      </w:r>
    </w:p>
    <w:p>
      <w:pPr>
        <w:pStyle w:val="BookText"/>
        <w:rPr/>
      </w:pPr>
      <w:r>
        <w:rPr>
          <w:rFonts w:ascii="Amiri" w:hAnsi="Amiri" w:eastAsia="Amiri" w:cs="Amiri"/>
          <w:color w:val="111111"/>
          <w:sz w:val="28"/>
          <w:sz w:val="28"/>
          <w:szCs w:val="28"/>
          <w:rtl w:val="true"/>
          <w:lang w:bidi="ar-SA"/>
        </w:rPr>
        <w:t>و كَيفَ ساغَ لأبي بَكرٍ أن يَستخلِفَ عُمَرَ؟</w:t>
      </w:r>
    </w:p>
    <w:p>
      <w:pPr>
        <w:pStyle w:val="BookText"/>
        <w:rPr/>
      </w:pPr>
      <w:r>
        <w:rPr>
          <w:rFonts w:ascii="Amiri" w:hAnsi="Amiri" w:eastAsia="Amiri" w:cs="Amiri"/>
          <w:color w:val="111111"/>
          <w:sz w:val="28"/>
          <w:sz w:val="28"/>
          <w:szCs w:val="28"/>
          <w:rtl w:val="true"/>
          <w:lang w:bidi="ar-SA"/>
        </w:rPr>
        <w:t>و كَيفَ جَرَى الأمرُ في بَيعةِ أبي بَكرٍ علىٰ ما جَرىٰ عليه ؟</w:t>
      </w:r>
    </w:p>
    <w:p>
      <w:pPr>
        <w:pStyle w:val="BookText"/>
        <w:rPr/>
      </w:pPr>
      <w:r>
        <w:rPr>
          <w:rFonts w:ascii="Amiri" w:hAnsi="Amiri" w:eastAsia="Amiri" w:cs="Amiri"/>
          <w:color w:val="111111"/>
          <w:sz w:val="28"/>
          <w:sz w:val="28"/>
          <w:szCs w:val="28"/>
          <w:rtl w:val="true"/>
          <w:lang w:bidi="ar-SA"/>
        </w:rPr>
        <w:t xml:space="preserve">و كَيفَ لَم يبيِّنْ أميرُ المؤمنينَ عليه السلامُ أمْرَ نفسِه علىٰ زَعمِهم للتقيّةِ ، مع أنّ غيرَه قد أظهَرَ كَراهةَ </w:t>
      </w:r>
      <w:r>
        <w:rPr>
          <w:rStyle w:val="FootnoteAnchor"/>
          <w:rtl w:val="true"/>
        </w:rPr>
        <w:footnoteReference w:id="3890"/>
      </w:r>
      <w:r>
        <w:rPr>
          <w:rFonts w:ascii="Amiri" w:hAnsi="Amiri" w:eastAsia="Amiri" w:cs="Amiri"/>
          <w:color w:val="111111"/>
          <w:sz w:val="28"/>
          <w:sz w:val="28"/>
          <w:szCs w:val="28"/>
          <w:rtl w:val="true"/>
          <w:lang w:bidi="ar-SA"/>
        </w:rPr>
        <w:t>ما فعَلَه أبو بَكرٍ، حتّىٰ إنّ طَلحةَ قالَ له في عهدِه إلىٰ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علينا فَظّاً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رَضيَ أميرُ المؤمِنينَ عليه السلامُ أن يَكونَ في الشُّورىٰ ، مع ما تردَّدَ</w:t>
      </w:r>
      <w:r>
        <w:rPr>
          <w:rStyle w:val="FootnoteAnchor"/>
          <w:rtl w:val="true"/>
        </w:rPr>
        <w:footnoteReference w:id="3891"/>
      </w:r>
      <w:r>
        <w:rPr>
          <w:rFonts w:ascii="Amiri" w:hAnsi="Amiri" w:eastAsia="Amiri" w:cs="Amiri"/>
          <w:color w:val="111111"/>
          <w:sz w:val="28"/>
          <w:sz w:val="28"/>
          <w:szCs w:val="28"/>
          <w:rtl w:val="true"/>
          <w:lang w:bidi="ar-SA"/>
        </w:rPr>
        <w:t xml:space="preserve">فيه مِن القولِ حالاً بَعدَ حالٍ؟ </w:t>
      </w:r>
    </w:p>
    <w:p>
      <w:pPr>
        <w:pStyle w:val="BookText"/>
        <w:rPr/>
      </w:pPr>
      <w:r>
        <w:rPr>
          <w:rFonts w:ascii="Amiri" w:hAnsi="Amiri" w:eastAsia="Amiri" w:cs="Amiri"/>
          <w:color w:val="111111"/>
          <w:sz w:val="28"/>
          <w:sz w:val="28"/>
          <w:szCs w:val="28"/>
          <w:rtl w:val="true"/>
          <w:lang w:bidi="ar-SA"/>
        </w:rPr>
        <w:t>و كَيفَ جازَ أن لا يُنكِرَ علىٰ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أُمورِ الناسِ‌</w:t>
      </w:r>
      <w:r>
        <w:rPr>
          <w:rStyle w:val="FootnoteAnchor"/>
          <w:rtl w:val="true"/>
        </w:rPr>
        <w:footnoteReference w:id="3892"/>
      </w:r>
      <w:r>
        <w:rPr>
          <w:rFonts w:ascii="Amiri" w:hAnsi="Amiri" w:eastAsia="Amiri" w:cs="Amiri"/>
          <w:color w:val="111111"/>
          <w:sz w:val="28"/>
          <w:sz w:val="28"/>
          <w:szCs w:val="28"/>
          <w:rtl w:val="true"/>
          <w:lang w:bidi="ar-SA"/>
        </w:rPr>
        <w:t>شيئاً فلا تَحمِلْ بَني هاشِمٍ علىٰ 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 قد عَرَفتَ النصَّ علَيَّ و الإشارةَ إليَّ‌، و لَيسَت بي حاجةٌ إلىٰ أن أُوَلّىٰ‌</w:t>
      </w:r>
      <w:r>
        <w:rPr>
          <w:rStyle w:val="FootnoteAnchor"/>
          <w:rtl w:val="true"/>
        </w:rPr>
        <w:footnoteReference w:id="38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لَم يَذكُرْ هذا النصَّ الظاهرَ فيعُدَّه</w:t>
      </w:r>
      <w:r>
        <w:rPr>
          <w:rStyle w:val="FootnoteAnchor"/>
          <w:rtl w:val="true"/>
        </w:rPr>
        <w:footnoteReference w:id="3894"/>
      </w:r>
      <w:r>
        <w:rPr>
          <w:rFonts w:ascii="Amiri" w:hAnsi="Amiri" w:eastAsia="Amiri" w:cs="Amiri"/>
          <w:color w:val="111111"/>
          <w:sz w:val="28"/>
          <w:sz w:val="28"/>
          <w:szCs w:val="28"/>
          <w:rtl w:val="true"/>
          <w:lang w:bidi="ar-SA"/>
        </w:rPr>
        <w:t>في مَناقبِه حينَ‌</w:t>
      </w:r>
      <w:r>
        <w:rPr>
          <w:rStyle w:val="FootnoteAnchor"/>
          <w:rtl w:val="true"/>
        </w:rPr>
        <w:footnoteReference w:id="3895"/>
      </w:r>
      <w:r>
        <w:rPr>
          <w:rFonts w:ascii="Amiri" w:hAnsi="Amiri" w:eastAsia="Amiri" w:cs="Amiri"/>
          <w:color w:val="111111"/>
          <w:sz w:val="28"/>
          <w:sz w:val="28"/>
          <w:szCs w:val="28"/>
          <w:rtl w:val="true"/>
          <w:lang w:bidi="ar-SA"/>
        </w:rPr>
        <w:t>صارَ الأمرُ إليه، و في وقتِ الحاجةِ‌، مع أنّه كانَ يعُدُّ مَناقبَه في المَحافلِ و المَشاهدِ في أيّامِ معاويةَ و قَبلَه‌؟</w:t>
      </w:r>
    </w:p>
    <w:p>
      <w:pPr>
        <w:pStyle w:val="BookText"/>
        <w:rPr/>
      </w:pPr>
      <w:r>
        <w:rPr>
          <w:rFonts w:ascii="Amiri" w:hAnsi="Amiri" w:eastAsia="Amiri" w:cs="Amiri"/>
          <w:color w:val="111111"/>
          <w:sz w:val="28"/>
          <w:sz w:val="28"/>
          <w:szCs w:val="28"/>
          <w:rtl w:val="true"/>
          <w:lang w:bidi="ar-SA"/>
        </w:rPr>
        <w:t>و كَيفَ صَحَّ مع ذلكَ أن يعاضِدَ</w:t>
      </w:r>
      <w:r>
        <w:rPr>
          <w:rStyle w:val="FootnoteAnchor"/>
          <w:rtl w:val="true"/>
        </w:rPr>
        <w:footnoteReference w:id="3896"/>
      </w:r>
      <w:r>
        <w:rPr>
          <w:rFonts w:ascii="Amiri" w:hAnsi="Amiri" w:eastAsia="Amiri" w:cs="Amiri"/>
          <w:color w:val="111111"/>
          <w:sz w:val="28"/>
          <w:sz w:val="28"/>
          <w:szCs w:val="28"/>
          <w:rtl w:val="true"/>
          <w:lang w:bidi="ar-SA"/>
        </w:rPr>
        <w:t>أبا بَكرٍ و عُمَرَ و عُثمانَ و يَنتَهيَ إلىٰ آرائهم</w:t>
      </w:r>
      <w:r>
        <w:rPr>
          <w:rStyle w:val="FootnoteAnchor"/>
          <w:rtl w:val="true"/>
        </w:rPr>
        <w:footnoteReference w:id="3897"/>
      </w:r>
      <w:r>
        <w:rPr>
          <w:rFonts w:ascii="Amiri" w:hAnsi="Amiri" w:eastAsia="Amiri" w:cs="Amiri"/>
          <w:color w:val="111111"/>
          <w:sz w:val="28"/>
          <w:sz w:val="28"/>
          <w:szCs w:val="28"/>
          <w:rtl w:val="true"/>
          <w:lang w:bidi="ar-SA"/>
        </w:rPr>
        <w:t>في إقامةِ الحُدودِ و غيرِها، علىٰ ما نُقِلَ؟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يدُلُّ مِن حالِ الصحابةِ علىٰ بُطلانِ هذه الدعوىٰ علَى النصِّ‌</w:t>
      </w:r>
      <w:r>
        <w:rPr>
          <w:rStyle w:val="FootnoteAnchor"/>
          <w:rtl w:val="true"/>
        </w:rPr>
        <w:footnoteReference w:id="3898"/>
      </w:r>
      <w:r>
        <w:rPr>
          <w:rFonts w:ascii="Amiri" w:hAnsi="Amiri" w:eastAsia="Amiri" w:cs="Amiri"/>
          <w:color w:val="111111"/>
          <w:sz w:val="28"/>
          <w:sz w:val="28"/>
          <w:szCs w:val="28"/>
          <w:rtl w:val="true"/>
          <w:lang w:bidi="ar-SA"/>
        </w:rPr>
        <w:t xml:space="preserve">، كما دَلَّت أحوالُها و أحوالُ الأُمّةِ علىٰ أنّه عليه السلامُ لَم يُقِمِ العبّاسَ إماماً؛ لأنّ الدليلَ علىٰ نفيِ هذه الأُمورِ الجاريةِ </w:t>
      </w:r>
      <w:r>
        <w:rPr>
          <w:rStyle w:val="FootnoteAnchor"/>
          <w:rtl w:val="true"/>
        </w:rPr>
        <w:footnoteReference w:id="3899"/>
      </w:r>
      <w:r>
        <w:rPr>
          <w:rFonts w:ascii="Amiri" w:hAnsi="Amiri" w:eastAsia="Amiri" w:cs="Amiri"/>
          <w:color w:val="111111"/>
          <w:sz w:val="28"/>
          <w:sz w:val="28"/>
          <w:szCs w:val="28"/>
          <w:rtl w:val="true"/>
          <w:lang w:bidi="ar-SA"/>
        </w:rPr>
        <w:t xml:space="preserve">هذا المَجرىٰ لَيسَ حصولَ الروايةِ أنّ ذلكَ لَم يَكُن، و إنّما يَكونُ الدليلُ علىٰ ذلكَ كَونَ أشياءَ كانَت لا تَكونُ لَو كانَ هذا النصُّ صحيحاً، أو فَقْدَ أشياءَ </w:t>
      </w:r>
      <w:bookmarkStart w:id="637" w:name="pg20015_285185"/>
    </w:p>
    <w:p>
      <w:pPr>
        <w:pStyle w:val="BookText"/>
        <w:rPr/>
      </w:pPr>
      <w:bookmarkEnd w:id="637"/>
      <w:r>
        <w:rPr>
          <w:rFonts w:ascii="Amiri" w:hAnsi="Amiri" w:eastAsia="Amiri" w:cs="Amiri"/>
          <w:color w:val="111111"/>
          <w:sz w:val="28"/>
          <w:sz w:val="28"/>
          <w:szCs w:val="28"/>
          <w:rtl w:val="true"/>
          <w:lang w:bidi="ar-SA"/>
        </w:rPr>
        <w:t>كانَت تَكونُ لَو كانَ هذا النصُّ صحيحاً، فلمّا</w:t>
      </w:r>
      <w:r>
        <w:rPr>
          <w:rStyle w:val="FootnoteAnchor"/>
          <w:rtl w:val="true"/>
        </w:rPr>
        <w:footnoteReference w:id="3900"/>
      </w:r>
      <w:r>
        <w:rPr>
          <w:rFonts w:ascii="Amiri" w:hAnsi="Amiri" w:eastAsia="Amiri" w:cs="Amiri"/>
          <w:color w:val="111111"/>
          <w:sz w:val="28"/>
          <w:sz w:val="28"/>
          <w:szCs w:val="28"/>
          <w:rtl w:val="true"/>
          <w:lang w:bidi="ar-SA"/>
        </w:rPr>
        <w:t>عَلِمنا أنّه لا يَجوزُ أن يَكونَ عليه السلامُ يَنُصُّ بالإمامةِ علىٰ رجُلٍ معيَّنٍ علىٰ رُؤُوسِ الأشهادِ و يَظهَرَ ذلكَ عندَ الجَمعِ العظيمِ‌، فلا يَدَّعيَ له ذلكَ‌</w:t>
      </w:r>
      <w:r>
        <w:rPr>
          <w:rStyle w:val="FootnoteAnchor"/>
          <w:rtl w:val="true"/>
        </w:rPr>
        <w:footnoteReference w:id="3901"/>
      </w:r>
      <w:r>
        <w:rPr>
          <w:rFonts w:ascii="Amiri" w:hAnsi="Amiri" w:eastAsia="Amiri" w:cs="Amiri"/>
          <w:color w:val="111111"/>
          <w:sz w:val="28"/>
          <w:sz w:val="28"/>
          <w:szCs w:val="28"/>
          <w:rtl w:val="true"/>
          <w:lang w:bidi="ar-SA"/>
        </w:rPr>
        <w:t>مُدَّعٍ و لا يَدَّعيَه هو لنفسِه، و تَجريَ‌</w:t>
      </w:r>
      <w:r>
        <w:rPr>
          <w:rStyle w:val="FootnoteAnchor"/>
          <w:rtl w:val="true"/>
        </w:rPr>
        <w:footnoteReference w:id="3902"/>
      </w:r>
      <w:r>
        <w:rPr>
          <w:rFonts w:ascii="Amiri" w:hAnsi="Amiri" w:eastAsia="Amiri" w:cs="Amiri"/>
          <w:color w:val="111111"/>
          <w:sz w:val="28"/>
          <w:sz w:val="28"/>
          <w:szCs w:val="28"/>
          <w:rtl w:val="true"/>
          <w:lang w:bidi="ar-SA"/>
        </w:rPr>
        <w:t>أحوالُه علىٰ ما عَلِمناه مِن حالِ أميرِ المؤمِنينَ عليه السلامُ مع سائرِ الصحابةِ‌؛ فقَد صارَ كُلُّ ذلكَ دليلاً علىٰ أنّه عليه السلامُ لَم يُقِمْه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حُكيَ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عليه السلامُ استَخلَفَ أبا بَكرٍ في الصلاةِ ، فكانَ استخلافاً له علَى الأُمّةِ </w:t>
      </w:r>
      <w:r>
        <w:rPr>
          <w:rStyle w:val="FootnoteAnchor"/>
          <w:rtl w:val="true"/>
        </w:rPr>
        <w:footnoteReference w:id="3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في الشُّبهةِ مما يَدَّعيهِ هؤلاءِ القومُ ؛ لأنّه تعلُّقٌ باستخلافِه إيّاه في الصلاةِ التي هي مِن أجَلِّ الشريعةِ ، و جَعلُ الإمامةِ مِثلَها، و إن كانَ لَيسَ في ذلكَ أجمَعَ ما يدُلُّ علَى النصِّ عندَنا</w:t>
      </w:r>
      <w:r>
        <w:rPr>
          <w:rFonts w:eastAsia="Amiri" w:cs="Amiri" w:ascii="Amiri" w:hAnsi="Amiri"/>
          <w:color w:val="111111"/>
          <w:sz w:val="28"/>
          <w:szCs w:val="28"/>
          <w:rtl w:val="true"/>
          <w:lang w:bidi="ar-SA"/>
        </w:rPr>
        <w:t>.</w:t>
      </w:r>
      <w:r>
        <w:rPr>
          <w:rStyle w:val="FootnoteAnchor"/>
          <w:rtl w:val="true"/>
        </w:rPr>
        <w:footnoteReference w:id="3904"/>
      </w:r>
    </w:p>
    <w:p>
      <w:pPr>
        <w:pStyle w:val="Heading4"/>
        <w:numPr>
          <w:ilvl w:val="3"/>
          <w:numId w:val="1"/>
        </w:numPr>
        <w:rPr/>
      </w:pPr>
      <w:bookmarkStart w:id="638" w:name="__RefHeading___Toc895171_2320776876"/>
      <w:bookmarkStart w:id="639" w:name="_Toc227"/>
      <w:bookmarkEnd w:id="638"/>
      <w:r>
        <w:rPr>
          <w:rtl w:val="true"/>
        </w:rPr>
        <w:t>جواب ما ذكره أبو هاشم من شواهد لأجل إبطال النصّ</w:t>
      </w:r>
      <w:bookmarkEnd w:id="639"/>
    </w:p>
    <w:p>
      <w:pPr>
        <w:pStyle w:val="BookText"/>
        <w:rPr/>
      </w:pPr>
      <w:r>
        <w:rPr>
          <w:rFonts w:ascii="Amiri" w:hAnsi="Amiri" w:eastAsia="Amiri" w:cs="Amiri"/>
          <w:color w:val="111111"/>
          <w:sz w:val="28"/>
          <w:sz w:val="28"/>
          <w:szCs w:val="28"/>
          <w:rtl w:val="true"/>
          <w:lang w:bidi="ar-SA"/>
        </w:rPr>
        <w:t>يُقالُ له</w:t>
      </w:r>
      <w:r>
        <w:rPr>
          <w:rStyle w:val="FootnoteAnchor"/>
          <w:rtl w:val="true"/>
        </w:rPr>
        <w:footnoteReference w:id="3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سؤالُ العبّاسِ رضي اللّٰه عنه النبيَّ‌</w:t>
      </w:r>
      <w:r>
        <w:rPr>
          <w:rStyle w:val="FootnoteAnchor"/>
          <w:rtl w:val="true"/>
        </w:rPr>
        <w:footnoteReference w:id="3906"/>
      </w:r>
      <w:r>
        <w:rPr>
          <w:rFonts w:ascii="Amiri" w:hAnsi="Amiri" w:eastAsia="Amiri" w:cs="Amiri"/>
          <w:color w:val="111111"/>
          <w:sz w:val="28"/>
          <w:sz w:val="28"/>
          <w:szCs w:val="28"/>
          <w:rtl w:val="true"/>
          <w:lang w:bidi="ar-SA"/>
        </w:rPr>
        <w:t>صَلّى اللّٰهُ عليه و آلِه عن بَيانِ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مِن بَعدِه، فهو خبرُ واحدٍ غيرُ مقطوعٍ عليه، و مَذهبُنا 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لا تَكونُ متضمِّنةً‌</w:t>
      </w:r>
      <w:r>
        <w:rPr>
          <w:rStyle w:val="FootnoteAnchor"/>
          <w:rtl w:val="true"/>
        </w:rPr>
        <w:footnoteReference w:id="3907"/>
      </w:r>
      <w:r>
        <w:rPr>
          <w:rFonts w:ascii="Amiri" w:hAnsi="Amiri" w:eastAsia="Amiri" w:cs="Amiri"/>
          <w:color w:val="111111"/>
          <w:sz w:val="28"/>
          <w:sz w:val="28"/>
          <w:szCs w:val="28"/>
          <w:rtl w:val="true"/>
          <w:lang w:bidi="ar-SA"/>
        </w:rPr>
        <w:t xml:space="preserve">لِما يَعترِضُ علَى الأدلّةِ و الأخبارِ المتَواتِرةِ المقطوعِ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فكَيفَ بما يَعترِضُ ما ذَكَرناه مِن أخبارِ الآحادِ؟ فمَن جعَلَ هذا الخبرَ المَرويَّ عن العبّاسِ دافعاً لِما تَذهبُ‌</w:t>
      </w:r>
      <w:r>
        <w:rPr>
          <w:rStyle w:val="FootnoteAnchor"/>
          <w:rtl w:val="true"/>
        </w:rPr>
        <w:footnoteReference w:id="3908"/>
      </w:r>
      <w:r>
        <w:rPr>
          <w:rFonts w:ascii="Amiri" w:hAnsi="Amiri" w:eastAsia="Amiri" w:cs="Amiri"/>
          <w:color w:val="111111"/>
          <w:sz w:val="28"/>
          <w:sz w:val="28"/>
          <w:szCs w:val="28"/>
          <w:rtl w:val="true"/>
          <w:lang w:bidi="ar-SA"/>
        </w:rPr>
        <w:t xml:space="preserve">إليه الشيعةُ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دَلَّلنا علىٰ صحّتِه و بيّنّا استفاضةَ الروايةِ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سَلَّمناه و صَحَّت الروايةُ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دافعٍ للنصِّ‌، و لا مُنافٍ له؛ لأنّ سؤالَه رحمه اللّٰه يَحتملُ أن يَكونَ عن حصولِ الأمرِ لهم و ثُبوتِه</w:t>
      </w:r>
      <w:r>
        <w:rPr>
          <w:rStyle w:val="FootnoteAnchor"/>
          <w:rtl w:val="true"/>
        </w:rPr>
        <w:footnoteReference w:id="3909"/>
      </w:r>
      <w:r>
        <w:rPr>
          <w:rFonts w:ascii="Amiri" w:hAnsi="Amiri" w:eastAsia="Amiri" w:cs="Amiri"/>
          <w:color w:val="111111"/>
          <w:sz w:val="28"/>
          <w:sz w:val="28"/>
          <w:szCs w:val="28"/>
          <w:rtl w:val="true"/>
          <w:lang w:bidi="ar-SA"/>
        </w:rPr>
        <w:t>في أيديهِم، لا عن استحقاقِه و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910"/>
      </w:r>
      <w:r>
        <w:rPr>
          <w:rFonts w:ascii="Amiri" w:hAnsi="Amiri" w:eastAsia="Amiri" w:cs="Amiri"/>
          <w:color w:val="111111"/>
          <w:sz w:val="28"/>
          <w:sz w:val="28"/>
          <w:szCs w:val="28"/>
          <w:rtl w:val="true"/>
          <w:lang w:bidi="ar-SA"/>
        </w:rPr>
        <w:t>يَجري ذلكَ مَجرىٰ رجُلٍ نحَلَ بعضَ أقاربِه نَحْلاً، و أفرَدَه بعَطيّةٍ بَعدَ وفاتِه، ثُمّ حضَرَته الوفاةُ‌، فقَد يَجوزُ لصاحبِ النِّحلةِ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ما نَحَلتَنيهِ </w:t>
      </w:r>
      <w:r>
        <w:rPr>
          <w:rStyle w:val="FootnoteAnchor"/>
          <w:rtl w:val="true"/>
        </w:rPr>
        <w:footnoteReference w:id="3911"/>
      </w:r>
      <w:r>
        <w:rPr>
          <w:rFonts w:ascii="Amiri" w:hAnsi="Amiri" w:eastAsia="Amiri" w:cs="Amiri"/>
          <w:color w:val="111111"/>
          <w:sz w:val="28"/>
          <w:sz w:val="28"/>
          <w:szCs w:val="28"/>
          <w:rtl w:val="true"/>
          <w:lang w:bidi="ar-SA"/>
        </w:rPr>
        <w:t xml:space="preserve">و أفرَدتَني به يَحصُلُ </w:t>
      </w:r>
      <w:r>
        <w:rPr>
          <w:rStyle w:val="FootnoteAnchor"/>
          <w:rtl w:val="true"/>
        </w:rPr>
        <w:footnoteReference w:id="3912"/>
      </w:r>
      <w:r>
        <w:rPr>
          <w:rFonts w:ascii="Amiri" w:hAnsi="Amiri" w:eastAsia="Amiri" w:cs="Amiri"/>
          <w:color w:val="111111"/>
          <w:sz w:val="28"/>
          <w:sz w:val="28"/>
          <w:szCs w:val="28"/>
          <w:rtl w:val="true"/>
          <w:lang w:bidi="ar-SA"/>
        </w:rPr>
        <w:t>لي مِن بَعدِكَ ، و يَصيرُ إلىٰ يَدي، أم يُحالُ بَيني و بَينَه، و يَمنَعُ مِن وصولِه إليَّ ورَثَتُكَ؟</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هذا السؤالُ دليلاً علىٰ شكِّه في الاستحقاقِ ، بَل يَكونُ دالاًّ</w:t>
      </w:r>
      <w:r>
        <w:rPr>
          <w:rStyle w:val="FootnoteAnchor"/>
          <w:rtl w:val="true"/>
        </w:rPr>
        <w:footnoteReference w:id="3913"/>
      </w:r>
      <w:r>
        <w:rPr>
          <w:rFonts w:ascii="Amiri" w:hAnsi="Amiri" w:eastAsia="Amiri" w:cs="Amiri"/>
          <w:color w:val="111111"/>
          <w:sz w:val="28"/>
          <w:sz w:val="28"/>
          <w:szCs w:val="28"/>
          <w:rtl w:val="true"/>
          <w:lang w:bidi="ar-SA"/>
        </w:rPr>
        <w:t>علىٰ شكِّه في حصولِ الشيءِ الموهوبِ له و مصيرِه</w:t>
      </w:r>
      <w:r>
        <w:rPr>
          <w:rStyle w:val="FootnoteAnchor"/>
          <w:rtl w:val="true"/>
        </w:rPr>
        <w:footnoteReference w:id="3914"/>
      </w:r>
      <w:r>
        <w:rPr>
          <w:rFonts w:ascii="Amiri" w:hAnsi="Amiri" w:eastAsia="Amiri" w:cs="Amiri"/>
          <w:color w:val="111111"/>
          <w:sz w:val="28"/>
          <w:sz w:val="28"/>
          <w:szCs w:val="28"/>
          <w:rtl w:val="true"/>
          <w:lang w:bidi="ar-SA"/>
        </w:rPr>
        <w:t>إلىٰ قَبضَتِه</w:t>
      </w:r>
      <w:r>
        <w:rPr>
          <w:rStyle w:val="FootnoteAnchor"/>
          <w:rtl w:val="true"/>
        </w:rPr>
        <w:footnoteReference w:id="3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يُبِينُ عن</w:t>
      </w:r>
      <w:r>
        <w:rPr>
          <w:rStyle w:val="FootnoteAnchor"/>
          <w:rtl w:val="true"/>
        </w:rPr>
        <w:footnoteReference w:id="3916"/>
      </w:r>
      <w:r>
        <w:rPr>
          <w:rFonts w:ascii="Amiri" w:hAnsi="Amiri" w:eastAsia="Amiri" w:cs="Amiri"/>
          <w:color w:val="111111"/>
          <w:sz w:val="28"/>
          <w:sz w:val="28"/>
          <w:szCs w:val="28"/>
          <w:rtl w:val="true"/>
          <w:lang w:bidi="ar-SA"/>
        </w:rPr>
        <w:t>صحّةِ تأويلِنا و بُطلانِ ما 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في جَوابِ العبّاسِ علىٰ ما ورَدَت به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المقهورونَ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المظلومونَ </w:t>
      </w:r>
      <w:r>
        <w:rPr>
          <w:rFonts w:eastAsia="Amiri" w:cs="Amiri" w:ascii="Amiri" w:hAnsi="Amiri"/>
          <w:color w:val="111111"/>
          <w:sz w:val="28"/>
          <w:szCs w:val="28"/>
          <w:rtl w:val="true"/>
          <w:lang w:bidi="ar-SA"/>
        </w:rPr>
        <w:t>»</w:t>
      </w:r>
      <w:r>
        <w:rPr>
          <w:rStyle w:val="FootnoteAnchor"/>
          <w:rtl w:val="true"/>
        </w:rPr>
        <w:footnoteReference w:id="3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ساغَ لأبي بَكرٍ أن يَستَخلِفَ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فطَريفٌ‌؛ لأنّ الذي سوَّغَ‌</w:t>
      </w:r>
      <w:r>
        <w:rPr>
          <w:rStyle w:val="FootnoteAnchor"/>
          <w:rtl w:val="true"/>
        </w:rPr>
        <w:footnoteReference w:id="3918"/>
      </w:r>
      <w:r>
        <w:rPr>
          <w:rFonts w:ascii="Amiri" w:hAnsi="Amiri" w:eastAsia="Amiri" w:cs="Amiri"/>
          <w:color w:val="111111"/>
          <w:sz w:val="28"/>
          <w:sz w:val="28"/>
          <w:szCs w:val="28"/>
          <w:rtl w:val="true"/>
          <w:lang w:bidi="ar-SA"/>
        </w:rPr>
        <w:t>له ذلكَ هو الذي سوَّغَ له الانتصابَ في الأمرِ، فأيُّ حُجّةٍ تَلزَمُنا باستخلافِه عُمَرَ؟ و إنّما يَكونُ استخلافُه حُجّةً علينا لَو سَلَّمنا كَونَه مصيباً في سائرِ أفعالِه و أنّ الخَطأَ و الزلَلَ‌</w:t>
      </w:r>
      <w:r>
        <w:rPr>
          <w:rStyle w:val="FootnoteAnchor"/>
          <w:rtl w:val="true"/>
        </w:rPr>
        <w:footnoteReference w:id="3919"/>
      </w:r>
      <w:r>
        <w:rPr>
          <w:rFonts w:ascii="Amiri" w:hAnsi="Amiri" w:eastAsia="Amiri" w:cs="Amiri"/>
          <w:color w:val="111111"/>
          <w:sz w:val="28"/>
          <w:sz w:val="28"/>
          <w:szCs w:val="28"/>
          <w:rtl w:val="true"/>
          <w:lang w:bidi="ar-SA"/>
        </w:rPr>
        <w:t>لا يَدخُلانِ‌</w:t>
      </w:r>
      <w:r>
        <w:rPr>
          <w:rStyle w:val="FootnoteAnchor"/>
          <w:rtl w:val="true"/>
        </w:rPr>
        <w:footnoteReference w:id="3920"/>
      </w:r>
      <w:r>
        <w:rPr>
          <w:rFonts w:ascii="Amiri" w:hAnsi="Amiri" w:eastAsia="Amiri" w:cs="Amiri"/>
          <w:color w:val="111111"/>
          <w:sz w:val="28"/>
          <w:sz w:val="28"/>
          <w:szCs w:val="28"/>
          <w:rtl w:val="true"/>
          <w:lang w:bidi="ar-SA"/>
        </w:rPr>
        <w:t>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نسلِّمُه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استخلافُه لعُمَرَ مُنكَراً لأَنكَرَه المسلمونَ‌، و لَما اجتمَعَ عليه الأنصارُ و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إذا قيلَ هو</w:t>
      </w:r>
      <w:r>
        <w:rPr>
          <w:rStyle w:val="FootnoteAnchor"/>
          <w:rtl w:val="true"/>
        </w:rPr>
        <w:footnoteReference w:id="3921"/>
      </w:r>
      <w:r>
        <w:rPr>
          <w:rFonts w:ascii="Amiri" w:hAnsi="Amiri" w:eastAsia="Amiri" w:cs="Amiri"/>
          <w:color w:val="111111"/>
          <w:sz w:val="28"/>
          <w:sz w:val="28"/>
          <w:szCs w:val="28"/>
          <w:rtl w:val="true"/>
          <w:lang w:bidi="ar-SA"/>
        </w:rPr>
        <w:t xml:space="preserve">غيرُ ما اعتمَدَه أبو هاشِمٍ ؛ لأنّه لَم يتعَلَّقْ إلّاباستخلافِ أبي بَكرٍ لعُمَرَ مِن غيرِ ذِكرِ إجماعٍ </w:t>
      </w:r>
      <w:r>
        <w:rPr>
          <w:rStyle w:val="FootnoteAnchor"/>
          <w:rtl w:val="true"/>
        </w:rPr>
        <w:footnoteReference w:id="3922"/>
      </w:r>
      <w:r>
        <w:rPr>
          <w:rFonts w:ascii="Amiri" w:hAnsi="Amiri" w:eastAsia="Amiri" w:cs="Amiri"/>
          <w:color w:val="111111"/>
          <w:sz w:val="28"/>
          <w:sz w:val="28"/>
          <w:szCs w:val="28"/>
          <w:rtl w:val="true"/>
          <w:lang w:bidi="ar-SA"/>
        </w:rPr>
        <w:t xml:space="preserve">أو اختلافٍ </w:t>
      </w:r>
      <w:r>
        <w:rPr>
          <w:rStyle w:val="FootnoteAnchor"/>
          <w:rtl w:val="true"/>
        </w:rPr>
        <w:footnoteReference w:id="3923"/>
      </w:r>
      <w:r>
        <w:rPr>
          <w:rFonts w:ascii="Amiri" w:hAnsi="Amiri" w:eastAsia="Amiri" w:cs="Amiri"/>
          <w:color w:val="111111"/>
          <w:sz w:val="28"/>
          <w:sz w:val="28"/>
          <w:szCs w:val="28"/>
          <w:rtl w:val="true"/>
          <w:lang w:bidi="ar-SA"/>
        </w:rPr>
        <w:t>، و علىٰ ذلكَ تكَلَّمنا، و منه 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تعلَّقَ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 و</w:t>
      </w:r>
      <w:r>
        <w:rPr>
          <w:rStyle w:val="FootnoteAnchor"/>
          <w:rtl w:val="true"/>
        </w:rPr>
        <w:footnoteReference w:id="3924"/>
      </w:r>
      <w:r>
        <w:rPr>
          <w:rFonts w:ascii="Amiri" w:hAnsi="Amiri" w:eastAsia="Amiri" w:cs="Amiri"/>
          <w:color w:val="111111"/>
          <w:sz w:val="28"/>
          <w:sz w:val="28"/>
          <w:szCs w:val="28"/>
          <w:rtl w:val="true"/>
          <w:lang w:bidi="ar-SA"/>
        </w:rPr>
        <w:t>وجوبِ الإنكارِ، فالكلامُ عليه ما تقدَّمَ و ما سيَجيءُ في مَواضعِه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925"/>
      </w:r>
      <w:r>
        <w:rPr>
          <w:rFonts w:ascii="Amiri" w:hAnsi="Amiri" w:eastAsia="Amiri" w:cs="Amiri"/>
          <w:color w:val="111111"/>
          <w:sz w:val="28"/>
          <w:sz w:val="28"/>
          <w:szCs w:val="28"/>
          <w:rtl w:val="true"/>
          <w:lang w:bidi="ar-SA"/>
        </w:rPr>
        <w:t>ما جَرَى الأمرُ</w:t>
      </w:r>
      <w:r>
        <w:rPr>
          <w:rStyle w:val="FootnoteAnchor"/>
          <w:rtl w:val="true"/>
        </w:rPr>
        <w:footnoteReference w:id="3926"/>
      </w:r>
      <w:r>
        <w:rPr>
          <w:rFonts w:ascii="Amiri" w:hAnsi="Amiri" w:eastAsia="Amiri" w:cs="Amiri"/>
          <w:color w:val="111111"/>
          <w:sz w:val="28"/>
          <w:sz w:val="28"/>
          <w:szCs w:val="28"/>
          <w:rtl w:val="true"/>
          <w:lang w:bidi="ar-SA"/>
        </w:rPr>
        <w:t>عليه في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ما يَقتَضي بُطلانَ النصِّ‌، و لا يَدفَعُ صحّتَه؛ لأنّا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باقتصاصِ‌</w:t>
      </w:r>
      <w:r>
        <w:rPr>
          <w:rStyle w:val="FootnoteAnchor"/>
          <w:rtl w:val="true"/>
        </w:rPr>
        <w:footnoteReference w:id="3927"/>
      </w:r>
      <w:r>
        <w:rPr>
          <w:rFonts w:ascii="Amiri" w:hAnsi="Amiri" w:eastAsia="Amiri" w:cs="Amiri"/>
          <w:color w:val="111111"/>
          <w:sz w:val="28"/>
          <w:sz w:val="28"/>
          <w:szCs w:val="28"/>
          <w:rtl w:val="true"/>
          <w:lang w:bidi="ar-SA"/>
        </w:rPr>
        <w:t xml:space="preserve">الحالِ و تصويرِها، و ما جَرىٰ فيها مِن المبادَرةِ و تَركِ المشاوَرةِ لبَني هاشِمٍ و مَن كانَ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بأن يدُلَّ علىٰ ثُبوتِ النصِّ أَولىٰ و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يَجري بَيانُ أميرِ المؤمِنينَ عليه السلامُ أمرَ نفسِه و تصريحُه بأنّه الإمامُ المنصوصُ عليه مَجرىٰ قولِ طَلحةَ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لربِّكَ إذا ولَّيتَ علينا فَظّاً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طَلحةَ بالقولِ المرويِّ عنه لَيسَ بقادحٍ في إمامةِ أبي بَكرٍ، و لا في دِينِه، و لا في شيءٍ مِن أحوالِه، و إنّما أخرَجَ قولَه مَخرَجَ الاستِزادةِ‌</w:t>
      </w:r>
      <w:r>
        <w:rPr>
          <w:rStyle w:val="FootnoteAnchor"/>
          <w:rtl w:val="true"/>
        </w:rPr>
        <w:footnoteReference w:id="3928"/>
      </w:r>
      <w:r>
        <w:rPr>
          <w:rFonts w:ascii="Amiri" w:hAnsi="Amiri" w:eastAsia="Amiri" w:cs="Amiri"/>
          <w:color w:val="111111"/>
          <w:sz w:val="28"/>
          <w:sz w:val="28"/>
          <w:szCs w:val="28"/>
          <w:rtl w:val="true"/>
          <w:lang w:bidi="ar-SA"/>
        </w:rPr>
        <w:t>و الشكوىٰ‌، و شَتّانَ بَينَ هذا القولِ و بَينَ موافَقتِه علىٰ تَعدّيهِ في الإمامةِ‌</w:t>
      </w:r>
      <w:r>
        <w:rPr>
          <w:rStyle w:val="FootnoteAnchor"/>
          <w:rtl w:val="true"/>
        </w:rPr>
        <w:footnoteReference w:id="3929"/>
      </w:r>
      <w:r>
        <w:rPr>
          <w:rFonts w:ascii="Amiri" w:hAnsi="Amiri" w:eastAsia="Amiri" w:cs="Amiri"/>
          <w:color w:val="111111"/>
          <w:sz w:val="28"/>
          <w:sz w:val="28"/>
          <w:szCs w:val="28"/>
          <w:rtl w:val="true"/>
          <w:lang w:bidi="ar-SA"/>
        </w:rPr>
        <w:t xml:space="preserve">عهدَ الرسولِ صَلّى اللّٰهُ عليه و آلِه و انتصابِه المَنصِبَ الذي غيرُه أحَقُّ به؛ فكَيفَ يُجعلُ ما جَرىٰ مِن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بالصفةِ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 للموافَقةِ علَى النصِّ‌، و في الموافَقةِ عليه ما هو معلومٌ؟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أبا بَكرٍ لَم يَرضَ مِن طَلحةَ بقَولِه، مع أنّه لا مَطعَنَ عليه في نفسِه به</w:t>
      </w:r>
      <w:r>
        <w:rPr>
          <w:rStyle w:val="FootnoteAnchor"/>
          <w:rtl w:val="true"/>
        </w:rPr>
        <w:footnoteReference w:id="3930"/>
      </w:r>
      <w:r>
        <w:rPr>
          <w:rFonts w:ascii="Amiri" w:hAnsi="Amiri" w:eastAsia="Amiri" w:cs="Amiri"/>
          <w:color w:val="111111"/>
          <w:sz w:val="28"/>
          <w:sz w:val="28"/>
          <w:szCs w:val="28"/>
          <w:rtl w:val="true"/>
          <w:lang w:bidi="ar-SA"/>
        </w:rPr>
        <w:t>، و لمّا سَمِعَ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أجلِسوني، أجلِسوني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مُستَلقياً،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تخوِّفونَني</w:t>
      </w:r>
      <w:r>
        <w:rPr>
          <w:rStyle w:val="FootnoteAnchor"/>
          <w:rtl w:val="true"/>
        </w:rPr>
        <w:footnoteReference w:id="3931"/>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وَلَّيتُ عليهم خَيرَ أهلِكَ </w:t>
      </w:r>
      <w:r>
        <w:rPr>
          <w:rFonts w:eastAsia="Amiri" w:cs="Amiri" w:ascii="Amiri" w:hAnsi="Amiri"/>
          <w:color w:val="111111"/>
          <w:sz w:val="28"/>
          <w:szCs w:val="28"/>
          <w:rtl w:val="true"/>
          <w:lang w:bidi="ar-SA"/>
        </w:rPr>
        <w:t>»</w:t>
      </w:r>
      <w:r>
        <w:rPr>
          <w:rStyle w:val="FootnoteAnchor"/>
          <w:rtl w:val="true"/>
        </w:rPr>
        <w:footnoteReference w:id="3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أزعَجَه قولُ طَلحةَ </w:t>
      </w:r>
      <w:bookmarkStart w:id="640" w:name="pg20015_285189"/>
    </w:p>
    <w:p>
      <w:pPr>
        <w:pStyle w:val="BookText"/>
        <w:rPr/>
      </w:pPr>
      <w:bookmarkEnd w:id="640"/>
      <w:r>
        <w:rPr>
          <w:rFonts w:ascii="Amiri" w:hAnsi="Amiri" w:eastAsia="Amiri" w:cs="Amiri"/>
          <w:color w:val="111111"/>
          <w:sz w:val="28"/>
          <w:sz w:val="28"/>
          <w:szCs w:val="28"/>
          <w:rtl w:val="true"/>
          <w:lang w:bidi="ar-SA"/>
        </w:rPr>
        <w:t xml:space="preserve">و حَرَّكَه حتّىٰ أظهَرَ الغضَبَ منه و الامتعاضَ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قد جَرَت عادةُ الرعيّةِ بأن يَستعمِلوه مع رؤَسائهم و 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حالُه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بإمامٍ ، و الإمامُ غيرُكَ ، و أنتَ مخالِفٌ للرسولِ عليه السلامُ فيما صَنَعتَه و توَلَّيتَه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641" w:name="__RefHeading___Toc895173_2320776876"/>
      <w:bookmarkStart w:id="642" w:name="_Toc228"/>
      <w:bookmarkEnd w:id="641"/>
      <w:r>
        <w:rPr>
          <w:rtl w:val="true"/>
        </w:rPr>
        <w:t>بيان وجوه دخول أمير المؤمنين عليه السلام في الشُّورىٰ</w:t>
      </w:r>
      <w:bookmarkEnd w:id="642"/>
    </w:p>
    <w:p>
      <w:pPr>
        <w:pStyle w:val="BookText"/>
        <w:rPr/>
      </w:pPr>
      <w:r>
        <w:rPr>
          <w:rFonts w:ascii="Amiri" w:hAnsi="Amiri" w:eastAsia="Amiri" w:cs="Amiri"/>
          <w:color w:val="111111"/>
          <w:sz w:val="28"/>
          <w:sz w:val="28"/>
          <w:szCs w:val="28"/>
          <w:rtl w:val="true"/>
          <w:lang w:bidi="ar-SA"/>
        </w:rPr>
        <w:t xml:space="preserve">فأمّا دخولُ أميرِ المؤمِنينَ عليه السلامُ في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أصحابُنا رحمهم اللّٰه فيه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إنّما دخَلَها</w:t>
      </w:r>
      <w:r>
        <w:rPr>
          <w:rStyle w:val="FootnoteAnchor"/>
          <w:rtl w:val="true"/>
        </w:rPr>
        <w:footnoteReference w:id="3933"/>
      </w:r>
      <w:r>
        <w:rPr>
          <w:rFonts w:ascii="Amiri" w:hAnsi="Amiri" w:eastAsia="Amiri" w:cs="Amiri"/>
          <w:color w:val="111111"/>
          <w:sz w:val="28"/>
          <w:sz w:val="28"/>
          <w:szCs w:val="28"/>
          <w:rtl w:val="true"/>
          <w:lang w:bidi="ar-SA"/>
        </w:rPr>
        <w:t>ليَتمكَّنَ‌</w:t>
      </w:r>
      <w:r>
        <w:rPr>
          <w:rStyle w:val="FootnoteAnchor"/>
          <w:rtl w:val="true"/>
        </w:rPr>
        <w:footnoteReference w:id="3934"/>
      </w:r>
      <w:r>
        <w:rPr>
          <w:rFonts w:ascii="Amiri" w:hAnsi="Amiri" w:eastAsia="Amiri" w:cs="Amiri"/>
          <w:color w:val="111111"/>
          <w:sz w:val="28"/>
          <w:sz w:val="28"/>
          <w:szCs w:val="28"/>
          <w:rtl w:val="true"/>
          <w:lang w:bidi="ar-SA"/>
        </w:rPr>
        <w:t xml:space="preserve">مِن إيرادِ النُّصوصِ عليه، و الاحتجاجِ بفَضائلِه و سَوابقِه، و ما يدُلُّ علىٰ أنّه أحَقُّ بالأمرِ 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أنّه لَو لَم يَدخُلْها لَم يَجُز مِنه أن يَبتدئَ بالاحتجاجِ و لَيسَ هناكَ مَقامُ احتجاجٍ و بحثٍ </w:t>
      </w:r>
      <w:r>
        <w:rPr>
          <w:rStyle w:val="FootnoteAnchor"/>
          <w:rtl w:val="true"/>
        </w:rPr>
        <w:footnoteReference w:id="3935"/>
      </w:r>
      <w:r>
        <w:rPr>
          <w:rFonts w:ascii="Amiri" w:hAnsi="Amiri" w:eastAsia="Amiri" w:cs="Amiri"/>
          <w:color w:val="111111"/>
          <w:sz w:val="28"/>
          <w:sz w:val="28"/>
          <w:szCs w:val="28"/>
          <w:rtl w:val="true"/>
          <w:lang w:bidi="ar-SA"/>
        </w:rPr>
        <w:t xml:space="preserve">، فجعَلَ </w:t>
      </w:r>
      <w:r>
        <w:rPr>
          <w:rStyle w:val="FootnoteAnchor"/>
          <w:rtl w:val="true"/>
        </w:rPr>
        <w:footnoteReference w:id="3936"/>
      </w:r>
      <w:r>
        <w:rPr>
          <w:rFonts w:ascii="Amiri" w:hAnsi="Amiri" w:eastAsia="Amiri" w:cs="Amiri"/>
          <w:color w:val="111111"/>
          <w:sz w:val="28"/>
          <w:sz w:val="28"/>
          <w:szCs w:val="28"/>
          <w:rtl w:val="true"/>
          <w:lang w:bidi="ar-SA"/>
        </w:rPr>
        <w:t>عليه السلامُ دخولَها</w:t>
      </w:r>
      <w:r>
        <w:rPr>
          <w:rStyle w:val="FootnoteAnchor"/>
          <w:rtl w:val="true"/>
        </w:rPr>
        <w:footnoteReference w:id="3937"/>
      </w:r>
      <w:r>
        <w:rPr>
          <w:rFonts w:ascii="Amiri" w:hAnsi="Amiri" w:eastAsia="Amiri" w:cs="Amiri"/>
          <w:color w:val="111111"/>
          <w:sz w:val="28"/>
          <w:sz w:val="28"/>
          <w:szCs w:val="28"/>
          <w:rtl w:val="true"/>
          <w:lang w:bidi="ar-SA"/>
        </w:rPr>
        <w:t>ذَريعةً إلَى التنبيهِ علَى الحقِّ بحَسَبِ الإمكانِ علىٰ ما ورَدَت به الروايةُ ؛ فإنّها وَرَدَت بأنّه عليه السلامُ عدَّدَ في ذلكَ اليومِ جميعَ فَضائلِه و مَناقبِه أو</w:t>
      </w:r>
      <w:r>
        <w:rPr>
          <w:rStyle w:val="FootnoteAnchor"/>
          <w:rtl w:val="true"/>
        </w:rPr>
        <w:footnoteReference w:id="3938"/>
      </w:r>
      <w:r>
        <w:rPr>
          <w:rFonts w:ascii="Amiri" w:hAnsi="Amiri" w:eastAsia="Amiri" w:cs="Amiri"/>
          <w:color w:val="111111"/>
          <w:sz w:val="28"/>
          <w:sz w:val="28"/>
          <w:szCs w:val="28"/>
          <w:rtl w:val="true"/>
          <w:lang w:bidi="ar-SA"/>
        </w:rPr>
        <w:t>أكثَرَها</w:t>
      </w:r>
      <w:r>
        <w:rPr>
          <w:rStyle w:val="FootnoteAnchor"/>
          <w:rtl w:val="true"/>
        </w:rPr>
        <w:footnoteReference w:id="393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المنتظم،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أيّها النفر جميعاً، أفيكم أحد وحّد اللّٰه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منكم أحد له أخ مثل جعفر الطيّار في الجنّة مع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له عمّ كعمّي حمزة أسد اللّٰه و أسد رسوله سيّد الشهداء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له زوجة مثل زوجتي فاطمة بنت محمّد سيّدة نساء أهل الجنّة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له سبطان مثل سبطي الحسن و الحسين سيّدي شباب أهل الجنّة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ناجى رسول اللّٰه عشر مرّات، قدّم بين يدي نجواه صدقة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ليبلغ الشاهد الغائب،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إئتني بأحبّ خلقك إليك و إليّ‌، و أشدّهم لك حبّاً و لي حبّاً، يأكل معي من هذا الطير، فأتاه و أكل معه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لا يرجع حتّى يفتح اللّٰه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رجع غيري منهزماً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فيه رسول اللّٰه لوفد بني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أو لأبعثنّ إليكم رجلاً نفسه كنفسي، و طاعته كطاعتي، و معصيته كمعصيتي، يقتلكم بالسيف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 هذا،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 سلّم عليه في ساعة واحدة ثلاثة آلاف ملك من الملائكة، منهم جبرئيل و ميكائيل و إسرافيل، حيث جئت بالماء إلى رسول اللّٰه من القَليب،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فيكم أحد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إلّاذو الفقار، و لا فتى إلّاعليّ‌،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 القاسطين و المارقين على لسان النبيّ ،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 تقاتل على تأويل القرآن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ردّت عليه الشمس حتّى صلّى العصر في وقتها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كان فيكم أحد أمره رسول اللّٰه أن يأخذ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جوَّزَ أن يسلِّمَ القومُ الأمرَ له</w:t>
      </w:r>
      <w:r>
        <w:rPr>
          <w:rStyle w:val="FootnoteAnchor"/>
          <w:rtl w:val="true"/>
        </w:rPr>
        <w:footnoteReference w:id="3940"/>
      </w:r>
      <w:r>
        <w:rPr>
          <w:rFonts w:ascii="Amiri" w:hAnsi="Amiri" w:eastAsia="Amiri" w:cs="Amiri"/>
          <w:color w:val="111111"/>
          <w:sz w:val="28"/>
          <w:sz w:val="28"/>
          <w:szCs w:val="28"/>
          <w:rtl w:val="true"/>
          <w:lang w:bidi="ar-SA"/>
        </w:rPr>
        <w:t xml:space="preserve">، و يُذعِنوا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يورِدُه مِن الحُججِ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فجعَلَ الدُّخولَ في الشُّورىٰ توَصُّلاً إلىٰ حَقِّه</w:t>
      </w:r>
      <w:r>
        <w:rPr>
          <w:rStyle w:val="FootnoteAnchor"/>
          <w:rtl w:val="true"/>
        </w:rPr>
        <w:footnoteReference w:id="3941"/>
      </w:r>
      <w:r>
        <w:rPr>
          <w:rFonts w:ascii="Amiri" w:hAnsi="Amiri" w:eastAsia="Amiri" w:cs="Amiri"/>
          <w:color w:val="111111"/>
          <w:sz w:val="28"/>
          <w:sz w:val="28"/>
          <w:szCs w:val="28"/>
          <w:rtl w:val="true"/>
          <w:lang w:bidi="ar-SA"/>
        </w:rPr>
        <w:t>و سبباً إلَى التمكُّنِ‌</w:t>
      </w:r>
      <w:r>
        <w:rPr>
          <w:rStyle w:val="FootnoteAnchor"/>
          <w:rtl w:val="true"/>
        </w:rPr>
        <w:footnoteReference w:id="3942"/>
      </w:r>
      <w:r>
        <w:rPr>
          <w:rFonts w:ascii="Amiri" w:hAnsi="Amiri" w:eastAsia="Amiri" w:cs="Amiri"/>
          <w:color w:val="111111"/>
          <w:sz w:val="28"/>
          <w:sz w:val="28"/>
          <w:szCs w:val="28"/>
          <w:rtl w:val="true"/>
          <w:lang w:bidi="ar-SA"/>
        </w:rPr>
        <w:t>مِن الأمرِ و القيامِ فيه بحُدودِ اللّٰهِ تَعالىٰ‌، و للإنسانِ أن يَتوصَّلَ إلىٰ حَقِّه و يَتسبَّبَ إليه بكُلِّ أمرٍ لا يَكونُ قَبيحاً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من أبي بكر،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إلّاعليّ‌،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إلّامؤمن، و لا يبغضك إلّاكافر،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 تعلمون أنّه تعالىٰ أمر بسدّ أبوابكم و فتح بابي، فقلتم في ذلك،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 لا فتحت بابه، بل اللّٰه سدّ أبوابكم و 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 تعلمون أنّه صلّى اللّٰه عليه و آله ناجاني يوم الطائف دون الناس، فأطال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يدور الحقّ مع عليّ كيفما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أ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لن تضلّوا ما إن تمسّكتم بهما، و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 حين هرب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يفديني بنفسه‌؟ ففداه بنفسه واضطجع في مضجعه،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فأنشُدكم اللّٰه، هل فيكم أحد بارز عمرو بن عبدودّ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دعاكم إلى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أنزل اللّٰه فيه آية التطهير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إلّاسألت لك مثله،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يسمّى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دُخولِه عليه السلامُ كانَ التقيّةَ و الاستصلاحَ‌؛ لأنّه عليه السلامُ لمّا دُعيَ‌</w:t>
      </w:r>
      <w:r>
        <w:rPr>
          <w:rStyle w:val="FootnoteAnchor"/>
          <w:rtl w:val="true"/>
        </w:rPr>
        <w:footnoteReference w:id="3943"/>
      </w:r>
      <w:r>
        <w:rPr>
          <w:rFonts w:ascii="Amiri" w:hAnsi="Amiri" w:eastAsia="Amiri" w:cs="Amiri"/>
          <w:color w:val="111111"/>
          <w:sz w:val="28"/>
          <w:sz w:val="28"/>
          <w:szCs w:val="28"/>
          <w:rtl w:val="true"/>
          <w:lang w:bidi="ar-SA"/>
        </w:rPr>
        <w:t>إلَى</w:t>
      </w:r>
      <w:r>
        <w:rPr>
          <w:rStyle w:val="FootnoteAnchor"/>
          <w:rtl w:val="true"/>
        </w:rPr>
        <w:footnoteReference w:id="3944"/>
      </w:r>
      <w:r>
        <w:rPr>
          <w:rFonts w:ascii="Amiri" w:hAnsi="Amiri" w:eastAsia="Amiri" w:cs="Amiri"/>
          <w:color w:val="111111"/>
          <w:sz w:val="28"/>
          <w:sz w:val="28"/>
          <w:szCs w:val="28"/>
          <w:rtl w:val="true"/>
          <w:lang w:bidi="ar-SA"/>
        </w:rPr>
        <w:t>الدخولِ في الشورىٰ أشفَقَ مِن أن يَمتنِعَ فيَتسبَّبَ منه الامتناعُ إلَى المظاهَرةِ و المكاشَفةِ‌، و إلىٰ أنّ تأخُّرَه عن الدخولِ‌</w:t>
      </w:r>
      <w:r>
        <w:rPr>
          <w:rStyle w:val="FootnoteAnchor"/>
          <w:rtl w:val="true"/>
        </w:rPr>
        <w:footnoteReference w:id="3945"/>
      </w:r>
      <w:r>
        <w:rPr>
          <w:rFonts w:ascii="Amiri" w:hAnsi="Amiri" w:eastAsia="Amiri" w:cs="Amiri"/>
          <w:color w:val="111111"/>
          <w:sz w:val="28"/>
          <w:sz w:val="28"/>
          <w:szCs w:val="28"/>
          <w:rtl w:val="true"/>
          <w:lang w:bidi="ar-SA"/>
        </w:rPr>
        <w:t>في الشورىٰ إنّما كانَ لاعتقادِه أنّه صاحبُ الأمرِ دونَ مَن ضُمَّ إليه، فحمَلَه علَى الدخولِ ما حمَلَه في الابتداءِ علىٰ إظهارِ الرِّضا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المانعُ له مِن أن يَقولَ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أُمورِ المسلمينَ شيئاً فلا تَحمِلْ بَني هاشِمٍ علىٰ رِقابِ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إمامُ المسلمينَ‌، و قد عَرَفتَ النصَّ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ألزَمَناه أبو هاشِمٍ‌، فهو المانعُ الأوّلُ الذي منَعَه مِن أن يَقولَ مِثلَ‌</w:t>
      </w:r>
    </w:p>
    <w:p>
      <w:pPr>
        <w:pStyle w:val="BookText"/>
        <w:rPr/>
      </w:pPr>
      <w:r>
        <w:rPr>
          <w:rFonts w:ascii="Amiri" w:hAnsi="Amiri" w:eastAsia="Amiri" w:cs="Amiri"/>
          <w:color w:val="111111"/>
          <w:sz w:val="28"/>
          <w:sz w:val="28"/>
          <w:szCs w:val="28"/>
          <w:rtl w:val="true"/>
          <w:lang w:bidi="ar-SA"/>
        </w:rPr>
        <w:t>ذلكَ لأبي بَكرٍ طولَ أيّامِه، و لعُمَرَ في ابتداءِ وِلايتِه، ثُمّ مُدّةَ أيّامِه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عندَ مَصيرِ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زَمانِ حَربِه معاويةَ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استمرارِ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كالحالِ فيما تَقدَّمَ ؛ لأنّ جُلَّ أصحابِه</w:t>
      </w:r>
      <w:r>
        <w:rPr>
          <w:rStyle w:val="FootnoteAnchor"/>
          <w:rtl w:val="true"/>
        </w:rPr>
        <w:footnoteReference w:id="3946"/>
      </w:r>
      <w:r>
        <w:rPr>
          <w:rFonts w:ascii="Amiri" w:hAnsi="Amiri" w:eastAsia="Amiri" w:cs="Amiri"/>
          <w:color w:val="111111"/>
          <w:sz w:val="28"/>
          <w:sz w:val="28"/>
          <w:szCs w:val="28"/>
          <w:rtl w:val="true"/>
          <w:lang w:bidi="ar-SA"/>
        </w:rPr>
        <w:t>و جُمهورَهم كانوا معتقِدينَ إمامتَه بالاختيارِ، و مِن الوجهِ الذي اعتَقَدوا منه</w:t>
      </w:r>
      <w:r>
        <w:rPr>
          <w:rStyle w:val="FootnoteAnchor"/>
          <w:rtl w:val="true"/>
        </w:rPr>
        <w:footnoteReference w:id="3947"/>
      </w:r>
      <w:r>
        <w:rPr>
          <w:rFonts w:ascii="Amiri" w:hAnsi="Amiri" w:eastAsia="Amiri" w:cs="Amiri"/>
          <w:color w:val="111111"/>
          <w:sz w:val="28"/>
          <w:sz w:val="28"/>
          <w:szCs w:val="28"/>
          <w:rtl w:val="true"/>
          <w:lang w:bidi="ar-SA"/>
        </w:rPr>
        <w:t xml:space="preserve">إمامةَ الثلاثةِ المتقدِّمينَ عليه، و كانوا يُنكِرونَ الخِلافَ لسُنّتِهم و العُدولَ عن طريقتِهم في أكثَرِ الأمرِ، حتّىٰ إنّهم كانوا يطالِبونَ في كَثيرٍ مِن الأحوالِ بأنْ يُحمَلوا علىٰ سيرةِ الشيخَينِ ، فكيف يُقابَلُ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يَقتَضي تظليمَ القومِ و القَدْحَ في أحوالِهم ؟ و هل المُلزِمُ </w:t>
      </w:r>
      <w:r>
        <w:rPr>
          <w:rStyle w:val="FootnoteAnchor"/>
          <w:rtl w:val="true"/>
        </w:rPr>
        <w:footnoteReference w:id="3948"/>
      </w:r>
      <w:r>
        <w:rPr>
          <w:rFonts w:ascii="Amiri" w:hAnsi="Amiri" w:eastAsia="Amiri" w:cs="Amiri"/>
          <w:color w:val="111111"/>
          <w:sz w:val="28"/>
          <w:sz w:val="28"/>
          <w:szCs w:val="28"/>
          <w:rtl w:val="true"/>
          <w:lang w:bidi="ar-SA"/>
        </w:rPr>
        <w:t xml:space="preserve">لذلكَ إلّامُتعنِّتٌ مُجازِفٌ؟ </w:t>
      </w:r>
    </w:p>
    <w:p>
      <w:pPr>
        <w:pStyle w:val="BookText"/>
        <w:rPr/>
      </w:pPr>
      <w:r>
        <w:rPr>
          <w:rFonts w:ascii="Amiri" w:hAnsi="Amiri" w:eastAsia="Amiri" w:cs="Amiri"/>
          <w:color w:val="111111"/>
          <w:sz w:val="28"/>
          <w:sz w:val="28"/>
          <w:szCs w:val="28"/>
          <w:rtl w:val="true"/>
          <w:lang w:bidi="ar-SA"/>
        </w:rPr>
        <w:t>و لَيسَ ما ذَكَرناه مانعاً مِن ذِكرِ مَناقبِه و فَضائلِه؛ لأنّه لَم يَكُن في أصحابِه أحَدٌ يُنكِرُ فَضلَه</w:t>
      </w:r>
      <w:r>
        <w:rPr>
          <w:rStyle w:val="FootnoteAnchor"/>
          <w:rtl w:val="true"/>
        </w:rPr>
        <w:footnoteReference w:id="3949"/>
      </w:r>
      <w:r>
        <w:rPr>
          <w:rFonts w:ascii="Amiri" w:hAnsi="Amiri" w:eastAsia="Amiri" w:cs="Amiri"/>
          <w:color w:val="111111"/>
          <w:sz w:val="28"/>
          <w:sz w:val="28"/>
          <w:szCs w:val="28"/>
          <w:rtl w:val="true"/>
          <w:lang w:bidi="ar-SA"/>
        </w:rPr>
        <w:t>، و لا يَستبدِعُ مَنقَبةً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تَعلُّقُه بالمعاضَدةِ‌ و الانتهاءِ إلىٰ رأيِ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نَعرفُ معاضَدةً وقَعَت منه عليه السلامُ يُشارُ إليها تَقتَضي ما يَدَّعيهِ المخالِفونَ‌، و الظاهرُ المعلومُ أنّه عليه السلامُ لَم يَتولَّ لهم وِلايةً قَطُّ، و لا شارَكَهم في وِلايتِهم علىٰ جهةِ‌</w:t>
      </w:r>
      <w:r>
        <w:rPr>
          <w:rStyle w:val="FootnoteAnchor"/>
          <w:rtl w:val="true"/>
        </w:rPr>
        <w:footnoteReference w:id="3950"/>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وقَعَ منه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يَجعَلُه المخالِفونَ شُبهةً‌</w:t>
      </w:r>
      <w:r>
        <w:rPr>
          <w:rStyle w:val="FootnoteAnchor"/>
          <w:rtl w:val="true"/>
        </w:rPr>
        <w:footnoteReference w:id="3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عليه السلامُ عن المدينةِ في بعضِ الأوقاتِ‌</w:t>
      </w:r>
      <w:r>
        <w:rPr>
          <w:rFonts w:eastAsia="Amiri" w:cs="Amiri" w:ascii="Amiri" w:hAnsi="Amiri"/>
          <w:color w:val="111111"/>
          <w:sz w:val="28"/>
          <w:szCs w:val="28"/>
          <w:rtl w:val="true"/>
          <w:lang w:bidi="ar-SA"/>
        </w:rPr>
        <w:t>.</w:t>
      </w:r>
      <w:r>
        <w:rPr>
          <w:rStyle w:val="FootnoteAnchor"/>
          <w:rtl w:val="true"/>
        </w:rPr>
        <w:footnoteReference w:id="3952"/>
      </w:r>
    </w:p>
    <w:p>
      <w:pPr>
        <w:pStyle w:val="BookText"/>
        <w:rPr/>
      </w:pPr>
      <w:r>
        <w:rPr>
          <w:rFonts w:ascii="Amiri" w:hAnsi="Amiri" w:eastAsia="Amiri" w:cs="Amiri"/>
          <w:color w:val="111111"/>
          <w:sz w:val="28"/>
          <w:sz w:val="28"/>
          <w:szCs w:val="28"/>
          <w:rtl w:val="true"/>
          <w:lang w:bidi="ar-SA"/>
        </w:rPr>
        <w:t>و لَيسَ في ذلكَ حُجّةٌ و لا شُبهةٌ ؛ لأنّه عليه السلامُ إنّما ذَبَّ عن نفسِه و أهلِه و حَرَمِ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يَجري عندَه مَجرَى الأمرِ بالمعروفِ و النهيِ عن المُنكَرِ الذي لا بُدَّ مِن إقامتِه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قَصدُه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بما فعَلَه المعاضَدةَ و المعاوَنةَ </w:t>
      </w:r>
      <w:r>
        <w:rPr>
          <w:rStyle w:val="FootnoteAnchor"/>
          <w:rtl w:val="true"/>
        </w:rPr>
        <w:footnoteReference w:id="3953"/>
      </w:r>
      <w:r>
        <w:rPr>
          <w:rFonts w:ascii="Amiri" w:hAnsi="Amiri" w:eastAsia="Amiri" w:cs="Amiri"/>
          <w:color w:val="111111"/>
          <w:sz w:val="28"/>
          <w:sz w:val="28"/>
          <w:szCs w:val="28"/>
          <w:rtl w:val="true"/>
          <w:lang w:bidi="ar-SA"/>
        </w:rPr>
        <w:t xml:space="preserve">لَكانَ الواجبُ أن يَنفُذَ في بُعوثِهم، و يَخرُجَ في جُيوشِهم، و يَحميَ عن سائرِ بُلدانِهم علىٰ سَبيلِ المعاضَدةِ </w:t>
      </w:r>
      <w:r>
        <w:rPr>
          <w:rStyle w:val="FootnoteAnchor"/>
          <w:rtl w:val="true"/>
        </w:rPr>
        <w:footnoteReference w:id="3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Style w:val="FootnoteAnchor"/>
          <w:rtl w:val="true"/>
        </w:rPr>
        <w:footnoteReference w:id="3955"/>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نَجِدْه عليه السلامُ فعَلَ ذلكَ ، عَلِمنا أنّ الوجهَ في حَربِه عن المدينةِ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تنبيهُه عليه السلامُ لهم</w:t>
      </w:r>
      <w:r>
        <w:rPr>
          <w:rStyle w:val="FootnoteAnchor"/>
          <w:rtl w:val="true"/>
        </w:rPr>
        <w:footnoteReference w:id="3956"/>
      </w:r>
      <w:r>
        <w:rPr>
          <w:rFonts w:ascii="Amiri" w:hAnsi="Amiri" w:eastAsia="Amiri" w:cs="Amiri"/>
          <w:color w:val="111111"/>
          <w:sz w:val="28"/>
          <w:sz w:val="28"/>
          <w:szCs w:val="28"/>
          <w:rtl w:val="true"/>
          <w:lang w:bidi="ar-SA"/>
        </w:rPr>
        <w:t>علَى الأحكامِ فيما كانوا يَستَفتونَه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أيضاً</w:t>
      </w:r>
      <w:r>
        <w:rPr>
          <w:rStyle w:val="FootnoteAnchor"/>
          <w:rtl w:val="true"/>
        </w:rPr>
        <w:footnoteReference w:id="3957"/>
      </w:r>
      <w:r>
        <w:rPr>
          <w:rFonts w:ascii="Amiri" w:hAnsi="Amiri" w:eastAsia="Amiri" w:cs="Amiri"/>
          <w:color w:val="111111"/>
          <w:sz w:val="28"/>
          <w:sz w:val="28"/>
          <w:szCs w:val="28"/>
          <w:rtl w:val="true"/>
          <w:lang w:bidi="ar-SA"/>
        </w:rPr>
        <w:t xml:space="preserve">فيه؛ لأنّ المأخوذَ عليه أن يُفتيَ بالحَقِّ علىٰ كُلِّ وجهٍ </w:t>
      </w:r>
      <w:r>
        <w:rPr>
          <w:rStyle w:val="FootnoteAnchor"/>
          <w:rtl w:val="true"/>
        </w:rPr>
        <w:footnoteReference w:id="3958"/>
      </w:r>
      <w:r>
        <w:rPr>
          <w:rFonts w:ascii="Amiri" w:hAnsi="Amiri" w:eastAsia="Amiri" w:cs="Amiri"/>
          <w:color w:val="111111"/>
          <w:sz w:val="28"/>
          <w:sz w:val="28"/>
          <w:szCs w:val="28"/>
          <w:rtl w:val="true"/>
          <w:lang w:bidi="ar-SA"/>
        </w:rPr>
        <w:t>و لكُلِّ أحَدٍ، و ينبِّهَ عليه مع</w:t>
      </w:r>
      <w:r>
        <w:rPr>
          <w:rStyle w:val="FootnoteAnchor"/>
          <w:rtl w:val="true"/>
        </w:rPr>
        <w:footnoteReference w:id="3959"/>
      </w:r>
      <w:r>
        <w:rPr>
          <w:rFonts w:ascii="Amiri" w:hAnsi="Amiri" w:eastAsia="Amiri" w:cs="Amiri"/>
          <w:color w:val="111111"/>
          <w:sz w:val="28"/>
          <w:sz w:val="28"/>
          <w:szCs w:val="28"/>
          <w:rtl w:val="true"/>
          <w:lang w:bidi="ar-SA"/>
        </w:rPr>
        <w:t xml:space="preserve">التمكُّنِ ، فلَم يَكُن يَسَعُه عليه السلامُ أن يُشاهِدَ حُكماً للّٰهِ </w:t>
      </w:r>
      <w:r>
        <w:rPr>
          <w:rStyle w:val="FootnoteAnchor"/>
          <w:rtl w:val="true"/>
        </w:rPr>
        <w:footnoteReference w:id="3960"/>
      </w:r>
      <w:r>
        <w:rPr>
          <w:rFonts w:ascii="Amiri" w:hAnsi="Amiri" w:eastAsia="Amiri" w:cs="Amiri"/>
          <w:color w:val="111111"/>
          <w:sz w:val="28"/>
          <w:sz w:val="28"/>
          <w:szCs w:val="28"/>
          <w:rtl w:val="true"/>
          <w:lang w:bidi="ar-SA"/>
        </w:rPr>
        <w:t>تَعالىٰ قد عُدِلَ به عن الحَقِّ ، يَتمكَّنُ مِن تغييرِه و الكلامِ فيه، فلا يَذكُرَ ما عندَه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يَنتَهيَ إلىٰ آرائهم</w:t>
      </w:r>
      <w:r>
        <w:rPr>
          <w:rStyle w:val="FootnoteAnchor"/>
          <w:rtl w:val="true"/>
        </w:rPr>
        <w:footnoteReference w:id="3961"/>
      </w:r>
      <w:r>
        <w:rPr>
          <w:rFonts w:ascii="Amiri" w:hAnsi="Amiri" w:eastAsia="Amiri" w:cs="Amiri"/>
          <w:color w:val="111111"/>
          <w:sz w:val="28"/>
          <w:sz w:val="28"/>
          <w:szCs w:val="28"/>
          <w:rtl w:val="true"/>
          <w:lang w:bidi="ar-SA"/>
        </w:rPr>
        <w:t>في إقامةِ الحُدودِ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لأنّا ما نَعرِفُ‌</w:t>
      </w:r>
      <w:r>
        <w:rPr>
          <w:rStyle w:val="FootnoteAnchor"/>
          <w:rtl w:val="true"/>
        </w:rPr>
        <w:footnoteReference w:id="3962"/>
      </w:r>
      <w:r>
        <w:rPr>
          <w:rFonts w:ascii="Amiri" w:hAnsi="Amiri" w:eastAsia="Amiri" w:cs="Amiri"/>
          <w:color w:val="111111"/>
          <w:sz w:val="28"/>
          <w:sz w:val="28"/>
          <w:szCs w:val="28"/>
          <w:rtl w:val="true"/>
          <w:lang w:bidi="ar-SA"/>
        </w:rPr>
        <w:t>نحنُ و لا أحَدٌ أنّه عليه السلامُ رجَعَ إلىٰ رأيِهم في شيءٍ مِن الأحكامِ ، بَل المعلومُ الظاهرُ أنّهم كانوا يَرجِعونَ إليه و يَستَفتونَه في المُعضِلاتِ ، و يَقولُ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عِشتُ لِمُعضِلةٍ لا يَكونُ لها أبو حَسَنٍ </w:t>
      </w:r>
      <w:r>
        <w:rPr>
          <w:rFonts w:eastAsia="Amiri" w:cs="Amiri" w:ascii="Amiri" w:hAnsi="Amiri"/>
          <w:color w:val="111111"/>
          <w:sz w:val="28"/>
          <w:szCs w:val="28"/>
          <w:rtl w:val="true"/>
          <w:lang w:bidi="ar-SA"/>
        </w:rPr>
        <w:t>»</w:t>
      </w:r>
      <w:r>
        <w:rPr>
          <w:rStyle w:val="FootnoteAnchor"/>
          <w:rtl w:val="true"/>
        </w:rPr>
        <w:footnoteReference w:id="396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عليه السلامُ حَدّاً علىٰ أحَدٍ بإذنِهم و مِن قِبَلِهم، و إنّما </w:t>
      </w:r>
    </w:p>
    <w:p>
      <w:pPr>
        <w:pStyle w:val="BookText"/>
        <w:rPr/>
      </w:pPr>
      <w:r>
        <w:rPr>
          <w:rFonts w:ascii="Amiri" w:hAnsi="Amiri" w:eastAsia="Amiri" w:cs="Amiri"/>
          <w:color w:val="111111"/>
          <w:sz w:val="28"/>
          <w:sz w:val="28"/>
          <w:szCs w:val="28"/>
          <w:rtl w:val="true"/>
          <w:lang w:bidi="ar-SA"/>
        </w:rPr>
        <w:t xml:space="preserve">أقامَ الحَدَّ علَى الوَليدِ بنِ عُقبةَ عندَ امتناعِ عُثمانَ مِن إقامتِه عليه، و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 للّٰهِ حَدٌّ و أنا حاضرٌ</w:t>
      </w:r>
      <w:r>
        <w:rPr>
          <w:rFonts w:eastAsia="Amiri" w:cs="Amiri" w:ascii="Amiri" w:hAnsi="Amiri"/>
          <w:color w:val="111111"/>
          <w:sz w:val="28"/>
          <w:szCs w:val="28"/>
          <w:rtl w:val="true"/>
          <w:lang w:bidi="ar-SA"/>
        </w:rPr>
        <w:t>»</w:t>
      </w:r>
      <w:r>
        <w:rPr>
          <w:rStyle w:val="FootnoteAnchor"/>
          <w:rtl w:val="true"/>
        </w:rPr>
        <w:footnoteReference w:id="3964"/>
      </w:r>
      <w:r>
        <w:rPr>
          <w:rFonts w:ascii="Amiri" w:hAnsi="Amiri" w:eastAsia="Amiri" w:cs="Amiri"/>
          <w:color w:val="111111"/>
          <w:sz w:val="28"/>
          <w:sz w:val="28"/>
          <w:szCs w:val="28"/>
          <w:rtl w:val="true"/>
          <w:lang w:bidi="ar-SA"/>
        </w:rPr>
        <w:t>فكيفَ يُجعَلُ إقامتُه للحَدِّ دَليلاً علَى المساعَدةِ و المؤازَرةِ؟</w:t>
      </w:r>
    </w:p>
    <w:p>
      <w:pPr>
        <w:pStyle w:val="BookText"/>
        <w:rPr/>
      </w:pPr>
      <w:r>
        <w:rPr>
          <w:rFonts w:ascii="Amiri" w:hAnsi="Amiri" w:eastAsia="Amiri" w:cs="Amiri"/>
          <w:color w:val="111111"/>
          <w:sz w:val="28"/>
          <w:sz w:val="28"/>
          <w:szCs w:val="28"/>
          <w:rtl w:val="true"/>
          <w:lang w:bidi="ar-SA"/>
        </w:rPr>
        <w:t xml:space="preserve">فأمّا ما دَلَّ علىٰ نفيِ النصِّ على العبّاسِ </w:t>
      </w:r>
      <w:r>
        <w:rPr>
          <w:rStyle w:val="FootnoteAnchor"/>
          <w:rtl w:val="true"/>
        </w:rPr>
        <w:footnoteReference w:id="3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ما ظَنَّه مِن اعتبارِ أحوالِ الصحابةِ و أفعالِها، لكنّه ما قَدَّمناه و شَرَحناه</w:t>
      </w:r>
      <w:r>
        <w:rPr>
          <w:rStyle w:val="FootnoteAnchor"/>
          <w:rtl w:val="true"/>
        </w:rPr>
        <w:footnoteReference w:id="3966"/>
      </w:r>
      <w:r>
        <w:rPr>
          <w:rFonts w:ascii="Amiri" w:hAnsi="Amiri" w:eastAsia="Amiri" w:cs="Amiri"/>
          <w:color w:val="111111"/>
          <w:sz w:val="28"/>
          <w:sz w:val="28"/>
          <w:szCs w:val="28"/>
          <w:rtl w:val="true"/>
          <w:lang w:bidi="ar-SA"/>
        </w:rPr>
        <w:t xml:space="preserve">، و قد بيّنّا أنّ جميعَ ما تَوهَّمَ أنّ في ثُبوتِه أو انتفائه انتفاءَ النصِّ باطلٌ ، و أنّ جميعَ ما اعتقَدَ منافاتَه للنصِّ مِن الأفعالِ و الأحوالِ </w:t>
      </w:r>
      <w:r>
        <w:rPr>
          <w:rStyle w:val="FootnoteAnchor"/>
          <w:rtl w:val="true"/>
        </w:rPr>
        <w:footnoteReference w:id="3967"/>
      </w:r>
      <w:r>
        <w:rPr>
          <w:rFonts w:ascii="Amiri" w:hAnsi="Amiri" w:eastAsia="Amiri" w:cs="Amiri"/>
          <w:color w:val="111111"/>
          <w:sz w:val="28"/>
          <w:sz w:val="28"/>
          <w:szCs w:val="28"/>
          <w:rtl w:val="true"/>
          <w:lang w:bidi="ar-SA"/>
        </w:rPr>
        <w:t>غيرُ مُنافٍ 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أن يُنَصَّ بالإمامةِ علىٰ رجُلٍ معيَّنٍ على رُؤوسِ الأشهادِ، فلا يَدَّعيَ له ذلكَ مُدَّعٍ‌، و لا يَدَّعيَه هو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w:t>
      </w:r>
      <w:r>
        <w:rPr>
          <w:rStyle w:val="FootnoteAnchor"/>
          <w:rtl w:val="true"/>
        </w:rPr>
        <w:footnoteReference w:id="3968"/>
      </w:r>
      <w:r>
        <w:rPr>
          <w:rFonts w:ascii="Amiri" w:hAnsi="Amiri" w:eastAsia="Amiri" w:cs="Amiri"/>
          <w:color w:val="111111"/>
          <w:sz w:val="28"/>
          <w:sz w:val="28"/>
          <w:szCs w:val="28"/>
          <w:rtl w:val="true"/>
          <w:lang w:bidi="ar-SA"/>
        </w:rPr>
        <w:t>حالَ النصِّ ؛ لأنّ النصَّ علىٰ أميرِ المؤمِنينَ عليه السلامُ قد ادَّعَته له جماعةٌ كثيرةٌ و ادَّعاه</w:t>
      </w:r>
      <w:r>
        <w:rPr>
          <w:rStyle w:val="FootnoteAnchor"/>
          <w:rtl w:val="true"/>
        </w:rPr>
        <w:footnoteReference w:id="3969"/>
      </w:r>
      <w:r>
        <w:rPr>
          <w:rFonts w:ascii="Amiri" w:hAnsi="Amiri" w:eastAsia="Amiri" w:cs="Amiri"/>
          <w:color w:val="111111"/>
          <w:sz w:val="28"/>
          <w:sz w:val="28"/>
          <w:szCs w:val="28"/>
          <w:rtl w:val="true"/>
          <w:lang w:bidi="ar-SA"/>
        </w:rPr>
        <w:t>هو عليه السلامُ لنفسِه، و لَو لَم يَدَّعِ ذلكَ علىٰ وجهٍ لَما عَلِمناه، و لا كانَ لنا سَبيلٌ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نَفيَ الادّعاءِ علىٰ سَبيلِ الإظهارِ و الإعلانِ ، فإذا</w:t>
      </w:r>
      <w:r>
        <w:rPr>
          <w:rStyle w:val="FootnoteAnchor"/>
          <w:rtl w:val="true"/>
        </w:rPr>
        <w:footnoteReference w:id="3970"/>
      </w:r>
      <w:r>
        <w:rPr>
          <w:rFonts w:ascii="Amiri" w:hAnsi="Amiri" w:eastAsia="Amiri" w:cs="Amiri"/>
          <w:color w:val="111111"/>
          <w:sz w:val="28"/>
          <w:sz w:val="28"/>
          <w:szCs w:val="28"/>
          <w:rtl w:val="true"/>
          <w:lang w:bidi="ar-SA"/>
        </w:rPr>
        <w:t xml:space="preserve">أرادَ ذلكَ فقَد بيّنّا مِن الأسبابِ المانعةِ منه ما فيه كفايةٌ </w:t>
      </w:r>
      <w:r>
        <w:rPr>
          <w:rFonts w:eastAsia="Amiri" w:cs="Amiri" w:ascii="Amiri" w:hAnsi="Amiri"/>
          <w:color w:val="111111"/>
          <w:sz w:val="28"/>
          <w:szCs w:val="28"/>
          <w:rtl w:val="true"/>
          <w:lang w:bidi="ar-SA"/>
        </w:rPr>
        <w:t xml:space="preserve">. </w:t>
      </w:r>
      <w:bookmarkStart w:id="643" w:name="pg20015_285196"/>
    </w:p>
    <w:p>
      <w:pPr>
        <w:pStyle w:val="Heading4"/>
        <w:numPr>
          <w:ilvl w:val="3"/>
          <w:numId w:val="1"/>
        </w:numPr>
        <w:rPr/>
      </w:pPr>
      <w:bookmarkStart w:id="644" w:name="__RefHeading___Toc895175_2320776876"/>
      <w:bookmarkStart w:id="645" w:name="_Toc229"/>
      <w:bookmarkEnd w:id="643"/>
      <w:bookmarkEnd w:id="644"/>
      <w:r>
        <w:rPr>
          <w:rtl w:val="true"/>
        </w:rPr>
        <w:t>في بيان عدم دلالة صلاة أبي بكر علىٰ إمامته</w:t>
      </w:r>
      <w:bookmarkEnd w:id="645"/>
    </w:p>
    <w:p>
      <w:pPr>
        <w:pStyle w:val="BookText"/>
        <w:rPr/>
      </w:pPr>
      <w:r>
        <w:rPr>
          <w:rFonts w:ascii="Amiri" w:hAnsi="Amiri" w:eastAsia="Amiri" w:cs="Amiri"/>
          <w:color w:val="111111"/>
          <w:sz w:val="28"/>
          <w:sz w:val="28"/>
          <w:szCs w:val="28"/>
          <w:rtl w:val="true"/>
          <w:lang w:bidi="ar-SA"/>
        </w:rPr>
        <w:t>فأمّا ما استَقواه مِن شُبهةِ البَكريّةِ في استخراجِهم مِن تقديمِ أبي بَكرٍ للصلاةِ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وجهُه و الباعثُ علَى 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ذلك أنّ ما تَدَّعيهِ‌</w:t>
      </w:r>
      <w:r>
        <w:rPr>
          <w:rStyle w:val="FootnoteAnchor"/>
          <w:rtl w:val="true"/>
        </w:rPr>
        <w:footnoteReference w:id="3971"/>
      </w:r>
      <w:r>
        <w:rPr>
          <w:rFonts w:ascii="Amiri" w:hAnsi="Amiri" w:eastAsia="Amiri" w:cs="Amiri"/>
          <w:color w:val="111111"/>
          <w:sz w:val="28"/>
          <w:sz w:val="28"/>
          <w:szCs w:val="28"/>
          <w:rtl w:val="true"/>
          <w:lang w:bidi="ar-SA"/>
        </w:rPr>
        <w:t>البَكريّةُ مِن النصِّ بخبرِ الصلاةِ عندَنا مِن أضعَفِ الشُّبَهِ و أرَكِّها، حتّىٰ إنّه لَيَغلِبُ علىٰ ظَنِّ أكثَرِنا</w:t>
      </w:r>
      <w:r>
        <w:rPr>
          <w:rStyle w:val="FootnoteAnchor"/>
          <w:rtl w:val="true"/>
        </w:rPr>
        <w:footnoteReference w:id="3972"/>
      </w:r>
      <w:r>
        <w:rPr>
          <w:rFonts w:ascii="Amiri" w:hAnsi="Amiri" w:eastAsia="Amiri" w:cs="Amiri"/>
          <w:color w:val="111111"/>
          <w:sz w:val="28"/>
          <w:sz w:val="28"/>
          <w:szCs w:val="28"/>
          <w:rtl w:val="true"/>
          <w:lang w:bidi="ar-SA"/>
        </w:rPr>
        <w:t>استحالةُ اعتقادِ النصِّ بهذه الطريقةِ‌</w:t>
      </w:r>
      <w:r>
        <w:rPr>
          <w:rStyle w:val="FootnoteAnchor"/>
          <w:rtl w:val="true"/>
        </w:rPr>
        <w:footnoteReference w:id="3973"/>
      </w:r>
      <w:r>
        <w:rPr>
          <w:rFonts w:ascii="Amiri" w:hAnsi="Amiri" w:eastAsia="Amiri" w:cs="Amiri"/>
          <w:color w:val="111111"/>
          <w:sz w:val="28"/>
          <w:sz w:val="28"/>
          <w:szCs w:val="28"/>
          <w:rtl w:val="true"/>
          <w:lang w:bidi="ar-SA"/>
        </w:rPr>
        <w:t>علىٰ أحَدٍ مِن المحصِّلينَ‌، و يُنسَبُ إظهارُها ممّن تعلَّقَ بها إلَى الغَفلةِ و قِلّةِ التحصيلِ‌، أو اعتمادِ المدافَعةِ و المقابَلةِ مِن غيرِ أن يَكونَ الاعتقادُ مطابِقاً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أصحابُنا رحمهم اللّٰه في غيرِ مَوضعٍ الكلامَ علىٰ خبرِ</w:t>
      </w:r>
      <w:r>
        <w:rPr>
          <w:rStyle w:val="FootnoteAnchor"/>
          <w:rtl w:val="true"/>
        </w:rPr>
        <w:footnoteReference w:id="3974"/>
      </w:r>
      <w:r>
        <w:rPr>
          <w:rFonts w:ascii="Amiri" w:hAnsi="Amiri" w:eastAsia="Amiri" w:cs="Amiri"/>
          <w:color w:val="111111"/>
          <w:sz w:val="28"/>
          <w:sz w:val="28"/>
          <w:szCs w:val="28"/>
          <w:rtl w:val="true"/>
          <w:lang w:bidi="ar-SA"/>
        </w:rPr>
        <w:t>الصلاةِ المنسوبةِ إلىٰ أبي بَكرٍ، و دَلُّوا علىٰ‌</w:t>
      </w:r>
      <w:r>
        <w:rPr>
          <w:rStyle w:val="FootnoteAnchor"/>
          <w:rtl w:val="true"/>
        </w:rPr>
        <w:footnoteReference w:id="3975"/>
      </w:r>
      <w:r>
        <w:rPr>
          <w:rFonts w:ascii="Amiri" w:hAnsi="Amiri" w:eastAsia="Amiri" w:cs="Amiri"/>
          <w:color w:val="111111"/>
          <w:sz w:val="28"/>
          <w:sz w:val="28"/>
          <w:szCs w:val="28"/>
          <w:rtl w:val="true"/>
          <w:lang w:bidi="ar-SA"/>
        </w:rPr>
        <w:t>أنّه لا نِسبَةَ بَينَ الصلاةِ و الإمامةِ‌؛ و جُملةُ ما أَورَدوه أنّ خبرَ الصلاةِ أوّلاً خبرُ واحدٍ</w:t>
      </w:r>
      <w:r>
        <w:rPr>
          <w:rFonts w:eastAsia="Amiri" w:cs="Amiri" w:ascii="Amiri" w:hAnsi="Amiri"/>
          <w:color w:val="111111"/>
          <w:sz w:val="28"/>
          <w:szCs w:val="28"/>
          <w:rtl w:val="true"/>
          <w:lang w:bidi="ar-SA"/>
        </w:rPr>
        <w:t>.</w:t>
      </w:r>
      <w:r>
        <w:rPr>
          <w:rStyle w:val="FootnoteAnchor"/>
          <w:rtl w:val="true"/>
        </w:rPr>
        <w:footnoteReference w:id="3976"/>
      </w:r>
    </w:p>
    <w:p>
      <w:pPr>
        <w:pStyle w:val="BookText"/>
        <w:rPr/>
      </w:pPr>
      <w:r>
        <w:rPr>
          <w:rFonts w:ascii="Amiri" w:hAnsi="Amiri" w:eastAsia="Amiri" w:cs="Amiri"/>
          <w:color w:val="111111"/>
          <w:sz w:val="28"/>
          <w:sz w:val="28"/>
          <w:szCs w:val="28"/>
          <w:rtl w:val="true"/>
          <w:lang w:bidi="ar-SA"/>
        </w:rPr>
        <w:t>ثُمّ إنّ الأمرَ بها و الإذنَ فيها واردٌ مِن جهةِ عائشةَ ، و لَيسَ بمُنكَرٍ أن يَكونَ الإذنُ صدَرَ مِن جهتِها، لا مِن جهةِ الرسولِ صَلّى اللّٰهُ عليه و آلِه</w:t>
      </w:r>
      <w:r>
        <w:rPr>
          <w:rFonts w:eastAsia="Amiri" w:cs="Amiri" w:ascii="Amiri" w:hAnsi="Amiri"/>
          <w:color w:val="111111"/>
          <w:sz w:val="28"/>
          <w:szCs w:val="28"/>
          <w:rtl w:val="true"/>
          <w:lang w:bidi="ar-SA"/>
        </w:rPr>
        <w:t>.</w:t>
      </w:r>
      <w:r>
        <w:rPr>
          <w:rStyle w:val="FootnoteAnchor"/>
          <w:rtl w:val="true"/>
        </w:rPr>
        <w:footnoteReference w:id="397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 أصحابُنا علىٰ ذلكَ بشَيئَينِ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أتَت</w:t>
      </w:r>
      <w:r>
        <w:rPr>
          <w:rStyle w:val="FootnoteAnchor"/>
          <w:rtl w:val="true"/>
        </w:rPr>
        <w:footnoteReference w:id="3978"/>
      </w:r>
      <w:r>
        <w:rPr>
          <w:rFonts w:ascii="Amiri" w:hAnsi="Amiri" w:eastAsia="Amiri" w:cs="Amiri"/>
          <w:color w:val="111111"/>
          <w:sz w:val="28"/>
          <w:sz w:val="28"/>
          <w:szCs w:val="28"/>
          <w:rtl w:val="true"/>
          <w:lang w:bidi="ar-SA"/>
        </w:rPr>
        <w:t xml:space="preserve">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تقدُّمَ أبي بَكرٍ في الصلاةِ و سَمِعَ قِراءتَه في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كصُوَيحِباتِ‌</w:t>
      </w:r>
      <w:r>
        <w:rPr>
          <w:rStyle w:val="FootnoteAnchor"/>
          <w:rtl w:val="true"/>
        </w:rPr>
        <w:footnoteReference w:id="3979"/>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Style w:val="FootnoteAnchor"/>
          <w:rtl w:val="true"/>
        </w:rPr>
        <w:footnoteReference w:id="3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Style w:val="FootnoteAnchor"/>
          <w:rtl w:val="true"/>
        </w:rPr>
        <w:footnoteReference w:id="3981"/>
      </w:r>
      <w:r>
        <w:rPr>
          <w:rFonts w:ascii="Amiri" w:hAnsi="Amiri" w:eastAsia="Amiri" w:cs="Amiri"/>
          <w:color w:val="111111"/>
          <w:sz w:val="28"/>
          <w:sz w:val="28"/>
          <w:szCs w:val="28"/>
          <w:rtl w:val="true"/>
          <w:lang w:bidi="ar-SA"/>
        </w:rPr>
        <w:t xml:space="preserve">بخُروجِه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متَحامِلاً مِن الضَّعفِ‌، معتمِداً علىٰ أميرِ المؤمِنينَ عليه السلامُ و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w:t>
      </w:r>
      <w:r>
        <w:rPr>
          <w:rStyle w:val="FootnoteAnchor"/>
          <w:rtl w:val="true"/>
        </w:rPr>
        <w:footnoteReference w:id="3982"/>
      </w:r>
      <w:r>
        <w:rPr>
          <w:rFonts w:ascii="Amiri" w:hAnsi="Amiri" w:eastAsia="Amiri" w:cs="Amiri"/>
          <w:color w:val="111111"/>
          <w:sz w:val="28"/>
          <w:sz w:val="28"/>
          <w:szCs w:val="28"/>
          <w:rtl w:val="true"/>
          <w:lang w:bidi="ar-SA"/>
        </w:rPr>
        <w:t xml:space="preserve">، و عَزلِه لأبي بَكرٍ عن المَقامِ و إقامةِ </w:t>
      </w:r>
      <w:r>
        <w:rPr>
          <w:rStyle w:val="FootnoteAnchor"/>
          <w:rtl w:val="true"/>
        </w:rPr>
        <w:footnoteReference w:id="3983"/>
      </w:r>
      <w:r>
        <w:rPr>
          <w:rFonts w:ascii="Amiri" w:hAnsi="Amiri" w:eastAsia="Amiri" w:cs="Amiri"/>
          <w:color w:val="111111"/>
          <w:sz w:val="28"/>
          <w:sz w:val="28"/>
          <w:szCs w:val="28"/>
          <w:rtl w:val="true"/>
          <w:lang w:bidi="ar-SA"/>
        </w:rPr>
        <w:t>الصلاةِ ، و تَقدُّمِه عليه</w:t>
      </w:r>
      <w:r>
        <w:rPr>
          <w:rStyle w:val="FootnoteAnchor"/>
          <w:rtl w:val="true"/>
        </w:rPr>
        <w:footnoteReference w:id="3984"/>
      </w:r>
      <w:r>
        <w:rPr>
          <w:rFonts w:ascii="Amiri" w:hAnsi="Amiri" w:eastAsia="Amiri" w:cs="Amiri"/>
          <w:color w:val="111111"/>
          <w:sz w:val="28"/>
          <w:sz w:val="28"/>
          <w:szCs w:val="28"/>
          <w:rtl w:val="true"/>
          <w:lang w:bidi="ar-SA"/>
        </w:rPr>
        <w:t xml:space="preserve">بنفسِه في الصلاةِ </w:t>
      </w:r>
      <w:r>
        <w:rPr>
          <w:rStyle w:val="FootnoteAnchor"/>
          <w:rtl w:val="true"/>
        </w:rPr>
        <w:footnoteReference w:id="3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دَلالةً واضحةً علىٰ أنّ الإذنَ </w:t>
      </w:r>
      <w:r>
        <w:rPr>
          <w:rStyle w:val="FootnoteAnchor"/>
          <w:rtl w:val="true"/>
        </w:rPr>
        <w:footnoteReference w:id="3986"/>
      </w:r>
      <w:r>
        <w:rPr>
          <w:rFonts w:ascii="Amiri" w:hAnsi="Amiri" w:eastAsia="Amiri" w:cs="Amiri"/>
          <w:color w:val="111111"/>
          <w:sz w:val="28"/>
          <w:sz w:val="28"/>
          <w:szCs w:val="28"/>
          <w:rtl w:val="true"/>
          <w:lang w:bidi="ar-SA"/>
        </w:rPr>
        <w:t>في الصلاةِ لَم يَتعدَّ عائشةَ إلَى الرسولِ صَلّى اللّٰهُ عليه و آلِه</w:t>
      </w:r>
      <w:r>
        <w:rPr>
          <w:rStyle w:val="FootnoteAnchor"/>
          <w:rtl w:val="true"/>
        </w:rPr>
        <w:footnoteReference w:id="398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إنّكُنَّ كصُوَيحِباتِ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لمّا أُوذِنَ بالصلاةِ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أبا بَكرٍ </w:t>
      </w:r>
    </w:p>
    <w:p>
      <w:pPr>
        <w:pStyle w:val="BookText"/>
        <w:rPr/>
      </w:pPr>
      <w:r>
        <w:rPr>
          <w:rFonts w:ascii="Amiri" w:hAnsi="Amiri" w:eastAsia="Amiri" w:cs="Amiri"/>
          <w:color w:val="111111"/>
          <w:sz w:val="28"/>
          <w:sz w:val="28"/>
          <w:szCs w:val="28"/>
          <w:rtl w:val="true"/>
          <w:lang w:bidi="ar-SA"/>
        </w:rPr>
        <w:t>ليُصلّيَ‌</w:t>
      </w:r>
      <w:r>
        <w:rPr>
          <w:rStyle w:val="FootnoteAnchor"/>
          <w:rtl w:val="true"/>
        </w:rPr>
        <w:footnoteReference w:id="3988"/>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رجُلٌ أسِيفٌ‌</w:t>
      </w:r>
      <w:r>
        <w:rPr>
          <w:rStyle w:val="FootnoteAnchor"/>
          <w:rtl w:val="true"/>
        </w:rPr>
        <w:footnoteReference w:id="3989"/>
      </w:r>
      <w:r>
        <w:rPr>
          <w:rFonts w:ascii="Amiri" w:hAnsi="Amiri" w:eastAsia="Amiri" w:cs="Amiri"/>
          <w:color w:val="111111"/>
          <w:sz w:val="28"/>
          <w:sz w:val="28"/>
          <w:szCs w:val="28"/>
          <w:rtl w:val="true"/>
          <w:lang w:bidi="ar-SA"/>
        </w:rPr>
        <w:t>حَزينٌ‌</w:t>
      </w:r>
      <w:r>
        <w:rPr>
          <w:rStyle w:val="FootnoteAnchor"/>
          <w:rtl w:val="true"/>
        </w:rPr>
        <w:footnoteReference w:id="3990"/>
      </w:r>
      <w:r>
        <w:rPr>
          <w:rFonts w:ascii="Amiri" w:hAnsi="Amiri" w:eastAsia="Amiri" w:cs="Amiri"/>
          <w:color w:val="111111"/>
          <w:sz w:val="28"/>
          <w:sz w:val="28"/>
          <w:szCs w:val="28"/>
          <w:rtl w:val="true"/>
          <w:lang w:bidi="ar-SA"/>
        </w:rPr>
        <w:t xml:space="preserve">لا يَحتمِلُ قلبُه أن يَقومَ مَقامَكَ في الصلاةِ‌، و لكِنْ تأمُرُ عُمَرَ 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إنّكُنَّ كصُوَيحِباتِ يوسُفَ </w:t>
      </w:r>
      <w:r>
        <w:rPr>
          <w:rFonts w:eastAsia="Amiri" w:cs="Amiri" w:ascii="Amiri" w:hAnsi="Amiri"/>
          <w:color w:val="111111"/>
          <w:sz w:val="28"/>
          <w:szCs w:val="28"/>
          <w:rtl w:val="true"/>
          <w:lang w:bidi="ar-SA"/>
        </w:rPr>
        <w:t>»</w:t>
      </w:r>
      <w:r>
        <w:rPr>
          <w:rStyle w:val="FootnoteAnchor"/>
          <w:rtl w:val="true"/>
        </w:rPr>
        <w:footnoteReference w:id="3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لَيسَ بشيءٍ‌؛ لأنّ النبيَّ صَلّى اللّٰهُ عليه و آلِه لا يَجوزُ أن يَكونَ أمثالُه إلّا وَفقاً</w:t>
      </w:r>
      <w:r>
        <w:rPr>
          <w:rStyle w:val="FootnoteAnchor"/>
          <w:rtl w:val="true"/>
        </w:rPr>
        <w:footnoteReference w:id="3992"/>
      </w:r>
      <w:r>
        <w:rPr>
          <w:rFonts w:ascii="Amiri" w:hAnsi="Amiri" w:eastAsia="Amiri" w:cs="Amiri"/>
          <w:color w:val="111111"/>
          <w:sz w:val="28"/>
          <w:sz w:val="28"/>
          <w:szCs w:val="28"/>
          <w:rtl w:val="true"/>
          <w:lang w:bidi="ar-SA"/>
        </w:rPr>
        <w:t xml:space="preserve">لأغراضِه، و قد عَلِمنا أنّ صوَيحباتِ يوسُفَ لَم يَكُن منهنَّ خِلافٌ علىٰ يوسُفَ‌، و لا مراجَعةٌ له في شيءٍ أمَرَهنَّ به، و إنّما افتُتِنَّ بأَسرِهنّ بحُسنِه، و أرادَت كُلُّ واحدةٍ منهنَّ </w:t>
      </w:r>
      <w:r>
        <w:rPr>
          <w:rStyle w:val="FootnoteAnchor"/>
          <w:rtl w:val="true"/>
        </w:rPr>
        <w:footnoteReference w:id="3993"/>
      </w:r>
      <w:r>
        <w:rPr>
          <w:rFonts w:ascii="IRNazanin" w:hAnsi="IRNazanin" w:eastAsia="IRNazanin"/>
          <w:color w:val="111111"/>
          <w:sz w:val="28"/>
          <w:sz w:val="28"/>
          <w:szCs w:val="28"/>
          <w:rtl w:val="true"/>
          <w:lang w:bidi="fa-IR"/>
        </w:rPr>
        <w:t>منه</w:t>
      </w:r>
      <w:r>
        <w:rPr>
          <w:rStyle w:val="FootnoteAnchor"/>
          <w:rtl w:val="true"/>
        </w:rPr>
        <w:footnoteReference w:id="3994"/>
      </w:r>
      <w:r>
        <w:rPr>
          <w:rFonts w:ascii="Amiri" w:hAnsi="Amiri" w:eastAsia="Amiri" w:cs="Amiri"/>
          <w:color w:val="111111"/>
          <w:sz w:val="28"/>
          <w:sz w:val="28"/>
          <w:szCs w:val="28"/>
          <w:rtl w:val="true"/>
          <w:lang w:bidi="ar-SA"/>
        </w:rPr>
        <w:t>مِثلَ ما أَرادَته صاحبتُها؛ فأشبَهَت حالُهنَّ حالَ عائشةَ في تقديمِها أباها للصلاةِ طلَباً</w:t>
      </w:r>
      <w:r>
        <w:rPr>
          <w:rStyle w:val="FootnoteAnchor"/>
          <w:rtl w:val="true"/>
        </w:rPr>
        <w:footnoteReference w:id="3995"/>
      </w:r>
      <w:r>
        <w:rPr>
          <w:rFonts w:ascii="Amiri" w:hAnsi="Amiri" w:eastAsia="Amiri" w:cs="Amiri"/>
          <w:color w:val="111111"/>
          <w:sz w:val="28"/>
          <w:sz w:val="28"/>
          <w:szCs w:val="28"/>
          <w:rtl w:val="true"/>
          <w:lang w:bidi="ar-SA"/>
        </w:rPr>
        <w:t xml:space="preserve">للتجمُّلِ </w:t>
      </w:r>
      <w:r>
        <w:rPr>
          <w:rStyle w:val="FootnoteAnchor"/>
          <w:rtl w:val="true"/>
        </w:rPr>
        <w:footnoteReference w:id="3996"/>
      </w:r>
      <w:r>
        <w:rPr>
          <w:rFonts w:ascii="Amiri" w:hAnsi="Amiri" w:eastAsia="Amiri" w:cs="Amiri"/>
          <w:color w:val="111111"/>
          <w:sz w:val="28"/>
          <w:sz w:val="28"/>
          <w:szCs w:val="28"/>
          <w:rtl w:val="true"/>
          <w:lang w:bidi="ar-SA"/>
        </w:rPr>
        <w:t xml:space="preserve">و التشرُّفِ بمَقامِ الرسولِ </w:t>
      </w:r>
      <w:r>
        <w:rPr>
          <w:rStyle w:val="FootnoteAnchor"/>
          <w:rtl w:val="true"/>
        </w:rPr>
        <w:footnoteReference w:id="3997"/>
      </w:r>
      <w:r>
        <w:rPr>
          <w:rFonts w:ascii="Amiri" w:hAnsi="Amiri" w:eastAsia="Amiri" w:cs="Amiri"/>
          <w:color w:val="111111"/>
          <w:sz w:val="28"/>
          <w:sz w:val="28"/>
          <w:szCs w:val="28"/>
          <w:rtl w:val="true"/>
          <w:lang w:bidi="ar-SA"/>
        </w:rPr>
        <w:t>صَلّى اللّٰهُ عليه و آلِه، و لِما يَعودُ بذلكَ عليها و علىٰ أبيها مِن الفَخرِ و جَميلِ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معتبَرَ بمَن</w:t>
      </w:r>
      <w:r>
        <w:rPr>
          <w:rStyle w:val="FootnoteAnchor"/>
          <w:rtl w:val="true"/>
        </w:rPr>
        <w:footnoteReference w:id="3998"/>
      </w:r>
      <w:r>
        <w:rPr>
          <w:rFonts w:ascii="Amiri" w:hAnsi="Amiri" w:eastAsia="Amiri" w:cs="Amiri"/>
          <w:color w:val="111111"/>
          <w:sz w:val="28"/>
          <w:sz w:val="28"/>
          <w:szCs w:val="28"/>
          <w:rtl w:val="true"/>
          <w:lang w:bidi="ar-SA"/>
        </w:rPr>
        <w:t>حمَلَ نفسَه مِن المخالِفينَ علىٰ أنْ يَدَّعيَ أنّ الرسولَ صَلّى اللّٰهُ عليه و آلِه لمّا خرَجَ إلَى المسجِدِ لَم يَعزِلْ أبا بَكرٍ عن الصلاةِ و أقَرَّه في مَقامِه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هذا مِن قائلِه غلَطٌ فظيعٌ ؛ مِن حَيثُ يَستحيلُ أن يَكونَ النبيُّ صَلّى اللّٰهُ عليه </w:t>
      </w:r>
    </w:p>
    <w:p>
      <w:p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المتّبَعُ في سائرِ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مأموماً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أن يَتقدَّمَ النبيَّ‌</w:t>
      </w:r>
      <w:r>
        <w:rPr>
          <w:rStyle w:val="FootnoteAnchor"/>
          <w:rtl w:val="true"/>
        </w:rPr>
        <w:footnoteReference w:id="3999"/>
      </w:r>
      <w:r>
        <w:rPr>
          <w:rFonts w:ascii="Amiri" w:hAnsi="Amiri" w:eastAsia="Amiri" w:cs="Amiri"/>
          <w:color w:val="111111"/>
          <w:sz w:val="28"/>
          <w:sz w:val="28"/>
          <w:szCs w:val="28"/>
          <w:rtl w:val="true"/>
          <w:lang w:bidi="ar-SA"/>
        </w:rPr>
        <w:t>صَلّى اللّٰهُ عليه و آلِه غيرُه في الصلاةِ‌، و قد دَلَّت الدَّلالةُ علىٰ أنّه لا يَتقدَّمُ فيها إلّاالأفضَلُ علَى الترتيبِ و التنزيلِ المعروفِ‌</w:t>
      </w:r>
      <w:r>
        <w:rPr>
          <w:rStyle w:val="FootnoteAnchor"/>
          <w:rtl w:val="true"/>
        </w:rPr>
        <w:footnoteReference w:id="40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بُطلانِ دعواهم هذه</w:t>
      </w:r>
      <w:r>
        <w:rPr>
          <w:rStyle w:val="FootnoteAnchor"/>
          <w:rtl w:val="true"/>
        </w:rPr>
        <w:footnoteReference w:id="4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لَو لَم يَعزِلْه عند خروجِه عن الصلاةِ لَما كانَ لِما</w:t>
      </w:r>
      <w:r>
        <w:rPr>
          <w:rStyle w:val="FootnoteAnchor"/>
          <w:rtl w:val="true"/>
        </w:rPr>
        <w:footnoteReference w:id="4002"/>
      </w:r>
      <w:r>
        <w:rPr>
          <w:rFonts w:ascii="Amiri" w:hAnsi="Amiri" w:eastAsia="Amiri" w:cs="Amiri"/>
          <w:color w:val="111111"/>
          <w:sz w:val="28"/>
          <w:sz w:val="28"/>
          <w:szCs w:val="28"/>
          <w:rtl w:val="true"/>
          <w:lang w:bidi="ar-SA"/>
        </w:rPr>
        <w:t xml:space="preserve">ورَدَت به الروايةُ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صَلّى اللّٰهُ عليه و آلِه لمّا صلّىٰ بالناسِ ابتَدأَ مِن القُرآنِ‌</w:t>
      </w:r>
      <w:r>
        <w:rPr>
          <w:rStyle w:val="FootnoteAnchor"/>
          <w:rtl w:val="true"/>
        </w:rPr>
        <w:footnoteReference w:id="4003"/>
      </w:r>
      <w:r>
        <w:rPr>
          <w:rFonts w:ascii="Amiri" w:hAnsi="Amiri" w:eastAsia="Amiri" w:cs="Amiri"/>
          <w:color w:val="111111"/>
          <w:sz w:val="28"/>
          <w:sz w:val="28"/>
          <w:szCs w:val="28"/>
          <w:rtl w:val="true"/>
          <w:lang w:bidi="ar-SA"/>
        </w:rPr>
        <w:t xml:space="preserve">مِن حَيثُ ابتَدَأَ أبو بَكرٍ، أو مِن حَيثُ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لا نَعلَمُ‌</w:t>
      </w:r>
      <w:r>
        <w:rPr>
          <w:rStyle w:val="FootnoteAnchor"/>
          <w:rtl w:val="true"/>
        </w:rPr>
        <w:footnoteReference w:id="4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تَجاوَزنا عن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يَكونُ منه خبرُ الصلاةِ شُبهةً في النصِّ‌، مع تسليمِ أنّ النبيَّ صَلّى اللّٰهُ عليه و آلِه أمَرَ بها</w:t>
      </w:r>
      <w:r>
        <w:rPr>
          <w:rStyle w:val="FootnoteAnchor"/>
          <w:rtl w:val="true"/>
        </w:rPr>
        <w:footnoteReference w:id="4005"/>
      </w:r>
      <w:r>
        <w:rPr>
          <w:rFonts w:ascii="Amiri" w:hAnsi="Amiri" w:eastAsia="Amiri" w:cs="Amiri"/>
          <w:color w:val="111111"/>
          <w:sz w:val="28"/>
          <w:sz w:val="28"/>
          <w:szCs w:val="28"/>
          <w:rtl w:val="true"/>
          <w:lang w:bidi="ar-SA"/>
        </w:rPr>
        <w:t xml:space="preserve">أيضاً؛ لأنّ الصلاةَ وِلايةٌ مخصوصةٌ في حالٍ مخصوصٍ </w:t>
      </w:r>
      <w:r>
        <w:rPr>
          <w:rStyle w:val="FootnoteAnchor"/>
          <w:rtl w:val="true"/>
        </w:rPr>
        <w:footnoteReference w:id="4006"/>
      </w:r>
      <w:r>
        <w:rPr>
          <w:rFonts w:ascii="Amiri" w:hAnsi="Amiri" w:eastAsia="Amiri" w:cs="Amiri"/>
          <w:color w:val="111111"/>
          <w:sz w:val="28"/>
          <w:sz w:val="28"/>
          <w:szCs w:val="28"/>
          <w:rtl w:val="true"/>
          <w:lang w:bidi="ar-SA"/>
        </w:rPr>
        <w:t xml:space="preserve">لا تعلُّقَ لها بالإمامةِ ؛ لأنّ الإمامةَ تَشتمِلُ علىٰ وِلاياتٍ كثيرةٍ مِن جُملتِها الصلاةُ ، ثُمّ هي مُستمِرّةٌ في الأوقاتِ كُلِّها؛ فأيُّ نِسبةٍ مع ما ذَكَرناه بَينَ الأمرَينِ؟ </w:t>
      </w:r>
    </w:p>
    <w:p>
      <w:pPr>
        <w:pStyle w:val="BookText"/>
        <w:rPr/>
      </w:pPr>
      <w:r>
        <w:rPr>
          <w:rFonts w:ascii="Amiri" w:hAnsi="Amiri" w:eastAsia="Amiri" w:cs="Amiri"/>
          <w:color w:val="111111"/>
          <w:sz w:val="28"/>
          <w:sz w:val="28"/>
          <w:szCs w:val="28"/>
          <w:rtl w:val="true"/>
          <w:lang w:bidi="ar-SA"/>
        </w:rPr>
        <w:t>علىٰ أنّه لَو كانَت وِلايةُ‌</w:t>
      </w:r>
      <w:r>
        <w:rPr>
          <w:rStyle w:val="FootnoteAnchor"/>
          <w:rtl w:val="true"/>
        </w:rPr>
        <w:footnoteReference w:id="4007"/>
      </w:r>
      <w:r>
        <w:rPr>
          <w:rFonts w:ascii="Amiri" w:hAnsi="Amiri" w:eastAsia="Amiri" w:cs="Amiri"/>
          <w:color w:val="111111"/>
          <w:sz w:val="28"/>
          <w:sz w:val="28"/>
          <w:szCs w:val="28"/>
          <w:rtl w:val="true"/>
          <w:lang w:bidi="ar-SA"/>
        </w:rPr>
        <w:t>الصلاةِ دالّةً علَى النصِّ‌، لَم تَخلُ‌</w:t>
      </w:r>
      <w:r>
        <w:rPr>
          <w:rStyle w:val="FootnoteAnchor"/>
          <w:rtl w:val="true"/>
        </w:rPr>
        <w:footnoteReference w:id="4008"/>
      </w:r>
      <w:r>
        <w:rPr>
          <w:rFonts w:ascii="Amiri" w:hAnsi="Amiri" w:eastAsia="Amiri" w:cs="Amiri"/>
          <w:color w:val="111111"/>
          <w:sz w:val="28"/>
          <w:sz w:val="28"/>
          <w:szCs w:val="28"/>
          <w:rtl w:val="true"/>
          <w:lang w:bidi="ar-SA"/>
        </w:rPr>
        <w:t>مِن أن تَكونَ دالّةً‌</w:t>
      </w:r>
      <w:r>
        <w:rPr>
          <w:rStyle w:val="FootnoteAnchor"/>
          <w:rtl w:val="true"/>
        </w:rPr>
        <w:footnoteReference w:id="4009"/>
      </w:r>
    </w:p>
    <w:p>
      <w:pPr>
        <w:pStyle w:val="BookText"/>
        <w:rPr/>
      </w:pPr>
      <w:r>
        <w:rPr>
          <w:rFonts w:ascii="Amiri" w:hAnsi="Amiri" w:eastAsia="Amiri" w:cs="Amiri"/>
          <w:color w:val="111111"/>
          <w:sz w:val="28"/>
          <w:sz w:val="28"/>
          <w:szCs w:val="28"/>
          <w:rtl w:val="true"/>
          <w:lang w:bidi="ar-SA"/>
        </w:rPr>
        <w:t xml:space="preserve">مِن حَيثُ كانَت تقديماً في الصلاةِ‌، أو مِن حَيثُ اختَصَّت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تقديمٌ فيها</w:t>
      </w:r>
      <w:r>
        <w:rPr>
          <w:rStyle w:val="FootnoteAnchor"/>
          <w:rtl w:val="true"/>
        </w:rPr>
        <w:footnoteReference w:id="4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دَلَّت مِن الوجهِ الأوّلِ وَجَبَ أن يَكونَ جميعُ مَن قدَّمَه الرسولُ صَلّى اللّٰهُ عليه و آلِه في طولِ حياتِه للصلاةِ إماماً للمسلمينَ‌، و قد عَلِمنا أنّ الرسولَ صَلّى اللّٰهُ عليه و آلِه قد ولَّى الصلاةَ جَماعةً لا يَجِبُ شيءٌ مِن هذا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دَلَّت مِن الوجه الثاني، فالمرضُ لا تأثيرَ له في إيجابِ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دَلَّ تقديمُه في الصلاةِ في حالِ المرضِ علَى الإمامةِ‌، لَدَلَّ علىٰ مِثلِه التقديمُ في حالِ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للمرضِ تأثيرٌ، لوَجَبَ أن يَكونَ تأميرُه أُسامةَ بنَ زيدٍ و تأكيدُه أمرَه في حالِ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وِلايتَه تَشتمِلُ علَى الصلاةِ و غيرِ الصلاةِ </w:t>
      </w:r>
      <w:r>
        <w:rPr>
          <w:rStyle w:val="FootnoteAnchor"/>
          <w:rtl w:val="true"/>
        </w:rPr>
        <w:footnoteReference w:id="4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له الإمامةَ </w:t>
      </w:r>
      <w:r>
        <w:rPr>
          <w:rStyle w:val="FootnoteAnchor"/>
          <w:rtl w:val="true"/>
        </w:rPr>
        <w:footnoteReference w:id="4012"/>
      </w:r>
      <w:r>
        <w:rPr>
          <w:rFonts w:ascii="Amiri" w:hAnsi="Amiri" w:eastAsia="Amiri" w:cs="Amiri"/>
          <w:color w:val="111111"/>
          <w:sz w:val="28"/>
          <w:sz w:val="28"/>
          <w:szCs w:val="28"/>
          <w:rtl w:val="true"/>
          <w:lang w:bidi="ar-SA"/>
        </w:rPr>
        <w:t>لأنه لا خِلافَ في أنّ النبيَّ صَلّى اللّٰهُ عليه و آلِه كانَ يَقولُ إلىٰ أن فاضَت نفسُه الكريمةُ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w:t>
      </w:r>
      <w:r>
        <w:rPr>
          <w:rStyle w:val="FootnoteAnchor"/>
          <w:rtl w:val="true"/>
        </w:rPr>
        <w:footnoteReference w:id="4013"/>
      </w:r>
      <w:r>
        <w:rPr>
          <w:rFonts w:ascii="Amiri" w:hAnsi="Amiri" w:eastAsia="Amiri" w:cs="Amiri"/>
          <w:color w:val="111111"/>
          <w:sz w:val="28"/>
          <w:sz w:val="28"/>
          <w:szCs w:val="28"/>
          <w:rtl w:val="true"/>
          <w:lang w:bidi="ar-SA"/>
        </w:rPr>
        <w:t>و يكرِّرُ ذلكَ و يردِّدُه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تدُلَّ الصلاةُ علَى الإمامةِ مِن الوجهَينِ اللذَينِ أفسَدتموها</w:t>
      </w:r>
      <w:r>
        <w:rPr>
          <w:rStyle w:val="FootnoteAnchor"/>
          <w:rtl w:val="true"/>
        </w:rPr>
        <w:footnoteReference w:id="4014"/>
      </w:r>
      <w:r>
        <w:rPr>
          <w:rFonts w:ascii="Amiri" w:hAnsi="Amiri" w:eastAsia="Amiri" w:cs="Amiri"/>
          <w:color w:val="111111"/>
          <w:sz w:val="28"/>
          <w:sz w:val="28"/>
          <w:szCs w:val="28"/>
          <w:rtl w:val="true"/>
          <w:lang w:bidi="ar-SA"/>
        </w:rPr>
        <w:t xml:space="preserve">، لكِنْ مِن </w:t>
      </w:r>
    </w:p>
    <w:p>
      <w:pPr>
        <w:pStyle w:val="BookText"/>
        <w:rPr/>
      </w:pPr>
      <w:r>
        <w:rPr>
          <w:rFonts w:ascii="Amiri" w:hAnsi="Amiri" w:eastAsia="Amiri" w:cs="Amiri"/>
          <w:color w:val="111111"/>
          <w:sz w:val="28"/>
          <w:sz w:val="28"/>
          <w:szCs w:val="28"/>
          <w:rtl w:val="true"/>
          <w:lang w:bidi="ar-SA"/>
        </w:rPr>
        <w:t>حَيثُ كانَ النبيُّ صَلّى اللّٰهُ عليه و آلِه مؤتَمّاً بأبي بَكرٍ في الصلاةِ و مُصَلّياً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يُبطِلُ هذا الظنَّ‌</w:t>
      </w:r>
      <w:r>
        <w:rPr>
          <w:rStyle w:val="FootnoteAnchor"/>
          <w:rtl w:val="true"/>
        </w:rPr>
        <w:footnoteReference w:id="4015"/>
      </w:r>
      <w:r>
        <w:rPr>
          <w:rFonts w:ascii="Amiri" w:hAnsi="Amiri" w:eastAsia="Amiri" w:cs="Amiri"/>
          <w:color w:val="111111"/>
          <w:sz w:val="28"/>
          <w:sz w:val="28"/>
          <w:szCs w:val="28"/>
          <w:rtl w:val="true"/>
          <w:lang w:bidi="ar-SA"/>
        </w:rPr>
        <w:t>، فكَيفَ يُجعَلُ ما هو مُستَحيلٌ في نفسِه حُجّةً؟</w:t>
      </w:r>
    </w:p>
    <w:p>
      <w:pPr>
        <w:pStyle w:val="BookText"/>
        <w:rPr/>
      </w:pPr>
      <w:r>
        <w:rPr>
          <w:rFonts w:ascii="Amiri" w:hAnsi="Amiri" w:eastAsia="Amiri" w:cs="Amiri"/>
          <w:color w:val="111111"/>
          <w:sz w:val="28"/>
          <w:sz w:val="28"/>
          <w:szCs w:val="28"/>
          <w:rtl w:val="true"/>
          <w:lang w:bidi="ar-SA"/>
        </w:rPr>
        <w:t>علىٰ أنّ النبيَّ صَلّى اللّٰهُ عليه و آلِه</w:t>
      </w:r>
      <w:r>
        <w:rPr>
          <w:rStyle w:val="FootnoteAnchor"/>
          <w:rtl w:val="true"/>
        </w:rPr>
        <w:footnoteReference w:id="4016"/>
      </w:r>
      <w:r>
        <w:rPr>
          <w:rFonts w:ascii="Amiri" w:hAnsi="Amiri" w:eastAsia="Amiri" w:cs="Amiri"/>
          <w:color w:val="111111"/>
          <w:sz w:val="28"/>
          <w:sz w:val="28"/>
          <w:szCs w:val="28"/>
          <w:rtl w:val="true"/>
          <w:lang w:bidi="ar-SA"/>
        </w:rPr>
        <w:t xml:space="preserve">عندَ مخالِفينا قد صَلّىٰ خَلفَ عبدِ الرحمنِ بنِ عَوفٍ </w:t>
      </w:r>
      <w:r>
        <w:rPr>
          <w:rStyle w:val="FootnoteAnchor"/>
          <w:rtl w:val="true"/>
        </w:rPr>
        <w:footnoteReference w:id="4017"/>
      </w:r>
      <w:r>
        <w:rPr>
          <w:rFonts w:ascii="Amiri" w:hAnsi="Amiri" w:eastAsia="Amiri" w:cs="Amiri"/>
          <w:color w:val="111111"/>
          <w:sz w:val="28"/>
          <w:sz w:val="28"/>
          <w:szCs w:val="28"/>
          <w:rtl w:val="true"/>
          <w:lang w:bidi="ar-SA"/>
        </w:rPr>
        <w:t>، و لَم يَكُن ذلكَ موجِباً له الإمامةَ ، و خبرُ صلاةِ عبدِ الرحمنِ بنِ عَوفٍ أثبَتُ عندَهم و أظهَرُ فيهم مِن خبرِ</w:t>
      </w:r>
      <w:r>
        <w:rPr>
          <w:rStyle w:val="FootnoteAnchor"/>
          <w:rtl w:val="true"/>
        </w:rPr>
        <w:footnoteReference w:id="4018"/>
      </w:r>
      <w:r>
        <w:rPr>
          <w:rFonts w:ascii="Amiri" w:hAnsi="Amiri" w:eastAsia="Amiri" w:cs="Amiri"/>
          <w:color w:val="111111"/>
          <w:sz w:val="28"/>
          <w:sz w:val="28"/>
          <w:szCs w:val="28"/>
          <w:rtl w:val="true"/>
          <w:lang w:bidi="ar-SA"/>
        </w:rPr>
        <w:t xml:space="preserve">صلاتِه خَلفَ أبي بَكرٍ؛ لأنّ الأكثَرَ منهم يَعترِفُ بعَزلِه عن الصلاةِ عندَ خروجِه عليه السلامُ ، و قد بيّنّا أنّ المرضَ لا تأثيرَ له؛ فلَيسَ لهم أنْ يفرِّقوا بَينَ صلاتِه خَلفَ عبدِ الرحمنِ و بَينَها خَلفَ أبي بَكرٍ بذِكرِ المرضِ </w:t>
      </w:r>
      <w:r>
        <w:rPr>
          <w:rStyle w:val="FootnoteAnchor"/>
          <w:rtl w:val="true"/>
        </w:rPr>
        <w:footnoteReference w:id="4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الكتابِ‌ فِي الحكايةِ‌</w:t>
      </w:r>
      <w:r>
        <w:rPr>
          <w:rStyle w:val="FootnoteAnchor"/>
          <w:rtl w:val="true"/>
        </w:rPr>
        <w:footnoteReference w:id="4020"/>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بُطلانَ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يَقدَمَ جماعةٌ مِن أهلِ‌</w:t>
      </w:r>
      <w:r>
        <w:rPr>
          <w:rStyle w:val="FootnoteAnchor"/>
          <w:rtl w:val="true"/>
        </w:rPr>
        <w:footnoteReference w:id="4021"/>
      </w:r>
      <w:r>
        <w:rPr>
          <w:rFonts w:ascii="Amiri" w:hAnsi="Amiri" w:eastAsia="Amiri" w:cs="Amiri"/>
          <w:color w:val="111111"/>
          <w:sz w:val="28"/>
          <w:sz w:val="28"/>
          <w:szCs w:val="28"/>
          <w:rtl w:val="true"/>
          <w:lang w:bidi="ar-SA"/>
        </w:rPr>
        <w:t>البصرةِ لا يَجوزُ علىٰ مِثلِهم التواطؤُ فيُخبِروا</w:t>
      </w:r>
      <w:r>
        <w:rPr>
          <w:rStyle w:val="FootnoteAnchor"/>
          <w:rtl w:val="true"/>
        </w:rPr>
        <w:footnoteReference w:id="4022"/>
      </w:r>
      <w:r>
        <w:rPr>
          <w:rFonts w:ascii="Amiri" w:hAnsi="Amiri" w:eastAsia="Amiri" w:cs="Amiri"/>
          <w:color w:val="111111"/>
          <w:sz w:val="28"/>
          <w:sz w:val="28"/>
          <w:szCs w:val="28"/>
          <w:rtl w:val="true"/>
          <w:lang w:bidi="ar-SA"/>
        </w:rPr>
        <w:t>عن أسعارِ الأمتِعةِ و لا يُخبِروا بدخولِ القَرامِطةِ ؛ فإذا</w:t>
      </w:r>
      <w:r>
        <w:rPr>
          <w:rStyle w:val="FootnoteAnchor"/>
          <w:rtl w:val="true"/>
        </w:rPr>
        <w:footnoteReference w:id="4023"/>
      </w:r>
      <w:r>
        <w:rPr>
          <w:rFonts w:ascii="Amiri" w:hAnsi="Amiri" w:eastAsia="Amiri" w:cs="Amiri"/>
          <w:color w:val="111111"/>
          <w:sz w:val="28"/>
          <w:sz w:val="28"/>
          <w:szCs w:val="28"/>
          <w:rtl w:val="true"/>
          <w:lang w:bidi="ar-SA"/>
        </w:rPr>
        <w:t>وَجَدناهم لَم يُخبِروا بذلكَ مع إخبارِهم بالأسعارِ و أشباهِها، دَلَّ ذلكَ علىٰ أنّ القَرامِطةَ لَم تَدخُلِ البصرةَ ، أو لَم يَقِفوا علىٰ ذلكَ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أن لا يُخبِروا بالعظيمِ ، و يُخبِروا </w:t>
      </w:r>
    </w:p>
    <w:p>
      <w:pPr>
        <w:pStyle w:val="BookText"/>
        <w:rPr/>
      </w:pPr>
      <w:r>
        <w:rPr>
          <w:rFonts w:ascii="Amiri" w:hAnsi="Amiri" w:eastAsia="Amiri" w:cs="Amiri"/>
          <w:color w:val="111111"/>
          <w:sz w:val="28"/>
          <w:sz w:val="28"/>
          <w:szCs w:val="28"/>
          <w:rtl w:val="true"/>
          <w:lang w:bidi="ar-SA"/>
        </w:rPr>
        <w:t>بما هو دونَه، لَجازَ أن يقَعَ في الجامعِ حَربٌ‌</w:t>
      </w:r>
      <w:r>
        <w:rPr>
          <w:rStyle w:val="FootnoteAnchor"/>
          <w:rtl w:val="true"/>
        </w:rPr>
        <w:footnoteReference w:id="4024"/>
      </w:r>
      <w:r>
        <w:rPr>
          <w:rFonts w:ascii="Amiri" w:hAnsi="Amiri" w:eastAsia="Amiri" w:cs="Amiri"/>
          <w:color w:val="111111"/>
          <w:sz w:val="28"/>
          <w:sz w:val="28"/>
          <w:szCs w:val="28"/>
          <w:rtl w:val="true"/>
          <w:lang w:bidi="ar-SA"/>
        </w:rPr>
        <w:t>و قَتلٌ و يَجيئَنا منهم قومٌ لا يُخبِرونَ بذلك، و إذا</w:t>
      </w:r>
      <w:r>
        <w:rPr>
          <w:rStyle w:val="FootnoteAnchor"/>
          <w:rtl w:val="true"/>
        </w:rPr>
        <w:footnoteReference w:id="4025"/>
      </w:r>
      <w:r>
        <w:rPr>
          <w:rFonts w:ascii="Amiri" w:hAnsi="Amiri" w:eastAsia="Amiri" w:cs="Amiri"/>
          <w:color w:val="111111"/>
          <w:sz w:val="28"/>
          <w:sz w:val="28"/>
          <w:szCs w:val="28"/>
          <w:rtl w:val="true"/>
          <w:lang w:bidi="ar-SA"/>
        </w:rPr>
        <w:t>كانَ مِثلُ ذلكَ باطلاً و قد عَلِمنا أنَّ جَعْل النبيِّ عليه السلامُ‌</w:t>
      </w:r>
      <w:r>
        <w:rPr>
          <w:rStyle w:val="FootnoteAnchor"/>
          <w:rtl w:val="true"/>
        </w:rPr>
        <w:footnoteReference w:id="4026"/>
      </w:r>
      <w:r>
        <w:rPr>
          <w:rFonts w:ascii="Amiri" w:hAnsi="Amiri" w:eastAsia="Amiri" w:cs="Amiri"/>
          <w:color w:val="111111"/>
          <w:sz w:val="28"/>
          <w:sz w:val="28"/>
          <w:szCs w:val="28"/>
          <w:rtl w:val="true"/>
          <w:lang w:bidi="ar-SA"/>
        </w:rPr>
        <w:t>عليّاً</w:t>
      </w:r>
      <w:r>
        <w:rPr>
          <w:rStyle w:val="FootnoteAnchor"/>
          <w:rtl w:val="true"/>
        </w:rPr>
        <w:footnoteReference w:id="4027"/>
      </w:r>
      <w:r>
        <w:rPr>
          <w:rFonts w:ascii="Amiri" w:hAnsi="Amiri" w:eastAsia="Amiri" w:cs="Amiri"/>
          <w:color w:val="111111"/>
          <w:sz w:val="28"/>
          <w:sz w:val="28"/>
          <w:szCs w:val="28"/>
          <w:rtl w:val="true"/>
          <w:lang w:bidi="ar-SA"/>
        </w:rPr>
        <w:t>إماماً و إشارتَه إليه و نصَّه عليه مِن أعظَمِ ما تَحتاجُ‌</w:t>
      </w:r>
      <w:r>
        <w:rPr>
          <w:rStyle w:val="FootnoteAnchor"/>
          <w:rtl w:val="true"/>
        </w:rPr>
        <w:footnoteReference w:id="4028"/>
      </w:r>
      <w:r>
        <w:rPr>
          <w:rFonts w:ascii="Amiri" w:hAnsi="Amiri" w:eastAsia="Amiri" w:cs="Amiri"/>
          <w:color w:val="111111"/>
          <w:sz w:val="28"/>
          <w:sz w:val="28"/>
          <w:szCs w:val="28"/>
          <w:rtl w:val="true"/>
          <w:lang w:bidi="ar-SA"/>
        </w:rPr>
        <w:t>الأُمّةُ إليه و</w:t>
      </w:r>
      <w:r>
        <w:rPr>
          <w:rStyle w:val="FootnoteAnchor"/>
          <w:rtl w:val="true"/>
        </w:rPr>
        <w:footnoteReference w:id="4029"/>
      </w:r>
      <w:r>
        <w:rPr>
          <w:rFonts w:ascii="Amiri" w:hAnsi="Amiri" w:eastAsia="Amiri" w:cs="Amiri"/>
          <w:color w:val="111111"/>
          <w:sz w:val="28"/>
          <w:sz w:val="28"/>
          <w:szCs w:val="28"/>
          <w:rtl w:val="true"/>
          <w:lang w:bidi="ar-SA"/>
        </w:rPr>
        <w:t>إلىٰ معرفتِه</w:t>
      </w:r>
      <w:r>
        <w:rPr>
          <w:rStyle w:val="FootnoteAnchor"/>
          <w:rtl w:val="true"/>
        </w:rPr>
        <w:footnoteReference w:id="4030"/>
      </w:r>
      <w:r>
        <w:rPr>
          <w:rFonts w:ascii="Amiri" w:hAnsi="Amiri" w:eastAsia="Amiri" w:cs="Amiri"/>
          <w:color w:val="111111"/>
          <w:sz w:val="28"/>
          <w:sz w:val="28"/>
          <w:szCs w:val="28"/>
          <w:rtl w:val="true"/>
          <w:lang w:bidi="ar-SA"/>
        </w:rPr>
        <w:t>، فلَو كانَ قد نصَبَه لهم لَما جازَ أن يَتَكاتَموا أمرَه مِن غيرِ تواطؤٍ و هم يُخبِرونَ‌</w:t>
      </w:r>
      <w:r>
        <w:rPr>
          <w:rStyle w:val="FootnoteAnchor"/>
          <w:rtl w:val="true"/>
        </w:rPr>
        <w:footnoteReference w:id="4031"/>
      </w:r>
      <w:r>
        <w:rPr>
          <w:rFonts w:ascii="Amiri" w:hAnsi="Amiri" w:eastAsia="Amiri" w:cs="Amiri"/>
          <w:color w:val="111111"/>
          <w:sz w:val="28"/>
          <w:sz w:val="28"/>
          <w:szCs w:val="28"/>
          <w:rtl w:val="true"/>
          <w:lang w:bidi="ar-SA"/>
        </w:rPr>
        <w:t xml:space="preserve">بالكَثيرِ ممّا هو دونَ ذلكَ في الحاجةِ </w:t>
      </w:r>
      <w:r>
        <w:rPr>
          <w:rStyle w:val="FootnoteAnchor"/>
          <w:rtl w:val="true"/>
        </w:rPr>
        <w:footnoteReference w:id="4032"/>
      </w:r>
      <w:r>
        <w:rPr>
          <w:rFonts w:ascii="Amiri" w:hAnsi="Amiri" w:eastAsia="Amiri" w:cs="Amiri"/>
          <w:color w:val="111111"/>
          <w:sz w:val="28"/>
          <w:sz w:val="28"/>
          <w:szCs w:val="28"/>
          <w:rtl w:val="true"/>
          <w:lang w:bidi="ar-SA"/>
        </w:rPr>
        <w:t xml:space="preserve">، بل يُخبِرونَ بكثيرٍ ممّا لا يُحتاجُ إليه، و لا هو في الظهورِ مثلُ إقامةِ الإمامةِ </w:t>
      </w:r>
      <w:r>
        <w:rPr>
          <w:rStyle w:val="FootnoteAnchor"/>
          <w:rtl w:val="true"/>
        </w:rPr>
        <w:footnoteReference w:id="4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تواطَؤوا علىٰ ذلكَ مع أنّهم جماعةٌ عظيمةٌ لَم يَخفَ ذلكَ علينا؛ لأنّ ذلكَ إنّما يَكونُ بأُمورٍ تَظهَرُ</w:t>
      </w:r>
      <w:r>
        <w:rPr>
          <w:rStyle w:val="FootnoteAnchor"/>
          <w:rtl w:val="true"/>
        </w:rPr>
        <w:footnoteReference w:id="4034"/>
      </w:r>
      <w:r>
        <w:rPr>
          <w:rFonts w:ascii="Amiri" w:hAnsi="Amiri" w:eastAsia="Amiri" w:cs="Amiri"/>
          <w:color w:val="111111"/>
          <w:sz w:val="28"/>
          <w:sz w:val="28"/>
          <w:szCs w:val="28"/>
          <w:rtl w:val="true"/>
          <w:lang w:bidi="ar-SA"/>
        </w:rPr>
        <w:t xml:space="preserve">، و كَيفَ </w:t>
      </w:r>
      <w:r>
        <w:rPr>
          <w:rStyle w:val="FootnoteAnchor"/>
          <w:rtl w:val="true"/>
        </w:rPr>
        <w:footnoteReference w:id="4035"/>
      </w:r>
      <w:r>
        <w:rPr>
          <w:rFonts w:ascii="Amiri" w:hAnsi="Amiri" w:eastAsia="Amiri" w:cs="Amiri"/>
          <w:color w:val="111111"/>
          <w:sz w:val="28"/>
          <w:sz w:val="28"/>
          <w:szCs w:val="28"/>
          <w:rtl w:val="true"/>
          <w:lang w:bidi="ar-SA"/>
        </w:rPr>
        <w:t>يَجوزُ أن يَتواطَؤوا علىٰ كِتمانِ ذلك</w:t>
      </w:r>
      <w:r>
        <w:rPr>
          <w:rStyle w:val="FootnoteAnchor"/>
          <w:rtl w:val="true"/>
        </w:rPr>
        <w:footnoteReference w:id="4036"/>
      </w:r>
      <w:r>
        <w:rPr>
          <w:rFonts w:ascii="Amiri" w:hAnsi="Amiri" w:eastAsia="Amiri" w:cs="Amiri"/>
          <w:color w:val="111111"/>
          <w:sz w:val="28"/>
          <w:sz w:val="28"/>
          <w:szCs w:val="28"/>
          <w:rtl w:val="true"/>
          <w:lang w:bidi="ar-SA"/>
        </w:rPr>
        <w:t>حتّىٰ لا يَدَّعيَه مُدَّعٍ في مَشهَدٍ و لا مَقامٍ؟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يَدَّعونَ </w:t>
      </w:r>
      <w:r>
        <w:rPr>
          <w:rStyle w:val="FootnoteAnchor"/>
          <w:rtl w:val="true"/>
        </w:rPr>
        <w:footnoteReference w:id="4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الحُجّةُ قائمةً علينا، </w:t>
      </w:r>
      <w:bookmarkStart w:id="646" w:name="pg20015_285203"/>
    </w:p>
    <w:p>
      <w:pPr>
        <w:pStyle w:val="BookText"/>
        <w:rPr/>
      </w:pPr>
      <w:bookmarkEnd w:id="646"/>
      <w:r>
        <w:rPr>
          <w:rFonts w:ascii="Amiri" w:hAnsi="Amiri" w:eastAsia="Amiri" w:cs="Amiri"/>
          <w:color w:val="111111"/>
          <w:sz w:val="28"/>
          <w:sz w:val="28"/>
          <w:szCs w:val="28"/>
          <w:rtl w:val="true"/>
          <w:lang w:bidi="ar-SA"/>
        </w:rPr>
        <w:t>و إنّما ذَكَرنا ما ذَكَرناه ليُعلَمَ به</w:t>
      </w:r>
      <w:r>
        <w:rPr>
          <w:rStyle w:val="FootnoteAnchor"/>
          <w:rtl w:val="true"/>
        </w:rPr>
        <w:footnoteReference w:id="4038"/>
      </w:r>
      <w:r>
        <w:rPr>
          <w:rFonts w:ascii="Amiri" w:hAnsi="Amiri" w:eastAsia="Amiri" w:cs="Amiri"/>
          <w:color w:val="111111"/>
          <w:sz w:val="28"/>
          <w:sz w:val="28"/>
          <w:szCs w:val="28"/>
          <w:rtl w:val="true"/>
          <w:lang w:bidi="ar-SA"/>
        </w:rPr>
        <w:t xml:space="preserve">أنّه عليه السلامُ لَم يُقِمْ </w:t>
      </w:r>
      <w:r>
        <w:rPr>
          <w:rStyle w:val="FootnoteAnchor"/>
          <w:rtl w:val="true"/>
        </w:rPr>
        <w:footnoteReference w:id="4039"/>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4040"/>
      </w:r>
    </w:p>
    <w:p>
      <w:pPr>
        <w:pStyle w:val="Heading4"/>
        <w:numPr>
          <w:ilvl w:val="3"/>
          <w:numId w:val="1"/>
        </w:numPr>
        <w:rPr/>
      </w:pPr>
      <w:bookmarkStart w:id="647" w:name="__RefHeading___Toc895177_2320776876"/>
      <w:bookmarkStart w:id="648" w:name="_Toc230"/>
      <w:bookmarkEnd w:id="647"/>
      <w:r>
        <w:rPr>
          <w:rtl w:val="true"/>
        </w:rPr>
        <w:t>ما يستحيل كتمانُه على الجماعة الكثيرة و ما لا يستحيل</w:t>
      </w:r>
      <w:bookmarkEnd w:id="648"/>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إذا قَدِمَت جماعةٌ مِن البصرةِ‌</w:t>
      </w:r>
      <w:r>
        <w:rPr>
          <w:rStyle w:val="FootnoteAnchor"/>
          <w:rtl w:val="true"/>
        </w:rPr>
        <w:footnoteReference w:id="4041"/>
      </w:r>
      <w:r>
        <w:rPr>
          <w:rFonts w:ascii="Amiri" w:hAnsi="Amiri" w:eastAsia="Amiri" w:cs="Amiri"/>
          <w:color w:val="111111"/>
          <w:sz w:val="28"/>
          <w:sz w:val="28"/>
          <w:szCs w:val="28"/>
          <w:rtl w:val="true"/>
          <w:lang w:bidi="ar-SA"/>
        </w:rPr>
        <w:t>لا يَجوزُ عليهم التواطؤُ، و أخبَرونا عن أسعارِ الأمتِعةِ و لَم يُخبِروا</w:t>
      </w:r>
      <w:r>
        <w:rPr>
          <w:rStyle w:val="FootnoteAnchor"/>
          <w:rtl w:val="true"/>
        </w:rPr>
        <w:footnoteReference w:id="4042"/>
      </w:r>
      <w:r>
        <w:rPr>
          <w:rFonts w:ascii="Amiri" w:hAnsi="Amiri" w:eastAsia="Amiri" w:cs="Amiri"/>
          <w:color w:val="111111"/>
          <w:sz w:val="28"/>
          <w:sz w:val="28"/>
          <w:szCs w:val="28"/>
          <w:rtl w:val="true"/>
          <w:lang w:bidi="ar-SA"/>
        </w:rPr>
        <w:t>بدخولِ‌</w:t>
      </w:r>
      <w:r>
        <w:rPr>
          <w:rStyle w:val="FootnoteAnchor"/>
          <w:rtl w:val="true"/>
        </w:rPr>
        <w:footnoteReference w:id="4043"/>
      </w:r>
      <w:r>
        <w:rPr>
          <w:rFonts w:ascii="Amiri" w:hAnsi="Amiri" w:eastAsia="Amiri" w:cs="Amiri"/>
          <w:color w:val="111111"/>
          <w:sz w:val="28"/>
          <w:sz w:val="28"/>
          <w:szCs w:val="28"/>
          <w:rtl w:val="true"/>
          <w:lang w:bidi="ar-SA"/>
        </w:rPr>
        <w:t>القَرامِطةِ‌، و عَلِمنا أنّه لا داعيَ لهم إلىٰ كِتمانِ دخولِ القَرامِطةِ‌، و لا صارِفَ لهم عن الإخبارِ بحالِهم</w:t>
      </w:r>
      <w:r>
        <w:rPr>
          <w:rStyle w:val="FootnoteAnchor"/>
          <w:rtl w:val="true"/>
        </w:rPr>
        <w:footnoteReference w:id="4044"/>
      </w:r>
      <w:r>
        <w:rPr>
          <w:rFonts w:ascii="IRNazanin" w:hAnsi="IRNazanin" w:eastAsia="IRNazanin"/>
          <w:color w:val="111111"/>
          <w:sz w:val="28"/>
          <w:sz w:val="28"/>
          <w:szCs w:val="28"/>
          <w:rtl w:val="true"/>
          <w:lang w:bidi="fa-IR"/>
        </w:rPr>
        <w:t>، أن</w:t>
      </w:r>
    </w:p>
    <w:p>
      <w:pPr>
        <w:pStyle w:val="BookText"/>
        <w:rPr/>
      </w:pPr>
      <w:r>
        <w:rPr>
          <w:rFonts w:ascii="Amiri" w:hAnsi="Amiri" w:eastAsia="Amiri" w:cs="Amiri"/>
          <w:color w:val="111111"/>
          <w:sz w:val="28"/>
          <w:sz w:val="28"/>
          <w:szCs w:val="28"/>
          <w:rtl w:val="true"/>
          <w:lang w:bidi="ar-SA"/>
        </w:rPr>
        <w:t>يُعلَمَ بهذا الشرطِ أنّهم لَم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التجويزِ لحصولِ دَواعٍ‌</w:t>
      </w:r>
      <w:r>
        <w:rPr>
          <w:rStyle w:val="FootnoteAnchor"/>
          <w:rtl w:val="true"/>
        </w:rPr>
        <w:footnoteReference w:id="4045"/>
      </w:r>
      <w:r>
        <w:rPr>
          <w:rFonts w:ascii="Amiri" w:hAnsi="Amiri" w:eastAsia="Amiri" w:cs="Amiri"/>
          <w:color w:val="111111"/>
          <w:sz w:val="28"/>
          <w:sz w:val="28"/>
          <w:szCs w:val="28"/>
          <w:rtl w:val="true"/>
          <w:lang w:bidi="ar-SA"/>
        </w:rPr>
        <w:t>إلَى الكِتمانِ و صَوارِفَ عن الإظهارِ، فلا يَجِبُ القطعُ‌؛ بل لا يَمتنِعُ أن يُخبِروا</w:t>
      </w:r>
      <w:r>
        <w:rPr>
          <w:rStyle w:val="FootnoteAnchor"/>
          <w:rtl w:val="true"/>
        </w:rPr>
        <w:footnoteReference w:id="4046"/>
      </w:r>
      <w:r>
        <w:rPr>
          <w:rFonts w:ascii="Amiri" w:hAnsi="Amiri" w:eastAsia="Amiri" w:cs="Amiri"/>
          <w:color w:val="111111"/>
          <w:sz w:val="28"/>
          <w:sz w:val="28"/>
          <w:szCs w:val="28"/>
          <w:rtl w:val="true"/>
          <w:lang w:bidi="ar-SA"/>
        </w:rPr>
        <w:t>بالأسعارِ و بما هو أدوَنُ حالاً</w:t>
      </w:r>
      <w:r>
        <w:rPr>
          <w:rStyle w:val="FootnoteAnchor"/>
          <w:rtl w:val="true"/>
        </w:rPr>
        <w:footnoteReference w:id="4047"/>
      </w:r>
      <w:r>
        <w:rPr>
          <w:rFonts w:ascii="Amiri" w:hAnsi="Amiri" w:eastAsia="Amiri" w:cs="Amiri"/>
          <w:color w:val="111111"/>
          <w:sz w:val="28"/>
          <w:sz w:val="28"/>
          <w:szCs w:val="28"/>
          <w:rtl w:val="true"/>
          <w:lang w:bidi="ar-SA"/>
        </w:rPr>
        <w:t xml:space="preserve">مِن الأسعارِ و لا يُخبِروا بشأنِ القَرامِطةِ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القولُ في الوارِدِينَ علينا مِن الجامعِ </w:t>
      </w:r>
      <w:r>
        <w:rPr>
          <w:rStyle w:val="FootnoteAnchor"/>
          <w:rtl w:val="true"/>
        </w:rPr>
        <w:footnoteReference w:id="4048"/>
      </w:r>
      <w:r>
        <w:rPr>
          <w:rFonts w:ascii="Amiri" w:hAnsi="Amiri" w:eastAsia="Amiri" w:cs="Amiri"/>
          <w:color w:val="111111"/>
          <w:sz w:val="28"/>
          <w:sz w:val="28"/>
          <w:szCs w:val="28"/>
          <w:rtl w:val="true"/>
          <w:lang w:bidi="ar-SA"/>
        </w:rPr>
        <w:t>ألا تَرىٰ أنّه لا يَمتنِعُ أن تَعتقِدَ</w:t>
      </w:r>
      <w:r>
        <w:rPr>
          <w:rStyle w:val="FootnoteAnchor"/>
          <w:rtl w:val="true"/>
        </w:rPr>
        <w:footnoteReference w:id="4049"/>
      </w:r>
      <w:r>
        <w:rPr>
          <w:rFonts w:ascii="Amiri" w:hAnsi="Amiri" w:eastAsia="Amiri" w:cs="Amiri"/>
          <w:color w:val="111111"/>
          <w:sz w:val="28"/>
          <w:sz w:val="28"/>
          <w:szCs w:val="28"/>
          <w:rtl w:val="true"/>
          <w:lang w:bidi="ar-SA"/>
        </w:rPr>
        <w:t xml:space="preserve">هذه الجماعةُ الواردةُ مِن البصرةِ ، لأُمورٍ ظَهَرَت مِن سُلطانِ بَغدادَ، أنّه متىٰ عثَرَ علىٰ مُخبِرٍ عن دخولِ القَرامِطةِ البصرةَ </w:t>
      </w:r>
      <w:r>
        <w:rPr>
          <w:rStyle w:val="FootnoteAnchor"/>
          <w:rtl w:val="true"/>
        </w:rPr>
        <w:footnoteReference w:id="4050"/>
      </w:r>
      <w:r>
        <w:rPr>
          <w:rFonts w:ascii="Amiri" w:hAnsi="Amiri" w:eastAsia="Amiri" w:cs="Amiri"/>
          <w:color w:val="111111"/>
          <w:sz w:val="28"/>
          <w:sz w:val="28"/>
          <w:szCs w:val="28"/>
          <w:rtl w:val="true"/>
          <w:lang w:bidi="ar-SA"/>
        </w:rPr>
        <w:t xml:space="preserve">ضَرَبَ عنقَه و نَكَّلَ به، أو </w:t>
      </w:r>
    </w:p>
    <w:p>
      <w:pPr>
        <w:pStyle w:val="BookText"/>
        <w:rPr/>
      </w:pPr>
      <w:r>
        <w:rPr>
          <w:rFonts w:ascii="Amiri" w:hAnsi="Amiri" w:eastAsia="Amiri" w:cs="Amiri"/>
          <w:color w:val="111111"/>
          <w:sz w:val="28"/>
          <w:sz w:val="28"/>
          <w:szCs w:val="28"/>
          <w:rtl w:val="true"/>
          <w:lang w:bidi="ar-SA"/>
        </w:rPr>
        <w:t xml:space="preserve">يَكونَ </w:t>
      </w:r>
      <w:r>
        <w:rPr>
          <w:rStyle w:val="FootnoteAnchor"/>
          <w:rtl w:val="true"/>
        </w:rPr>
        <w:footnoteReference w:id="4051"/>
      </w:r>
      <w:r>
        <w:rPr>
          <w:rFonts w:ascii="Amiri" w:hAnsi="Amiri" w:eastAsia="Amiri" w:cs="Amiri"/>
          <w:color w:val="111111"/>
          <w:sz w:val="28"/>
          <w:sz w:val="28"/>
          <w:szCs w:val="28"/>
          <w:rtl w:val="true"/>
          <w:lang w:bidi="ar-SA"/>
        </w:rPr>
        <w:t>بَينَ هذه الجماعةِ و بَينَ جماعةٍ مِن تُجّارِ بَغدادَ معامَلاتٌ و مضارَباتٌ فيَعتقِدوا</w:t>
      </w:r>
      <w:r>
        <w:rPr>
          <w:rStyle w:val="FootnoteAnchor"/>
          <w:rtl w:val="true"/>
        </w:rPr>
        <w:footnoteReference w:id="4052"/>
      </w:r>
      <w:r>
        <w:rPr>
          <w:rFonts w:ascii="Amiri" w:hAnsi="Amiri" w:eastAsia="Amiri" w:cs="Amiri"/>
          <w:color w:val="111111"/>
          <w:sz w:val="28"/>
          <w:sz w:val="28"/>
          <w:szCs w:val="28"/>
          <w:rtl w:val="true"/>
          <w:lang w:bidi="ar-SA"/>
        </w:rPr>
        <w:t>أنّهم متىٰ أنذَروهم</w:t>
      </w:r>
      <w:r>
        <w:rPr>
          <w:rStyle w:val="FootnoteAnchor"/>
          <w:rtl w:val="true"/>
        </w:rPr>
        <w:footnoteReference w:id="4053"/>
      </w:r>
      <w:r>
        <w:rPr>
          <w:rFonts w:ascii="Amiri" w:hAnsi="Amiri" w:eastAsia="Amiri" w:cs="Amiri"/>
          <w:color w:val="111111"/>
          <w:sz w:val="28"/>
          <w:sz w:val="28"/>
          <w:szCs w:val="28"/>
          <w:rtl w:val="true"/>
          <w:lang w:bidi="ar-SA"/>
        </w:rPr>
        <w:t>بدخولِ القَرامِطةِ البصرةَ كانَ ذلكَ سبباً داعياً لهم إلَى الامتناعِ مِن دفعِ تجاراتِهم إليهم، و حَملِها في صُحبتِهم إشفاقاً عليها، و خَوفاً مِن امتدادِ الأيدي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أنّهم</w:t>
      </w:r>
      <w:r>
        <w:rPr>
          <w:rStyle w:val="FootnoteAnchor"/>
          <w:rtl w:val="true"/>
        </w:rPr>
        <w:footnoteReference w:id="4054"/>
      </w:r>
      <w:r>
        <w:rPr>
          <w:rFonts w:ascii="Amiri" w:hAnsi="Amiri" w:eastAsia="Amiri" w:cs="Amiri"/>
          <w:color w:val="111111"/>
          <w:sz w:val="28"/>
          <w:sz w:val="28"/>
          <w:szCs w:val="28"/>
          <w:rtl w:val="true"/>
          <w:lang w:bidi="ar-SA"/>
        </w:rPr>
        <w:t>متَى اعتَقَدوا أحَدَ ما ذَكَرناه و تَقَرَّرَ في نُفوسِهم، لَم يَجُز أن يُخبِروا بدخولِ القَرامِطةِ البصرةَ ، مع إخبارِهم بصغيرِ</w:t>
      </w:r>
      <w:r>
        <w:rPr>
          <w:rStyle w:val="FootnoteAnchor"/>
          <w:rtl w:val="true"/>
        </w:rPr>
        <w:footnoteReference w:id="4055"/>
      </w:r>
      <w:r>
        <w:rPr>
          <w:rFonts w:ascii="Amiri" w:hAnsi="Amiri" w:eastAsia="Amiri" w:cs="Amiri"/>
          <w:color w:val="111111"/>
          <w:sz w:val="28"/>
          <w:sz w:val="28"/>
          <w:szCs w:val="28"/>
          <w:rtl w:val="true"/>
          <w:lang w:bidi="ar-SA"/>
        </w:rPr>
        <w:t xml:space="preserve">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الجماعةَ التي ذَكَرنا حالَها إذا خافَت مِن أن تُخبِرَ بدخولِ القَرامِطةِ مِن السُّلطانِ ، فإنّه لا بُدَّ أن يَخافَ منها</w:t>
      </w:r>
      <w:r>
        <w:rPr>
          <w:rStyle w:val="FootnoteAnchor"/>
          <w:rtl w:val="true"/>
        </w:rPr>
        <w:footnoteReference w:id="4056"/>
      </w:r>
      <w:r>
        <w:rPr>
          <w:rFonts w:ascii="Amiri" w:hAnsi="Amiri" w:eastAsia="Amiri" w:cs="Amiri"/>
          <w:color w:val="111111"/>
          <w:sz w:val="28"/>
          <w:sz w:val="28"/>
          <w:szCs w:val="28"/>
          <w:rtl w:val="true"/>
          <w:lang w:bidi="ar-SA"/>
        </w:rPr>
        <w:t>قومٌ فيُمسِكوا، و يُغَلِّبَ آخَرونَ السَّلامةَ فيُخبِروا</w:t>
      </w:r>
      <w:r>
        <w:rPr>
          <w:rStyle w:val="FootnoteAnchor"/>
          <w:rtl w:val="true"/>
        </w:rPr>
        <w:footnoteReference w:id="4057"/>
      </w:r>
      <w:r>
        <w:rPr>
          <w:rFonts w:ascii="Amiri" w:hAnsi="Amiri" w:eastAsia="Amiri" w:cs="Amiri"/>
          <w:color w:val="111111"/>
          <w:sz w:val="28"/>
          <w:sz w:val="28"/>
          <w:szCs w:val="28"/>
          <w:rtl w:val="true"/>
          <w:lang w:bidi="ar-SA"/>
        </w:rPr>
        <w:t>، ثُمّ لا يَلبَثُ أمرُهم أن يَظهَرَ، و</w:t>
      </w:r>
      <w:r>
        <w:rPr>
          <w:rStyle w:val="FootnoteAnchor"/>
          <w:rtl w:val="true"/>
        </w:rPr>
        <w:footnoteReference w:id="4058"/>
      </w:r>
      <w:r>
        <w:rPr>
          <w:rFonts w:ascii="Amiri" w:hAnsi="Amiri" w:eastAsia="Amiri" w:cs="Amiri"/>
          <w:color w:val="111111"/>
          <w:sz w:val="28"/>
          <w:sz w:val="28"/>
          <w:szCs w:val="28"/>
          <w:rtl w:val="true"/>
          <w:lang w:bidi="ar-SA"/>
        </w:rPr>
        <w:t xml:space="preserve">حالُ القَرامطةِ في دخولِهم البصرةَ أن يُعلَمَ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إذا صَحَّ لَم يَكُن قادِحاً في قولِنا و لا مُعترِضاً علىٰ طريقتِنا؛ لأنّ الخَوفَ أوّلاً رُبَّما انكتَمَ معه الخبرُ ما دامَ الخَوفُ قائماً، لا سِيَّما إذا لَم يَحمِلِ المخبِرينَ علَى الخبرِ داعٍ مِن دَواعي الدِّينِ ، أو داعٍ يَرجِعُ إلَى الدُّنيا يَجري في </w:t>
      </w:r>
    </w:p>
    <w:p>
      <w:pPr>
        <w:pStyle w:val="BookText"/>
        <w:rPr/>
      </w:pPr>
      <w:r>
        <w:rPr>
          <w:rFonts w:ascii="Amiri" w:hAnsi="Amiri" w:eastAsia="Amiri" w:cs="Amiri"/>
          <w:color w:val="111111"/>
          <w:sz w:val="28"/>
          <w:sz w:val="28"/>
          <w:szCs w:val="28"/>
          <w:rtl w:val="true"/>
          <w:lang w:bidi="ar-SA"/>
        </w:rPr>
        <w:t>القوّةِ مَجرىٰ داعي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أخبَرَ منهم مُخبِرٌ لقوّةِ الدَّواعي</w:t>
      </w:r>
      <w:r>
        <w:rPr>
          <w:rStyle w:val="FootnoteAnchor"/>
          <w:rtl w:val="true"/>
        </w:rPr>
        <w:footnoteReference w:id="4059"/>
      </w:r>
      <w:r>
        <w:rPr>
          <w:rFonts w:ascii="Amiri" w:hAnsi="Amiri" w:eastAsia="Amiri" w:cs="Amiri"/>
          <w:color w:val="111111"/>
          <w:sz w:val="28"/>
          <w:sz w:val="28"/>
          <w:szCs w:val="28"/>
          <w:rtl w:val="true"/>
          <w:lang w:bidi="ar-SA"/>
        </w:rPr>
        <w:t>، فلا يَكونُ إخبارُه إلّا علىٰ أخفىٰ ما يَكونُ مِن الوجوهِ و أستَرِها</w:t>
      </w:r>
      <w:r>
        <w:rPr>
          <w:rStyle w:val="FootnoteAnchor"/>
          <w:rtl w:val="true"/>
        </w:rPr>
        <w:footnoteReference w:id="4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حمَلَ نفسَه علَى الخطرِ و رُكوبِ الغَرَرِ</w:t>
      </w:r>
      <w:r>
        <w:rPr>
          <w:rStyle w:val="FootnoteAnchor"/>
          <w:rtl w:val="true"/>
        </w:rPr>
        <w:footnoteReference w:id="4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نَعنيه في النصِّ‌؛ لأنّ الدَّواعيَ التي دَعَت إلىٰ كِتمانِه لَم تعُمَّ جميعَ الأُمّةِ‌، بَل اختَصَّ قومٌ بالنقلِ و آخَرونَ بالكِتمانِ‌، و مَن نقَلَ فإنّما وقَعَ نقلُه لقوّةِ الداعي الدِّينيِّ‌</w:t>
      </w:r>
      <w:r>
        <w:rPr>
          <w:rStyle w:val="FootnoteAnchor"/>
          <w:rtl w:val="true"/>
        </w:rPr>
        <w:footnoteReference w:id="4062"/>
      </w:r>
      <w:r>
        <w:rPr>
          <w:rFonts w:ascii="Amiri" w:hAnsi="Amiri" w:eastAsia="Amiri" w:cs="Amiri"/>
          <w:color w:val="111111"/>
          <w:sz w:val="28"/>
          <w:sz w:val="28"/>
          <w:szCs w:val="28"/>
          <w:rtl w:val="true"/>
          <w:lang w:bidi="ar-SA"/>
        </w:rPr>
        <w:t>علىٰ جهةِ الخَفاءِ و المساتَرةِ‌</w:t>
      </w:r>
      <w:r>
        <w:rPr>
          <w:rStyle w:val="FootnoteAnchor"/>
          <w:rtl w:val="true"/>
        </w:rPr>
        <w:footnoteReference w:id="4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نَعلَمُ أنّه لا يُمكِنُ أحَداً مِن مخالِفينا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متىٰ خوَّفَ مِن ذِكرِ خبرِ القَرامِطةِ‌، فإنّ مَن نقَلَ‌</w:t>
      </w:r>
      <w:r>
        <w:rPr>
          <w:rStyle w:val="FootnoteAnchor"/>
          <w:rtl w:val="true"/>
        </w:rPr>
        <w:footnoteReference w:id="4064"/>
      </w:r>
      <w:r>
        <w:rPr>
          <w:rFonts w:ascii="Amiri" w:hAnsi="Amiri" w:eastAsia="Amiri" w:cs="Amiri"/>
          <w:color w:val="111111"/>
          <w:sz w:val="28"/>
          <w:sz w:val="28"/>
          <w:szCs w:val="28"/>
          <w:rtl w:val="true"/>
          <w:lang w:bidi="ar-SA"/>
        </w:rPr>
        <w:t xml:space="preserve">خبرَهم مع هذا الخَوفِ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نفسَه علَى النقلِ تغليباً للسَّلامةِ‌، و طمَعاً</w:t>
      </w:r>
      <w:r>
        <w:rPr>
          <w:rStyle w:val="FootnoteAnchor"/>
          <w:rtl w:val="true"/>
        </w:rPr>
        <w:footnoteReference w:id="4065"/>
      </w:r>
      <w:r>
        <w:rPr>
          <w:rFonts w:ascii="Amiri" w:hAnsi="Amiri" w:eastAsia="Amiri" w:cs="Amiri"/>
          <w:color w:val="111111"/>
          <w:sz w:val="28"/>
          <w:sz w:val="28"/>
          <w:szCs w:val="28"/>
          <w:rtl w:val="true"/>
          <w:lang w:bidi="ar-SA"/>
        </w:rPr>
        <w:t xml:space="preserve">في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نَقلَه يَقَعُ ظاهراً مكشوفاً، كما يَقَعُ نَقلُه لِسائرِ</w:t>
      </w:r>
      <w:r>
        <w:rPr>
          <w:rStyle w:val="FootnoteAnchor"/>
          <w:rtl w:val="true"/>
        </w:rPr>
        <w:footnoteReference w:id="4066"/>
      </w:r>
      <w:r>
        <w:rPr>
          <w:rFonts w:ascii="Amiri" w:hAnsi="Amiri" w:eastAsia="Amiri" w:cs="Amiri"/>
          <w:color w:val="111111"/>
          <w:sz w:val="28"/>
          <w:sz w:val="28"/>
          <w:szCs w:val="28"/>
          <w:rtl w:val="true"/>
          <w:lang w:bidi="ar-SA"/>
        </w:rPr>
        <w:t>ما لا خَوفَ فيه مِن جهةِ السُّلطانِ‌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علىٰ كُلِّ حالٍ ما أرَدناه، و بطَلَ ما ادَّعاه أبو هاشِمٍ مِن استحالةِ كِتمانِ دخولِ القَرامِطةِ البصرةَ علَى الجماعةِ الكثيرةِ ؛ لأنّه إذا سُلِّمَ أنّ الكِتمانَ لا يَجوزُ أن يعُمَّ جميعَ الجماعاتِ الواردةِ ، بَل لا بُدَّ أن يُخبِرَ منهم بما قَرَّرناه مخبِرٌ، فلَيسَ بواجبٍ أن يقَعَ </w:t>
      </w:r>
      <w:r>
        <w:rPr>
          <w:rStyle w:val="FootnoteAnchor"/>
          <w:rtl w:val="true"/>
        </w:rPr>
        <w:footnoteReference w:id="4067"/>
      </w:r>
      <w:r>
        <w:rPr>
          <w:rFonts w:ascii="Amiri" w:hAnsi="Amiri" w:eastAsia="Amiri" w:cs="Amiri"/>
          <w:color w:val="111111"/>
          <w:sz w:val="28"/>
          <w:sz w:val="28"/>
          <w:szCs w:val="28"/>
          <w:rtl w:val="true"/>
          <w:lang w:bidi="ar-SA"/>
        </w:rPr>
        <w:t xml:space="preserve">الإخبارُ مِن هذه الجماعةِ حتّىٰ لا يَبقَى الكِتمانُ إلّافي الطائفةِ </w:t>
      </w:r>
    </w:p>
    <w:p>
      <w:pPr>
        <w:pStyle w:val="BookText"/>
        <w:rPr/>
      </w:pPr>
      <w:r>
        <w:rPr>
          <w:rFonts w:ascii="Amiri" w:hAnsi="Amiri" w:eastAsia="Amiri" w:cs="Amiri"/>
          <w:color w:val="111111"/>
          <w:sz w:val="28"/>
          <w:sz w:val="28"/>
          <w:szCs w:val="28"/>
          <w:rtl w:val="true"/>
          <w:lang w:bidi="ar-SA"/>
        </w:rPr>
        <w:t xml:space="preserve">اليسيرةِ التي يَجوزُ عليها التواطؤُ، بَل العادةُ تَقتَضي بعَكسِ هذا؛ لأنّ الخبرَ إذا وقَعَ مِن بعضِهم فلَيسَ يَقَعُ إلّامِن الآحادِ الذين يخالِفونَ الحَزمَ‌، و يَطرَحونَ العَواقبَ ، و يُغلِّبونَ الطمعَ في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الكِتمانُ مع ثُبوتِ الخَوفِ هو الأعَمُّ الواجبُ في الجماعةِ ، و هذا معلومٌ بالعادةِ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ذَكَرتموه يوجِبُ أن تجوِّزوا</w:t>
      </w:r>
      <w:r>
        <w:rPr>
          <w:rStyle w:val="FootnoteAnchor"/>
          <w:rtl w:val="true"/>
        </w:rPr>
        <w:footnoteReference w:id="4068"/>
      </w:r>
      <w:r>
        <w:rPr>
          <w:rFonts w:ascii="Amiri" w:hAnsi="Amiri" w:eastAsia="Amiri" w:cs="Amiri"/>
          <w:color w:val="111111"/>
          <w:sz w:val="28"/>
          <w:sz w:val="28"/>
          <w:szCs w:val="28"/>
          <w:rtl w:val="true"/>
          <w:lang w:bidi="ar-SA"/>
        </w:rPr>
        <w:t xml:space="preserve">دخولَ القَرامِطةِ البصرةَ علىٰ وجهٍ ظاهرٍ لجميعِ أهلِها، و إن انكتَمَ ذلكَ علىٰ أهلِ بَغدادَ جُملةً </w:t>
      </w:r>
      <w:r>
        <w:rPr>
          <w:rStyle w:val="FootnoteAnchor"/>
          <w:rtl w:val="true"/>
        </w:rPr>
        <w:footnoteReference w:id="4069"/>
      </w:r>
      <w:r>
        <w:rPr>
          <w:rFonts w:ascii="Amiri" w:hAnsi="Amiri" w:eastAsia="Amiri" w:cs="Amiri"/>
          <w:color w:val="111111"/>
          <w:sz w:val="28"/>
          <w:sz w:val="28"/>
          <w:szCs w:val="28"/>
          <w:rtl w:val="true"/>
          <w:lang w:bidi="ar-SA"/>
        </w:rPr>
        <w:t>مع امتدادِ الزمانِ ، بأن يتَّفِقَ لجميعِ الوارِدِينَ مِن البصرةِ مِن الدَّواعي إلَى الكِتمانِ أمثالُ ما وَصَفتموه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إذا جَوَّزنا أمراً تَشهَدُ بجَوازِه العادةُ‌</w:t>
      </w:r>
      <w:r>
        <w:rPr>
          <w:rStyle w:val="FootnoteAnchor"/>
          <w:rtl w:val="true"/>
        </w:rPr>
        <w:footnoteReference w:id="4070"/>
      </w:r>
      <w:r>
        <w:rPr>
          <w:rFonts w:ascii="Amiri" w:hAnsi="Amiri" w:eastAsia="Amiri" w:cs="Amiri"/>
          <w:color w:val="111111"/>
          <w:sz w:val="28"/>
          <w:sz w:val="28"/>
          <w:szCs w:val="28"/>
          <w:rtl w:val="true"/>
          <w:lang w:bidi="ar-SA"/>
        </w:rPr>
        <w:t>، و يَقضي بصحّتِه التعارُفُ‌، أن يَلزَمَ‌</w:t>
      </w:r>
      <w:r>
        <w:rPr>
          <w:rStyle w:val="FootnoteAnchor"/>
          <w:rtl w:val="true"/>
        </w:rPr>
        <w:footnoteReference w:id="4071"/>
      </w:r>
      <w:r>
        <w:rPr>
          <w:rFonts w:ascii="Amiri" w:hAnsi="Amiri" w:eastAsia="Amiri" w:cs="Amiri"/>
          <w:color w:val="111111"/>
          <w:sz w:val="28"/>
          <w:sz w:val="28"/>
          <w:szCs w:val="28"/>
          <w:rtl w:val="true"/>
          <w:lang w:bidi="ar-SA"/>
        </w:rPr>
        <w:t>ما يَستَحيلُ فيهما</w:t>
      </w:r>
      <w:r>
        <w:rPr>
          <w:rStyle w:val="FootnoteAnchor"/>
          <w:rtl w:val="true"/>
        </w:rPr>
        <w:footnoteReference w:id="4072"/>
      </w:r>
      <w:r>
        <w:rPr>
          <w:rFonts w:ascii="Amiri" w:hAnsi="Amiri" w:eastAsia="Amiri" w:cs="Amiri"/>
          <w:color w:val="111111"/>
          <w:sz w:val="28"/>
          <w:sz w:val="28"/>
          <w:szCs w:val="28"/>
          <w:rtl w:val="true"/>
          <w:lang w:bidi="ar-SA"/>
        </w:rPr>
        <w:t>لأنّا نَعلَمُ أنّ الخَوفَ مِن السُّلطانِ و إنِ اقتَضىٰ حصولَ الكِتمانِ مِن الجماعةِ و</w:t>
      </w:r>
      <w:r>
        <w:rPr>
          <w:rStyle w:val="FootnoteAnchor"/>
          <w:rtl w:val="true"/>
        </w:rPr>
        <w:footnoteReference w:id="4073"/>
      </w:r>
      <w:r>
        <w:rPr>
          <w:rFonts w:ascii="Amiri" w:hAnsi="Amiri" w:eastAsia="Amiri" w:cs="Amiri"/>
          <w:color w:val="111111"/>
          <w:sz w:val="28"/>
          <w:sz w:val="28"/>
          <w:szCs w:val="28"/>
          <w:rtl w:val="true"/>
          <w:lang w:bidi="ar-SA"/>
        </w:rPr>
        <w:t>الجماعاتِ الواردةِ‌، فلَيسَ يَجوزُ أن يَستمِرَّ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كُلِّ جماعةٍ تَرِدُ حتّىٰ لا يُخبِرَ منها نفَرٌ و إن قَلَّ عَددُهم مع الخَوفِ علَى السبيلِ التي ذَكَرناها في تغليبِ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إن</w:t>
      </w:r>
      <w:r>
        <w:rPr>
          <w:rStyle w:val="FootnoteAnchor"/>
          <w:rtl w:val="true"/>
        </w:rPr>
        <w:footnoteReference w:id="4074"/>
      </w:r>
      <w:r>
        <w:rPr>
          <w:rFonts w:ascii="Amiri" w:hAnsi="Amiri" w:eastAsia="Amiri" w:cs="Amiri"/>
          <w:color w:val="111111"/>
          <w:sz w:val="28"/>
          <w:sz w:val="28"/>
          <w:szCs w:val="28"/>
          <w:rtl w:val="true"/>
          <w:lang w:bidi="ar-SA"/>
        </w:rPr>
        <w:t xml:space="preserve">جازَ و عَمَّ الجماعةَ علىٰ بُعدِه، فلَيسَ </w:t>
      </w:r>
      <w:r>
        <w:rPr>
          <w:rStyle w:val="FootnoteAnchor"/>
          <w:rtl w:val="true"/>
        </w:rPr>
        <w:footnoteReference w:id="4075"/>
      </w:r>
      <w:r>
        <w:rPr>
          <w:rFonts w:ascii="Amiri" w:hAnsi="Amiri" w:eastAsia="Amiri" w:cs="Amiri"/>
          <w:color w:val="111111"/>
          <w:sz w:val="28"/>
          <w:sz w:val="28"/>
          <w:szCs w:val="28"/>
          <w:rtl w:val="true"/>
          <w:lang w:bidi="ar-SA"/>
        </w:rPr>
        <w:t>يَصِحُّ أن تَستَمِرَّ</w:t>
      </w:r>
      <w:r>
        <w:rPr>
          <w:rStyle w:val="FootnoteAnchor"/>
          <w:rtl w:val="true"/>
        </w:rPr>
        <w:footnoteReference w:id="4076"/>
      </w:r>
      <w:r>
        <w:rPr>
          <w:rFonts w:ascii="Amiri" w:hAnsi="Amiri" w:eastAsia="Amiri" w:cs="Amiri"/>
          <w:color w:val="111111"/>
          <w:sz w:val="28"/>
          <w:sz w:val="28"/>
          <w:szCs w:val="28"/>
          <w:rtl w:val="true"/>
          <w:lang w:bidi="ar-SA"/>
        </w:rPr>
        <w:t xml:space="preserve">أسبابُ الخَوفِ مع امتدادِ الزمانِ ، بل لا بُدَّ مِن أن تَرتفِعَ </w:t>
      </w:r>
      <w:r>
        <w:rPr>
          <w:rStyle w:val="FootnoteAnchor"/>
          <w:rtl w:val="true"/>
        </w:rPr>
        <w:footnoteReference w:id="4077"/>
      </w:r>
    </w:p>
    <w:p>
      <w:pPr>
        <w:pStyle w:val="BookText"/>
        <w:rPr/>
      </w:pPr>
      <w:r>
        <w:rPr>
          <w:rFonts w:ascii="Amiri" w:hAnsi="Amiri" w:eastAsia="Amiri" w:cs="Amiri"/>
          <w:color w:val="111111"/>
          <w:sz w:val="28"/>
          <w:sz w:val="28"/>
          <w:szCs w:val="28"/>
          <w:rtl w:val="true"/>
          <w:lang w:bidi="ar-SA"/>
        </w:rPr>
        <w:t>دواعي الخَوفِ أو تَضعُفَ‌؛ إمّا بِزَوالِ أمرِ السُّلطانِ‌</w:t>
      </w:r>
      <w:r>
        <w:rPr>
          <w:rStyle w:val="FootnoteAnchor"/>
          <w:rtl w:val="true"/>
        </w:rPr>
        <w:footnoteReference w:id="4078"/>
      </w:r>
      <w:r>
        <w:rPr>
          <w:rFonts w:ascii="Amiri" w:hAnsi="Amiri" w:eastAsia="Amiri" w:cs="Amiri"/>
          <w:color w:val="111111"/>
          <w:sz w:val="28"/>
          <w:sz w:val="28"/>
          <w:szCs w:val="28"/>
          <w:rtl w:val="true"/>
          <w:lang w:bidi="ar-SA"/>
        </w:rPr>
        <w:t>الذي كانَ الخَوفُ منه، أو بضَعفِه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ما ذَكَرناه عِلمُنا بأنّ الناسَ في أيّامِ السُّلطانِ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تُخافُ‌</w:t>
      </w:r>
      <w:r>
        <w:rPr>
          <w:rStyle w:val="FootnoteAnchor"/>
          <w:rtl w:val="true"/>
        </w:rPr>
        <w:footnoteReference w:id="4079"/>
      </w:r>
      <w:r>
        <w:rPr>
          <w:rFonts w:ascii="Amiri" w:hAnsi="Amiri" w:eastAsia="Amiri" w:cs="Amiri"/>
          <w:color w:val="111111"/>
          <w:sz w:val="28"/>
          <w:sz w:val="28"/>
          <w:szCs w:val="28"/>
          <w:rtl w:val="true"/>
          <w:lang w:bidi="ar-SA"/>
        </w:rPr>
        <w:t>سَطوَتُه، و جَرَت عادتُه بالتخويفِ‌</w:t>
      </w:r>
      <w:r>
        <w:rPr>
          <w:rStyle w:val="FootnoteAnchor"/>
          <w:rtl w:val="true"/>
        </w:rPr>
        <w:footnoteReference w:id="4080"/>
      </w:r>
      <w:r>
        <w:rPr>
          <w:rFonts w:ascii="Amiri" w:hAnsi="Amiri" w:eastAsia="Amiri" w:cs="Amiri"/>
          <w:color w:val="111111"/>
          <w:sz w:val="28"/>
          <w:sz w:val="28"/>
          <w:szCs w:val="28"/>
          <w:rtl w:val="true"/>
          <w:lang w:bidi="ar-SA"/>
        </w:rPr>
        <w:t xml:space="preserve">مِن إفشاءِ أسرارِه و أخبارِه، و المبالَغةِ في عِقابِ مَن يُقدِمُ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يَشُكّونَ كَثيراً في أخبارِ بُعوثِه و جُيوشِه و ما يَجري عليهم</w:t>
      </w:r>
      <w:r>
        <w:rPr>
          <w:rStyle w:val="FootnoteAnchor"/>
          <w:rtl w:val="true"/>
        </w:rPr>
        <w:footnoteReference w:id="4081"/>
      </w:r>
      <w:r>
        <w:rPr>
          <w:rFonts w:ascii="Amiri" w:hAnsi="Amiri" w:eastAsia="Amiri" w:cs="Amiri"/>
          <w:color w:val="111111"/>
          <w:sz w:val="28"/>
          <w:sz w:val="28"/>
          <w:szCs w:val="28"/>
          <w:rtl w:val="true"/>
          <w:lang w:bidi="ar-SA"/>
        </w:rPr>
        <w:t xml:space="preserve">مِن هَزيمةٍ و قَتلٍ و ما أشبَهَهما، و لا يَقطَعونَ بإمساكِ مَن يَرِدُ مِن الجهةِ التي ذلكَ الجَيشُ </w:t>
      </w:r>
      <w:r>
        <w:rPr>
          <w:rStyle w:val="FootnoteAnchor"/>
          <w:rtl w:val="true"/>
        </w:rPr>
        <w:footnoteReference w:id="4082"/>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وقوعِ الهَزيمةِ بالجَيشِ أو ما أشبَهَها مِن المكروهِ ، و يجوِّزونَ أن يَكونَ إمساكُ الوارِدِينَ عن الخبرِ إنّما هو لعِلّةِ الخَوفِ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حالُ الناسِ كانَت في أيّامِ عَضُدِ الدَّولةِ </w:t>
      </w:r>
      <w:r>
        <w:rPr>
          <w:rStyle w:val="FootnoteAnchor"/>
          <w:rtl w:val="true"/>
        </w:rPr>
        <w:footnoteReference w:id="4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p>
    <w:p>
      <w:pPr>
        <w:pStyle w:val="BookText"/>
        <w:rPr/>
      </w:pPr>
      <w:r>
        <w:rPr>
          <w:rFonts w:ascii="Amiri" w:hAnsi="Amiri" w:eastAsia="Amiri" w:cs="Amiri"/>
          <w:color w:val="111111"/>
          <w:sz w:val="28"/>
          <w:sz w:val="28"/>
          <w:szCs w:val="28"/>
          <w:rtl w:val="true"/>
          <w:lang w:bidi="ar-SA"/>
        </w:rPr>
        <w:t>الأمرَ لا بُدَّ أن يَنكشِفَ علَى الأيّامِ مِن بعضِ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الداعي إلَى الكِتمانِ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ما تَقَدَّمَ مِن إشفاقِ بعضِ التُّجّارِ مِن أن يُخبِروا بدخولِ القَرامِطةِ فيَمتنِعَ شُرَكاؤهم مِن تسليمِ الأمتِعةِ إليهم، فهو</w:t>
      </w:r>
      <w:r>
        <w:rPr>
          <w:rStyle w:val="FootnoteAnchor"/>
          <w:rtl w:val="true"/>
        </w:rPr>
        <w:footnoteReference w:id="4084"/>
      </w:r>
      <w:r>
        <w:rPr>
          <w:rFonts w:ascii="Amiri" w:hAnsi="Amiri" w:eastAsia="Amiri" w:cs="Amiri"/>
          <w:color w:val="111111"/>
          <w:sz w:val="28"/>
          <w:sz w:val="28"/>
          <w:szCs w:val="28"/>
          <w:rtl w:val="true"/>
          <w:lang w:bidi="ar-SA"/>
        </w:rPr>
        <w:t xml:space="preserve">أبعَدُ مِن الاستمرارِ؛ لأنّ هذا الغرضَ و إن جَوَّزناه في بعضِ الجماعاتِ الواردةِ فمُحالٌ أن يَكونَ حاصلاً لكُلِّ واردٍ مِن البصرةِ ؛ لعِلمِنا بأنّ أكثَرَ مَن يَرِدُ لا تِجارةَ له، فلا بُدَّ أن يَظهَرَ ذلكَ ممّن لا غرضَ له في 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أعرَضَ عن ذِكرِ دخولِ القَرامِطةِ مِن التُّجّارِ للغرضِ الذي ذَكَرناه، لا يَجوزُ أن يَطمَعَ في استمرارِ استتارِ دخولِهم عن شُرَكائه</w:t>
      </w:r>
      <w:r>
        <w:rPr>
          <w:rStyle w:val="FootnoteAnchor"/>
          <w:rtl w:val="true"/>
        </w:rPr>
        <w:footnoteReference w:id="4085"/>
      </w:r>
      <w:r>
        <w:rPr>
          <w:rFonts w:ascii="Amiri" w:hAnsi="Amiri" w:eastAsia="Amiri" w:cs="Amiri"/>
          <w:color w:val="111111"/>
          <w:sz w:val="28"/>
          <w:sz w:val="28"/>
          <w:szCs w:val="28"/>
          <w:rtl w:val="true"/>
          <w:lang w:bidi="ar-SA"/>
        </w:rPr>
        <w:t>مِن أهلِ بَغدادَ، و هم يَعلَمونَ أنّ شُرَكاءَهم متىٰ لَقوا غيرَهم مِن الوارِدِينَ عَلِموا دخولَ القَرامِطةِ مِن جهتِهم، و إنّما يَجعَلونَ الكِتمانَ لذلكَ و الإعراضَ عن ذِكرِه طريقاً لتعجُّلِ ما يَتسلَّمونَه</w:t>
      </w:r>
      <w:r>
        <w:rPr>
          <w:rStyle w:val="FootnoteAnchor"/>
          <w:rtl w:val="true"/>
        </w:rPr>
        <w:footnoteReference w:id="4086"/>
      </w:r>
      <w:r>
        <w:rPr>
          <w:rFonts w:ascii="Amiri" w:hAnsi="Amiri" w:eastAsia="Amiri" w:cs="Amiri"/>
          <w:color w:val="111111"/>
          <w:sz w:val="28"/>
          <w:sz w:val="28"/>
          <w:szCs w:val="28"/>
          <w:rtl w:val="true"/>
          <w:lang w:bidi="ar-SA"/>
        </w:rPr>
        <w:t>من جهتِهم و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واقَفَهم</w:t>
      </w:r>
      <w:r>
        <w:rPr>
          <w:rStyle w:val="FootnoteAnchor"/>
          <w:rtl w:val="true"/>
        </w:rPr>
        <w:footnoteReference w:id="4087"/>
      </w:r>
      <w:r>
        <w:rPr>
          <w:rFonts w:ascii="Amiri" w:hAnsi="Amiri" w:eastAsia="Amiri" w:cs="Amiri"/>
          <w:color w:val="111111"/>
          <w:sz w:val="28"/>
          <w:sz w:val="28"/>
          <w:szCs w:val="28"/>
          <w:rtl w:val="true"/>
          <w:lang w:bidi="ar-SA"/>
        </w:rPr>
        <w:t>الشُّرَكاءُ بَعدَ أن يَعرِفوا ما كَتَموه مِن جهةِ غيرِهم، جازَ أن يُكذِّبوا بذلكَ إن تَمكَّنوا أو يَقولوا</w:t>
      </w:r>
      <w:r>
        <w:rPr>
          <w:rStyle w:val="FootnoteAnchor"/>
          <w:rtl w:val="true"/>
        </w:rPr>
        <w:footnoteReference w:id="4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دخولَهم كانَ بَعدَ خروجِنا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أُمورٌ تَجوزُ في أحوالٍ و تَمتنِعُ في أُخرىٰ علىٰ حَسَبِ الأطماعِ و الظُّنونِ و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سَبَرَ العاداتِ عَلِمَ أنّ الشيءَ قد يَتِمُّ و يَقصِدُه الجماعةُ ، و في </w:t>
      </w:r>
      <w:bookmarkStart w:id="649" w:name="pg20015_285209"/>
    </w:p>
    <w:p>
      <w:pPr>
        <w:pStyle w:val="BookText"/>
        <w:rPr/>
      </w:pPr>
      <w:bookmarkEnd w:id="649"/>
      <w:r>
        <w:rPr>
          <w:rFonts w:ascii="Amiri" w:hAnsi="Amiri" w:eastAsia="Amiri" w:cs="Amiri"/>
          <w:color w:val="111111"/>
          <w:sz w:val="28"/>
          <w:sz w:val="28"/>
          <w:szCs w:val="28"/>
          <w:rtl w:val="true"/>
          <w:lang w:bidi="ar-SA"/>
        </w:rPr>
        <w:t>أمثالِه في الظاهرِ ما يَبعُدُ تَمامُه و قَصدُ العُقَلاءِ له؛ لِما يَختَصُّ به</w:t>
      </w:r>
      <w:r>
        <w:rPr>
          <w:rStyle w:val="FootnoteAnchor"/>
          <w:rtl w:val="true"/>
        </w:rPr>
        <w:footnoteReference w:id="4089"/>
      </w:r>
      <w:r>
        <w:rPr>
          <w:rFonts w:ascii="Amiri" w:hAnsi="Amiri" w:eastAsia="Amiri" w:cs="Amiri"/>
          <w:color w:val="111111"/>
          <w:sz w:val="28"/>
          <w:sz w:val="28"/>
          <w:szCs w:val="28"/>
          <w:rtl w:val="true"/>
          <w:lang w:bidi="ar-SA"/>
        </w:rPr>
        <w:t xml:space="preserve">كُلُّ واحدٍ مِن الأمرَين مِن الأسبابِ الباعثةِ و الصارفةِ </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895179_2320776876"/>
      <w:bookmarkStart w:id="651" w:name="_Toc231"/>
      <w:bookmarkEnd w:id="650"/>
      <w:r>
        <w:rPr>
          <w:rtl w:val="true"/>
        </w:rPr>
        <w:t>تناقض كلام القاضي مع ما نقله عن أبي هاشم حول كتمان النصّ</w:t>
      </w:r>
      <w:bookmarkEnd w:id="651"/>
    </w:p>
    <w:p>
      <w:pPr>
        <w:pStyle w:val="BookText"/>
        <w:rPr/>
      </w:pPr>
      <w:r>
        <w:rPr>
          <w:rFonts w:ascii="Amiri" w:hAnsi="Amiri" w:eastAsia="Amiri" w:cs="Amiri"/>
          <w:color w:val="111111"/>
          <w:sz w:val="28"/>
          <w:sz w:val="28"/>
          <w:szCs w:val="28"/>
          <w:rtl w:val="true"/>
          <w:lang w:bidi="ar-SA"/>
        </w:rPr>
        <w:t>ثُمّ 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كتابِكَ هذا عندَ الكلامِ في الكِتمانِ‌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Style w:val="FootnoteAnchor"/>
          <w:rtl w:val="true"/>
        </w:rPr>
        <w:footnoteReference w:id="4090"/>
      </w:r>
      <w:r>
        <w:rPr>
          <w:rFonts w:ascii="Amiri" w:hAnsi="Amiri" w:eastAsia="Amiri" w:cs="Amiri"/>
          <w:color w:val="111111"/>
          <w:sz w:val="28"/>
          <w:sz w:val="28"/>
          <w:szCs w:val="28"/>
          <w:rtl w:val="true"/>
          <w:lang w:bidi="ar-SA"/>
        </w:rPr>
        <w:t>الجَمعَ العظيمَ إذا عرَفَ أمراً تَدعو الدَّواعي إلىٰ نقلِ مِثلِه، فغَيرُ جائزٍ أن يَكتُمَه و لا يُظهِرَه، إلّابمواطأةٍ‌، أو بشُبهةٍ جامعةٍ‌</w:t>
      </w:r>
      <w:r>
        <w:rPr>
          <w:rStyle w:val="FootnoteAnchor"/>
          <w:rtl w:val="true"/>
        </w:rPr>
        <w:footnoteReference w:id="4091"/>
      </w:r>
      <w:r>
        <w:rPr>
          <w:rFonts w:ascii="Amiri" w:hAnsi="Amiri" w:eastAsia="Amiri" w:cs="Amiri"/>
          <w:color w:val="111111"/>
          <w:sz w:val="28"/>
          <w:sz w:val="28"/>
          <w:szCs w:val="28"/>
          <w:rtl w:val="true"/>
          <w:lang w:bidi="ar-SA"/>
        </w:rPr>
        <w:t>علىٰ ذلكَ‌، أو خِيفةٍ‌، أو رَهبةٍ‌، إلىٰ 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لَم تَحصُلْ هذه الأُمورُ، و لا حصَلَ ما يَقومُ مَقامَ نقلِها و إظهارِها، فالكِتمانُ غيرُ جائزٍ عليهم</w:t>
      </w:r>
      <w:r>
        <w:rPr>
          <w:rStyle w:val="FootnoteAnchor"/>
          <w:rtl w:val="true"/>
        </w:rPr>
        <w:footnoteReference w:id="4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يُناقِضُ ما حَكيتَه عن أبي هاشِمٍ‌؛ لأنّه أطلَقَ أنّ الجماعةَ الوارِدةَ مِن البصرةِ إذا أخبَرَت عن كَذا و أمسَكَت عن كَذا، دَلَّ إمساكُها علىٰ أنّ الذي أمسَكَت عنه لَم يَكُن، و لَم يَستَثنِ شيئاً ممّا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يَجِبُ أن يَقولَ علىٰ مُقتَضىٰ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يَكونوا علىٰ كَذا و كَذا</w:t>
      </w:r>
      <w:r>
        <w:rPr>
          <w:rStyle w:val="FootnoteAnchor"/>
          <w:rtl w:val="true"/>
        </w:rPr>
        <w:footnoteReference w:id="4093"/>
      </w:r>
      <w:r>
        <w:rPr>
          <w:rFonts w:ascii="Amiri" w:hAnsi="Amiri" w:eastAsia="Amiri" w:cs="Amiri"/>
          <w:color w:val="111111"/>
          <w:sz w:val="28"/>
          <w:sz w:val="28"/>
          <w:szCs w:val="28"/>
          <w:rtl w:val="true"/>
          <w:lang w:bidi="ar-SA"/>
        </w:rPr>
        <w:t xml:space="preserve">، حتّىٰ يَشترِطَ سائرَ ما عدَّدتَه مِن الأسبابِ الموجِبةِ للكِتمانِ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لا يَجِبُ أن يَشتَرِطَه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مُستَحيلٌ </w:t>
      </w:r>
      <w:r>
        <w:rPr>
          <w:rStyle w:val="FootnoteAnchor"/>
          <w:rtl w:val="true"/>
        </w:rPr>
        <w:footnoteReference w:id="4094"/>
      </w:r>
      <w:r>
        <w:rPr>
          <w:rFonts w:ascii="Amiri" w:hAnsi="Amiri" w:eastAsia="Amiri" w:cs="Amiri"/>
          <w:color w:val="111111"/>
          <w:sz w:val="28"/>
          <w:sz w:val="28"/>
          <w:szCs w:val="28"/>
          <w:rtl w:val="true"/>
          <w:lang w:bidi="ar-SA"/>
        </w:rPr>
        <w:t>أن يَكتُمَ هؤلاءِ دخولَ القَرامِطةِ علىٰ وجهٍ مِن الوجوهِ ، و إنّما تُذكَرُ</w:t>
      </w:r>
      <w:r>
        <w:rPr>
          <w:rStyle w:val="FootnoteAnchor"/>
          <w:rtl w:val="true"/>
        </w:rPr>
        <w:footnoteReference w:id="4095"/>
      </w:r>
      <w:r>
        <w:rPr>
          <w:rFonts w:ascii="Amiri" w:hAnsi="Amiri" w:eastAsia="Amiri" w:cs="Amiri"/>
          <w:color w:val="111111"/>
          <w:sz w:val="28"/>
          <w:sz w:val="28"/>
          <w:szCs w:val="28"/>
          <w:rtl w:val="true"/>
          <w:lang w:bidi="ar-SA"/>
        </w:rPr>
        <w:t xml:space="preserve">أسبابُ الكِتمانِ في </w:t>
      </w:r>
      <w:bookmarkStart w:id="652" w:name="pg20015_285210"/>
    </w:p>
    <w:p>
      <w:pPr>
        <w:pStyle w:val="BookText"/>
        <w:rPr/>
      </w:pPr>
      <w:bookmarkEnd w:id="652"/>
      <w:r>
        <w:rPr>
          <w:rFonts w:ascii="Amiri" w:hAnsi="Amiri" w:eastAsia="Amiri" w:cs="Amiri"/>
          <w:color w:val="111111"/>
          <w:sz w:val="28"/>
          <w:sz w:val="28"/>
          <w:szCs w:val="28"/>
          <w:rtl w:val="true"/>
          <w:lang w:bidi="ar-SA"/>
        </w:rPr>
        <w:t>مَواضِعَ أُخَرَ</w:t>
      </w:r>
      <w:r>
        <w:rPr>
          <w:rStyle w:val="FootnoteAnchor"/>
          <w:rtl w:val="true"/>
        </w:rPr>
        <w:footnoteReference w:id="4096"/>
      </w:r>
      <w:r>
        <w:rPr>
          <w:rFonts w:ascii="Amiri" w:hAnsi="Amiri" w:eastAsia="Amiri" w:cs="Amiri"/>
          <w:color w:val="111111"/>
          <w:sz w:val="28"/>
          <w:sz w:val="28"/>
          <w:szCs w:val="28"/>
          <w:rtl w:val="true"/>
          <w:lang w:bidi="ar-SA"/>
        </w:rPr>
        <w:t>يَسوغُ فيها</w:t>
      </w:r>
      <w:r>
        <w:rPr>
          <w:rStyle w:val="FootnoteAnchor"/>
          <w:rtl w:val="true"/>
        </w:rPr>
        <w:footnoteReference w:id="4097"/>
      </w:r>
      <w:r>
        <w:rPr>
          <w:rFonts w:ascii="Amiri" w:hAnsi="Amiri" w:eastAsia="Amiri" w:cs="Amiri"/>
          <w:color w:val="111111"/>
          <w:sz w:val="28"/>
          <w:sz w:val="28"/>
          <w:szCs w:val="28"/>
          <w:rtl w:val="true"/>
          <w:lang w:bidi="ar-SA"/>
        </w:rPr>
        <w:t xml:space="preserve">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يَجِبُ أن لا تُطلِقَ أنتَ جَوازَ الكِتمانِ علَى الجماعةِ العظيمةِ إذا اتّفَقَ لها أحَدُ الأسبابِ التي ذَكَرتَها، و تَستَثنيَ الوارِدِينَ مِن البصرةِ و مَن جَرىٰ مَجراهم، و تبيِّنَ أنّهم ممّن لا يَجوزُ عليه الكِتمانُ علىٰ وجهٍ و إن جازَ علىٰ غيرِهم لبعضِ تلكَ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إذَن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الاعترافِ بالخَطَإ فيما أطلَقتَه في بابِ الأخبارِ، أو صَرفِ الخَطَإ إلىٰ كلامِ أبي هاشِمٍ الذي استَحسَنتَه و حَكَيتَه إعجاباً به و اعتقاداً له</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895181_2320776876"/>
      <w:bookmarkStart w:id="654" w:name="_Toc232"/>
      <w:bookmarkEnd w:id="653"/>
      <w:r>
        <w:rPr>
          <w:rtl w:val="true"/>
        </w:rPr>
        <w:t>ما يجب ظهورُه مِن أسباب الكتمان و ما لا يجب</w:t>
      </w:r>
      <w:bookmarkEnd w:id="654"/>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ذَكَرتَ في بابِ الكلامِ في الكِتمانِ أنّ الجَمعَ العظيمَ إذا اختَصَّ بوجهٍ يَقتَضي الكِتمانَ ، فإنّ ذلك الوجهَ لا يَجوزُ أن لا يَنكشِفَ ، بَل لا بُدَّ أن يَظهَرَ، ثُمّ يَحصُلَ النقلُ به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ذلكَ‌، و هو غيرُ عاذِرٍ لأبي هاشِمٍ فيما أطلَقَه مِن الكلامِ ، و لا مانعٍ ممّا حَكَمنا به مِن غَلَطِه؛ لأنّه لَم يجوِّزْ</w:t>
      </w:r>
      <w:r>
        <w:rPr>
          <w:rStyle w:val="FootnoteAnchor"/>
          <w:rtl w:val="true"/>
        </w:rPr>
        <w:footnoteReference w:id="4098"/>
      </w:r>
      <w:r>
        <w:rPr>
          <w:rFonts w:ascii="Amiri" w:hAnsi="Amiri" w:eastAsia="Amiri" w:cs="Amiri"/>
          <w:color w:val="111111"/>
          <w:sz w:val="28"/>
          <w:sz w:val="28"/>
          <w:szCs w:val="28"/>
          <w:rtl w:val="true"/>
          <w:lang w:bidi="ar-SA"/>
        </w:rPr>
        <w:t>أن يَكتُمَ الوارِدونَ مِن البصرةِ أمرَ القَرامِطةِ لأحَدِ الأسبابِ التي تَقتَضي الكِتمانَ ، ثُمّ يوجِبْ ظهورَها و ظهورَ ما كَتَموه فيما بَعدُ، بَل مَنَعَ الكِتمانَ منهم</w:t>
      </w:r>
      <w:r>
        <w:rPr>
          <w:rStyle w:val="FootnoteAnchor"/>
          <w:rtl w:val="true"/>
        </w:rPr>
        <w:footnoteReference w:id="4099"/>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ظهورُ ما تكتُمُه الجماعةُ علىٰ وجهٍ مِن الوجوهِ إذا كانَ ممّا تَمَسُّ الحاجةُ إليه و تَدعو الدَّواعي إلىٰ نقلِه، و وقَعَ في الأصلِ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أنّه ممّا لا بُدَّ منه في العادةِ ، غيرَ أنّ ذلكَ غيرُ موجِبٍ لظهورِ أسبابِ الكِتمانِ و الوقوفِ عليها </w:t>
      </w:r>
    </w:p>
    <w:p>
      <w:pPr>
        <w:pStyle w:val="BookText"/>
        <w:rPr/>
      </w:pPr>
      <w:r>
        <w:rPr>
          <w:rFonts w:ascii="Amiri" w:hAnsi="Amiri" w:eastAsia="Amiri" w:cs="Amiri"/>
          <w:color w:val="111111"/>
          <w:sz w:val="28"/>
          <w:sz w:val="28"/>
          <w:szCs w:val="28"/>
          <w:rtl w:val="true"/>
          <w:lang w:bidi="ar-SA"/>
        </w:rPr>
        <w:t>بعَينِها</w:t>
      </w:r>
      <w:r>
        <w:rPr>
          <w:rStyle w:val="FootnoteAnchor"/>
          <w:rtl w:val="true"/>
        </w:rPr>
        <w:footnoteReference w:id="4100"/>
      </w:r>
      <w:r>
        <w:rPr>
          <w:rFonts w:ascii="Amiri" w:hAnsi="Amiri" w:eastAsia="Amiri" w:cs="Amiri"/>
          <w:color w:val="111111"/>
          <w:sz w:val="28"/>
          <w:sz w:val="28"/>
          <w:szCs w:val="28"/>
          <w:rtl w:val="true"/>
          <w:lang w:bidi="ar-SA"/>
        </w:rPr>
        <w:t>في كُلِّ حالٍ‌؛ لأنّ الأسبابَ الداعيةَ إلَى الكِتمانِ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ظهورُه بالعادةِ و الوقوفُ عليه بعَينِه، كما يَجِبُ ظهورُ نفسِ الشيءِ المكتومِ إذا كانَ بالصفةِ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هذا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الكِتمانُ وقَعَ مِن الجماعةِ الكثيرةِ لِتَواطؤٍ عليه، أو لإكراهٍ مِن سُلطانٍ قاهرٍ؛ لأنّ العادةَ تَقتَضي ظهورَ ما ذَكَرناه، و الوقوفَ عليه بعَينِه، و أنّه ممّا لا يَكادُ يَخفىٰ و يَلتَبِسُ‌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أسبابُ الكِتمانِ أُموراً تَختَصُّ‌</w:t>
      </w:r>
      <w:r>
        <w:rPr>
          <w:rStyle w:val="FootnoteAnchor"/>
          <w:rtl w:val="true"/>
        </w:rPr>
        <w:footnoteReference w:id="4101"/>
      </w:r>
      <w:r>
        <w:rPr>
          <w:rFonts w:ascii="Amiri" w:hAnsi="Amiri" w:eastAsia="Amiri" w:cs="Amiri"/>
          <w:color w:val="111111"/>
          <w:sz w:val="28"/>
          <w:sz w:val="28"/>
          <w:szCs w:val="28"/>
          <w:rtl w:val="true"/>
          <w:lang w:bidi="ar-SA"/>
        </w:rPr>
        <w:t>الجماعاتِ‌</w:t>
      </w:r>
      <w:r>
        <w:rPr>
          <w:rStyle w:val="FootnoteAnchor"/>
          <w:rtl w:val="true"/>
        </w:rPr>
        <w:footnoteReference w:id="4102"/>
      </w:r>
      <w:r>
        <w:rPr>
          <w:rFonts w:ascii="Amiri" w:hAnsi="Amiri" w:eastAsia="Amiri" w:cs="Amiri"/>
          <w:color w:val="111111"/>
          <w:sz w:val="28"/>
          <w:sz w:val="28"/>
          <w:szCs w:val="28"/>
          <w:rtl w:val="true"/>
          <w:lang w:bidi="ar-SA"/>
        </w:rPr>
        <w:t>، و تَرجِعُ إلَى اعتقاداتِها؛ كالعَداوةِ و الحَسَدِ و الشُّبَهِ و اعتقادِ الضرَرِ في الدِّينِ‌</w:t>
      </w:r>
      <w:r>
        <w:rPr>
          <w:rStyle w:val="FootnoteAnchor"/>
          <w:rtl w:val="true"/>
        </w:rPr>
        <w:footnoteReference w:id="4103"/>
      </w:r>
      <w:r>
        <w:rPr>
          <w:rFonts w:ascii="Amiri" w:hAnsi="Amiri" w:eastAsia="Amiri" w:cs="Amiri"/>
          <w:color w:val="111111"/>
          <w:sz w:val="28"/>
          <w:sz w:val="28"/>
          <w:szCs w:val="28"/>
          <w:rtl w:val="true"/>
          <w:lang w:bidi="ar-SA"/>
        </w:rPr>
        <w:t>أو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الأسبابُ متَى اقتَضَت الكِتمانَ لَم يَجِبْ ظهورُها كوجوبِ ظهورِ ما تَقدَّمَ‌، لا سِيَّما إذا وقَعَ الكِتمانُ لأُمورٍ منها مختَلِفةٍ‌، و لَم يَكُن الداعي إليه واحداً بعَينِه، فإنّ الدَّواعيَ إلَى الكِتمانِ رُبَّما اختلَفَت في جنسِها و إن كانَت متَّفِقةً في اقتضائها للكِتمانِ‌</w:t>
      </w:r>
      <w:r>
        <w:rPr>
          <w:rStyle w:val="FootnoteAnchor"/>
          <w:rtl w:val="true"/>
        </w:rPr>
        <w:footnoteReference w:id="4104"/>
      </w:r>
      <w:r>
        <w:rPr>
          <w:rFonts w:ascii="Amiri" w:hAnsi="Amiri" w:eastAsia="Amiri" w:cs="Amiri"/>
          <w:color w:val="111111"/>
          <w:sz w:val="28"/>
          <w:sz w:val="28"/>
          <w:szCs w:val="28"/>
          <w:rtl w:val="true"/>
          <w:lang w:bidi="ar-SA"/>
        </w:rPr>
        <w:t>فهي إذا كانَت بهذه الصفةِ أبعَدُ مِن الظهورِ، و أقرَبُ إلَى الخَفاءِ‌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يَكشِفُ عن صحّةِ ما ذَكَرناه أنّه لَو جمَعَ بعضُ السَّلاطينِ أهلَ بَلَدٍ عظيمٍ كثيرِ الأهلِ أو جماعةً منهم كثيرةً لا يَجوزُ عليها التواطؤُ، فذَكرَ بحَضرتِهم رجُلاً مِن بَلَدِهم بذِكرٍ جَميلٍ ، و قالَ فيه أقوالاً تَقتَضي</w:t>
      </w:r>
      <w:r>
        <w:rPr>
          <w:rStyle w:val="FootnoteAnchor"/>
          <w:rtl w:val="true"/>
        </w:rPr>
        <w:footnoteReference w:id="4105"/>
      </w:r>
      <w:r>
        <w:rPr>
          <w:rFonts w:ascii="Amiri" w:hAnsi="Amiri" w:eastAsia="Amiri" w:cs="Amiri"/>
          <w:color w:val="111111"/>
          <w:sz w:val="28"/>
          <w:sz w:val="28"/>
          <w:szCs w:val="28"/>
          <w:rtl w:val="true"/>
          <w:lang w:bidi="ar-SA"/>
        </w:rPr>
        <w:t>تفضيلَه و تعظيمَه</w:t>
      </w:r>
      <w:r>
        <w:rPr>
          <w:rStyle w:val="FootnoteAnchor"/>
          <w:rtl w:val="true"/>
        </w:rPr>
        <w:footnoteReference w:id="4106"/>
      </w:r>
      <w:r>
        <w:rPr>
          <w:rFonts w:ascii="Amiri" w:hAnsi="Amiri" w:eastAsia="Amiri" w:cs="Amiri"/>
          <w:color w:val="111111"/>
          <w:sz w:val="28"/>
          <w:sz w:val="28"/>
          <w:szCs w:val="28"/>
          <w:rtl w:val="true"/>
          <w:lang w:bidi="ar-SA"/>
        </w:rPr>
        <w:t xml:space="preserve">و الرفعَ منه، لَجازَ </w:t>
      </w:r>
      <w:bookmarkStart w:id="655" w:name="pg20015_285212"/>
    </w:p>
    <w:p>
      <w:pPr>
        <w:pStyle w:val="BookText"/>
        <w:rPr/>
      </w:pPr>
      <w:bookmarkEnd w:id="655"/>
      <w:r>
        <w:rPr>
          <w:rFonts w:ascii="Amiri" w:hAnsi="Amiri" w:eastAsia="Amiri" w:cs="Amiri"/>
          <w:color w:val="111111"/>
          <w:sz w:val="28"/>
          <w:sz w:val="28"/>
          <w:szCs w:val="28"/>
          <w:rtl w:val="true"/>
          <w:lang w:bidi="ar-SA"/>
        </w:rPr>
        <w:t>مِن القومِ أن يَنصرِفوا فيُمسِكَ أكثرُهم عن نقلِ ما جَرىٰ و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w:t>
      </w:r>
      <w:r>
        <w:rPr>
          <w:rStyle w:val="FootnoteAnchor"/>
          <w:rtl w:val="true"/>
        </w:rPr>
        <w:footnoteReference w:id="4107"/>
      </w:r>
      <w:r>
        <w:rPr>
          <w:rFonts w:ascii="Amiri" w:hAnsi="Amiri" w:eastAsia="Amiri" w:cs="Amiri"/>
          <w:color w:val="111111"/>
          <w:sz w:val="28"/>
          <w:sz w:val="28"/>
          <w:szCs w:val="28"/>
          <w:rtl w:val="true"/>
          <w:lang w:bidi="ar-SA"/>
        </w:rPr>
        <w:t>دَواعيهم إلَى الكِتمانِ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دَعاه إليه العَداوةُ‌، و آخَرونَ حمَلَهم عليه الحَسَدُ، و بعضٌ‌</w:t>
      </w:r>
      <w:r>
        <w:rPr>
          <w:rStyle w:val="FootnoteAnchor"/>
          <w:rtl w:val="true"/>
        </w:rPr>
        <w:footnoteReference w:id="4108"/>
      </w:r>
      <w:r>
        <w:rPr>
          <w:rFonts w:ascii="Amiri" w:hAnsi="Amiri" w:eastAsia="Amiri" w:cs="Amiri"/>
          <w:color w:val="111111"/>
          <w:sz w:val="28"/>
          <w:sz w:val="28"/>
          <w:szCs w:val="28"/>
          <w:rtl w:val="true"/>
          <w:lang w:bidi="ar-SA"/>
        </w:rPr>
        <w:t>اعتقَدَ أنّ في نقلِه ضَرَراً في الدِّينِ أو الدُّنيا، و بعضٌ آخَرُ دخَلَت عليه شُبهةٌ مِن غيرِ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ظُهِرَ</w:t>
      </w:r>
      <w:r>
        <w:rPr>
          <w:rStyle w:val="FootnoteAnchor"/>
          <w:rtl w:val="true"/>
        </w:rPr>
        <w:footnoteReference w:id="4109"/>
      </w:r>
      <w:r>
        <w:rPr>
          <w:rFonts w:ascii="Amiri" w:hAnsi="Amiri" w:eastAsia="Amiri" w:cs="Amiri"/>
          <w:color w:val="111111"/>
          <w:sz w:val="28"/>
          <w:sz w:val="28"/>
          <w:szCs w:val="28"/>
          <w:rtl w:val="true"/>
          <w:lang w:bidi="ar-SA"/>
        </w:rPr>
        <w:t xml:space="preserve">علىٰ ما جَرىٰ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علَى الأسبابِ </w:t>
      </w:r>
      <w:r>
        <w:rPr>
          <w:rStyle w:val="FootnoteAnchor"/>
          <w:rtl w:val="true"/>
        </w:rPr>
        <w:footnoteReference w:id="4110"/>
      </w:r>
      <w:r>
        <w:rPr>
          <w:rFonts w:ascii="Amiri" w:hAnsi="Amiri" w:eastAsia="Amiri" w:cs="Amiri"/>
          <w:color w:val="111111"/>
          <w:sz w:val="28"/>
          <w:sz w:val="28"/>
          <w:szCs w:val="28"/>
          <w:rtl w:val="true"/>
          <w:lang w:bidi="ar-SA"/>
        </w:rPr>
        <w:t>الموجِبةِ لكِتمانِ الجماعةِ له حتّىٰ تُعرَفَ بأعيانِها و يميَّزُ بَينَها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وقوعُ الكِتمانِ علىٰ هذا الوجهِ و لهذه الأسبابِ مَجرىٰ أن يَكونوا تَواطَؤوا عليه و تَوافَقوا علىٰ أن يُمسِكوا عن النقلِ ، أو وقَعَ مِن سُلطانٍ إكراهٌ لهم علَى الكِتمانِ ؛ لأنّا نَعلَمُ أنّه متىٰ وقَعَ لِما ذكرناه ثانياً وَجَبَ ظهورُ أسبابِه، و إن لَم يَجِبْ ذلكَ في الأوّلِ </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95183_2320776876"/>
      <w:bookmarkStart w:id="657" w:name="_Toc233"/>
      <w:bookmarkEnd w:id="656"/>
      <w:r>
        <w:rPr>
          <w:rtl w:val="true"/>
        </w:rPr>
        <w:t>الفرق بين أسباب الكتمان و أسباب الافتعال من حيث الظهور و الخفاء</w:t>
      </w:r>
      <w:bookmarkEnd w:id="65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4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يقَعَ الكِتمانُ مِن الجماعةِ الكثيرةِ </w:t>
      </w:r>
      <w:r>
        <w:rPr>
          <w:rStyle w:val="FootnoteAnchor"/>
          <w:rtl w:val="true"/>
        </w:rPr>
        <w:footnoteReference w:id="4112"/>
      </w:r>
      <w:r>
        <w:rPr>
          <w:rFonts w:ascii="Amiri" w:hAnsi="Amiri" w:eastAsia="Amiri" w:cs="Amiri"/>
          <w:color w:val="111111"/>
          <w:sz w:val="28"/>
          <w:sz w:val="28"/>
          <w:szCs w:val="28"/>
          <w:rtl w:val="true"/>
          <w:lang w:bidi="ar-SA"/>
        </w:rPr>
        <w:t>، فتَخفىٰ أسبابُه</w:t>
      </w:r>
      <w:r>
        <w:rPr>
          <w:rStyle w:val="FootnoteAnchor"/>
          <w:rtl w:val="true"/>
        </w:rPr>
        <w:footnoteReference w:id="4113"/>
      </w:r>
      <w:r>
        <w:rPr>
          <w:rFonts w:ascii="Amiri" w:hAnsi="Amiri" w:eastAsia="Amiri" w:cs="Amiri"/>
          <w:color w:val="111111"/>
          <w:sz w:val="28"/>
          <w:sz w:val="28"/>
          <w:szCs w:val="28"/>
          <w:rtl w:val="true"/>
          <w:lang w:bidi="ar-SA"/>
        </w:rPr>
        <w:t>علىٰ بعضِ الوجوهِ ، فلِمَ لا يَجوزُ</w:t>
      </w:r>
      <w:r>
        <w:rPr>
          <w:rStyle w:val="FootnoteAnchor"/>
          <w:rtl w:val="true"/>
        </w:rPr>
        <w:footnoteReference w:id="4114"/>
      </w:r>
      <w:r>
        <w:rPr>
          <w:rFonts w:ascii="Amiri" w:hAnsi="Amiri" w:eastAsia="Amiri" w:cs="Amiri"/>
          <w:color w:val="111111"/>
          <w:sz w:val="28"/>
          <w:sz w:val="28"/>
          <w:szCs w:val="28"/>
          <w:rtl w:val="true"/>
          <w:lang w:bidi="ar-SA"/>
        </w:rPr>
        <w:t xml:space="preserve">وقوعُ الافتعالِ </w:t>
      </w:r>
      <w:r>
        <w:rPr>
          <w:rStyle w:val="FootnoteAnchor"/>
          <w:rtl w:val="true"/>
        </w:rPr>
        <w:footnoteReference w:id="4115"/>
      </w:r>
      <w:r>
        <w:rPr>
          <w:rFonts w:ascii="Amiri" w:hAnsi="Amiri" w:eastAsia="Amiri" w:cs="Amiri"/>
          <w:color w:val="111111"/>
          <w:sz w:val="28"/>
          <w:sz w:val="28"/>
          <w:szCs w:val="28"/>
          <w:rtl w:val="true"/>
          <w:lang w:bidi="ar-SA"/>
        </w:rPr>
        <w:t xml:space="preserve">للأخبارِ أيضاً مِن الجماعةِ الكثيرةِ العَددِ، و تَخفىٰ </w:t>
      </w:r>
      <w:r>
        <w:rPr>
          <w:rStyle w:val="FootnoteAnchor"/>
          <w:rtl w:val="true"/>
        </w:rPr>
        <w:footnoteReference w:id="4116"/>
      </w:r>
      <w:r>
        <w:rPr>
          <w:rFonts w:ascii="Amiri" w:hAnsi="Amiri" w:eastAsia="Amiri" w:cs="Amiri"/>
          <w:color w:val="111111"/>
          <w:sz w:val="28"/>
          <w:sz w:val="28"/>
          <w:szCs w:val="28"/>
          <w:rtl w:val="true"/>
          <w:lang w:bidi="ar-SA"/>
        </w:rPr>
        <w:t xml:space="preserve">أسبابُه للعِلّةِ التي لها خَفيَت أسبابُ الكِتمانِ؟ </w:t>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4117"/>
      </w:r>
      <w:r>
        <w:rPr>
          <w:rFonts w:ascii="Amiri" w:hAnsi="Amiri" w:eastAsia="Amiri" w:cs="Amiri"/>
          <w:color w:val="111111"/>
          <w:sz w:val="28"/>
          <w:sz w:val="28"/>
          <w:szCs w:val="28"/>
          <w:rtl w:val="true"/>
          <w:lang w:bidi="ar-SA"/>
        </w:rPr>
        <w:t xml:space="preserve">أجَزتم الكِتمانَ علَى الجماعاتِ للأسبابِ التي ذَكَرتموها، فأجيزوا الافتعالَ علىٰ مِثلِهم لمِثلِ تلكَ الأسبابِ‌؛ فإنّ ما استَشهَدتم به مِن العادةِ لا يَفرُقُ بَينَ الأمرَينِ ؛ لأنّ الناسَ كما قد تَحمِلُهم العَداوةُ و الحَسَدُ علَى الكِتمانِ ، فكذلكَ قد تَحمِلُهم المَحبّةُ و قوّةُ العَصَبيّةِ علَى الافتعالِ و تَخرُّصِ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طريقتَكم في النصِّ ، بل هو مُبطِلٌ لِسائرِ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الكِتمانَ‌</w:t>
      </w:r>
      <w:r>
        <w:rPr>
          <w:rStyle w:val="FootnoteAnchor"/>
          <w:rtl w:val="true"/>
        </w:rPr>
        <w:footnoteReference w:id="4118"/>
      </w:r>
      <w:r>
        <w:rPr>
          <w:rFonts w:ascii="Amiri" w:hAnsi="Amiri" w:eastAsia="Amiri" w:cs="Amiri"/>
          <w:color w:val="111111"/>
          <w:sz w:val="28"/>
          <w:sz w:val="28"/>
          <w:szCs w:val="28"/>
          <w:rtl w:val="true"/>
          <w:lang w:bidi="ar-SA"/>
        </w:rPr>
        <w:t>رُبَّما وَجَبَ ظهورُ أسبابِه و رُبَّما لَم يَجِبْ‌، و فَرَّقنا بَينَ الأسبابِ التي متىٰ دَعَت إلَى الكِتمانِ ظهَرَت و وُقِفَ عليها، و بَينَ الأسبابِ التي لا يَجِبُ أن يُظهَرَ عليها</w:t>
      </w:r>
      <w:r>
        <w:rPr>
          <w:rFonts w:eastAsia="Amiri" w:cs="Amiri" w:ascii="Amiri" w:hAnsi="Amiri"/>
          <w:color w:val="111111"/>
          <w:sz w:val="28"/>
          <w:szCs w:val="28"/>
          <w:rtl w:val="true"/>
          <w:lang w:bidi="ar-SA"/>
        </w:rPr>
        <w:t>.</w:t>
      </w:r>
      <w:r>
        <w:rPr>
          <w:rStyle w:val="FootnoteAnchor"/>
          <w:rtl w:val="true"/>
        </w:rPr>
        <w:footnoteReference w:id="4119"/>
      </w:r>
    </w:p>
    <w:p>
      <w:pPr>
        <w:pStyle w:val="BookText"/>
        <w:rPr/>
      </w:pPr>
      <w:r>
        <w:rPr>
          <w:rFonts w:ascii="Amiri" w:hAnsi="Amiri" w:eastAsia="Amiri" w:cs="Amiri"/>
          <w:color w:val="111111"/>
          <w:sz w:val="28"/>
          <w:sz w:val="28"/>
          <w:szCs w:val="28"/>
          <w:rtl w:val="true"/>
          <w:lang w:bidi="ar-SA"/>
        </w:rPr>
        <w:t>و لَيسَ يَجري الافتعالُ هذا المَجرىٰ‌؛ لأنّه إن أُريدَ به افتعالُ أخبارٍ مختَلِفةٍ في</w:t>
      </w:r>
    </w:p>
    <w:p>
      <w:pPr>
        <w:pStyle w:val="BookText"/>
        <w:rPr/>
      </w:pPr>
      <w:r>
        <w:rPr>
          <w:rFonts w:ascii="Amiri" w:hAnsi="Amiri" w:eastAsia="Amiri" w:cs="Amiri"/>
          <w:color w:val="111111"/>
          <w:sz w:val="28"/>
          <w:sz w:val="28"/>
          <w:szCs w:val="28"/>
          <w:rtl w:val="true"/>
          <w:lang w:bidi="ar-SA"/>
        </w:rPr>
        <w:t>اللفظِ و المعنىٰ ، أو مختَلِفةٍ في الصورةِ و اللفظِ و إن كانَت متّفِقةً في المعنى، فإنّا نجوِّزُ أن يَدعوَ إليه مِن الأسبابِ ما لا يَجِبُ ظهورُه و الوقوفُ عليه بعَينِه حسَبَ ما نَقولُه في الكِتمانِ و أسبابِه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4120"/>
      </w:r>
      <w:r>
        <w:rPr>
          <w:rFonts w:ascii="Amiri" w:hAnsi="Amiri" w:eastAsia="Amiri" w:cs="Amiri"/>
          <w:color w:val="111111"/>
          <w:sz w:val="28"/>
          <w:sz w:val="28"/>
          <w:szCs w:val="28"/>
          <w:rtl w:val="true"/>
          <w:lang w:bidi="ar-SA"/>
        </w:rPr>
        <w:t xml:space="preserve">أُريدَ به افتعالُ خبرٍ واحدٍ متّفِقٍ في صورتِه و صفتِه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يقَعُ مِن الجماعاتِ الكثيرةِ الخبرُ الذي هذه صفتُه، و تَنكتِمُ أسبابُ افتعالِه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لا يَجوزُ؛ لأنّ الخبرَ متىٰ كان بالصفةِ التي ذَكَرناها، لَم يَجُز أن يَجمَعَ </w:t>
      </w:r>
      <w:r>
        <w:rPr>
          <w:rStyle w:val="FootnoteAnchor"/>
          <w:rtl w:val="true"/>
        </w:rPr>
        <w:footnoteReference w:id="4121"/>
      </w:r>
      <w:r>
        <w:rPr>
          <w:rFonts w:ascii="Amiri" w:hAnsi="Amiri" w:eastAsia="Amiri" w:cs="Amiri"/>
          <w:color w:val="111111"/>
          <w:sz w:val="28"/>
          <w:sz w:val="28"/>
          <w:szCs w:val="28"/>
          <w:rtl w:val="true"/>
          <w:lang w:bidi="ar-SA"/>
        </w:rPr>
        <w:t xml:space="preserve">الجماعةَ عليه إلّا التواطؤُ أو حَملٌ ظاهرٌ مِن سُلطانٍ ، و لَم يَصِحَّ أن يَجتَمِعوا عليه للأسبابِ التي ذَكَرناها في الكِتمانِ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لا تَرىٰ أنّ العَداوةَ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عدَّدناه مِن الأسبابِ المقتَضيةِ للكِتمانِ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أسباباً تَجمَعُ‌</w:t>
      </w:r>
      <w:r>
        <w:rPr>
          <w:rStyle w:val="FootnoteAnchor"/>
          <w:rtl w:val="true"/>
        </w:rPr>
        <w:footnoteReference w:id="4122"/>
      </w:r>
      <w:r>
        <w:rPr>
          <w:rFonts w:ascii="Amiri" w:hAnsi="Amiri" w:eastAsia="Amiri" w:cs="Amiri"/>
          <w:color w:val="111111"/>
          <w:sz w:val="28"/>
          <w:sz w:val="28"/>
          <w:szCs w:val="28"/>
          <w:rtl w:val="true"/>
          <w:lang w:bidi="ar-SA"/>
        </w:rPr>
        <w:t>علَى افتعالِ خبرٍ بلفظٍ و معنىً واحدٍ، حتّىٰ يَصِحَّ مِن الجماعةِ العظيمةِ التي تُعادي رجُلاً أن تَفتعِلَ في ذَمِّه خبراً متّفِقاً في لفظِه و معناه، أو تَهجوَه بأَسرِها بقَصيدةٍ مِن الشِّعرِ متّفِقةِ اللفظِ و المعنىٰ مِن غيرِ 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يَصِحُّ في العادةِ علىٰ هذه الجماعةِ أن تَكتُمَ‌</w:t>
      </w:r>
      <w:r>
        <w:rPr>
          <w:rStyle w:val="FootnoteAnchor"/>
          <w:rtl w:val="true"/>
        </w:rPr>
        <w:footnoteReference w:id="4123"/>
      </w:r>
      <w:r>
        <w:rPr>
          <w:rFonts w:ascii="Amiri" w:hAnsi="Amiri" w:eastAsia="Amiri" w:cs="Amiri"/>
          <w:color w:val="111111"/>
          <w:sz w:val="28"/>
          <w:sz w:val="28"/>
          <w:szCs w:val="28"/>
          <w:rtl w:val="true"/>
          <w:lang w:bidi="ar-SA"/>
        </w:rPr>
        <w:t>ما يَظهَرُ</w:t>
      </w:r>
      <w:r>
        <w:rPr>
          <w:rStyle w:val="FootnoteAnchor"/>
          <w:rtl w:val="true"/>
        </w:rPr>
        <w:footnoteReference w:id="4124"/>
      </w:r>
      <w:r>
        <w:rPr>
          <w:rFonts w:ascii="IRNazanin" w:hAnsi="IRNazanin" w:eastAsia="IRNazanin"/>
          <w:color w:val="111111"/>
          <w:sz w:val="28"/>
          <w:sz w:val="28"/>
          <w:szCs w:val="28"/>
          <w:rtl w:val="true"/>
          <w:lang w:bidi="fa-IR"/>
        </w:rPr>
        <w:t>لها</w:t>
      </w:r>
      <w:r>
        <w:rPr>
          <w:rStyle w:val="FootnoteAnchor"/>
          <w:rtl w:val="true"/>
        </w:rPr>
        <w:footnoteReference w:id="4125"/>
      </w:r>
      <w:r>
        <w:rPr>
          <w:rFonts w:ascii="Amiri" w:hAnsi="Amiri" w:eastAsia="Amiri" w:cs="Amiri"/>
          <w:color w:val="111111"/>
          <w:sz w:val="28"/>
          <w:sz w:val="28"/>
          <w:szCs w:val="28"/>
          <w:rtl w:val="true"/>
          <w:lang w:bidi="ar-SA"/>
        </w:rPr>
        <w:t>مِن فَضلِ مَن تُعاديهِ‌</w:t>
      </w:r>
      <w:r>
        <w:rPr>
          <w:rStyle w:val="FootnoteAnchor"/>
          <w:rtl w:val="true"/>
        </w:rPr>
        <w:footnoteReference w:id="4126"/>
      </w:r>
      <w:r>
        <w:rPr>
          <w:rFonts w:ascii="Amiri" w:hAnsi="Amiri" w:eastAsia="Amiri" w:cs="Amiri"/>
          <w:color w:val="111111"/>
          <w:sz w:val="28"/>
          <w:sz w:val="28"/>
          <w:szCs w:val="28"/>
          <w:rtl w:val="true"/>
          <w:lang w:bidi="ar-SA"/>
        </w:rPr>
        <w:t>لهذه الأسبابِ التي تقدَّمَت مِن غيرِ تَواطؤٍ و اتّفاقٍ؟</w:t>
      </w:r>
      <w:r>
        <w:rPr>
          <w:rStyle w:val="FootnoteAnchor"/>
          <w:rtl w:val="true"/>
        </w:rPr>
        <w:footnoteReference w:id="4127"/>
      </w:r>
    </w:p>
    <w:p>
      <w:pPr>
        <w:pStyle w:val="BookText"/>
        <w:rPr/>
      </w:pPr>
      <w:r>
        <w:rPr>
          <w:rFonts w:ascii="Amiri" w:hAnsi="Amiri" w:eastAsia="Amiri" w:cs="Amiri"/>
          <w:color w:val="111111"/>
          <w:sz w:val="28"/>
          <w:sz w:val="28"/>
          <w:szCs w:val="28"/>
          <w:rtl w:val="true"/>
          <w:lang w:bidi="ar-SA"/>
        </w:rPr>
        <w:t>فمِن هاهنا أوجَبْنا ظهورَ أسبابِ الافتعالِ متىٰ كانَت صفةُ الخبرِ المفتعَلِ‌</w:t>
      </w:r>
      <w:r>
        <w:rPr>
          <w:rStyle w:val="FootnoteAnchor"/>
          <w:rtl w:val="true"/>
        </w:rPr>
        <w:footnoteReference w:id="4128"/>
      </w:r>
      <w:r>
        <w:rPr>
          <w:rFonts w:ascii="Amiri" w:hAnsi="Amiri" w:eastAsia="Amiri" w:cs="Amiri"/>
          <w:color w:val="111111"/>
          <w:sz w:val="28"/>
          <w:sz w:val="28"/>
          <w:szCs w:val="28"/>
          <w:rtl w:val="true"/>
          <w:lang w:bidi="ar-SA"/>
        </w:rPr>
        <w:t>علىٰ ما ذَكَرناه، و لَم نوجِبْ‌</w:t>
      </w:r>
      <w:r>
        <w:rPr>
          <w:rStyle w:val="FootnoteAnchor"/>
          <w:rtl w:val="true"/>
        </w:rPr>
        <w:footnoteReference w:id="4129"/>
      </w:r>
      <w:r>
        <w:rPr>
          <w:rFonts w:ascii="Amiri" w:hAnsi="Amiri" w:eastAsia="Amiri" w:cs="Amiri"/>
          <w:color w:val="111111"/>
          <w:sz w:val="28"/>
          <w:sz w:val="28"/>
          <w:szCs w:val="28"/>
          <w:rtl w:val="true"/>
          <w:lang w:bidi="ar-SA"/>
        </w:rPr>
        <w:t>ظهورَ أسبابِ الكِتمانِ‌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بمُنكَرٍ عندَنا أن يَحمِلَ الناسَ المَحبّةُ و العَصَبيّةُ علَى الافتعالِ‌، كما قد يَحمِلُهم</w:t>
      </w:r>
      <w:r>
        <w:rPr>
          <w:rStyle w:val="FootnoteAnchor"/>
          <w:rtl w:val="true"/>
        </w:rPr>
        <w:footnoteReference w:id="4130"/>
      </w:r>
      <w:r>
        <w:rPr>
          <w:rFonts w:ascii="Amiri" w:hAnsi="Amiri" w:eastAsia="Amiri" w:cs="Amiri"/>
          <w:color w:val="111111"/>
          <w:sz w:val="28"/>
          <w:sz w:val="28"/>
          <w:szCs w:val="28"/>
          <w:rtl w:val="true"/>
          <w:lang w:bidi="ar-SA"/>
        </w:rPr>
        <w:t>علَى الكِتمانِ الحَسَدُ و العَداوةُ‌، غيرَ أنّ الافتعالَ الذي تَدعو</w:t>
      </w:r>
      <w:r>
        <w:rPr>
          <w:rStyle w:val="FootnoteAnchor"/>
          <w:rtl w:val="true"/>
        </w:rPr>
        <w:footnoteReference w:id="4131"/>
      </w:r>
      <w:r>
        <w:rPr>
          <w:rFonts w:ascii="Amiri" w:hAnsi="Amiri" w:eastAsia="Amiri" w:cs="Amiri"/>
          <w:color w:val="111111"/>
          <w:sz w:val="28"/>
          <w:sz w:val="28"/>
          <w:szCs w:val="28"/>
          <w:rtl w:val="true"/>
          <w:lang w:bidi="ar-SA"/>
        </w:rPr>
        <w:t xml:space="preserve">إليه المَحبّةُ لا يَجوزُ أن يَكونَ متّفِقاً في الصورةِ </w:t>
      </w:r>
      <w:r>
        <w:rPr>
          <w:rStyle w:val="FootnoteAnchor"/>
          <w:rtl w:val="true"/>
        </w:rPr>
        <w:footnoteReference w:id="4132"/>
      </w:r>
      <w:r>
        <w:rPr>
          <w:rFonts w:ascii="Amiri" w:hAnsi="Amiri" w:eastAsia="Amiri" w:cs="Amiri"/>
          <w:color w:val="111111"/>
          <w:sz w:val="28"/>
          <w:sz w:val="28"/>
          <w:szCs w:val="28"/>
          <w:rtl w:val="true"/>
          <w:lang w:bidi="ar-SA"/>
        </w:rPr>
        <w:t xml:space="preserve">و المعنىٰ ؛ لأنّ ما دَعا إلىٰ معناه لا يَجوزُ أن يَكونَ </w:t>
      </w:r>
      <w:r>
        <w:rPr>
          <w:rStyle w:val="FootnoteAnchor"/>
          <w:rtl w:val="true"/>
        </w:rPr>
        <w:footnoteReference w:id="4133"/>
      </w:r>
    </w:p>
    <w:p>
      <w:pPr>
        <w:pStyle w:val="BookText"/>
        <w:rPr/>
      </w:pPr>
      <w:r>
        <w:rPr>
          <w:rFonts w:ascii="Amiri" w:hAnsi="Amiri" w:eastAsia="Amiri" w:cs="Amiri"/>
          <w:color w:val="111111"/>
          <w:sz w:val="28"/>
          <w:sz w:val="28"/>
          <w:szCs w:val="28"/>
          <w:rtl w:val="true"/>
          <w:lang w:bidi="ar-SA"/>
        </w:rPr>
        <w:t>داعياً إلىٰ إيرادِه علىٰ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w:t>
      </w:r>
      <w:r>
        <w:rPr>
          <w:rStyle w:val="FootnoteAnchor"/>
          <w:rtl w:val="true"/>
        </w:rPr>
        <w:footnoteReference w:id="4134"/>
      </w:r>
      <w:r>
        <w:rPr>
          <w:rFonts w:ascii="Amiri" w:hAnsi="Amiri" w:eastAsia="Amiri" w:cs="Amiri"/>
          <w:color w:val="111111"/>
          <w:sz w:val="28"/>
          <w:sz w:val="28"/>
          <w:szCs w:val="28"/>
          <w:rtl w:val="true"/>
          <w:lang w:bidi="ar-SA"/>
        </w:rPr>
        <w:t>أن يَقصِدَ جماعةٌ يوالونَ رجُلاً و يَجتمِعونَ علىٰ مَحبّتِه و التقرُّبِ إليه إلَى افتعالِ مَدحٍ فيه، غيرَ أنّا نَعلَمُ أنّ الذي جمَعَهم علَى المدحِ‌</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الافتعالِ لا يَكونُ جامعاً علىٰ نوعٍ مِن المَدحِ مخصوصٍ حتّىٰ يُطبِقوا بأَسرِهم</w:t>
      </w:r>
      <w:r>
        <w:rPr>
          <w:rStyle w:val="FootnoteAnchor"/>
          <w:rtl w:val="true"/>
        </w:rPr>
        <w:footnoteReference w:id="4135"/>
      </w:r>
      <w:r>
        <w:rPr>
          <w:rFonts w:ascii="Amiri" w:hAnsi="Amiri" w:eastAsia="Amiri" w:cs="Amiri"/>
          <w:color w:val="111111"/>
          <w:sz w:val="28"/>
          <w:sz w:val="28"/>
          <w:szCs w:val="28"/>
          <w:rtl w:val="true"/>
          <w:lang w:bidi="ar-SA"/>
        </w:rPr>
        <w:t>مِن غيرِ تَواطؤٍ علىٰ مَدحِه بعِلمِ الكلامِ‌، أو علىٰ وصفِه</w:t>
      </w:r>
      <w:r>
        <w:rPr>
          <w:rStyle w:val="FootnoteAnchor"/>
          <w:rtl w:val="true"/>
        </w:rPr>
        <w:footnoteReference w:id="4136"/>
      </w:r>
      <w:r>
        <w:rPr>
          <w:rFonts w:ascii="Amiri" w:hAnsi="Amiri" w:eastAsia="Amiri" w:cs="Amiri"/>
          <w:color w:val="111111"/>
          <w:sz w:val="28"/>
          <w:sz w:val="28"/>
          <w:szCs w:val="28"/>
          <w:rtl w:val="true"/>
          <w:lang w:bidi="ar-SA"/>
        </w:rPr>
        <w:t>باستخراجِ مَسائلِ الفَرائضِ‌؛ بل لا بُدَّ</w:t>
      </w:r>
      <w:r>
        <w:rPr>
          <w:rStyle w:val="FootnoteAnchor"/>
          <w:rtl w:val="true"/>
        </w:rPr>
        <w:footnoteReference w:id="4137"/>
      </w:r>
      <w:r>
        <w:rPr>
          <w:rFonts w:ascii="Amiri" w:hAnsi="Amiri" w:eastAsia="Amiri" w:cs="Amiri"/>
          <w:color w:val="111111"/>
          <w:sz w:val="28"/>
          <w:sz w:val="28"/>
          <w:szCs w:val="28"/>
          <w:rtl w:val="true"/>
          <w:lang w:bidi="ar-SA"/>
        </w:rPr>
        <w:t>أن يَتصرَّفوا في ضُروبِ المَدحِ و فُنونِها، فيورِدَ كُلُّ واحدٍ أو كُلُّ‌</w:t>
      </w:r>
      <w:r>
        <w:rPr>
          <w:rStyle w:val="FootnoteAnchor"/>
          <w:rtl w:val="true"/>
        </w:rPr>
        <w:footnoteReference w:id="4138"/>
      </w:r>
      <w:r>
        <w:rPr>
          <w:rFonts w:ascii="Amiri" w:hAnsi="Amiri" w:eastAsia="Amiri" w:cs="Amiri"/>
          <w:color w:val="111111"/>
          <w:sz w:val="28"/>
          <w:sz w:val="28"/>
          <w:szCs w:val="28"/>
          <w:rtl w:val="true"/>
          <w:lang w:bidi="ar-SA"/>
        </w:rPr>
        <w:t>نفَرٍ فَنّاً مِن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بجَماعتِهم يَعلَمون أنّه يُريدُ مِن المَدحِ و يُعجِبُه مِن ضُروبِه نوعاً مخصوصاً، جازَ أن يَجتمِعوا علىٰ مَدحِه بضَربٍ مخصوصٍ‌؛ لأنّ عِلمَهم بما ذَكَرناه يَجمَعُهم علَى الفَنِّ‌</w:t>
      </w:r>
      <w:r>
        <w:rPr>
          <w:rStyle w:val="FootnoteAnchor"/>
          <w:rtl w:val="true"/>
        </w:rPr>
        <w:footnoteReference w:id="4139"/>
      </w:r>
      <w:r>
        <w:rPr>
          <w:rFonts w:ascii="Amiri" w:hAnsi="Amiri" w:eastAsia="Amiri" w:cs="Amiri"/>
          <w:color w:val="111111"/>
          <w:sz w:val="28"/>
          <w:sz w:val="28"/>
          <w:szCs w:val="28"/>
          <w:rtl w:val="true"/>
          <w:lang w:bidi="ar-SA"/>
        </w:rPr>
        <w:t>الواحدِ، غيرَ أنّه لا يَجوزُ مع هذا العِلمِ أن تَتّفِقَ صورةُ ما يورِدونَه و تَتماثَلَ‌</w:t>
      </w:r>
      <w:r>
        <w:rPr>
          <w:rStyle w:val="FootnoteAnchor"/>
          <w:rtl w:val="true"/>
        </w:rPr>
        <w:footnoteReference w:id="4140"/>
      </w:r>
      <w:r>
        <w:rPr>
          <w:rFonts w:ascii="Amiri" w:hAnsi="Amiri" w:eastAsia="Amiri" w:cs="Amiri"/>
          <w:color w:val="111111"/>
          <w:sz w:val="28"/>
          <w:sz w:val="28"/>
          <w:szCs w:val="28"/>
          <w:rtl w:val="true"/>
          <w:lang w:bidi="ar-SA"/>
        </w:rPr>
        <w:t>لأنّا</w:t>
      </w:r>
      <w:r>
        <w:rPr>
          <w:rStyle w:val="FootnoteAnchor"/>
          <w:rtl w:val="true"/>
        </w:rPr>
        <w:footnoteReference w:id="4141"/>
      </w:r>
      <w:r>
        <w:rPr>
          <w:rFonts w:ascii="Amiri" w:hAnsi="Amiri" w:eastAsia="Amiri" w:cs="Amiri"/>
          <w:color w:val="111111"/>
          <w:sz w:val="28"/>
          <w:sz w:val="28"/>
          <w:szCs w:val="28"/>
          <w:rtl w:val="true"/>
          <w:lang w:bidi="ar-SA"/>
        </w:rPr>
        <w:t>إذا قَدَّرنا أنّ الذي افتَعَلوه له</w:t>
      </w:r>
      <w:r>
        <w:rPr>
          <w:rStyle w:val="FootnoteAnchor"/>
          <w:rtl w:val="true"/>
        </w:rPr>
        <w:footnoteReference w:id="4142"/>
      </w:r>
      <w:r>
        <w:rPr>
          <w:rFonts w:ascii="Amiri" w:hAnsi="Amiri" w:eastAsia="Amiri" w:cs="Amiri"/>
          <w:color w:val="111111"/>
          <w:sz w:val="28"/>
          <w:sz w:val="28"/>
          <w:szCs w:val="28"/>
          <w:rtl w:val="true"/>
          <w:lang w:bidi="ar-SA"/>
        </w:rPr>
        <w:t xml:space="preserve">و عَلِموا مَيلَه إليه مِن ضُروبِ المَدحِ هو العِلمُ بالكلامِ ، لَم يَجُز أن يَتخرَّصوا بأَسرِهم مِن غيرِ تَواطؤٍ أنّه ناظَرَ أحذَقَ المتكلِّمينَ </w:t>
      </w:r>
      <w:r>
        <w:rPr>
          <w:rStyle w:val="FootnoteAnchor"/>
          <w:rtl w:val="true"/>
        </w:rPr>
        <w:footnoteReference w:id="4143"/>
      </w:r>
      <w:r>
        <w:rPr>
          <w:rFonts w:ascii="Amiri" w:hAnsi="Amiri" w:eastAsia="Amiri" w:cs="Amiri"/>
          <w:color w:val="111111"/>
          <w:sz w:val="28"/>
          <w:sz w:val="28"/>
          <w:szCs w:val="28"/>
          <w:rtl w:val="true"/>
          <w:lang w:bidi="ar-SA"/>
        </w:rPr>
        <w:t xml:space="preserve">في مسألةٍ مِن الكلامِ مخصوصةٍ ، و يَحكوا ما دارَ بَينَهما بعبارةٍ مخصوصةٍ حتّىٰ يَنتَهوا إلىٰ مَوضعٍ مِن المسألةِ يَشهَدون علَى </w:t>
      </w:r>
    </w:p>
    <w:p>
      <w:pPr>
        <w:pStyle w:val="BookText"/>
        <w:rPr/>
      </w:pPr>
      <w:r>
        <w:rPr>
          <w:rFonts w:ascii="Amiri" w:hAnsi="Amiri" w:eastAsia="Amiri" w:cs="Amiri"/>
          <w:color w:val="111111"/>
          <w:sz w:val="28"/>
          <w:sz w:val="28"/>
          <w:szCs w:val="28"/>
          <w:rtl w:val="true"/>
          <w:lang w:bidi="ar-SA"/>
        </w:rPr>
        <w:t>المتكلِّمِ الحاذِقِ بالانقطاعِ فيه، و تَقَعَ‌</w:t>
      </w:r>
      <w:r>
        <w:rPr>
          <w:rStyle w:val="FootnoteAnchor"/>
          <w:rtl w:val="true"/>
        </w:rPr>
        <w:footnoteReference w:id="4144"/>
      </w:r>
      <w:r>
        <w:rPr>
          <w:rFonts w:ascii="Amiri" w:hAnsi="Amiri" w:eastAsia="Amiri" w:cs="Amiri"/>
          <w:color w:val="111111"/>
          <w:sz w:val="28"/>
          <w:sz w:val="28"/>
          <w:szCs w:val="28"/>
          <w:rtl w:val="true"/>
          <w:lang w:bidi="ar-SA"/>
        </w:rPr>
        <w:t>هذه الحكايةُ مِن الجميعِ علىٰ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كانوا يَعلَمون منه المَيلَ إلَى الوصفِ بالكَرَمِ‌، لَم يَجُز أن يَمدَحوه بقَصيدةٍ واحدةٍ متّفِقةِ الوزنِ و القافيةِ و المَعنىٰ‌، و يَصِفوه</w:t>
      </w:r>
      <w:r>
        <w:rPr>
          <w:rStyle w:val="FootnoteAnchor"/>
          <w:rtl w:val="true"/>
        </w:rPr>
        <w:footnoteReference w:id="4145"/>
      </w:r>
      <w:r>
        <w:rPr>
          <w:rFonts w:ascii="Amiri" w:hAnsi="Amiri" w:eastAsia="Amiri" w:cs="Amiri"/>
          <w:color w:val="111111"/>
          <w:sz w:val="28"/>
          <w:sz w:val="28"/>
          <w:szCs w:val="28"/>
          <w:rtl w:val="true"/>
          <w:lang w:bidi="ar-SA"/>
        </w:rPr>
        <w:t>فيها بإعطاءِ أموالٍ مخصوصةٍ لأقوامٍ بأعيانِهم؛ بل الجائزُ أن يَصِفَه كُلُّ واحدٍ بعِلمِ الكلام أو بالكَرَمِ علىٰ وجهٍ يخالِفُ الوجهَ‌</w:t>
      </w:r>
      <w:r>
        <w:rPr>
          <w:rStyle w:val="FootnoteAnchor"/>
          <w:rtl w:val="true"/>
        </w:rPr>
        <w:footnoteReference w:id="4146"/>
      </w:r>
      <w:r>
        <w:rPr>
          <w:rFonts w:ascii="Amiri" w:hAnsi="Amiri" w:eastAsia="Amiri" w:cs="Amiri"/>
          <w:color w:val="111111"/>
          <w:sz w:val="28"/>
          <w:sz w:val="28"/>
          <w:szCs w:val="28"/>
          <w:rtl w:val="true"/>
          <w:lang w:bidi="ar-SA"/>
        </w:rPr>
        <w:t>الذي يقَعُ عليه وصفُ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مِثلُ هذا في الكِتمانِ‌؛ فإنّ الجماعةَ الكَثيرةَ التي تُبغِضُ رجُلاً و تُعاديهِ يَجوزُ أن تَكتُمَ الفَضيلةَ الواحدةَ مِن فَضائلِه الواقعةِ علىٰ وجهٍ مخصوصٍ‌، و تَجمَعَ العَداوةُ علىٰ جَحدِها و الإعراضِ عن ذِكرِها، و لا يُحتاجُ فيما يَجمَعُ علىٰ كِتمانِ تلكَ الفَضيلةِ إلىٰ أكثَرَ مِن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الفَرقُ في هذه الجهةِ بَينَ الكِتمانِ و الافتعالِ‌، و لَم يَلزَمْنا إبطالُ طريقةِ الاستدلالِ علَى النصِّ‌؛ لأنّ الشيعةَ نقَلَته بألفاظٍ مخصوصةٍ و صِيَغٍ متّفِقةٍ‌، و أشارَت</w:t>
      </w:r>
      <w:r>
        <w:rPr>
          <w:rStyle w:val="FootnoteAnchor"/>
          <w:rtl w:val="true"/>
        </w:rPr>
        <w:footnoteReference w:id="4147"/>
      </w:r>
      <w:r>
        <w:rPr>
          <w:rFonts w:ascii="Amiri" w:hAnsi="Amiri" w:eastAsia="Amiri" w:cs="Amiri"/>
          <w:color w:val="111111"/>
          <w:sz w:val="28"/>
          <w:sz w:val="28"/>
          <w:szCs w:val="28"/>
          <w:rtl w:val="true"/>
          <w:lang w:bidi="ar-SA"/>
        </w:rPr>
        <w:t>إلىٰ أحوالٍ وقَعَ فيها معيَّنةٍ‌، فلَم يَجُز أن يَكونوا افتَعَلوه لِلمَيلِ و المَحبّةِ مِن غيرِ 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الشيعةُ نقَلَت معنَى النصِّ بألفاظٍ مختَلِفةٍ ، و علىٰ وجوهٍ متَبايِنةٍ ، لَساغَ الطَّعنُ الذي تَضمَّنه السؤالُ ، و احتاجَ مِن الجوابِ إلىٰ غيرِ ما تَقدَّمَ </w:t>
      </w:r>
      <w:r>
        <w:rPr>
          <w:rStyle w:val="FootnoteAnchor"/>
          <w:rtl w:val="true"/>
        </w:rPr>
        <w:footnoteReference w:id="414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الشيعةُ قد نقَلَت النصَّ الجليَّ بألفاظٍ مختَلِفةٍ؟ فتارةً </w:t>
      </w:r>
    </w:p>
    <w:p>
      <w:pPr>
        <w:pStyle w:val="BookText"/>
        <w:rPr/>
      </w:pP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عليكم مِن بَعدي</w:t>
      </w:r>
      <w:r>
        <w:rPr>
          <w:rFonts w:eastAsia="Amiri" w:cs="Amiri" w:ascii="Amiri" w:hAnsi="Amiri"/>
          <w:color w:val="111111"/>
          <w:sz w:val="28"/>
          <w:szCs w:val="28"/>
          <w:rtl w:val="true"/>
          <w:lang w:bidi="ar-SA"/>
        </w:rPr>
        <w:t>»</w:t>
      </w:r>
      <w:r>
        <w:rPr>
          <w:rStyle w:val="FootnoteAnchor"/>
          <w:rtl w:val="true"/>
        </w:rPr>
        <w:footnoteReference w:id="4149"/>
      </w:r>
      <w:r>
        <w:rPr>
          <w:rFonts w:ascii="Amiri" w:hAnsi="Amiri" w:eastAsia="Amiri" w:cs="Amiri"/>
          <w:color w:val="111111"/>
          <w:sz w:val="28"/>
          <w:sz w:val="28"/>
          <w:szCs w:val="28"/>
          <w:rtl w:val="true"/>
          <w:lang w:bidi="ar-SA"/>
        </w:rPr>
        <w:t>، و تارةً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w:t>
      </w:r>
      <w:r>
        <w:rPr>
          <w:rFonts w:eastAsia="Amiri" w:cs="Amiri" w:ascii="Amiri" w:hAnsi="Amiri"/>
          <w:color w:val="111111"/>
          <w:sz w:val="28"/>
          <w:szCs w:val="28"/>
          <w:rtl w:val="true"/>
          <w:lang w:bidi="ar-SA"/>
        </w:rPr>
        <w:t>»</w:t>
      </w:r>
      <w:r>
        <w:rPr>
          <w:rStyle w:val="FootnoteAnchor"/>
          <w:rtl w:val="true"/>
        </w:rPr>
        <w:footnoteReference w:id="4150"/>
      </w:r>
      <w:r>
        <w:rPr>
          <w:rFonts w:ascii="Amiri" w:hAnsi="Amiri" w:eastAsia="Amiri" w:cs="Amiri"/>
          <w:color w:val="111111"/>
          <w:sz w:val="28"/>
          <w:sz w:val="28"/>
          <w:szCs w:val="28"/>
          <w:rtl w:val="true"/>
          <w:lang w:bidi="ar-SA"/>
        </w:rPr>
        <w:t xml:space="preserve">، إلىٰ غيرِ هذه الألفاظِ، و هي كثيرةٌ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الألفاظَ و ما أشبَهَها مِن ألفاظِ النصِّ و إن اختلَفَت فالكُلُّ ناقلٌ‌</w:t>
      </w:r>
      <w:r>
        <w:rPr>
          <w:rStyle w:val="FootnoteAnchor"/>
          <w:rtl w:val="true"/>
        </w:rPr>
        <w:footnoteReference w:id="4151"/>
      </w:r>
      <w:r>
        <w:rPr>
          <w:rFonts w:ascii="Amiri" w:hAnsi="Amiri" w:eastAsia="Amiri" w:cs="Amiri"/>
          <w:color w:val="111111"/>
          <w:sz w:val="28"/>
          <w:sz w:val="28"/>
          <w:szCs w:val="28"/>
          <w:rtl w:val="true"/>
          <w:lang w:bidi="ar-SA"/>
        </w:rPr>
        <w:t>لها، و كُلُّ لفظٍ منها ينقُلُه جميعُ الشيعةِ أو الجماعةِ التي لا يَجوزُ عليها التواطؤُ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نُرِدْ بوقوعِ اللفظِ مختَلِفاً مِن الجماعةِ التي تَقصِدُ إلَى</w:t>
      </w:r>
      <w:r>
        <w:rPr>
          <w:rStyle w:val="FootnoteAnchor"/>
          <w:rtl w:val="true"/>
        </w:rPr>
        <w:footnoteReference w:id="4152"/>
      </w:r>
      <w:r>
        <w:rPr>
          <w:rFonts w:ascii="Amiri" w:hAnsi="Amiri" w:eastAsia="Amiri" w:cs="Amiri"/>
          <w:color w:val="111111"/>
          <w:sz w:val="28"/>
          <w:sz w:val="28"/>
          <w:szCs w:val="28"/>
          <w:rtl w:val="true"/>
          <w:lang w:bidi="ar-SA"/>
        </w:rPr>
        <w:t>الافتعالِ‌</w:t>
      </w:r>
      <w:r>
        <w:rPr>
          <w:rStyle w:val="FootnoteAnchor"/>
          <w:rtl w:val="true"/>
        </w:rPr>
        <w:footnoteReference w:id="4153"/>
      </w:r>
      <w:r>
        <w:rPr>
          <w:rFonts w:ascii="Amiri" w:hAnsi="Amiri" w:eastAsia="Amiri" w:cs="Amiri"/>
          <w:color w:val="111111"/>
          <w:sz w:val="28"/>
          <w:sz w:val="28"/>
          <w:szCs w:val="28"/>
          <w:rtl w:val="true"/>
          <w:lang w:bidi="ar-SA"/>
        </w:rPr>
        <w:t>هذا الوجهَ‌، و إنّما أرَدنا أنّ كُلَّ واحدٍ منهم إذا لَم يواطئْ صاحبَه لا بُدَّ</w:t>
      </w:r>
      <w:r>
        <w:rPr>
          <w:rStyle w:val="FootnoteAnchor"/>
          <w:rtl w:val="true"/>
        </w:rPr>
        <w:footnoteReference w:id="4154"/>
      </w:r>
      <w:r>
        <w:rPr>
          <w:rFonts w:ascii="Amiri" w:hAnsi="Amiri" w:eastAsia="Amiri" w:cs="Amiri"/>
          <w:color w:val="111111"/>
          <w:sz w:val="28"/>
          <w:sz w:val="28"/>
          <w:szCs w:val="28"/>
          <w:rtl w:val="true"/>
          <w:lang w:bidi="ar-SA"/>
        </w:rPr>
        <w:t>أن يورِدَ الخبرَ مخالِفاً لِما يورِدُه الآخَرُ عليه في لفظِه و جهتِه، حتّىٰ لا يَتّفِقَ منهم علَى اللفظِ المتشابِهِ‌</w:t>
      </w:r>
      <w:r>
        <w:rPr>
          <w:rStyle w:val="FootnoteAnchor"/>
          <w:rtl w:val="true"/>
        </w:rPr>
        <w:footnoteReference w:id="4155"/>
      </w:r>
      <w:r>
        <w:rPr>
          <w:rFonts w:ascii="Amiri" w:hAnsi="Amiri" w:eastAsia="Amiri" w:cs="Amiri"/>
          <w:color w:val="111111"/>
          <w:sz w:val="28"/>
          <w:sz w:val="28"/>
          <w:szCs w:val="28"/>
          <w:rtl w:val="true"/>
          <w:lang w:bidi="ar-SA"/>
        </w:rPr>
        <w:t xml:space="preserve">الصورةِ خَمسةُ أنفُسٍ‌، بَل رُبَّما لَم يَتَّفِقِ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هذه</w:t>
      </w:r>
      <w:r>
        <w:rPr>
          <w:rStyle w:val="FootnoteAnchor"/>
          <w:rtl w:val="true"/>
        </w:rPr>
        <w:footnoteReference w:id="4156"/>
      </w:r>
      <w:r>
        <w:rPr>
          <w:rFonts w:ascii="Amiri" w:hAnsi="Amiri" w:eastAsia="Amiri" w:cs="Amiri"/>
          <w:color w:val="111111"/>
          <w:sz w:val="28"/>
          <w:sz w:val="28"/>
          <w:szCs w:val="28"/>
          <w:rtl w:val="true"/>
          <w:lang w:bidi="ar-SA"/>
        </w:rPr>
        <w:t>حالَ المُخبِرين عن النصِّ ؛ لأنّا قد بيّنّا أنّ جميعَهم نقَلَ الألفاظَ المختَلِفةَ ، و اتّفَقوا مع كَثرتِهم علىٰ نقلِها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يُعلَمَ أنّ غرضَ المخالِفِ في إلزامِنا ظهورَ أسبابِ الكِتمانِ و معرفتَها </w:t>
      </w:r>
    </w:p>
    <w:p>
      <w:pPr>
        <w:pStyle w:val="BookText"/>
        <w:rPr/>
      </w:pPr>
      <w:r>
        <w:rPr>
          <w:rFonts w:ascii="Amiri" w:hAnsi="Amiri" w:eastAsia="Amiri" w:cs="Amiri"/>
          <w:color w:val="111111"/>
          <w:sz w:val="28"/>
          <w:sz w:val="28"/>
          <w:szCs w:val="28"/>
          <w:rtl w:val="true"/>
          <w:lang w:bidi="ar-SA"/>
        </w:rPr>
        <w:t>بعَينِها أن نَلتزِمَ ذلكَ‌، فيوجِبَ علينا أن تَكونَ‌</w:t>
      </w:r>
      <w:r>
        <w:rPr>
          <w:rStyle w:val="FootnoteAnchor"/>
          <w:rtl w:val="true"/>
        </w:rPr>
        <w:footnoteReference w:id="4157"/>
      </w:r>
      <w:r>
        <w:rPr>
          <w:rFonts w:ascii="Amiri" w:hAnsi="Amiri" w:eastAsia="Amiri" w:cs="Amiri"/>
          <w:color w:val="111111"/>
          <w:sz w:val="28"/>
          <w:sz w:val="28"/>
          <w:szCs w:val="28"/>
          <w:rtl w:val="true"/>
          <w:lang w:bidi="ar-SA"/>
        </w:rPr>
        <w:t xml:space="preserve">الأسبابُ الموجِبةُ لكِتمانِ النصِّ علىٰ أميرِ المؤمِنينَ عليه السلامُ ظاهرةً لكُلِّ أحَدٍ، علىٰ وجهٍ لا تدخُلُ </w:t>
      </w:r>
      <w:r>
        <w:rPr>
          <w:rStyle w:val="FootnoteAnchor"/>
          <w:rtl w:val="true"/>
        </w:rPr>
        <w:footnoteReference w:id="4158"/>
      </w:r>
      <w:r>
        <w:rPr>
          <w:rFonts w:ascii="Amiri" w:hAnsi="Amiri" w:eastAsia="Amiri" w:cs="Amiri"/>
          <w:color w:val="111111"/>
          <w:sz w:val="28"/>
          <w:sz w:val="28"/>
          <w:szCs w:val="28"/>
          <w:rtl w:val="true"/>
          <w:lang w:bidi="ar-SA"/>
        </w:rPr>
        <w:t xml:space="preserve">فيه الشُّبهةُ ، و يَتطرَّقَ </w:t>
      </w:r>
      <w:r>
        <w:rPr>
          <w:rStyle w:val="FootnoteAnchor"/>
          <w:rtl w:val="true"/>
        </w:rPr>
        <w:footnoteReference w:id="4159"/>
      </w:r>
      <w:r>
        <w:rPr>
          <w:rFonts w:ascii="Amiri" w:hAnsi="Amiri" w:eastAsia="Amiri" w:cs="Amiri"/>
          <w:color w:val="111111"/>
          <w:sz w:val="28"/>
          <w:sz w:val="28"/>
          <w:szCs w:val="28"/>
          <w:rtl w:val="true"/>
          <w:lang w:bidi="ar-SA"/>
        </w:rPr>
        <w:t>بانتفاءِ ظهورِها و وقوفِ الناسِ عليها إلىٰ نفيِ الكِتمانِ الذي نَدَّعيه</w:t>
      </w:r>
      <w:r>
        <w:rPr>
          <w:rStyle w:val="FootnoteAnchor"/>
          <w:rtl w:val="true"/>
        </w:rPr>
        <w:footnoteReference w:id="4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4161"/>
      </w:r>
      <w:r>
        <w:rPr>
          <w:rFonts w:ascii="Amiri" w:hAnsi="Amiri" w:eastAsia="Amiri" w:cs="Amiri"/>
          <w:color w:val="111111"/>
          <w:sz w:val="28"/>
          <w:sz w:val="28"/>
          <w:szCs w:val="28"/>
          <w:rtl w:val="true"/>
          <w:lang w:bidi="ar-SA"/>
        </w:rPr>
        <w:t xml:space="preserve">مضَى الكلامُ فيما يَجِبُ مِن ظهورِ أسبابِ الكِتمانِ و ما لا يَجِبُ </w:t>
      </w:r>
      <w:r>
        <w:rPr>
          <w:rFonts w:eastAsia="Amiri" w:cs="Amiri" w:ascii="Amiri" w:hAnsi="Amiri"/>
          <w:color w:val="111111"/>
          <w:sz w:val="28"/>
          <w:szCs w:val="28"/>
          <w:rtl w:val="true"/>
          <w:lang w:bidi="ar-SA"/>
        </w:rPr>
        <w:t>.</w:t>
      </w:r>
      <w:r>
        <w:rPr>
          <w:rStyle w:val="FootnoteAnchor"/>
          <w:rtl w:val="true"/>
        </w:rPr>
        <w:footnoteReference w:id="4162"/>
      </w:r>
    </w:p>
    <w:p>
      <w:pPr>
        <w:pStyle w:val="BookText"/>
        <w:rPr/>
      </w:pPr>
      <w:r>
        <w:rPr>
          <w:rFonts w:ascii="Amiri" w:hAnsi="Amiri" w:eastAsia="Amiri" w:cs="Amiri"/>
          <w:color w:val="111111"/>
          <w:sz w:val="28"/>
          <w:sz w:val="28"/>
          <w:szCs w:val="28"/>
          <w:rtl w:val="true"/>
          <w:lang w:bidi="ar-SA"/>
        </w:rPr>
        <w:t>و يُمكِنُ أن يُقالَ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بإلزامِكم ظهورَ أسبابِ الكِتمانِ؟</w:t>
      </w:r>
    </w:p>
    <w:p>
      <w:pPr>
        <w:pStyle w:val="BookText"/>
        <w:rPr/>
      </w:pPr>
      <w:r>
        <w:rPr>
          <w:rFonts w:ascii="Amiri" w:hAnsi="Amiri" w:eastAsia="Amiri" w:cs="Amiri"/>
          <w:color w:val="111111"/>
          <w:sz w:val="28"/>
          <w:sz w:val="28"/>
          <w:szCs w:val="28"/>
          <w:rtl w:val="true"/>
          <w:lang w:bidi="ar-SA"/>
        </w:rPr>
        <w:t>أ تُريدونَ أنّ ظهورَها واجبٌ علىٰ حَدٍّ لا يَصِحُّ دخولُ الشُّبهةِ معه علىٰ أحَدٍ؟</w:t>
      </w:r>
    </w:p>
    <w:p>
      <w:pPr>
        <w:pStyle w:val="BookText"/>
        <w:rPr/>
      </w:pPr>
      <w:r>
        <w:rPr>
          <w:rFonts w:ascii="Amiri" w:hAnsi="Amiri" w:eastAsia="Amiri" w:cs="Amiri"/>
          <w:color w:val="111111"/>
          <w:sz w:val="28"/>
          <w:sz w:val="28"/>
          <w:szCs w:val="28"/>
          <w:rtl w:val="true"/>
          <w:lang w:bidi="ar-SA"/>
        </w:rPr>
        <w:t>أم تُريدونَ أنّه لا بُدَّ أن يَقومَ عليها</w:t>
      </w:r>
      <w:r>
        <w:rPr>
          <w:rStyle w:val="FootnoteAnchor"/>
          <w:rtl w:val="true"/>
        </w:rPr>
        <w:footnoteReference w:id="4163"/>
      </w:r>
      <w:r>
        <w:rPr>
          <w:rFonts w:ascii="Amiri" w:hAnsi="Amiri" w:eastAsia="Amiri" w:cs="Amiri"/>
          <w:color w:val="111111"/>
          <w:sz w:val="28"/>
          <w:sz w:val="28"/>
          <w:szCs w:val="28"/>
          <w:rtl w:val="true"/>
          <w:lang w:bidi="ar-SA"/>
        </w:rPr>
        <w:t>دليلٌ مِن الأدلّةِ و تُعرَفَ‌</w:t>
      </w:r>
      <w:r>
        <w:rPr>
          <w:rStyle w:val="FootnoteAnchor"/>
          <w:rtl w:val="true"/>
        </w:rPr>
        <w:footnoteReference w:id="4164"/>
      </w:r>
      <w:r>
        <w:rPr>
          <w:rFonts w:ascii="Amiri" w:hAnsi="Amiri" w:eastAsia="Amiri" w:cs="Amiri"/>
          <w:color w:val="111111"/>
          <w:sz w:val="28"/>
          <w:sz w:val="28"/>
          <w:szCs w:val="28"/>
          <w:rtl w:val="true"/>
          <w:lang w:bidi="ar-SA"/>
        </w:rPr>
        <w:t>مِن وجهٍ مِن الوجوهِ و إن صَحَّ أن يَشتبِهَ الأمرُ فيها علىٰ مَن لَم يُنعِمِ النظَرَ؟</w:t>
      </w:r>
    </w:p>
    <w:p>
      <w:pPr>
        <w:pStyle w:val="BookText"/>
        <w:rPr/>
      </w:pPr>
      <w:r>
        <w:rPr>
          <w:rFonts w:ascii="Amiri" w:hAnsi="Amiri" w:eastAsia="Amiri" w:cs="Amiri"/>
          <w:color w:val="111111"/>
          <w:sz w:val="28"/>
          <w:sz w:val="28"/>
          <w:szCs w:val="28"/>
          <w:rtl w:val="true"/>
          <w:lang w:bidi="ar-SA"/>
        </w:rPr>
        <w:t>فإن أرَدتُم الأوّلَ‌، فقَد بيّنّا أنّه غيرُ واجبٍ في العادةِ‌، و ضَرَبنا له الأمثالَ‌</w:t>
      </w:r>
      <w:r>
        <w:rPr>
          <w:rFonts w:eastAsia="Amiri" w:cs="Amiri" w:ascii="Amiri" w:hAnsi="Amiri"/>
          <w:color w:val="111111"/>
          <w:sz w:val="28"/>
          <w:szCs w:val="28"/>
          <w:rtl w:val="true"/>
          <w:lang w:bidi="ar-SA"/>
        </w:rPr>
        <w:t>.</w:t>
      </w:r>
      <w:r>
        <w:rPr>
          <w:rStyle w:val="FootnoteAnchor"/>
          <w:rtl w:val="true"/>
        </w:rPr>
        <w:footnoteReference w:id="416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أرَدتُم الثانيَ ، فهو غيرُ مُنكَرٍ؛ و قد دَلَّ الدليلُ عندَنا علَى الأسبابِ المقتَضيةِ لكِتمانِ النصِّ ، و عرَفَت الشيعةُ مِن حالِ النفَرِ</w:t>
      </w:r>
      <w:r>
        <w:rPr>
          <w:rStyle w:val="FootnoteAnchor"/>
          <w:rtl w:val="true"/>
        </w:rPr>
        <w:footnoteReference w:id="4166"/>
      </w:r>
      <w:r>
        <w:rPr>
          <w:rFonts w:ascii="Amiri" w:hAnsi="Amiri" w:eastAsia="Amiri" w:cs="Amiri"/>
          <w:color w:val="111111"/>
          <w:sz w:val="28"/>
          <w:sz w:val="28"/>
          <w:szCs w:val="28"/>
          <w:rtl w:val="true"/>
          <w:lang w:bidi="ar-SA"/>
        </w:rPr>
        <w:t>الذينَ تَواطَؤوا علىٰ إزالةِ الأمرِ عن مستَحِقِّه، و رَوَوا خبَرَ الصحيفةِ المكتوبةِ بَينَهم</w:t>
      </w:r>
      <w:r>
        <w:rPr>
          <w:rStyle w:val="FootnoteAnchor"/>
          <w:rtl w:val="true"/>
        </w:rPr>
        <w:footnoteReference w:id="4167"/>
      </w:r>
      <w:r>
        <w:rPr>
          <w:rFonts w:ascii="Amiri" w:hAnsi="Amiri" w:eastAsia="Amiri" w:cs="Amiri"/>
          <w:color w:val="111111"/>
          <w:sz w:val="28"/>
          <w:sz w:val="28"/>
          <w:szCs w:val="28"/>
          <w:rtl w:val="true"/>
          <w:lang w:bidi="ar-SA"/>
        </w:rPr>
        <w:t xml:space="preserve">، و مَيَّزوا بَينَ مَن دفَعَ النصَّ للحَسَدِ و العَداوةِ ، و بَينَ مَن دفَعَه للشُّبهةِ و حُسنِ الظنِّ بدافِعيهِ </w:t>
      </w:r>
      <w:r>
        <w:rPr>
          <w:rStyle w:val="FootnoteAnchor"/>
          <w:rtl w:val="true"/>
        </w:rPr>
        <w:footnoteReference w:id="4168"/>
      </w:r>
      <w:r>
        <w:rPr>
          <w:rFonts w:ascii="Amiri" w:hAnsi="Amiri" w:eastAsia="Amiri" w:cs="Amiri"/>
          <w:color w:val="111111"/>
          <w:sz w:val="28"/>
          <w:sz w:val="28"/>
          <w:szCs w:val="28"/>
          <w:rtl w:val="true"/>
          <w:lang w:bidi="ar-SA"/>
        </w:rPr>
        <w:t xml:space="preserve">، حتّىٰ إنّهم </w:t>
      </w:r>
    </w:p>
    <w:p>
      <w:pPr>
        <w:pStyle w:val="BookText"/>
        <w:rPr/>
      </w:pPr>
      <w:r>
        <w:rPr>
          <w:rFonts w:ascii="Amiri" w:hAnsi="Amiri" w:eastAsia="Amiri" w:cs="Amiri"/>
          <w:color w:val="111111"/>
          <w:sz w:val="28"/>
          <w:sz w:val="28"/>
          <w:szCs w:val="28"/>
          <w:rtl w:val="true"/>
          <w:lang w:bidi="ar-SA"/>
        </w:rPr>
        <w:t>يُشيرونَ إلىٰ كُلِّ واحدٍ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مشهورٌ مِن اعتقادِهم و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إلّاأن يُطالَبوا بالدَّلالةِ عليه، فيَدُلّوا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عُرِفَت إذَن الأسبابُ في كِتمانِ النصِّ و دَلَّ الدَّليلُ عليها، و إن لَم يَجِبْ أن يَعلَمَها كُلُّ واحدٍ، و تَنتَفيَ </w:t>
      </w:r>
      <w:r>
        <w:rPr>
          <w:rStyle w:val="FootnoteAnchor"/>
          <w:rtl w:val="true"/>
        </w:rPr>
        <w:footnoteReference w:id="4169"/>
      </w:r>
      <w:r>
        <w:rPr>
          <w:rFonts w:ascii="Amiri" w:hAnsi="Amiri" w:eastAsia="Amiri" w:cs="Amiri"/>
          <w:color w:val="111111"/>
          <w:sz w:val="28"/>
          <w:sz w:val="28"/>
          <w:szCs w:val="28"/>
          <w:rtl w:val="true"/>
          <w:lang w:bidi="ar-SA"/>
        </w:rPr>
        <w:t>الشُّبهةُ فيها عن كُلِّ ناظرٍ، كما يَجِبُ ذلكَ فيما ظهَرَت أسبابُه ممّا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الفصلِ الذي كلامُنا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قد نصَبَه لهم لَما جازَ أن يَتَكاتَموا أمرَه مِن غيرِ 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أشارَ بالتكاتُمِ إلىٰ جميعِ الأُمّةِ الذين قد</w:t>
      </w:r>
      <w:r>
        <w:rPr>
          <w:rStyle w:val="FootnoteAnchor"/>
          <w:rtl w:val="true"/>
        </w:rPr>
        <w:footnoteReference w:id="4170"/>
      </w:r>
      <w:r>
        <w:rPr>
          <w:rFonts w:ascii="Amiri" w:hAnsi="Amiri" w:eastAsia="Amiri" w:cs="Amiri"/>
          <w:color w:val="111111"/>
          <w:sz w:val="28"/>
          <w:sz w:val="28"/>
          <w:szCs w:val="28"/>
          <w:rtl w:val="true"/>
          <w:lang w:bidi="ar-SA"/>
        </w:rPr>
        <w:t>نُصِبَ لهم، فذلك ممّا لَم يَقَعْ فيُحتاجَ إلىٰ تعليلِه و هل كانَ لتَواطؤٍ أو لغَيرِه</w:t>
      </w:r>
      <w:r>
        <w:rPr>
          <w:rStyle w:val="FootnoteAnchor"/>
          <w:rtl w:val="true"/>
        </w:rPr>
        <w:footnoteReference w:id="4171"/>
      </w:r>
      <w:r>
        <w:rPr>
          <w:rFonts w:ascii="Amiri" w:hAnsi="Amiri" w:eastAsia="Amiri" w:cs="Amiri"/>
          <w:color w:val="111111"/>
          <w:sz w:val="28"/>
          <w:sz w:val="28"/>
          <w:szCs w:val="28"/>
          <w:rtl w:val="true"/>
          <w:lang w:bidi="ar-SA"/>
        </w:rPr>
        <w:t>لأنّا قد بيّنّا أنّه كما كَتَمَ فَريقٌ فقد</w:t>
      </w:r>
      <w:r>
        <w:rPr>
          <w:rStyle w:val="FootnoteAnchor"/>
          <w:rtl w:val="true"/>
        </w:rPr>
        <w:footnoteReference w:id="4172"/>
      </w:r>
      <w:r>
        <w:rPr>
          <w:rFonts w:ascii="Amiri" w:hAnsi="Amiri" w:eastAsia="Amiri" w:cs="Amiri"/>
          <w:color w:val="111111"/>
          <w:sz w:val="28"/>
          <w:sz w:val="28"/>
          <w:szCs w:val="28"/>
          <w:rtl w:val="true"/>
          <w:lang w:bidi="ar-SA"/>
        </w:rPr>
        <w:t xml:space="preserve">نقَلَ فَريقٌ ، و إن لَم يُساوُوهم في الكَثرةِ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أن يكتُمَه مَن وقَعَ الكِتمانُ منه مِن جُملةِ الأُمّةِ لغَيرِ</w:t>
      </w:r>
      <w:r>
        <w:rPr>
          <w:rStyle w:val="FootnoteAnchor"/>
          <w:rtl w:val="true"/>
        </w:rPr>
        <w:footnoteReference w:id="4173"/>
      </w:r>
      <w:r>
        <w:rPr>
          <w:rFonts w:ascii="IRNazanin" w:hAnsi="IRNazanin" w:eastAsia="IRNazanin"/>
          <w:color w:val="111111"/>
          <w:sz w:val="28"/>
          <w:sz w:val="28"/>
          <w:szCs w:val="28"/>
          <w:rtl w:val="true"/>
          <w:lang w:bidi="fa-IR"/>
        </w:rPr>
        <w:t>تواطؤٍ، فهذا</w:t>
      </w:r>
      <w:r>
        <w:rPr>
          <w:rStyle w:val="FootnoteAnchor"/>
          <w:rtl w:val="true"/>
        </w:rPr>
        <w:footnoteReference w:id="4174"/>
      </w:r>
      <w:r>
        <w:rPr>
          <w:rFonts w:ascii="Amiri" w:hAnsi="Amiri" w:eastAsia="Amiri" w:cs="Amiri"/>
          <w:color w:val="111111"/>
          <w:sz w:val="28"/>
          <w:sz w:val="28"/>
          <w:szCs w:val="28"/>
          <w:rtl w:val="true"/>
          <w:lang w:bidi="ar-SA"/>
        </w:rPr>
        <w:t xml:space="preserve">أيضاً باطلٌ ؛ لأنّا قد دَلَّلنا علىٰ أنّ الكِتمانَ قد يقَعُ مِن الجماعةِ لغَيرِ تَواطؤٍ، و ذَكَرنا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جُملتِها العَداوةُ و الحَسَدُ و اعتقادُ الضرَرِ في الدِّينِ أو الدُّنيا، و الشُّبهةُ </w:t>
      </w:r>
      <w:r>
        <w:rPr>
          <w:rStyle w:val="FootnoteAnchor"/>
          <w:rtl w:val="true"/>
        </w:rPr>
        <w:footnoteReference w:id="4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ضَرَبنا أمثالاً تَشهَدُ بصحّتِها العادةُ </w:t>
      </w:r>
      <w:r>
        <w:rPr>
          <w:rFonts w:eastAsia="Amiri" w:cs="Amiri" w:ascii="Amiri" w:hAnsi="Amiri"/>
          <w:color w:val="111111"/>
          <w:sz w:val="28"/>
          <w:szCs w:val="28"/>
          <w:rtl w:val="true"/>
          <w:lang w:bidi="ar-SA"/>
        </w:rPr>
        <w:t>.</w:t>
      </w:r>
      <w:r>
        <w:rPr>
          <w:rStyle w:val="FootnoteAnchor"/>
          <w:rtl w:val="true"/>
        </w:rPr>
        <w:footnoteReference w:id="4176"/>
      </w:r>
    </w:p>
    <w:p>
      <w:pPr>
        <w:pStyle w:val="BookText"/>
        <w:rPr/>
      </w:pPr>
      <w:r>
        <w:rPr>
          <w:rFonts w:ascii="Amiri" w:hAnsi="Amiri" w:eastAsia="Amiri" w:cs="Amiri"/>
          <w:color w:val="111111"/>
          <w:sz w:val="28"/>
          <w:sz w:val="28"/>
          <w:szCs w:val="28"/>
          <w:rtl w:val="true"/>
          <w:lang w:bidi="ar-SA"/>
        </w:rPr>
        <w:t>و مضىٰ أيضاً</w:t>
      </w:r>
      <w:r>
        <w:rPr>
          <w:rStyle w:val="FootnoteAnchor"/>
          <w:rtl w:val="true"/>
        </w:rPr>
        <w:footnoteReference w:id="4177"/>
      </w:r>
      <w:r>
        <w:rPr>
          <w:rFonts w:ascii="Amiri" w:hAnsi="Amiri" w:eastAsia="Amiri" w:cs="Amiri"/>
          <w:color w:val="111111"/>
          <w:sz w:val="28"/>
          <w:sz w:val="28"/>
          <w:szCs w:val="28"/>
          <w:rtl w:val="true"/>
          <w:lang w:bidi="ar-SA"/>
        </w:rPr>
        <w:t>فيما سلَفَ مِن كلامِنا أنّه غيرُ ممتنِعٍ أن يَكونَ التواطؤُ في كِتمانِ النصِّ وقَعَ مِن جماعةٍ قليلةٍ‌</w:t>
      </w:r>
      <w:r>
        <w:rPr>
          <w:rStyle w:val="FootnoteAnchor"/>
          <w:rtl w:val="true"/>
        </w:rPr>
        <w:footnoteReference w:id="4178"/>
      </w:r>
      <w:r>
        <w:rPr>
          <w:rFonts w:ascii="Amiri" w:hAnsi="Amiri" w:eastAsia="Amiri" w:cs="Amiri"/>
          <w:color w:val="111111"/>
          <w:sz w:val="28"/>
          <w:sz w:val="28"/>
          <w:szCs w:val="28"/>
          <w:rtl w:val="true"/>
          <w:lang w:bidi="ar-SA"/>
        </w:rPr>
        <w:t>، و اتّبَعها الباقونَ لدَواعٍ مختَلِفةٍ‌؛ مِنها حُسنُ الظنِّ‌</w:t>
      </w:r>
    </w:p>
    <w:p>
      <w:pPr>
        <w:pStyle w:val="BookText"/>
        <w:rPr/>
      </w:pPr>
      <w:r>
        <w:rPr>
          <w:rFonts w:ascii="Amiri" w:hAnsi="Amiri" w:eastAsia="Amiri" w:cs="Amiri"/>
          <w:color w:val="111111"/>
          <w:sz w:val="28"/>
          <w:sz w:val="28"/>
          <w:szCs w:val="28"/>
          <w:rtl w:val="true"/>
          <w:lang w:bidi="ar-SA"/>
        </w:rPr>
        <w:t xml:space="preserve">و دخولُ الشُّبهةِ ، و منها كَراهةُ إمرةِ المنصوصِ عليه، و إن كانَت أسبابُ الكَراهيةِ </w:t>
      </w:r>
      <w:r>
        <w:rPr>
          <w:rStyle w:val="FootnoteAnchor"/>
          <w:rtl w:val="true"/>
        </w:rPr>
        <w:footnoteReference w:id="4179"/>
      </w:r>
      <w:r>
        <w:rPr>
          <w:rFonts w:ascii="Amiri" w:hAnsi="Amiri" w:eastAsia="Amiri" w:cs="Amiri"/>
          <w:color w:val="111111"/>
          <w:sz w:val="28"/>
          <w:sz w:val="28"/>
          <w:szCs w:val="28"/>
          <w:rtl w:val="true"/>
          <w:lang w:bidi="ar-SA"/>
        </w:rPr>
        <w:t>أيضاً مختلِفةً فيهم</w:t>
      </w:r>
      <w:r>
        <w:rPr>
          <w:rStyle w:val="FootnoteAnchor"/>
          <w:rtl w:val="true"/>
        </w:rPr>
        <w:footnoteReference w:id="4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يُبطِلُ ما ظَنَّه</w:t>
      </w:r>
      <w:r>
        <w:rPr>
          <w:rStyle w:val="FootnoteAnchor"/>
          <w:rtl w:val="true"/>
        </w:rPr>
        <w:footnoteReference w:id="4181"/>
      </w:r>
      <w:r>
        <w:rPr>
          <w:rFonts w:ascii="Amiri" w:hAnsi="Amiri" w:eastAsia="Amiri" w:cs="Amiri"/>
          <w:color w:val="111111"/>
          <w:sz w:val="28"/>
          <w:sz w:val="28"/>
          <w:szCs w:val="28"/>
          <w:rtl w:val="true"/>
          <w:lang w:bidi="ar-SA"/>
        </w:rPr>
        <w:t xml:space="preserve">مِن أنّ </w:t>
      </w:r>
      <w:r>
        <w:rPr>
          <w:rStyle w:val="FootnoteAnchor"/>
          <w:rtl w:val="true"/>
        </w:rPr>
        <w:footnoteReference w:id="4182"/>
      </w:r>
      <w:r>
        <w:rPr>
          <w:rFonts w:ascii="Amiri" w:hAnsi="Amiri" w:eastAsia="Amiri" w:cs="Amiri"/>
          <w:color w:val="111111"/>
          <w:sz w:val="28"/>
          <w:sz w:val="28"/>
          <w:szCs w:val="28"/>
          <w:rtl w:val="true"/>
          <w:lang w:bidi="ar-SA"/>
        </w:rPr>
        <w:t>التواطؤَ في الكُلِّ أنّه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418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يُخبِرونَ بالكَثيرِ ممّا هو</w:t>
      </w:r>
      <w:r>
        <w:rPr>
          <w:rStyle w:val="FootnoteAnchor"/>
          <w:rtl w:val="true"/>
        </w:rPr>
        <w:footnoteReference w:id="4184"/>
      </w:r>
      <w:r>
        <w:rPr>
          <w:rFonts w:ascii="Amiri" w:hAnsi="Amiri" w:eastAsia="Amiri" w:cs="Amiri"/>
          <w:color w:val="111111"/>
          <w:sz w:val="28"/>
          <w:sz w:val="28"/>
          <w:szCs w:val="28"/>
          <w:rtl w:val="true"/>
          <w:lang w:bidi="ar-SA"/>
        </w:rPr>
        <w:t xml:space="preserve">دونَ ذلك في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أنّهم لَم يُخبِروا بشيءٍ ممّا أشارَ إليه لظهورِه في أصلِه أو لمَكانِ الحاجةِ في الدِّينِ إليه؛ بَل لأنّه لَم يَدعُهم داعٍ إلىٰ كِتمانِه</w:t>
      </w:r>
      <w:r>
        <w:rPr>
          <w:rStyle w:val="FootnoteAnchor"/>
          <w:rtl w:val="true"/>
        </w:rPr>
        <w:footnoteReference w:id="4185"/>
      </w:r>
      <w:r>
        <w:rPr>
          <w:rFonts w:ascii="Amiri" w:hAnsi="Amiri" w:eastAsia="Amiri" w:cs="Amiri"/>
          <w:color w:val="111111"/>
          <w:sz w:val="28"/>
          <w:sz w:val="28"/>
          <w:szCs w:val="28"/>
          <w:rtl w:val="true"/>
          <w:lang w:bidi="ar-SA"/>
        </w:rPr>
        <w:t xml:space="preserve">، و لَم يَعتقِدوا أنّ نقلَه يَعقُبُهم ضَرَراً و لا يَحرِمُهم رئاسةً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تَواطَؤوا علىٰ ذلكَ مع أنّهم جماعةٌ عظيمةٌ لَم يَخفَ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لَيسَ بطاعِنٍ علىٰ‌</w:t>
      </w:r>
      <w:r>
        <w:rPr>
          <w:rStyle w:val="FootnoteAnchor"/>
          <w:rtl w:val="true"/>
        </w:rPr>
        <w:footnoteReference w:id="4186"/>
      </w:r>
      <w:r>
        <w:rPr>
          <w:rFonts w:ascii="Amiri" w:hAnsi="Amiri" w:eastAsia="Amiri" w:cs="Amiri"/>
          <w:color w:val="111111"/>
          <w:sz w:val="28"/>
          <w:sz w:val="28"/>
          <w:szCs w:val="28"/>
          <w:rtl w:val="true"/>
          <w:lang w:bidi="ar-SA"/>
        </w:rPr>
        <w:t xml:space="preserve">طريقتِنا؛ لأنّا لَم نَذهَبْ إلىٰ أنّ الجميعَ تَواطَؤوا علَى الكِتمانِ ، بَل خَصَّصنا بالتواطؤِ نفَراً منهم، و لا شُبهةَ في أنّه لا يَجِبُ مِن ظهورِ تَواطؤِ النفَرِ ما يَجِبُ مِن ظهورِ تَواطؤِ الجماعةِ العظيمةِ ؛ و 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تَواطَؤوا مع أنّهم جماعةٌ عظيمةٌ لَوَجَبَ كَذا</w:t>
      </w:r>
      <w:r>
        <w:rPr>
          <w:rFonts w:eastAsia="Amiri" w:cs="Amiri" w:ascii="Amiri" w:hAnsi="Amiri"/>
          <w:color w:val="111111"/>
          <w:sz w:val="28"/>
          <w:szCs w:val="28"/>
          <w:rtl w:val="true"/>
          <w:lang w:bidi="ar-SA"/>
        </w:rPr>
        <w:t xml:space="preserve">». </w:t>
      </w:r>
      <w:bookmarkStart w:id="658" w:name="pg20015_285221"/>
    </w:p>
    <w:p>
      <w:pPr>
        <w:pStyle w:val="BookText"/>
        <w:rPr/>
      </w:pPr>
      <w:bookmarkEnd w:id="658"/>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تَدَّعيهِ لَو صَحَّ لَما كانَت الحُجّةُ قائمةً عليه</w:t>
      </w:r>
      <w:r>
        <w:rPr>
          <w:rStyle w:val="FootnoteAnchor"/>
          <w:rtl w:val="true"/>
        </w:rPr>
        <w:footnoteReference w:id="4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بُطلانُه، و بيّنّا أنّ الحُجّةَ قائمةٌ مع ثُبوتِ قولِنا و صحّتِه علىٰ جميعِ مخالِفينا في النصِّ </w:t>
      </w:r>
      <w:r>
        <w:rPr>
          <w:rStyle w:val="FootnoteAnchor"/>
          <w:rtl w:val="true"/>
        </w:rPr>
        <w:footnoteReference w:id="4188"/>
      </w:r>
      <w:r>
        <w:rPr>
          <w:rFonts w:ascii="Amiri" w:hAnsi="Amiri" w:eastAsia="Amiri" w:cs="Amiri"/>
          <w:color w:val="111111"/>
          <w:sz w:val="28"/>
          <w:sz w:val="28"/>
          <w:szCs w:val="28"/>
          <w:rtl w:val="true"/>
          <w:lang w:bidi="ar-SA"/>
        </w:rPr>
        <w:t xml:space="preserve">مِن حَيثُ كانَ لهم مع وقوعِ الكِتمانِ ممّن آثَرَه سَبيلٌ </w:t>
      </w:r>
      <w:r>
        <w:rPr>
          <w:rStyle w:val="FootnoteAnchor"/>
          <w:rtl w:val="true"/>
        </w:rPr>
        <w:footnoteReference w:id="4189"/>
      </w:r>
      <w:r>
        <w:rPr>
          <w:rFonts w:ascii="Amiri" w:hAnsi="Amiri" w:eastAsia="Amiri" w:cs="Amiri"/>
          <w:color w:val="111111"/>
          <w:sz w:val="28"/>
          <w:sz w:val="28"/>
          <w:szCs w:val="28"/>
          <w:rtl w:val="true"/>
          <w:lang w:bidi="ar-SA"/>
        </w:rPr>
        <w:t xml:space="preserve">إلىٰ إصابةِ الحَقِّ </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95185_2320776876"/>
      <w:bookmarkStart w:id="660" w:name="_Toc234"/>
      <w:bookmarkEnd w:id="659"/>
      <w:r>
        <w:rPr>
          <w:rtl w:val="true"/>
        </w:rPr>
        <w:t>بيان الفرق بين كتمان الفرائض و الشرائع و كتمان النصّ</w:t>
      </w:r>
      <w:bookmarkEnd w:id="660"/>
    </w:p>
    <w:p>
      <w:pPr>
        <w:pStyle w:val="BookText"/>
        <w:rPr/>
      </w:pPr>
      <w:r>
        <w:rPr>
          <w:rFonts w:ascii="Amiri" w:hAnsi="Amiri" w:eastAsia="Amiri" w:cs="Amiri"/>
          <w:color w:val="111111"/>
          <w:sz w:val="28"/>
          <w:sz w:val="28"/>
          <w:szCs w:val="28"/>
          <w:rtl w:val="true"/>
          <w:lang w:bidi="ar-SA"/>
        </w:rPr>
        <w:t>قالَ صاحبُ الكتابِ‌ حاكياً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4190"/>
      </w:r>
      <w:r>
        <w:rPr>
          <w:rFonts w:ascii="Amiri" w:hAnsi="Amiri" w:eastAsia="Amiri" w:cs="Amiri"/>
          <w:color w:val="111111"/>
          <w:sz w:val="28"/>
          <w:sz w:val="28"/>
          <w:szCs w:val="28"/>
          <w:rtl w:val="true"/>
          <w:lang w:bidi="ar-SA"/>
        </w:rPr>
        <w:t>أنّ إقامةَ الإمامةِ عندَهم مِن أعظَمِ الشرائعِ‌، و ممّا لا تَصِحُّ‌</w:t>
      </w:r>
      <w:r>
        <w:rPr>
          <w:rStyle w:val="FootnoteAnchor"/>
          <w:rtl w:val="true"/>
        </w:rPr>
        <w:footnoteReference w:id="4191"/>
      </w:r>
      <w:r>
        <w:rPr>
          <w:rFonts w:ascii="Amiri" w:hAnsi="Amiri" w:eastAsia="Amiri" w:cs="Amiri"/>
          <w:color w:val="111111"/>
          <w:sz w:val="28"/>
          <w:sz w:val="28"/>
          <w:szCs w:val="28"/>
          <w:rtl w:val="true"/>
          <w:lang w:bidi="ar-SA"/>
        </w:rPr>
        <w:t xml:space="preserve">الشريعةُ إلّامعه؛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تَحِحُّ الشرائعُ‌</w:t>
      </w:r>
      <w:r>
        <w:rPr>
          <w:rStyle w:val="FootnoteAnchor"/>
          <w:rtl w:val="true"/>
        </w:rPr>
        <w:footnoteReference w:id="4192"/>
      </w:r>
      <w:r>
        <w:rPr>
          <w:rFonts w:ascii="Amiri" w:hAnsi="Amiri" w:eastAsia="Amiri" w:cs="Amiri"/>
          <w:color w:val="111111"/>
          <w:sz w:val="28"/>
          <w:sz w:val="28"/>
          <w:szCs w:val="28"/>
          <w:rtl w:val="true"/>
          <w:lang w:bidi="ar-SA"/>
        </w:rPr>
        <w:t>مِن حَجٍّ و صلاةٍ‌، و أنّه يَقومُ بحِفظِ الدِّينِ علىٰ ما يَقولونَ‌؛ فلَو جازَ أن يَكتُموا</w:t>
      </w:r>
    </w:p>
    <w:p>
      <w:pPr>
        <w:pStyle w:val="BookText"/>
        <w:rPr/>
      </w:pPr>
      <w:r>
        <w:rPr>
          <w:rFonts w:ascii="Amiri" w:hAnsi="Amiri" w:eastAsia="Amiri" w:cs="Amiri"/>
          <w:color w:val="111111"/>
          <w:sz w:val="28"/>
          <w:sz w:val="28"/>
          <w:szCs w:val="28"/>
          <w:rtl w:val="true"/>
          <w:lang w:bidi="ar-SA"/>
        </w:rPr>
        <w:t>أمرَه مع أنّ النصَّ الذي وقَعَ طريقُه</w:t>
      </w:r>
      <w:r>
        <w:rPr>
          <w:rStyle w:val="FootnoteAnchor"/>
          <w:rtl w:val="true"/>
        </w:rPr>
        <w:footnoteReference w:id="4193"/>
      </w:r>
      <w:r>
        <w:rPr>
          <w:rFonts w:ascii="Amiri" w:hAnsi="Amiri" w:eastAsia="Amiri" w:cs="Amiri"/>
          <w:color w:val="111111"/>
          <w:sz w:val="28"/>
          <w:sz w:val="28"/>
          <w:szCs w:val="28"/>
          <w:rtl w:val="true"/>
          <w:lang w:bidi="ar-SA"/>
        </w:rPr>
        <w:t>الاضطرارُ، لَجازَ أن ينُصَّ عليه السلامُ علىٰ صلاةٍ و قِبلةٍ و شَريعةٍ‌</w:t>
      </w:r>
      <w:r>
        <w:rPr>
          <w:rStyle w:val="FootnoteAnchor"/>
          <w:rtl w:val="true"/>
        </w:rPr>
        <w:footnoteReference w:id="4194"/>
      </w:r>
      <w:r>
        <w:rPr>
          <w:rFonts w:ascii="Amiri" w:hAnsi="Amiri" w:eastAsia="Amiri" w:cs="Amiri"/>
          <w:color w:val="111111"/>
          <w:sz w:val="28"/>
          <w:sz w:val="28"/>
          <w:szCs w:val="28"/>
          <w:rtl w:val="true"/>
          <w:lang w:bidi="ar-SA"/>
        </w:rPr>
        <w:t>و لا يُنقَلَ‌، و إن كانَ النصُّ في الأصلِ بالاضطرارِ عُلِمَ‌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لا يُنقَلَ بعضُ الأشياءِ و إن نُقِلَ غيرُه، إذا كانا متقاربَينِ ، أو يَكونُ المنقولُ منهما أعظَمَ في النفسِ و الحاجةُ إليه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المتروكُ نقلُه هو الأعظَمَ ، و الحاجةُ إليه أشَدَّ، فلا يَجوزُ؛ </w:t>
      </w:r>
    </w:p>
    <w:p>
      <w:pPr>
        <w:pStyle w:val="BookText"/>
        <w:rPr/>
      </w:pPr>
      <w:r>
        <w:rPr>
          <w:rFonts w:ascii="Amiri" w:hAnsi="Amiri" w:eastAsia="Amiri" w:cs="Amiri"/>
          <w:color w:val="111111"/>
          <w:sz w:val="28"/>
          <w:sz w:val="28"/>
          <w:szCs w:val="28"/>
          <w:rtl w:val="true"/>
          <w:lang w:bidi="ar-SA"/>
        </w:rPr>
        <w:t>ألا تَرىٰ أنّه لا يَجوزُ أن لا يُنقَلَ عن الجامعِ خبرُ حَربٍ و فِتنةٍ‌، و يُنقَلَ ما خَطَبَ به الأميرُ</w:t>
      </w:r>
      <w:r>
        <w:rPr>
          <w:rStyle w:val="FootnoteAnchor"/>
          <w:rtl w:val="true"/>
        </w:rPr>
        <w:footnoteReference w:id="4195"/>
      </w:r>
      <w:r>
        <w:rPr>
          <w:rFonts w:ascii="Amiri" w:hAnsi="Amiri" w:eastAsia="Amiri" w:cs="Amiri"/>
          <w:color w:val="111111"/>
          <w:sz w:val="28"/>
          <w:sz w:val="28"/>
          <w:szCs w:val="28"/>
          <w:rtl w:val="true"/>
          <w:lang w:bidi="ar-SA"/>
        </w:rPr>
        <w:t>و قَرأَ</w:t>
      </w:r>
      <w:r>
        <w:rPr>
          <w:rStyle w:val="FootnoteAnchor"/>
          <w:rtl w:val="true"/>
        </w:rPr>
        <w:footnoteReference w:id="4196"/>
      </w:r>
      <w:r>
        <w:rPr>
          <w:rFonts w:ascii="Amiri" w:hAnsi="Amiri" w:eastAsia="Amiri" w:cs="Amiri"/>
          <w:color w:val="111111"/>
          <w:sz w:val="28"/>
          <w:sz w:val="28"/>
          <w:szCs w:val="28"/>
          <w:rtl w:val="true"/>
          <w:lang w:bidi="ar-SA"/>
        </w:rPr>
        <w:t>به في الصلاةِ؟ و إن كانَ قد يَجوزُ أن يَنقُلوا خبرَ الحَربِ و الفِتنةِ‌، و لا يَنقُلوا كيفيّةَ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الإمامةُ مِن أعظَمِ الأُمورِ و أجَلِّها خَطَراً علىٰ مَذهبِهم، فكَيفَ يَجوزُ أن لا يُنقَلَ‌</w:t>
      </w:r>
      <w:r>
        <w:rPr>
          <w:rStyle w:val="FootnoteAnchor"/>
          <w:rtl w:val="true"/>
        </w:rPr>
        <w:footnoteReference w:id="4197"/>
      </w:r>
      <w:r>
        <w:rPr>
          <w:rFonts w:ascii="Amiri" w:hAnsi="Amiri" w:eastAsia="Amiri" w:cs="Amiri"/>
          <w:color w:val="111111"/>
          <w:sz w:val="28"/>
          <w:sz w:val="28"/>
          <w:szCs w:val="28"/>
          <w:rtl w:val="true"/>
          <w:lang w:bidi="ar-SA"/>
        </w:rPr>
        <w:t xml:space="preserve">و يُنقَلَ ما هو دونَه، مع أنّ سائرَ الشرائعِ متعلِّقةٌ به‌؟ و ذلكَ يوجِبُ أنّ الأصلَ لا يُنقَلُ و يُكتَمُ‌، مع أنّ ما يَجري مَجرَى الفَرعِ لا مَحالةَ يُنقَلُ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بمَنزلةِ الحَوادثِ الواقعةِ في الأُمَمِ المتقدِّمةِ ؛ لأنّ تَطاوُلَ العَهدِ إذا لَم يَنقُلِ الأعظَمَ مِن الأُمورِ، فبأنْ لا يَنقُلَ الأخَفَّ أَولىٰ </w:t>
      </w:r>
      <w:r>
        <w:rPr>
          <w:rFonts w:eastAsia="Amiri" w:cs="Amiri" w:ascii="Amiri" w:hAnsi="Amiri"/>
          <w:color w:val="111111"/>
          <w:sz w:val="28"/>
          <w:szCs w:val="28"/>
          <w:rtl w:val="true"/>
          <w:lang w:bidi="ar-SA"/>
        </w:rPr>
        <w:t>].</w:t>
      </w:r>
      <w:r>
        <w:rPr>
          <w:rStyle w:val="FootnoteAnchor"/>
          <w:rtl w:val="true"/>
        </w:rPr>
        <w:footnoteReference w:id="419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في سائرِ ما ذَكرتَه ما اتّفَقَ في النصِّ مِن الأسبابِ و قوّةِ الأطماعِ و الدَّواعي، لَجازَ الكِتمانُ علَى الوجهِ الذي أجَزناه عليه في النصِّ ، غيرَ أنّه</w:t>
      </w:r>
      <w:r>
        <w:rPr>
          <w:rStyle w:val="FootnoteAnchor"/>
          <w:rtl w:val="true"/>
        </w:rPr>
        <w:footnoteReference w:id="4199"/>
      </w:r>
      <w:r>
        <w:rPr>
          <w:rFonts w:ascii="Amiri" w:hAnsi="Amiri" w:eastAsia="Amiri" w:cs="Amiri"/>
          <w:color w:val="111111"/>
          <w:sz w:val="28"/>
          <w:sz w:val="28"/>
          <w:szCs w:val="28"/>
          <w:rtl w:val="true"/>
          <w:lang w:bidi="ar-SA"/>
        </w:rPr>
        <w:t xml:space="preserve">مُستَبعَدٌ فيما ذَكرتَه؛ لأنّ الأعداءَ لا داعيَ لهم إلىٰ كِتمانِ فَرائضِه و شَرائعِه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لَم تَكُن مؤثِّرةً في شيءٍ مِن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المِلّةِ أيضاً لَيسَ </w:t>
      </w:r>
      <w:r>
        <w:rPr>
          <w:rStyle w:val="FootnoteAnchor"/>
          <w:rtl w:val="true"/>
        </w:rPr>
        <w:footnoteReference w:id="4200"/>
      </w:r>
      <w:r>
        <w:rPr>
          <w:rFonts w:ascii="Amiri" w:hAnsi="Amiri" w:eastAsia="Amiri" w:cs="Amiri"/>
          <w:color w:val="111111"/>
          <w:sz w:val="28"/>
          <w:sz w:val="28"/>
          <w:szCs w:val="28"/>
          <w:rtl w:val="true"/>
          <w:lang w:bidi="ar-SA"/>
        </w:rPr>
        <w:t xml:space="preserve">منهم مَن يَفوتُه بنقلِ الفرائضِ و السُّننِ و الشرائعِ أمَلٌ أو يَستَنزِلُ </w:t>
      </w:r>
      <w:r>
        <w:rPr>
          <w:rStyle w:val="FootnoteAnchor"/>
          <w:rtl w:val="true"/>
        </w:rPr>
        <w:footnoteReference w:id="4201"/>
      </w:r>
      <w:r>
        <w:rPr>
          <w:rFonts w:ascii="Amiri" w:hAnsi="Amiri" w:eastAsia="Amiri" w:cs="Amiri"/>
          <w:color w:val="111111"/>
          <w:sz w:val="28"/>
          <w:sz w:val="28"/>
          <w:szCs w:val="28"/>
          <w:rtl w:val="true"/>
          <w:lang w:bidi="ar-SA"/>
        </w:rPr>
        <w:t>به عن رئاسةٍ حسَبَ ما يَقتَضيه نقلُ النصِّ فيمَن 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انتَفَت دَواعي الكِتمانِ ، و كانَت دَواعي </w:t>
      </w:r>
    </w:p>
    <w:p>
      <w:pPr>
        <w:pStyle w:val="BookText"/>
        <w:rPr/>
      </w:pPr>
      <w:r>
        <w:rPr>
          <w:rFonts w:ascii="Amiri" w:hAnsi="Amiri" w:eastAsia="Amiri" w:cs="Amiri"/>
          <w:color w:val="111111"/>
          <w:sz w:val="28"/>
          <w:sz w:val="28"/>
          <w:szCs w:val="28"/>
          <w:rtl w:val="true"/>
          <w:lang w:bidi="ar-SA"/>
        </w:rPr>
        <w:t>النقلِ التي مِن جُملتِها التديُّنُ باعثةً عليه، لَم يَقَعِ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كِتمانَ الفَرائضِ و ما أشبَهَها لَو وقَعَ مِن قاصدٍ إليه لَما اشتَبَهَ أمرُه علىٰ أحَدٍ، و لَظهَرَ انسلاخُه عن الإسلامِ ، و لَفاتَه بكِتمانِ ذلكَ ما قصَدَه و أجرىٰ </w:t>
      </w:r>
      <w:r>
        <w:rPr>
          <w:rStyle w:val="FootnoteAnchor"/>
          <w:rtl w:val="true"/>
        </w:rPr>
        <w:footnoteReference w:id="4202"/>
      </w:r>
      <w:r>
        <w:rPr>
          <w:rFonts w:ascii="Amiri" w:hAnsi="Amiri" w:eastAsia="Amiri" w:cs="Amiri"/>
          <w:color w:val="111111"/>
          <w:sz w:val="28"/>
          <w:sz w:val="28"/>
          <w:szCs w:val="28"/>
          <w:rtl w:val="true"/>
          <w:lang w:bidi="ar-SA"/>
        </w:rPr>
        <w:t xml:space="preserve">إليه بكِتمانِ غيرِه، و نحنُ نَعلَمُ أنّ </w:t>
      </w:r>
      <w:r>
        <w:rPr>
          <w:rStyle w:val="FootnoteAnchor"/>
          <w:rtl w:val="true"/>
        </w:rPr>
        <w:footnoteReference w:id="4203"/>
      </w:r>
      <w:r>
        <w:rPr>
          <w:rFonts w:ascii="Amiri" w:hAnsi="Amiri" w:eastAsia="Amiri" w:cs="Amiri"/>
          <w:color w:val="111111"/>
          <w:sz w:val="28"/>
          <w:sz w:val="28"/>
          <w:szCs w:val="28"/>
          <w:rtl w:val="true"/>
          <w:lang w:bidi="ar-SA"/>
        </w:rPr>
        <w:t>العادةَ جاريةٌ بأنّ بعضَ الأشياءِ لا يُتمكَّنُ مِن كِتمانِه إلّابإظهارِ غيرِه، حتّىٰ لَو جُمِعَ بَينَهما في الكِتمانِ لَفاتَ الغرضُ و ظهَرَ الأمرُ، و قد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لَأصدُقُ في اليَسيرِ ممّا يَضُرُّني؛ لِأكذِبَ في الكثيرِ ممّا يَنفَعُني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ما ذَكَرتموه أوّلاً أن تَشُكّوا في حصولِ أسبابٍ داعيةٍ إلىٰ كِتمانِ الفَرائضِ ، و تجوِّزوا أن يَكونَ اتّفَقَ فيها ما اتّفَقَ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الفَرقُ بَينَ الأمرَينِ‌، و دَلَّلنا علَى استحالةِ ثُبوتِ أسبابِ كِتمانِ النصِّ فيما أُلزِمْناه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يُبطِلُ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لا يُخالِجُنا فيه شكٌّ و لا يعارِضُنا رَيبٌ‌، أنّه صَلّى اللّٰهُ عليه و آلِه لَم ينُصَّ علىٰ قِبلةٍ و صلاةٍ مخالِفةٍ لقِبلتِنا و صلاتِنا، و لا يَجوزُ أن يَعتقِدَ عاقلٌ خِلافَ ما اعتَقَدناه، حتّىٰ إنّا نَنسِبُ مَن أظهَرَ لنا خِلافَ ما ذَكَرناه مِن الاعتقادِ إلَى الاختلالِ و نُقصانِ العقلِ أو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حُكمُ النصِّ علىٰ أميرِ المؤمِنينَ عليه السلامُ حُكمَ النصِّ علىٰ صلاةٍ أُخرىٰ ، لَوجَبَ أن يَكونَ العِلمُ بانتفائه كالعِلمِ بانتفاءِ النصِّ علَى الصلاةِ التي تَقدَّمَ ذِكرُها، و يَكونَ حالُ مَن أظهَرَ لنا اعتقادَ أحَدِ الأمرَينِ كحالِ مَن أظهَرَ اعتقادَ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العِلمِ بتَبايُنِ الأمرَينِ و بُعدِ ما بَينَهما دليلٌ </w:t>
      </w:r>
      <w:r>
        <w:rPr>
          <w:rStyle w:val="FootnoteAnchor"/>
          <w:rtl w:val="true"/>
        </w:rPr>
        <w:footnoteReference w:id="4204"/>
      </w:r>
      <w:r>
        <w:rPr>
          <w:rFonts w:ascii="Amiri" w:hAnsi="Amiri" w:eastAsia="Amiri" w:cs="Amiri"/>
          <w:color w:val="111111"/>
          <w:sz w:val="28"/>
          <w:sz w:val="28"/>
          <w:szCs w:val="28"/>
          <w:rtl w:val="true"/>
          <w:lang w:bidi="ar-SA"/>
        </w:rPr>
        <w:t xml:space="preserve">علىٰ بُطلانِ إلزامِنا تجويزَ وقوعِ النصِّ علىٰ </w:t>
      </w:r>
    </w:p>
    <w:p>
      <w:pPr>
        <w:pStyle w:val="BookText"/>
        <w:rPr/>
      </w:pPr>
      <w:r>
        <w:rPr>
          <w:rFonts w:ascii="Amiri" w:hAnsi="Amiri" w:eastAsia="Amiri" w:cs="Amiri"/>
          <w:color w:val="111111"/>
          <w:sz w:val="28"/>
          <w:sz w:val="28"/>
          <w:szCs w:val="28"/>
          <w:rtl w:val="true"/>
          <w:lang w:bidi="ar-SA"/>
        </w:rPr>
        <w:t>فَرائضَ لَم تُنقَل</w:t>
      </w:r>
      <w:r>
        <w:rPr>
          <w:rStyle w:val="FootnoteAnchor"/>
          <w:rtl w:val="true"/>
        </w:rPr>
        <w:footnoteReference w:id="4205"/>
      </w:r>
      <w:r>
        <w:rPr>
          <w:rFonts w:ascii="Amiri" w:hAnsi="Amiri" w:eastAsia="Amiri" w:cs="Amiri"/>
          <w:color w:val="111111"/>
          <w:sz w:val="28"/>
          <w:sz w:val="28"/>
          <w:szCs w:val="28"/>
          <w:rtl w:val="true"/>
          <w:lang w:bidi="ar-SA"/>
        </w:rPr>
        <w:t>قياساً علىٰ ما نَذهَبُ إليه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يَتَّفِقَ في كِتمانِ ما عارَضناكم به مِن الفَرائضِ ما اتّفَقَ في كِتمانِ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4206"/>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في أحَدِ الأمرَينِ ما اتّفَقَ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ناقِلٌ مِن جُملةِ الأُمّةِ النصَّ علىٰ هذه الفَرائضِ المُدَّعاةِ‌، كما قد نَجِدُ ناقِلينَ يَنقُلونَ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أجيزوا أن لا يَنقُلَ ذلكَ أحَدٌ مع ظهورِه؛ قياساً علَى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ذلكَ معارَضةً ، و لا إلزاماً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 يَكونَ المتروكُ نقلُه هو الأعظَمَ‌، و الحاجةُ إليه أشَدَّ،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يَجِبُ ما ذَكَرَه</w:t>
      </w:r>
      <w:r>
        <w:rPr>
          <w:rStyle w:val="FootnoteAnchor"/>
          <w:rtl w:val="true"/>
        </w:rPr>
        <w:footnoteReference w:id="4207"/>
      </w:r>
      <w:r>
        <w:rPr>
          <w:rFonts w:ascii="Amiri" w:hAnsi="Amiri" w:eastAsia="Amiri" w:cs="Amiri"/>
          <w:color w:val="111111"/>
          <w:sz w:val="28"/>
          <w:sz w:val="28"/>
          <w:szCs w:val="28"/>
          <w:rtl w:val="true"/>
          <w:lang w:bidi="ar-SA"/>
        </w:rPr>
        <w:t>إذا كانَت الحالُ حالَ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 ثُبوتِ </w:t>
      </w:r>
      <w:r>
        <w:rPr>
          <w:rStyle w:val="FootnoteAnchor"/>
          <w:rtl w:val="true"/>
        </w:rPr>
        <w:footnoteReference w:id="4208"/>
      </w:r>
      <w:r>
        <w:rPr>
          <w:rFonts w:ascii="Amiri" w:hAnsi="Amiri" w:eastAsia="Amiri" w:cs="Amiri"/>
          <w:color w:val="111111"/>
          <w:sz w:val="28"/>
          <w:sz w:val="28"/>
          <w:szCs w:val="28"/>
          <w:rtl w:val="true"/>
          <w:lang w:bidi="ar-SA"/>
        </w:rPr>
        <w:t xml:space="preserve">دَواعي الكِتمانِ ، و اعتقادِ الكاتِمينَ </w:t>
      </w:r>
      <w:r>
        <w:rPr>
          <w:rStyle w:val="FootnoteAnchor"/>
          <w:rtl w:val="true"/>
        </w:rPr>
        <w:footnoteReference w:id="4209"/>
      </w:r>
      <w:r>
        <w:rPr>
          <w:rFonts w:ascii="Amiri" w:hAnsi="Amiri" w:eastAsia="Amiri" w:cs="Amiri"/>
          <w:color w:val="111111"/>
          <w:sz w:val="28"/>
          <w:sz w:val="28"/>
          <w:szCs w:val="28"/>
          <w:rtl w:val="true"/>
          <w:lang w:bidi="ar-SA"/>
        </w:rPr>
        <w:t xml:space="preserve">أنّ في نقلِ ما بالناسِ إليه حاجةٌ من جهةِ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أعظَمُ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 عليهم، و في كِتمانِه نَفعاً لهم، فلا يَجِبُ ما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فيما ضَرَبَ به المثَلَ كالقولِ فيما تَقدَّمَ </w:t>
      </w:r>
      <w:r>
        <w:rPr>
          <w:rStyle w:val="FootnoteAnchor"/>
          <w:rtl w:val="true"/>
        </w:rPr>
        <w:footnoteReference w:id="4210"/>
      </w:r>
      <w:r>
        <w:rPr>
          <w:rFonts w:ascii="Amiri" w:hAnsi="Amiri" w:eastAsia="Amiri" w:cs="Amiri"/>
          <w:color w:val="111111"/>
          <w:sz w:val="28"/>
          <w:sz w:val="28"/>
          <w:szCs w:val="28"/>
          <w:rtl w:val="true"/>
          <w:lang w:bidi="ar-SA"/>
        </w:rPr>
        <w:t>لأنّ أهلَ الجامعِ لَو اعتَقَدوا أنّ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بانتفاء النصّ على الصلاة التي تقدّم ذكرها، يكون حال من أظهر لنا اعتقاد أحد الأمرين كالآخر، و بعد ما بينهما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حكم النصّ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bookmarkStart w:id="661" w:name="pg20015_285225"/>
    </w:p>
    <w:p>
      <w:pPr>
        <w:pStyle w:val="BookText"/>
        <w:rPr/>
      </w:pPr>
      <w:bookmarkEnd w:id="661"/>
      <w:r>
        <w:rPr>
          <w:rFonts w:ascii="Amiri" w:hAnsi="Amiri" w:eastAsia="Amiri" w:cs="Amiri"/>
          <w:color w:val="111111"/>
          <w:sz w:val="28"/>
          <w:sz w:val="28"/>
          <w:szCs w:val="28"/>
          <w:rtl w:val="true"/>
          <w:lang w:bidi="ar-SA"/>
        </w:rPr>
        <w:t xml:space="preserve">في إخبارِهم بالفتنةِ </w:t>
      </w:r>
      <w:r>
        <w:rPr>
          <w:rStyle w:val="FootnoteAnchor"/>
          <w:rtl w:val="true"/>
        </w:rPr>
        <w:footnoteReference w:id="4211"/>
      </w:r>
      <w:r>
        <w:rPr>
          <w:rFonts w:ascii="Amiri" w:hAnsi="Amiri" w:eastAsia="Amiri" w:cs="Amiri"/>
          <w:color w:val="111111"/>
          <w:sz w:val="28"/>
          <w:sz w:val="28"/>
          <w:szCs w:val="28"/>
          <w:rtl w:val="true"/>
          <w:lang w:bidi="ar-SA"/>
        </w:rPr>
        <w:t xml:space="preserve">ضَرَراً عظيماً يَلحَقُهم، لَجازَ أن لا يُخبِرَ أكثرُهم بحالِها، و إن أخبَروا بقِراءةِ الإمامِ </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95187_2320776876"/>
      <w:bookmarkStart w:id="663" w:name="_Toc235"/>
      <w:bookmarkEnd w:id="662"/>
      <w:r>
        <w:rPr>
          <w:rtl w:val="true"/>
        </w:rPr>
        <w:t>جواب ما أورده أبو هاشم الجبّائيّ من إشكالات على النصّ</w:t>
      </w:r>
      <w:bookmarkEnd w:id="663"/>
    </w:p>
    <w:p>
      <w:pPr>
        <w:pStyle w:val="BookText"/>
        <w:rPr/>
      </w:pPr>
      <w:r>
        <w:rPr>
          <w:rFonts w:ascii="Amiri" w:hAnsi="Amiri" w:eastAsia="Amiri" w:cs="Amiri"/>
          <w:color w:val="111111"/>
          <w:sz w:val="28"/>
          <w:sz w:val="28"/>
          <w:szCs w:val="28"/>
          <w:rtl w:val="true"/>
          <w:lang w:bidi="ar-SA"/>
        </w:rPr>
        <w:t>قالَ صاحبُ الكتابِ‌ في تَمامِ الحكايةِ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يُفصَلَ بَينَ الإمامةِ و غيرِها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تَولَّى الإمامةَ و سلَبَ الإمامَ حَقَّه كانَ يَقصِدُ إلىٰ أن يُعفّيَ‌</w:t>
      </w:r>
      <w:r>
        <w:rPr>
          <w:rStyle w:val="FootnoteAnchor"/>
          <w:rtl w:val="true"/>
        </w:rPr>
        <w:footnoteReference w:id="4212"/>
      </w:r>
      <w:r>
        <w:rPr>
          <w:rFonts w:ascii="Amiri" w:hAnsi="Amiri" w:eastAsia="Amiri" w:cs="Amiri"/>
          <w:color w:val="111111"/>
          <w:sz w:val="28"/>
          <w:sz w:val="28"/>
          <w:szCs w:val="28"/>
          <w:rtl w:val="true"/>
          <w:lang w:bidi="ar-SA"/>
        </w:rPr>
        <w:t>علىٰ أخبارِ النصِّ‌، فلذلكَ ضَعُفَت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w:t>
      </w:r>
      <w:r>
        <w:rPr>
          <w:rStyle w:val="FootnoteAnchor"/>
          <w:rtl w:val="true"/>
        </w:rPr>
        <w:footnoteReference w:id="4213"/>
      </w:r>
      <w:r>
        <w:rPr>
          <w:rFonts w:ascii="Amiri" w:hAnsi="Amiri" w:eastAsia="Amiri" w:cs="Amiri"/>
          <w:color w:val="111111"/>
          <w:sz w:val="28"/>
          <w:sz w:val="28"/>
          <w:szCs w:val="28"/>
          <w:rtl w:val="true"/>
          <w:lang w:bidi="ar-SA"/>
        </w:rPr>
        <w:t>الأمرَ لَو كانَ كما قالوا لَكُنّا نحنُ و هُم شَرعاً واحداً، فكان يَجِبُ إذا لَم يَتّصِلْ بنا أن لا يَتّصِلَ بهم، فكَيفَ يَصِحُّ و الحالُ هذه أن يَدَّعوا العِلمَ بهذا النصِّ؟ و إن كانَ ضَعفُ نَقلِه لَم يَقدَحْ في معرفتِهم، فكَيفَ يَقدَحُ في معرفتِنا؟</w:t>
      </w:r>
    </w:p>
    <w:p>
      <w:pPr>
        <w:pStyle w:val="BookText"/>
        <w:rPr/>
      </w:pPr>
      <w:r>
        <w:rPr>
          <w:rFonts w:ascii="Amiri" w:hAnsi="Amiri" w:eastAsia="Amiri" w:cs="Amiri"/>
          <w:color w:val="111111"/>
          <w:sz w:val="28"/>
          <w:sz w:val="28"/>
          <w:szCs w:val="28"/>
          <w:rtl w:val="true"/>
          <w:lang w:bidi="ar-SA"/>
        </w:rPr>
        <w:t>علىٰ أنّه إن أثَّرَ في معرفتِنا</w:t>
      </w:r>
      <w:r>
        <w:rPr>
          <w:rStyle w:val="FootnoteAnchor"/>
          <w:rtl w:val="true"/>
        </w:rPr>
        <w:footnoteReference w:id="4214"/>
      </w:r>
      <w:r>
        <w:rPr>
          <w:rFonts w:ascii="Amiri" w:hAnsi="Amiri" w:eastAsia="Amiri" w:cs="Amiri"/>
          <w:color w:val="111111"/>
          <w:sz w:val="28"/>
          <w:sz w:val="28"/>
          <w:szCs w:val="28"/>
          <w:rtl w:val="true"/>
          <w:lang w:bidi="ar-SA"/>
        </w:rPr>
        <w:t>فقَد سقَطَ عنّا التكليفُ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بيّنّا بما ذَكَرناه مِن الأحوالِ المنقولةِ عن الصحابةِ أنّه لَم يَكُن هناكَ النصُّ الذي ادَّعَوه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 عادىٰ أميرَ المؤمِنينَ عليه السلامُ بَعدَ ما بويِعَ له و صارَ إماماً، فمُعاداتُه له أظهَرُ ممّن تَقدَّمَ ؛ فكَيفَ </w:t>
      </w:r>
      <w:r>
        <w:rPr>
          <w:rStyle w:val="FootnoteAnchor"/>
          <w:rtl w:val="true"/>
        </w:rPr>
        <w:footnoteReference w:id="4215"/>
      </w:r>
      <w:r>
        <w:rPr>
          <w:rFonts w:ascii="Amiri" w:hAnsi="Amiri" w:eastAsia="Amiri" w:cs="Amiri"/>
          <w:color w:val="111111"/>
          <w:sz w:val="28"/>
          <w:sz w:val="28"/>
          <w:szCs w:val="28"/>
          <w:rtl w:val="true"/>
          <w:lang w:bidi="ar-SA"/>
        </w:rPr>
        <w:t xml:space="preserve">ضَعُفَ نقلُ النصِّ و لم </w:t>
      </w:r>
    </w:p>
    <w:p>
      <w:pPr>
        <w:pStyle w:val="BookText"/>
        <w:rPr/>
      </w:pPr>
      <w:r>
        <w:rPr>
          <w:rFonts w:ascii="Amiri" w:hAnsi="Amiri" w:eastAsia="Amiri" w:cs="Amiri"/>
          <w:color w:val="111111"/>
          <w:sz w:val="28"/>
          <w:sz w:val="28"/>
          <w:szCs w:val="28"/>
          <w:rtl w:val="true"/>
          <w:lang w:bidi="ar-SA"/>
        </w:rPr>
        <w:t>يَضعُفْ نقلُ رِضا الناسِ به و جَعلِهم إيّاه إماماً؟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يُعلَمُ‌</w:t>
      </w:r>
      <w:r>
        <w:rPr>
          <w:rStyle w:val="FootnoteAnchor"/>
          <w:rtl w:val="true"/>
        </w:rPr>
        <w:footnoteReference w:id="4216"/>
      </w:r>
      <w:r>
        <w:rPr>
          <w:rFonts w:ascii="Amiri" w:hAnsi="Amiri" w:eastAsia="Amiri" w:cs="Amiri"/>
          <w:color w:val="111111"/>
          <w:sz w:val="28"/>
          <w:sz w:val="28"/>
          <w:szCs w:val="28"/>
          <w:rtl w:val="true"/>
          <w:lang w:bidi="ar-SA"/>
        </w:rPr>
        <w:t>أنّها وقَعَت مِن متأخِّريهم بالأخبارِ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السيّدِ</w:t>
      </w:r>
      <w:r>
        <w:rPr>
          <w:rStyle w:val="FootnoteAnchor"/>
          <w:rtl w:val="true"/>
        </w:rPr>
        <w:footnoteReference w:id="4217"/>
      </w:r>
    </w:p>
    <w:p>
      <w:pPr>
        <w:pStyle w:val="BookText"/>
        <w:rPr/>
      </w:pPr>
      <w:r>
        <w:rPr>
          <w:rFonts w:ascii="Amiri" w:hAnsi="Amiri" w:eastAsia="Amiri" w:cs="Amiri"/>
          <w:color w:val="111111"/>
          <w:sz w:val="28"/>
          <w:sz w:val="28"/>
          <w:szCs w:val="28"/>
          <w:rtl w:val="true"/>
          <w:lang w:bidi="ar-SA"/>
        </w:rPr>
        <w:t>سمّاك قومك سيّداً، صدقوا به أنت الموفّق سيّد الشعراء</w:t>
      </w:r>
    </w:p>
    <w:p>
      <w:pPr>
        <w:pStyle w:val="BookText"/>
        <w:rPr/>
      </w:pP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لأميرِ المؤمِنينَ عليه السلامُ فَضيلةٌ إلّاو لي فيها قَصيدةٌ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أشعارِه ادّعاءُ مِثلِ هذا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إنّما ذَكرَ فيها الأخبارَ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جَسَرَ علىٰ هذه الدَّعوَى ابنُ الراوَنديِّ و مَن جَرىٰ مَجراه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وَقَعَ نقلُ فَضائلِه و مَقاماتِه المحمودةِ في الحُروبِ </w:t>
      </w:r>
      <w:r>
        <w:rPr>
          <w:rStyle w:val="FootnoteAnchor"/>
          <w:rtl w:val="true"/>
        </w:rPr>
        <w:footnoteReference w:id="4218"/>
      </w:r>
      <w:r>
        <w:rPr>
          <w:rFonts w:ascii="Amiri" w:hAnsi="Amiri" w:eastAsia="Amiri" w:cs="Amiri"/>
          <w:color w:val="111111"/>
          <w:sz w:val="28"/>
          <w:sz w:val="28"/>
          <w:szCs w:val="28"/>
          <w:rtl w:val="true"/>
          <w:lang w:bidi="ar-SA"/>
        </w:rPr>
        <w:t xml:space="preserve">و غيرِ </w:t>
      </w:r>
      <w:bookmarkStart w:id="664" w:name="pg20015_285227"/>
    </w:p>
    <w:p>
      <w:pPr>
        <w:pStyle w:val="BookText"/>
        <w:rPr/>
      </w:pPr>
      <w:bookmarkEnd w:id="664"/>
      <w:r>
        <w:rPr>
          <w:rFonts w:ascii="Amiri" w:hAnsi="Amiri" w:eastAsia="Amiri" w:cs="Amiri"/>
          <w:color w:val="111111"/>
          <w:sz w:val="28"/>
          <w:sz w:val="28"/>
          <w:szCs w:val="28"/>
          <w:rtl w:val="true"/>
          <w:lang w:bidi="ar-SA"/>
        </w:rPr>
        <w:t>ذلكَ و لَم يَتَكاتَموها، و تَكاتَموا إمامتَه، مع أنّ حالَها أظهَرُ و أشهَرُ؟</w:t>
      </w:r>
    </w:p>
    <w:p>
      <w:pPr>
        <w:pStyle w:val="BookText"/>
        <w:rPr/>
      </w:pPr>
      <w:r>
        <w:rPr>
          <w:rFonts w:ascii="Amiri" w:hAnsi="Amiri" w:eastAsia="Amiri" w:cs="Amiri"/>
          <w:color w:val="111111"/>
          <w:sz w:val="28"/>
          <w:sz w:val="28"/>
          <w:szCs w:val="28"/>
          <w:rtl w:val="true"/>
          <w:lang w:bidi="ar-SA"/>
        </w:rPr>
        <w:t xml:space="preserve">و كَيفَ يَصِحُّ ذلكَ و قد رَوَوا أشياءَ كَثيرةً لا يُصحِّحُها أهلُ النقلِ ؛ مِثلُ حَملِه بابَ خَيبَرَ و كانَ لا يُقِلُّه إلّاأربَعونَ رَجُلاً فرَمىٰ به أربَعينَ ذِراعاً، إلىٰ غيرِ ذلكَ </w:t>
      </w:r>
      <w:r>
        <w:rPr>
          <w:rStyle w:val="FootnoteAnchor"/>
          <w:rtl w:val="true"/>
        </w:rPr>
        <w:footnoteReference w:id="4219"/>
      </w:r>
      <w:r>
        <w:rPr>
          <w:rFonts w:ascii="Amiri" w:hAnsi="Amiri" w:eastAsia="Amiri" w:cs="Amiri"/>
          <w:color w:val="111111"/>
          <w:sz w:val="28"/>
          <w:sz w:val="28"/>
          <w:szCs w:val="28"/>
          <w:rtl w:val="true"/>
          <w:lang w:bidi="ar-SA"/>
        </w:rPr>
        <w:t xml:space="preserve">؟ فبأن يَرووا حَديثَ النصِّ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مِن كلامِه</w:t>
      </w:r>
      <w:r>
        <w:rPr>
          <w:rStyle w:val="FootnoteAnchor"/>
          <w:rtl w:val="true"/>
        </w:rPr>
        <w:footnoteReference w:id="4220"/>
      </w:r>
      <w:r>
        <w:rPr>
          <w:rFonts w:ascii="Amiri" w:hAnsi="Amiri" w:eastAsia="Amiri" w:cs="Amiri"/>
          <w:color w:val="111111"/>
          <w:sz w:val="28"/>
          <w:sz w:val="28"/>
          <w:szCs w:val="28"/>
          <w:rtl w:val="true"/>
          <w:lang w:bidi="ar-SA"/>
        </w:rPr>
        <w:t xml:space="preserve">يُمكِنُ أن يُتعلَّقَ بها في إبطالِ النصِّ الضروريِّ </w:t>
      </w:r>
      <w:r>
        <w:rPr>
          <w:rStyle w:val="FootnoteAnchor"/>
          <w:rtl w:val="true"/>
        </w:rPr>
        <w:footnoteReference w:id="4221"/>
      </w:r>
      <w:r>
        <w:rPr>
          <w:rFonts w:ascii="Amiri" w:hAnsi="Amiri" w:eastAsia="Amiri" w:cs="Amiri"/>
          <w:color w:val="111111"/>
          <w:sz w:val="28"/>
          <w:sz w:val="28"/>
          <w:szCs w:val="28"/>
          <w:rtl w:val="true"/>
          <w:lang w:bidi="ar-SA"/>
        </w:rPr>
        <w:t xml:space="preserve">، و بكَثيرٍ منها في إبطالِ النصِّ علىٰ غيرِ هذا الوجهِ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نبيِّنُ بَعدَ ذلكَ الكُلَّ في مَواضعِه</w:t>
      </w:r>
      <w:r>
        <w:rPr>
          <w:rFonts w:eastAsia="Amiri" w:cs="Amiri" w:ascii="Amiri" w:hAnsi="Amiri"/>
          <w:color w:val="111111"/>
          <w:sz w:val="28"/>
          <w:szCs w:val="28"/>
          <w:rtl w:val="true"/>
          <w:lang w:bidi="ar-SA"/>
        </w:rPr>
        <w:t>].</w:t>
      </w:r>
      <w:r>
        <w:rPr>
          <w:rStyle w:val="FootnoteAnchor"/>
          <w:rtl w:val="true"/>
        </w:rPr>
        <w:footnoteReference w:id="4222"/>
      </w:r>
    </w:p>
    <w:p>
      <w:pPr>
        <w:pStyle w:val="Heading4"/>
        <w:numPr>
          <w:ilvl w:val="3"/>
          <w:numId w:val="1"/>
        </w:numPr>
        <w:rPr/>
      </w:pPr>
      <w:bookmarkStart w:id="665" w:name="__RefHeading___Toc895189_2320776876"/>
      <w:bookmarkStart w:id="666" w:name="_Toc236"/>
      <w:bookmarkEnd w:id="665"/>
      <w:r>
        <w:rPr>
          <w:rtl w:val="true"/>
        </w:rPr>
        <w:t xml:space="preserve">بيان أنّ معنىٰ </w:t>
      </w:r>
      <w:r>
        <w:rPr>
          <w:rtl w:val="true"/>
        </w:rPr>
        <w:t>«</w:t>
      </w:r>
      <w:r>
        <w:rPr>
          <w:rtl w:val="true"/>
        </w:rPr>
        <w:t xml:space="preserve">ضَعف أخبار النصّ </w:t>
      </w:r>
      <w:r>
        <w:rPr>
          <w:rtl w:val="true"/>
        </w:rPr>
        <w:t xml:space="preserve">» </w:t>
      </w:r>
      <w:r>
        <w:rPr>
          <w:rtl w:val="true"/>
        </w:rPr>
        <w:t>قلّة ناقليها لا عدم حجّيّتها</w:t>
      </w:r>
      <w:bookmarkEnd w:id="66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النصِّ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الذي ذَكرتَه أنّها خرَجَت مِن أن تَكونَ </w:t>
      </w:r>
      <w:r>
        <w:rPr>
          <w:rStyle w:val="FootnoteAnchor"/>
          <w:rtl w:val="true"/>
        </w:rPr>
        <w:footnoteReference w:id="4223"/>
      </w:r>
      <w:r>
        <w:rPr>
          <w:rFonts w:ascii="Amiri" w:hAnsi="Amiri" w:eastAsia="Amiri" w:cs="Amiri"/>
          <w:color w:val="111111"/>
          <w:sz w:val="28"/>
          <w:sz w:val="28"/>
          <w:szCs w:val="28"/>
          <w:rtl w:val="true"/>
          <w:lang w:bidi="ar-SA"/>
        </w:rPr>
        <w:t xml:space="preserve">حُجّةً و دَلالةً ، و إنّما المُرادُ أن ناقِليها قَلَّ عَددُهم، </w:t>
      </w:r>
      <w:bookmarkStart w:id="667" w:name="pg20015_285228"/>
    </w:p>
    <w:p>
      <w:pPr>
        <w:pStyle w:val="BookText"/>
        <w:rPr/>
      </w:pPr>
      <w:bookmarkEnd w:id="667"/>
      <w:r>
        <w:rPr>
          <w:rFonts w:ascii="Amiri" w:hAnsi="Amiri" w:eastAsia="Amiri" w:cs="Amiri"/>
          <w:color w:val="111111"/>
          <w:sz w:val="28"/>
          <w:sz w:val="28"/>
          <w:szCs w:val="28"/>
          <w:rtl w:val="true"/>
          <w:lang w:bidi="ar-SA"/>
        </w:rPr>
        <w:t>و إن كانَت الحُجّةُ فيهم، و نَقَلوا علىٰ وجهِ الخَفاءِ في كَثيرٍ مِن الأحوالِ التي تَقدَّمَت</w:t>
      </w:r>
      <w:r>
        <w:rPr>
          <w:rStyle w:val="FootnoteAnchor"/>
          <w:rtl w:val="true"/>
        </w:rPr>
        <w:footnoteReference w:id="4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إذا كانَ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قصَدَ إلىٰ أن يعفّيَ خبَرَ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في ضَعفِ نقلِه علَى الوجهِ الذي فَسَّرناه</w:t>
      </w:r>
      <w:r>
        <w:rPr>
          <w:rStyle w:val="FootnoteAnchor"/>
          <w:rtl w:val="true"/>
        </w:rPr>
        <w:footnoteReference w:id="4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سبباً</w:t>
      </w:r>
      <w:r>
        <w:rPr>
          <w:rStyle w:val="FootnoteAnchor"/>
          <w:rtl w:val="true"/>
        </w:rPr>
        <w:footnoteReference w:id="4226"/>
      </w:r>
      <w:r>
        <w:rPr>
          <w:rFonts w:ascii="Amiri" w:hAnsi="Amiri" w:eastAsia="Amiri" w:cs="Amiri"/>
          <w:color w:val="111111"/>
          <w:sz w:val="28"/>
          <w:sz w:val="28"/>
          <w:szCs w:val="28"/>
          <w:rtl w:val="true"/>
          <w:lang w:bidi="ar-SA"/>
        </w:rPr>
        <w:t xml:space="preserve">في بُطلانِه و سُقوطِ الحُجّةِ به؛ لأنه إنّما ضَعُفَ مِن حَيثُ </w:t>
      </w:r>
      <w:r>
        <w:rPr>
          <w:rStyle w:val="FootnoteAnchor"/>
          <w:rtl w:val="true"/>
        </w:rPr>
        <w:footnoteReference w:id="4227"/>
      </w:r>
      <w:r>
        <w:rPr>
          <w:rFonts w:ascii="Amiri" w:hAnsi="Amiri" w:eastAsia="Amiri" w:cs="Amiri"/>
          <w:color w:val="111111"/>
          <w:sz w:val="28"/>
          <w:sz w:val="28"/>
          <w:szCs w:val="28"/>
          <w:rtl w:val="true"/>
          <w:lang w:bidi="ar-SA"/>
        </w:rPr>
        <w:t>اغتَرَّ قومٌ فكَتَموا</w:t>
      </w:r>
      <w:r>
        <w:rPr>
          <w:rStyle w:val="FootnoteAnchor"/>
          <w:rtl w:val="true"/>
        </w:rPr>
        <w:footnoteReference w:id="4228"/>
      </w:r>
      <w:r>
        <w:rPr>
          <w:rFonts w:ascii="Amiri" w:hAnsi="Amiri" w:eastAsia="Amiri" w:cs="Amiri"/>
          <w:color w:val="111111"/>
          <w:sz w:val="28"/>
          <w:sz w:val="28"/>
          <w:szCs w:val="28"/>
          <w:rtl w:val="true"/>
          <w:lang w:bidi="ar-SA"/>
        </w:rPr>
        <w:t>، و اشتبَهَ علىٰ آخَرينَ فعَدَلوا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 هذا كُلَّ الأُمّةِ ؛ لأنّ مَن نفَذَت بَصيرتُه و قَويَت في الدِّينِ عَزيمتُه لَم تدخُلْ عليه شُبهةٌ و لا اغتَرَّ بشيءٍ جَرىٰ ، و نقَلَ علَى الوجهِ الذي تَمكَّنَ منه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895191_2320776876"/>
      <w:bookmarkStart w:id="669" w:name="_Toc237"/>
      <w:bookmarkEnd w:id="668"/>
      <w:r>
        <w:rPr>
          <w:rtl w:val="true"/>
        </w:rPr>
        <w:t>بيان أنّ ضعف نقل النصّ لا يمنع من حصول العلم به</w:t>
      </w:r>
      <w:bookmarkEnd w:id="669"/>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يَجِبُ إذا لَم يَتّصِلْ بنا أن لا يَتّصِلَ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السَّماعَ للخبَرِ، فنحنُ و هُم سَواءٌ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العِلمَ و عمومَه للجميعِ ، فلا يَجِبُ ما ظَنَّه؛ لأنّا إنّما عَلِمناه مِن حَيثُ نَظَرنا في دَليلِه، و سَلَكنا الطريقَ المُفضيَ إلَى العِلمِ ، و مخالِفُنا عدَلَ عن النظَرِ الصحيحِ للشُّبهةِ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فضَعفُ نقلِ النصِّ لَم يَقدَحْ في معرفتِنا؛ مِن حَيثُ نَفَينا عن أنفُسِنا الشُّبَهَ </w:t>
      </w:r>
      <w:r>
        <w:rPr>
          <w:rStyle w:val="FootnoteAnchor"/>
          <w:rtl w:val="true"/>
        </w:rPr>
        <w:footnoteReference w:id="4229"/>
      </w:r>
      <w:r>
        <w:rPr>
          <w:rFonts w:ascii="Amiri" w:hAnsi="Amiri" w:eastAsia="Amiri" w:cs="Amiri"/>
          <w:color w:val="111111"/>
          <w:sz w:val="28"/>
          <w:sz w:val="28"/>
          <w:szCs w:val="28"/>
          <w:rtl w:val="true"/>
          <w:lang w:bidi="ar-SA"/>
        </w:rPr>
        <w:t>، و أثبَتنا الحَقَّ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قصَّرَ، فقدَحَ تقصيرُه في معرفتِه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خالَفَ في هذه الجُملةِ كانَت المِحنةُ بَينَنا و بَينَه</w:t>
      </w:r>
      <w:r>
        <w:rPr>
          <w:rFonts w:eastAsia="Amiri" w:cs="Amiri" w:ascii="Amiri" w:hAnsi="Amiri"/>
          <w:color w:val="111111"/>
          <w:sz w:val="28"/>
          <w:szCs w:val="28"/>
          <w:rtl w:val="true"/>
          <w:lang w:bidi="ar-SA"/>
        </w:rPr>
        <w:t xml:space="preserve">. </w:t>
      </w:r>
      <w:bookmarkStart w:id="670" w:name="pg20015_285229"/>
    </w:p>
    <w:p>
      <w:pPr>
        <w:pStyle w:val="Heading4"/>
        <w:numPr>
          <w:ilvl w:val="3"/>
          <w:numId w:val="1"/>
        </w:numPr>
        <w:rPr/>
      </w:pPr>
      <w:bookmarkStart w:id="671" w:name="__RefHeading___Toc895193_2320776876"/>
      <w:bookmarkStart w:id="672" w:name="_Toc238"/>
      <w:bookmarkEnd w:id="670"/>
      <w:bookmarkEnd w:id="671"/>
      <w:r>
        <w:rPr>
          <w:rtl w:val="true"/>
        </w:rPr>
        <w:t>عدم سقوط تكليف المخالف بسبب عدم علمه بالنصّ</w:t>
      </w:r>
      <w:bookmarkEnd w:id="672"/>
    </w:p>
    <w:p>
      <w:pPr>
        <w:pStyle w:val="BookText"/>
        <w:rPr/>
      </w:pPr>
      <w:r>
        <w:rPr>
          <w:rFonts w:ascii="Amiri" w:hAnsi="Amiri" w:eastAsia="Amiri" w:cs="Amiri"/>
          <w:color w:val="111111"/>
          <w:sz w:val="28"/>
          <w:sz w:val="28"/>
          <w:szCs w:val="28"/>
          <w:rtl w:val="true"/>
          <w:lang w:bidi="ar-SA"/>
        </w:rPr>
        <w:t>فأمّا سقوطُ التكليفِ عن المخالِفِ فقَد مضىٰ ما فيه</w:t>
      </w:r>
      <w:r>
        <w:rPr>
          <w:rStyle w:val="FootnoteAnchor"/>
          <w:rtl w:val="true"/>
        </w:rPr>
        <w:footnoteReference w:id="4230"/>
      </w:r>
      <w:r>
        <w:rPr>
          <w:rFonts w:ascii="Amiri" w:hAnsi="Amiri" w:eastAsia="Amiri" w:cs="Amiri"/>
          <w:color w:val="111111"/>
          <w:sz w:val="28"/>
          <w:sz w:val="28"/>
          <w:szCs w:val="28"/>
          <w:rtl w:val="true"/>
          <w:lang w:bidi="ar-SA"/>
        </w:rPr>
        <w:t>،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 و إن قدَحَ تقصيرُه في معرفتِه و أثَّرَ فيها، فله طريقٌ إلَى المعرفةِ‌، و إنّما عدَلَ عنها بالشُّبهةِ و التقصيرِ، و هي مُمكِنةٌ مُعرَضةٌ ؛ فلَيسَ يَجِبُ ما ظَنَّه مِن سقوطِ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أنّ </w:t>
      </w:r>
      <w:r>
        <w:rPr>
          <w:rStyle w:val="FootnoteAnchor"/>
          <w:rtl w:val="true"/>
        </w:rPr>
        <w:footnoteReference w:id="4231"/>
      </w:r>
      <w:r>
        <w:rPr>
          <w:rFonts w:ascii="Amiri" w:hAnsi="Amiri" w:eastAsia="Amiri" w:cs="Amiri"/>
          <w:color w:val="111111"/>
          <w:sz w:val="28"/>
          <w:sz w:val="28"/>
          <w:szCs w:val="28"/>
          <w:rtl w:val="true"/>
          <w:lang w:bidi="ar-SA"/>
        </w:rPr>
        <w:t xml:space="preserve">الذي اعتبَرَه مِن أحوالِ الصحابةِ لا دَلالةَ فيه علىٰ ما اعتقَدَه مِن بُطلانِ النصِّ </w:t>
      </w:r>
      <w:r>
        <w:rPr>
          <w:rFonts w:eastAsia="Amiri" w:cs="Amiri" w:ascii="Amiri" w:hAnsi="Amiri"/>
          <w:color w:val="111111"/>
          <w:sz w:val="28"/>
          <w:szCs w:val="28"/>
          <w:rtl w:val="true"/>
          <w:lang w:bidi="ar-SA"/>
        </w:rPr>
        <w:t>.</w:t>
      </w:r>
      <w:r>
        <w:rPr>
          <w:rStyle w:val="FootnoteAnchor"/>
          <w:rtl w:val="true"/>
        </w:rPr>
        <w:footnoteReference w:id="4232"/>
      </w:r>
    </w:p>
    <w:p>
      <w:pPr>
        <w:pStyle w:val="Heading4"/>
        <w:numPr>
          <w:ilvl w:val="3"/>
          <w:numId w:val="1"/>
        </w:numPr>
        <w:rPr/>
      </w:pPr>
      <w:bookmarkStart w:id="673" w:name="__RefHeading___Toc895195_2320776876"/>
      <w:bookmarkStart w:id="674" w:name="_Toc239"/>
      <w:bookmarkEnd w:id="673"/>
      <w:r>
        <w:rPr>
          <w:rtl w:val="true"/>
        </w:rPr>
        <w:t>بيان الفرق بين نقل رضا الناس بإمامة أمير المؤمنين عليه السلام بعد خلافته و بين نقل النصّ عليه</w:t>
      </w:r>
      <w:bookmarkEnd w:id="674"/>
    </w:p>
    <w:p>
      <w:pPr>
        <w:pStyle w:val="BookText"/>
        <w:rPr/>
      </w:pPr>
      <w:r>
        <w:rPr>
          <w:rFonts w:ascii="Amiri" w:hAnsi="Amiri" w:eastAsia="Amiri" w:cs="Amiri"/>
          <w:color w:val="111111"/>
          <w:sz w:val="28"/>
          <w:sz w:val="28"/>
          <w:szCs w:val="28"/>
          <w:rtl w:val="true"/>
          <w:lang w:bidi="ar-SA"/>
        </w:rPr>
        <w:t>فأمّا إلزامُه أن يَضعُفَ نقلُ رِضا الناسِ به عليه السلامُ لأجلِ عَداوةِ مَن عاداه بَعدَ مَصيرِ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w:t>
      </w:r>
      <w:r>
        <w:rPr>
          <w:rStyle w:val="FootnoteAnchor"/>
          <w:rtl w:val="true"/>
        </w:rPr>
        <w:footnoteReference w:id="4233"/>
      </w:r>
      <w:r>
        <w:rPr>
          <w:rFonts w:ascii="Amiri" w:hAnsi="Amiri" w:eastAsia="Amiri" w:cs="Amiri"/>
          <w:color w:val="111111"/>
          <w:sz w:val="28"/>
          <w:sz w:val="28"/>
          <w:szCs w:val="28"/>
          <w:rtl w:val="true"/>
          <w:lang w:bidi="ar-SA"/>
        </w:rPr>
        <w:t>يُشبِهُ أن يَكونَ عَنىٰ بذلكَ مُعاويةُ و مَن كانَ في حَيِّزِه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يَتِمُّ لمعاويةَ كِتمانُ رِضا الناسِ بإمامتِه عليه السلامُ و الحالُ في رِضاهم مُشاهَدةٌ موجودةٌ؟ و إنّما يَتِمُّ الكِتمانُ علىٰ بعضِ الوجوهِ فيما تَقدَّمَ وقوعُه و تَقَضّىٰ </w:t>
      </w:r>
      <w:r>
        <w:rPr>
          <w:rStyle w:val="FootnoteAnchor"/>
          <w:rtl w:val="true"/>
        </w:rPr>
        <w:footnoteReference w:id="4234"/>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عِلمِنا بأنّ جميعَ مَن بَقيَ إلىٰ تلكَ الحالِ مِن الصحابةِ و وجوهِ التابعينَ كانَ مُظهِراً مِن نفسِه الرضا بإمامتِه عليه السلامُ و الاجتماعَ عليه، و ناقِلاً لِما انعقَدَت عليه إمامتُه عليه السلامُ في ابتدائها مِن وقوعِ الرضا و التسليمِ مِن الجماعةِ ؛ فأيُّ تأثيرٍ</w:t>
      </w:r>
      <w:r>
        <w:rPr>
          <w:rStyle w:val="FootnoteAnchor"/>
          <w:rtl w:val="true"/>
        </w:rPr>
        <w:footnoteReference w:id="4235"/>
      </w:r>
      <w:r>
        <w:rPr>
          <w:rFonts w:ascii="Amiri" w:hAnsi="Amiri" w:eastAsia="Amiri" w:cs="Amiri"/>
          <w:color w:val="111111"/>
          <w:sz w:val="28"/>
          <w:sz w:val="28"/>
          <w:szCs w:val="28"/>
          <w:rtl w:val="true"/>
          <w:lang w:bidi="ar-SA"/>
        </w:rPr>
        <w:t xml:space="preserve">لكِتمانِ ما يَجري هذا المَجرىٰ؟ </w:t>
      </w:r>
    </w:p>
    <w:p>
      <w:pPr>
        <w:pStyle w:val="BookText"/>
        <w:rPr/>
      </w:pPr>
      <w:r>
        <w:rPr>
          <w:rFonts w:ascii="Amiri" w:hAnsi="Amiri" w:eastAsia="Amiri" w:cs="Amiri"/>
          <w:color w:val="111111"/>
          <w:sz w:val="28"/>
          <w:sz w:val="28"/>
          <w:szCs w:val="28"/>
          <w:rtl w:val="true"/>
          <w:lang w:bidi="ar-SA"/>
        </w:rPr>
        <w:t>و لَيسَ يُشبِهُ ذلكَ حالَ النصِّ‌؛ لأنّه في الحالِ التي وَجَبَ أن يقَعَ‌</w:t>
      </w:r>
      <w:r>
        <w:rPr>
          <w:rStyle w:val="FootnoteAnchor"/>
          <w:rtl w:val="true"/>
        </w:rPr>
        <w:footnoteReference w:id="4236"/>
      </w:r>
      <w:r>
        <w:rPr>
          <w:rFonts w:ascii="Amiri" w:hAnsi="Amiri" w:eastAsia="Amiri" w:cs="Amiri"/>
          <w:color w:val="111111"/>
          <w:sz w:val="28"/>
          <w:sz w:val="28"/>
          <w:szCs w:val="28"/>
          <w:rtl w:val="true"/>
          <w:lang w:bidi="ar-SA"/>
        </w:rPr>
        <w:t>فيها العملُ به و عليه وقَعَ بخِلافِه؛ للأسبابِ‌</w:t>
      </w:r>
      <w:r>
        <w:rPr>
          <w:rStyle w:val="FootnoteAnchor"/>
          <w:rtl w:val="true"/>
        </w:rPr>
        <w:footnoteReference w:id="4237"/>
      </w:r>
      <w:r>
        <w:rPr>
          <w:rFonts w:ascii="Amiri" w:hAnsi="Amiri" w:eastAsia="Amiri" w:cs="Amiri"/>
          <w:color w:val="111111"/>
          <w:sz w:val="28"/>
          <w:sz w:val="28"/>
          <w:szCs w:val="28"/>
          <w:rtl w:val="true"/>
          <w:lang w:bidi="ar-SA"/>
        </w:rPr>
        <w:t>التي تَقدَّمَ ذِكرُها، و كانَ الناسُ فيه 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للعملِ بخِلافِه و مُبطِنٍ مِثلَ ذلكَ‌، و آخَرَ مُظهِرٍ للعملِ بخِلافِه و مُبطِنٍ للعملِ به</w:t>
      </w:r>
      <w:r>
        <w:rPr>
          <w:rStyle w:val="FootnoteAnchor"/>
          <w:rtl w:val="true"/>
        </w:rPr>
        <w:footnoteReference w:id="4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بَينَ النصِّ و ما اتّفَقَ فيه، و بَينَ نقلِ الرضا بإمامتِه عليه السلامُ‌، و الحالُ في أحَدِ الأمرَينِ بالعكسِ منها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غيرُ مُنكَرٍ أن يَتِمَّ لمُعاويةَ و أشياعِه مِن التلبيسِ و 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أغتامِ‌</w:t>
      </w:r>
      <w:r>
        <w:rPr>
          <w:rStyle w:val="FootnoteAnchor"/>
          <w:rtl w:val="true"/>
        </w:rPr>
        <w:footnoteReference w:id="4239"/>
      </w:r>
      <w:r>
        <w:rPr>
          <w:rFonts w:ascii="Amiri" w:hAnsi="Amiri" w:eastAsia="Amiri" w:cs="Amiri"/>
          <w:color w:val="111111"/>
          <w:sz w:val="28"/>
          <w:sz w:val="28"/>
          <w:szCs w:val="28"/>
          <w:rtl w:val="true"/>
          <w:lang w:bidi="ar-SA"/>
        </w:rPr>
        <w:t xml:space="preserve">أهلِ الشامِ‌، و مَن لا معرفةَ عندَه منهم و لا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فَضائلِ أميرِ المؤمِنينَ عليه السلامُ و مَقاماتِه المحمودةِ و رِضا الناسِ به و إطباقِهم عليه ما يَقتَضي الشُّبهةَ‌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إلىٰ </w:t>
      </w:r>
      <w:r>
        <w:rPr>
          <w:rStyle w:val="FootnoteAnchor"/>
          <w:rtl w:val="true"/>
        </w:rPr>
        <w:footnoteReference w:id="4240"/>
      </w:r>
      <w:r>
        <w:rPr>
          <w:rFonts w:ascii="Amiri" w:hAnsi="Amiri" w:eastAsia="Amiri" w:cs="Amiri"/>
          <w:color w:val="111111"/>
          <w:sz w:val="28"/>
          <w:sz w:val="28"/>
          <w:szCs w:val="28"/>
          <w:rtl w:val="true"/>
          <w:lang w:bidi="ar-SA"/>
        </w:rPr>
        <w:t xml:space="preserve">ما رُويَ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مُعاداتِه لأميرِ المؤمِنينَ عليه السلامُ و محارَبتِه له و سببِهما</w:t>
      </w:r>
      <w:r>
        <w:rPr>
          <w:rStyle w:val="FootnoteAnchor"/>
          <w:rtl w:val="true"/>
        </w:rPr>
        <w:footnoteReference w:id="4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أنّه لا يَصومُ و لا يُصلّي</w:t>
      </w:r>
      <w:r>
        <w:rPr>
          <w:rFonts w:eastAsia="Amiri" w:cs="Amiri" w:ascii="Amiri" w:hAnsi="Amiri"/>
          <w:color w:val="111111"/>
          <w:sz w:val="28"/>
          <w:szCs w:val="28"/>
          <w:rtl w:val="true"/>
          <w:lang w:bidi="ar-SA"/>
        </w:rPr>
        <w:t>»</w:t>
      </w:r>
      <w:r>
        <w:rPr>
          <w:rStyle w:val="FootnoteAnchor"/>
          <w:rtl w:val="true"/>
        </w:rPr>
        <w:footnoteReference w:id="4242"/>
      </w:r>
      <w:r>
        <w:rPr>
          <w:rFonts w:ascii="Amiri" w:hAnsi="Amiri" w:eastAsia="Amiri" w:cs="Amiri"/>
          <w:color w:val="111111"/>
          <w:sz w:val="28"/>
          <w:sz w:val="28"/>
          <w:szCs w:val="28"/>
          <w:rtl w:val="true"/>
          <w:lang w:bidi="ar-SA"/>
        </w:rPr>
        <w:t>، و ما رُويَ عن محمّدِ بنِ الحَنَفيّةِ رضي اللّٰه عنه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يومَ الجَمَلِ علىٰ رجُلٍ برُمحي، 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عُمَرَ بنِ أبي طالبٍ ، فعَلِمتُ أنّه يُريدُ عليّاً، فأمسَكتُ عنه</w:t>
      </w:r>
      <w:r>
        <w:rPr>
          <w:rFonts w:eastAsia="Amiri" w:cs="Amiri" w:ascii="Amiri" w:hAnsi="Amiri"/>
          <w:color w:val="111111"/>
          <w:sz w:val="28"/>
          <w:szCs w:val="28"/>
          <w:rtl w:val="true"/>
          <w:lang w:bidi="ar-SA"/>
        </w:rPr>
        <w:t>»</w:t>
      </w:r>
      <w:r>
        <w:rPr>
          <w:rStyle w:val="FootnoteAnchor"/>
          <w:rtl w:val="true"/>
        </w:rPr>
        <w:footnoteReference w:id="4243"/>
      </w:r>
      <w:r>
        <w:rPr>
          <w:rFonts w:ascii="IRNazanin" w:hAnsi="IRNazanin" w:eastAsia="IRNazanin"/>
          <w:color w:val="111111"/>
          <w:sz w:val="28"/>
          <w:sz w:val="28"/>
          <w:szCs w:val="28"/>
          <w:rtl w:val="true"/>
          <w:lang w:bidi="fa-IR"/>
        </w:rPr>
        <w:t xml:space="preserve">؟ </w:t>
      </w:r>
      <w:bookmarkStart w:id="675" w:name="pg20015_285231"/>
    </w:p>
    <w:p>
      <w:pPr>
        <w:pStyle w:val="BookText"/>
        <w:rPr/>
      </w:pPr>
      <w:bookmarkEnd w:id="675"/>
      <w:r>
        <w:rPr>
          <w:rFonts w:ascii="Amiri" w:hAnsi="Amiri" w:eastAsia="Amiri" w:cs="Amiri"/>
          <w:color w:val="111111"/>
          <w:sz w:val="28"/>
          <w:sz w:val="28"/>
          <w:szCs w:val="28"/>
          <w:rtl w:val="true"/>
          <w:lang w:bidi="ar-SA"/>
        </w:rPr>
        <w:t>غيرَ أنّ هذا إنّما يَجوزُ و يَلتبِسُ علىٰ مَن شمَلَته</w:t>
      </w:r>
      <w:r>
        <w:rPr>
          <w:rStyle w:val="FootnoteAnchor"/>
          <w:rtl w:val="true"/>
        </w:rPr>
        <w:footnoteReference w:id="4244"/>
      </w:r>
      <w:r>
        <w:rPr>
          <w:rFonts w:ascii="Amiri" w:hAnsi="Amiri" w:eastAsia="Amiri" w:cs="Amiri"/>
          <w:color w:val="111111"/>
          <w:sz w:val="28"/>
          <w:sz w:val="28"/>
          <w:szCs w:val="28"/>
          <w:rtl w:val="true"/>
          <w:lang w:bidi="ar-SA"/>
        </w:rPr>
        <w:t>الغَفلةُ ، و غَمَرَه</w:t>
      </w:r>
      <w:r>
        <w:rPr>
          <w:rStyle w:val="FootnoteAnchor"/>
          <w:rtl w:val="true"/>
        </w:rPr>
        <w:footnoteReference w:id="4245"/>
      </w:r>
      <w:r>
        <w:rPr>
          <w:rFonts w:ascii="Amiri" w:hAnsi="Amiri" w:eastAsia="Amiri" w:cs="Amiri"/>
          <w:color w:val="111111"/>
          <w:sz w:val="28"/>
          <w:sz w:val="28"/>
          <w:szCs w:val="28"/>
          <w:rtl w:val="true"/>
          <w:lang w:bidi="ar-SA"/>
        </w:rPr>
        <w:t xml:space="preserve">الجَهلُ ، و لَيسَ يُشبِهُ في جوازِ دخولِ الشُّبهةِ و تَمامِ الحيلةِ حالَ النصِّ </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895197_2320776876"/>
      <w:bookmarkStart w:id="677" w:name="_Toc240"/>
      <w:bookmarkEnd w:id="676"/>
      <w:r>
        <w:rPr>
          <w:rtl w:val="true"/>
        </w:rPr>
        <w:t>النصّ الجليّ في شعر السيّد الحميريّ</w:t>
      </w:r>
      <w:bookmarkEnd w:id="677"/>
    </w:p>
    <w:p>
      <w:pPr>
        <w:pStyle w:val="BookText"/>
        <w:rPr/>
      </w:pPr>
      <w:r>
        <w:rPr>
          <w:rFonts w:ascii="Amiri" w:hAnsi="Amiri" w:eastAsia="Amiri" w:cs="Amiri"/>
          <w:color w:val="111111"/>
          <w:sz w:val="28"/>
          <w:sz w:val="28"/>
          <w:szCs w:val="28"/>
          <w:rtl w:val="true"/>
          <w:lang w:bidi="ar-SA"/>
        </w:rPr>
        <w:t>فأمّا تعلُّقُه</w:t>
      </w:r>
      <w:r>
        <w:rPr>
          <w:rStyle w:val="FootnoteAnchor"/>
          <w:rtl w:val="true"/>
        </w:rPr>
        <w:footnoteReference w:id="4246"/>
      </w:r>
      <w:r>
        <w:rPr>
          <w:rFonts w:ascii="Amiri" w:hAnsi="Amiri" w:eastAsia="Amiri" w:cs="Amiri"/>
          <w:color w:val="111111"/>
          <w:sz w:val="28"/>
          <w:sz w:val="28"/>
          <w:szCs w:val="28"/>
          <w:rtl w:val="true"/>
          <w:lang w:bidi="ar-SA"/>
        </w:rPr>
        <w:t xml:space="preserve">بخُلوِّ شِعرِ السيّدِ مِن ذِكرِ النصِّ الجَليِّ فلا شُبهةَ فيه؛ لأنّ السيّدَ أوّلاً أحَدُ مَن لَم يُضبَطْ شِعرُه مِن الشُّعَراءِ ، و لَم يُحصَ </w:t>
      </w:r>
      <w:r>
        <w:rPr>
          <w:rStyle w:val="FootnoteAnchor"/>
          <w:rtl w:val="true"/>
        </w:rPr>
        <w:footnoteReference w:id="4247"/>
      </w:r>
      <w:r>
        <w:rPr>
          <w:rFonts w:ascii="Amiri" w:hAnsi="Amiri" w:eastAsia="Amiri" w:cs="Amiri"/>
          <w:color w:val="111111"/>
          <w:sz w:val="28"/>
          <w:sz w:val="28"/>
          <w:szCs w:val="28"/>
          <w:rtl w:val="true"/>
          <w:lang w:bidi="ar-SA"/>
        </w:rPr>
        <w:t xml:space="preserve">ديوانُه منهم، و قد ذَكرَه الناسُ و عَدُّوه في جُملةِ مَن كانَت هذه صفتُه مِن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شِعرُه مضبوطاً، فكَيفَ يُقطَعُ علىٰ خُلوِّه مِن شيءٍ دونَ شيءٍ؟</w:t>
      </w:r>
    </w:p>
    <w:p>
      <w:pPr>
        <w:pStyle w:val="BookText"/>
        <w:rPr/>
      </w:pPr>
      <w:r>
        <w:rPr>
          <w:rFonts w:ascii="Amiri" w:hAnsi="Amiri" w:eastAsia="Amiri" w:cs="Amiri"/>
          <w:color w:val="111111"/>
          <w:sz w:val="28"/>
          <w:sz w:val="28"/>
          <w:szCs w:val="28"/>
          <w:rtl w:val="true"/>
          <w:lang w:bidi="ar-SA"/>
        </w:rPr>
        <w:t>علىٰ أنّ السيّدَ رحمه اللّٰه قد صرَّحَ في كَثيرٍ مِن شِعرِه بما يدُلُّ علَى النصِّ الجَليِّ و إضافتِه</w:t>
      </w:r>
      <w:r>
        <w:rPr>
          <w:rStyle w:val="FootnoteAnchor"/>
          <w:rtl w:val="true"/>
        </w:rPr>
        <w:footnoteReference w:id="4248"/>
      </w:r>
      <w:r>
        <w:rPr>
          <w:rFonts w:ascii="Amiri" w:hAnsi="Amiri" w:eastAsia="Amiri" w:cs="Amiri"/>
          <w:color w:val="111111"/>
          <w:sz w:val="28"/>
          <w:sz w:val="28"/>
          <w:szCs w:val="28"/>
          <w:rtl w:val="true"/>
          <w:lang w:bidi="ar-SA"/>
        </w:rPr>
        <w:t>إلَى الرسولِ صَلّى اللّٰهُ عليه و آلِه؛ كقَولِه أنّه جعَلَه أميراً، و أوجَبَ الإمامةَ له</w:t>
      </w:r>
      <w:r>
        <w:rPr>
          <w:rStyle w:val="FootnoteAnchor"/>
          <w:rtl w:val="true"/>
        </w:rPr>
        <w:footnoteReference w:id="4249"/>
      </w:r>
      <w:r>
        <w:rPr>
          <w:rFonts w:ascii="Amiri" w:hAnsi="Amiri" w:eastAsia="Amiri" w:cs="Amiri"/>
          <w:color w:val="111111"/>
          <w:sz w:val="28"/>
          <w:sz w:val="28"/>
          <w:szCs w:val="28"/>
          <w:rtl w:val="true"/>
          <w:lang w:bidi="ar-SA"/>
        </w:rPr>
        <w:t>، و الخِلافةَ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في شِعرِه أمثالُ هذه الألفاظِ</w:t>
      </w:r>
      <w:r>
        <w:rPr>
          <w:rFonts w:eastAsia="Amiri" w:cs="Amiri" w:ascii="Amiri" w:hAnsi="Amiri"/>
          <w:color w:val="111111"/>
          <w:sz w:val="28"/>
          <w:szCs w:val="28"/>
          <w:rtl w:val="true"/>
          <w:lang w:bidi="ar-SA"/>
        </w:rPr>
        <w:t>.</w:t>
      </w:r>
      <w:r>
        <w:rPr>
          <w:rStyle w:val="FootnoteAnchor"/>
          <w:rtl w:val="true"/>
        </w:rPr>
        <w:footnoteReference w:id="4250"/>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هذه الألفاظِ تصريحٌ بالنصِّ الجَليِّ ، بل مُرادُ السيّدِ بها ما كانَ يَعتقِدُه مِن دَلالةِ الأخبارِ علَى النصِّ </w:t>
      </w:r>
      <w:r>
        <w:rPr>
          <w:rStyle w:val="FootnoteAnchor"/>
          <w:rtl w:val="true"/>
        </w:rPr>
        <w:footnoteReference w:id="4251"/>
      </w:r>
      <w:r>
        <w:rPr>
          <w:rFonts w:ascii="Amiri" w:hAnsi="Amiri" w:eastAsia="Amiri" w:cs="Amiri"/>
          <w:color w:val="111111"/>
          <w:sz w:val="28"/>
          <w:sz w:val="28"/>
          <w:szCs w:val="28"/>
          <w:rtl w:val="true"/>
          <w:lang w:bidi="ar-SA"/>
        </w:rPr>
        <w:t>كخبرِ الغَديرِ و أمثالِه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تَحكُّمٌ مِن قائلِه بغَيرِ حُجّةٍ‌، و أقَلُّ أحوالِ الألفاظِ التي ذَكَرناها أن تَكونَ محتَمِلةً للكنايةِ عن النصِّ الجَليِّ و عن النصِّ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محتَمِلةً ، لَم يُقطَعْ </w:t>
      </w:r>
    </w:p>
    <w:p>
      <w:pPr>
        <w:pStyle w:val="BookText"/>
        <w:rPr/>
      </w:pPr>
      <w:r>
        <w:rPr>
          <w:rFonts w:ascii="Amiri" w:hAnsi="Amiri" w:eastAsia="Amiri" w:cs="Amiri"/>
          <w:color w:val="111111"/>
          <w:sz w:val="28"/>
          <w:sz w:val="28"/>
          <w:szCs w:val="28"/>
          <w:rtl w:val="true"/>
          <w:lang w:bidi="ar-SA"/>
        </w:rPr>
        <w:t xml:space="preserve">علىٰ خُلوِّ شِعرِه مِن النصِّ الجَليِّ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فغَيرُ ممتَنِعٍ أن يَكونَ السيّدُ معتقِداً للنصِّ الخَفيِّ دونَ الجَليِّ ، علىٰ ما تَذهبُ إليه الزَّيديّةُ و شُذّاذٌ مِن الإماميّةِ ، فإنّه لَم يَكُن معصوماً و يَجوزُ</w:t>
      </w:r>
      <w:r>
        <w:rPr>
          <w:rStyle w:val="FootnoteAnchor"/>
          <w:rtl w:val="true"/>
        </w:rPr>
        <w:footnoteReference w:id="4252"/>
      </w:r>
      <w:r>
        <w:rPr>
          <w:rFonts w:ascii="Amiri" w:hAnsi="Amiri" w:eastAsia="Amiri" w:cs="Amiri"/>
          <w:color w:val="111111"/>
          <w:sz w:val="28"/>
          <w:sz w:val="28"/>
          <w:szCs w:val="28"/>
          <w:rtl w:val="true"/>
          <w:lang w:bidi="ar-SA"/>
        </w:rPr>
        <w:t>عليه دخولُ الشُّبهةِ ؛ فيَكونُ الوجهُ في عُدولِه عن ذِكرِه شَكَّه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يَجِبُ أن يُعجَبَ مِن قولِنا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يشُكَّ السيّدُ في النصِّ الجَليِّ و هو يُضمِّنُ شِعرَه مِن</w:t>
      </w:r>
      <w:r>
        <w:rPr>
          <w:rStyle w:val="FootnoteAnchor"/>
          <w:rtl w:val="true"/>
        </w:rPr>
        <w:footnoteReference w:id="4253"/>
      </w:r>
      <w:r>
        <w:rPr>
          <w:rFonts w:ascii="Amiri" w:hAnsi="Amiri" w:eastAsia="Amiri" w:cs="Amiri"/>
          <w:color w:val="111111"/>
          <w:sz w:val="28"/>
          <w:sz w:val="28"/>
          <w:szCs w:val="28"/>
          <w:rtl w:val="true"/>
          <w:lang w:bidi="ar-SA"/>
        </w:rPr>
        <w:t xml:space="preserve">بَدائعِ الأخبارِ و صُنوفِ الدَّعاوىٰ للمُعجِزاتِ و الآياتِ ما لا يَصِحُّ أن يُقِرَّ به مَن يشُكُّ </w:t>
      </w:r>
      <w:r>
        <w:rPr>
          <w:rStyle w:val="FootnoteAnchor"/>
          <w:rtl w:val="true"/>
        </w:rPr>
        <w:footnoteReference w:id="4254"/>
      </w: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الاستبعادَ لِما ذَكَرناه هو البَعيدُ؛ مِن قِبَلِ أنّه غيرُ مُمتنِعٍ أن تدخُلَ الشُّبهةُ في بعضِ الأشياءِ‌، و لا تدخُلَ في أمثالِه، و لا فيما هو أغمَضُ منه، بحسَبِ ما عليه الناظرُ مِن الأسبابِ و الدَّواعي المقرِّبة إلىٰ قَبولِ </w:t>
      </w:r>
      <w:r>
        <w:rPr>
          <w:rStyle w:val="FootnoteAnchor"/>
          <w:rtl w:val="true"/>
        </w:rPr>
        <w:footnoteReference w:id="4255"/>
      </w:r>
      <w:r>
        <w:rPr>
          <w:rFonts w:ascii="Amiri" w:hAnsi="Amiri" w:eastAsia="Amiri" w:cs="Amiri"/>
          <w:color w:val="111111"/>
          <w:sz w:val="28"/>
          <w:sz w:val="28"/>
          <w:szCs w:val="28"/>
          <w:rtl w:val="true"/>
          <w:lang w:bidi="ar-SA"/>
        </w:rPr>
        <w:t>الشُّبهة و المُبعِدةِ مِنها، و قد عَلِمنا أنّ مَن شَكَّ مِن الإماميّةِ في النصِّ الجَليِّ هو مُصدِّقٌ بجميعِ ما صدَّقَ به السيّدُ مِن الفَضائلِ و المُعجِزاتِ ، و</w:t>
      </w:r>
      <w:r>
        <w:rPr>
          <w:rStyle w:val="FootnoteAnchor"/>
          <w:rtl w:val="true"/>
        </w:rPr>
        <w:footnoteReference w:id="4256"/>
      </w:r>
      <w:r>
        <w:rPr>
          <w:rFonts w:ascii="Amiri" w:hAnsi="Amiri" w:eastAsia="Amiri" w:cs="Amiri"/>
          <w:color w:val="111111"/>
          <w:sz w:val="28"/>
          <w:sz w:val="28"/>
          <w:szCs w:val="28"/>
          <w:rtl w:val="true"/>
          <w:lang w:bidi="ar-SA"/>
        </w:rPr>
        <w:t xml:space="preserve">لَم يَكُن تصديقُه بجميعِ ذلكَ عاصماً له مِن دخولِ الشُّبهةِ عليه في النصِّ الجَليِّ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إضافةُ ادّعاءِ النصِّ إلَى ابنِ الراوَنديِّ و مَن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عليه مُستَقصىً </w:t>
      </w:r>
      <w:r>
        <w:rPr>
          <w:rFonts w:eastAsia="Amiri" w:cs="Amiri" w:ascii="Amiri" w:hAnsi="Amiri"/>
          <w:color w:val="111111"/>
          <w:sz w:val="28"/>
          <w:szCs w:val="28"/>
          <w:rtl w:val="true"/>
          <w:lang w:bidi="ar-SA"/>
        </w:rPr>
        <w:t>.</w:t>
      </w:r>
      <w:r>
        <w:rPr>
          <w:rStyle w:val="FootnoteAnchor"/>
          <w:rtl w:val="true"/>
        </w:rPr>
        <w:footnoteReference w:id="4257"/>
      </w:r>
      <w:bookmarkStart w:id="678" w:name="pg20015_285233"/>
    </w:p>
    <w:p>
      <w:pPr>
        <w:pStyle w:val="Heading4"/>
        <w:numPr>
          <w:ilvl w:val="3"/>
          <w:numId w:val="1"/>
        </w:numPr>
        <w:rPr/>
      </w:pPr>
      <w:bookmarkStart w:id="679" w:name="__RefHeading___Toc895199_2320776876"/>
      <w:bookmarkStart w:id="680" w:name="_Toc241"/>
      <w:bookmarkEnd w:id="678"/>
      <w:bookmarkEnd w:id="679"/>
      <w:r>
        <w:rPr>
          <w:rtl w:val="true"/>
        </w:rPr>
        <w:t>الفرق بين نقل الفضائل و نقل النصّ من حيث الكتمان و الإظهار</w:t>
      </w:r>
      <w:bookmarkEnd w:id="680"/>
    </w:p>
    <w:p>
      <w:pPr>
        <w:pStyle w:val="BookText"/>
        <w:rPr/>
      </w:pPr>
      <w:r>
        <w:rPr>
          <w:rFonts w:ascii="Amiri" w:hAnsi="Amiri" w:eastAsia="Amiri" w:cs="Amiri"/>
          <w:color w:val="111111"/>
          <w:sz w:val="28"/>
          <w:sz w:val="28"/>
          <w:szCs w:val="28"/>
          <w:rtl w:val="true"/>
          <w:lang w:bidi="ar-SA"/>
        </w:rPr>
        <w:t>و أمّا التعلُّقُ بنَقلِ الفَضائلِ التي مِن جُملتِها حَملُه</w:t>
      </w:r>
      <w:r>
        <w:rPr>
          <w:rStyle w:val="FootnoteAnchor"/>
          <w:rtl w:val="true"/>
        </w:rPr>
        <w:footnoteReference w:id="4258"/>
      </w:r>
      <w:r>
        <w:rPr>
          <w:rFonts w:ascii="Amiri" w:hAnsi="Amiri" w:eastAsia="Amiri" w:cs="Amiri"/>
          <w:color w:val="111111"/>
          <w:sz w:val="28"/>
          <w:sz w:val="28"/>
          <w:szCs w:val="28"/>
          <w:rtl w:val="true"/>
          <w:lang w:bidi="ar-SA"/>
        </w:rPr>
        <w:t>بابَ خَيبَرَ، و الإلزامُ لنا مُساواتَها النصَّ‌</w:t>
      </w:r>
      <w:r>
        <w:rPr>
          <w:rStyle w:val="FootnoteAnchor"/>
          <w:rtl w:val="true"/>
        </w:rPr>
        <w:footnoteReference w:id="4259"/>
      </w:r>
      <w:r>
        <w:rPr>
          <w:rFonts w:ascii="Amiri" w:hAnsi="Amiri" w:eastAsia="Amiri" w:cs="Amiri"/>
          <w:color w:val="111111"/>
          <w:sz w:val="28"/>
          <w:sz w:val="28"/>
          <w:szCs w:val="28"/>
          <w:rtl w:val="true"/>
          <w:lang w:bidi="ar-SA"/>
        </w:rPr>
        <w:t>في وجوبِ الكِتمانِ أو الإظهارِ</w:t>
      </w:r>
      <w:r>
        <w:rPr>
          <w:rStyle w:val="FootnoteAnchor"/>
          <w:rtl w:val="true"/>
        </w:rPr>
        <w:footnoteReference w:id="4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ما رُويَ مِن الفَضائلِ و بَينَ النصِّ واضحٌ‌؛ لأنّ نقلَ الفَضائلِ لَم يَكُن شاهداً علَى القومِ بارتكابِ القَبيحِ‌، و مُخالَفةِ الرسولِ‌، إلىٰ غيرِ ما ذَكَرناه مِن الأحوالِ المعلومِ شهادةُ نقلِ النصِّ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بعضِ الأشياءِ رُبَّما جُعِلَ ذَريعةً إلىٰ كِتمانِ غيرِه، و لَو لَم يَنقُلِ القومُ الفَضائلَ إلّاليَقولَ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العَداوةُ و الحَسَدُ و المُنافَسَةُ </w:t>
      </w:r>
      <w:r>
        <w:rPr>
          <w:rStyle w:val="FootnoteAnchor"/>
          <w:rtl w:val="true"/>
        </w:rPr>
        <w:footnoteReference w:id="4261"/>
      </w:r>
      <w:r>
        <w:rPr>
          <w:rFonts w:ascii="Amiri" w:hAnsi="Amiri" w:eastAsia="Amiri" w:cs="Amiri"/>
          <w:color w:val="111111"/>
          <w:sz w:val="28"/>
          <w:sz w:val="28"/>
          <w:szCs w:val="28"/>
          <w:rtl w:val="true"/>
          <w:lang w:bidi="ar-SA"/>
        </w:rPr>
        <w:t xml:space="preserve">هي المانعةَ مِن نقلِ النصِّ لَكانَت مانعةً مِن نقلِ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وجهاً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895201_2320776876"/>
      <w:bookmarkStart w:id="682" w:name="_Toc242"/>
      <w:bookmarkEnd w:id="681"/>
      <w:r>
        <w:rPr>
          <w:rtl w:val="true"/>
        </w:rPr>
        <w:t>الفرق بين نقل حديث باب خيبر و نقل النصّ</w:t>
      </w:r>
      <w:bookmarkEnd w:id="68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نقلُ حَملِ‌</w:t>
      </w:r>
      <w:r>
        <w:rPr>
          <w:rStyle w:val="FootnoteAnchor"/>
          <w:rtl w:val="true"/>
        </w:rPr>
        <w:footnoteReference w:id="4262"/>
      </w:r>
      <w:r>
        <w:rPr>
          <w:rFonts w:ascii="Amiri" w:hAnsi="Amiri" w:eastAsia="Amiri" w:cs="Amiri"/>
          <w:color w:val="111111"/>
          <w:sz w:val="28"/>
          <w:sz w:val="28"/>
          <w:szCs w:val="28"/>
          <w:rtl w:val="true"/>
          <w:lang w:bidi="ar-SA"/>
        </w:rPr>
        <w:t xml:space="preserve">بابِ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لا يُقِلُّه إلّاأربَعونَ رجُلاً، و أنّه عليه السلامُ رَمىٰ به أربَعينَ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يَنقُلْه أيضاً إلّامُختَصّونَ‌</w:t>
      </w:r>
      <w:r>
        <w:rPr>
          <w:rStyle w:val="FootnoteAnchor"/>
          <w:rtl w:val="true"/>
        </w:rPr>
        <w:footnoteReference w:id="4263"/>
      </w:r>
      <w:r>
        <w:rPr>
          <w:rFonts w:ascii="Amiri" w:hAnsi="Amiri" w:eastAsia="Amiri" w:cs="Amiri"/>
          <w:color w:val="111111"/>
          <w:sz w:val="28"/>
          <w:sz w:val="28"/>
          <w:szCs w:val="28"/>
          <w:rtl w:val="true"/>
          <w:lang w:bidi="ar-SA"/>
        </w:rPr>
        <w:t xml:space="preserve">مِن 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علىٰ ذلكَ قولُ أبي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رَوَوا أشياءَ كَثيرةً لا يصحِّحُها أهلُ النقلِ ؛ مِثلُ حَملِه بابَ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النصَّ الذي نَذهبُ إليه أضعافُ عَددِ</w:t>
      </w:r>
      <w:r>
        <w:rPr>
          <w:rStyle w:val="FootnoteAnchor"/>
          <w:rtl w:val="true"/>
        </w:rPr>
        <w:footnoteReference w:id="4264"/>
      </w:r>
      <w:r>
        <w:rPr>
          <w:rFonts w:ascii="Amiri" w:hAnsi="Amiri" w:eastAsia="Amiri" w:cs="Amiri"/>
          <w:color w:val="111111"/>
          <w:sz w:val="28"/>
          <w:sz w:val="28"/>
          <w:szCs w:val="28"/>
          <w:rtl w:val="true"/>
          <w:lang w:bidi="ar-SA"/>
        </w:rPr>
        <w:t>مَن نقَلَ حَملَ بابِ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إلزامُه هذا يدُلُّ علىٰ أنّه يَعتقِدُ أنّا نَذهبُ إلىٰ أنّ النصَّ كُتِمَ حتّىٰ لَم يَنقُلْه أحَدٌ، و إلّاكَيفَ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فبأن يَرووا النصَّ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لَيسَ يَخلو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يَرووه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حَملَ بابِ خَيبَرَ، أو جميعَ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الأوّلَ‌، فهو يَعلَمُ أنّ مَن ادَّعَى الروايةَ مِن الشيعةِ في حَملِ البابِ‌</w:t>
      </w:r>
      <w:r>
        <w:rPr>
          <w:rStyle w:val="FootnoteAnchor"/>
          <w:rtl w:val="true"/>
        </w:rPr>
        <w:footnoteReference w:id="4265"/>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يَزعُمُ أنّ أهلَ النقلِ لا يُصحِّحونَها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روايةَ النصِّ‌، و يَجمَعُ بَينَ الأمرَينِ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الثانيَ‌، فلَيسَ ذلكَ فيما ذَكَرَه مِن حَملِ بابِ خَيبَرَ الذي</w:t>
      </w:r>
      <w:r>
        <w:rPr>
          <w:rStyle w:val="FootnoteAnchor"/>
          <w:rtl w:val="true"/>
        </w:rPr>
        <w:footnoteReference w:id="4266"/>
      </w:r>
      <w:r>
        <w:rPr>
          <w:rFonts w:ascii="Amiri" w:hAnsi="Amiri" w:eastAsia="Amiri" w:cs="Amiri"/>
          <w:color w:val="111111"/>
          <w:sz w:val="28"/>
          <w:sz w:val="28"/>
          <w:szCs w:val="28"/>
          <w:rtl w:val="true"/>
          <w:lang w:bidi="ar-SA"/>
        </w:rPr>
        <w:t>استَشهَدَ به و ألزَمَ عليه؛ لأنّا قد بيّنّا أنّه لَم يُجمِعْ عليه كُلُّ الرُّواةِ‌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انكشَفَ بجُملةِ‌</w:t>
      </w:r>
      <w:r>
        <w:rPr>
          <w:rStyle w:val="FootnoteAnchor"/>
          <w:rtl w:val="true"/>
        </w:rPr>
        <w:footnoteReference w:id="4267"/>
      </w:r>
      <w:r>
        <w:rPr>
          <w:rFonts w:ascii="Amiri" w:hAnsi="Amiri" w:eastAsia="Amiri" w:cs="Amiri"/>
          <w:color w:val="111111"/>
          <w:sz w:val="28"/>
          <w:sz w:val="28"/>
          <w:szCs w:val="28"/>
          <w:rtl w:val="true"/>
          <w:lang w:bidi="ar-SA"/>
        </w:rPr>
        <w:t>كلامِنا بُطلانُ ما حَكاه مِن شُبَهِ‌</w:t>
      </w:r>
      <w:r>
        <w:rPr>
          <w:rStyle w:val="FootnoteAnchor"/>
          <w:rtl w:val="true"/>
        </w:rPr>
        <w:footnoteReference w:id="4268"/>
      </w:r>
      <w:r>
        <w:rPr>
          <w:rFonts w:ascii="Amiri" w:hAnsi="Amiri" w:eastAsia="Amiri" w:cs="Amiri"/>
          <w:color w:val="111111"/>
          <w:sz w:val="28"/>
          <w:sz w:val="28"/>
          <w:szCs w:val="28"/>
          <w:rtl w:val="true"/>
          <w:lang w:bidi="ar-SA"/>
        </w:rPr>
        <w:t xml:space="preserve">أبي هاشِمٍ‌، و وَضَحَ </w:t>
      </w:r>
      <w:r>
        <w:rPr>
          <w:rStyle w:val="FootnoteAnchor"/>
          <w:rtl w:val="true"/>
        </w:rPr>
        <w:footnoteReference w:id="4269"/>
      </w:r>
      <w:r>
        <w:rPr>
          <w:rFonts w:ascii="Amiri" w:hAnsi="Amiri" w:eastAsia="Amiri" w:cs="Amiri"/>
          <w:color w:val="111111"/>
          <w:sz w:val="28"/>
          <w:sz w:val="28"/>
          <w:szCs w:val="28"/>
          <w:rtl w:val="true"/>
          <w:lang w:bidi="ar-SA"/>
        </w:rPr>
        <w:t xml:space="preserve">أنّ جميعَ ما أورَدَه غيرُ طاعنٍ علىٰ ضُروبِ النصِّ الذي نَذهبُ إليه، جَليِّها و خَفيِّها؛ و المِنّةُ للّٰهِ تَعالىٰ </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20015_285236"/>
      <w:bookmarkStart w:id="684" w:name="pg20015_285236"/>
      <w:bookmarkEnd w:id="684"/>
    </w:p>
    <w:p>
      <w:pPr>
        <w:pStyle w:val="Heading2"/>
        <w:numPr>
          <w:ilvl w:val="1"/>
          <w:numId w:val="1"/>
        </w:numPr>
        <w:rPr/>
      </w:pPr>
      <w:bookmarkStart w:id="685" w:name="pg20015_285236"/>
      <w:bookmarkStart w:id="686" w:name="__RefHeading___Toc895203_2320776876"/>
      <w:bookmarkStart w:id="687" w:name="_Toc243"/>
      <w:bookmarkEnd w:id="685"/>
      <w:bookmarkEnd w:id="686"/>
      <w:r>
        <w:rPr>
          <w:rtl w:val="true"/>
        </w:rPr>
        <w:t>فهرس المطالب</w:t>
      </w:r>
      <w:bookmarkEnd w:id="687"/>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الكلام على اعتراضه علىٰ ما حكاه من أدلّتنا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الكلامُ في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مناقشة الحجج التي أقامها صاحب الكتاب لإثبات 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عدم التلازم بين النهي عن اتّباع غير سبيل المؤمنين،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توجيه معنى الآية بناء علىٰ رفض دلالتها علىٰ وجوب اتّباع سبيل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عدم التلازم بين اتّباع غير سبيل المؤمنين، و بين الخروج عن سبيلهم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عدم وجوب ثبوت مؤمنين في كلّ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إبطال دلالة الآية علىٰ حجّيّة إجماع كلّ 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 سَبِيلَ مَنْ أَنٰابَ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عدم دلالة الآية علىٰ نفي الصغائر عن الشهداء العدول، بناءً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يسكن بحبوحة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الحجّة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نفي أن يكون جميع الصحابة قد اعتمدوا على الإجماعِ و خبرِه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بطلان الفرق الذي ذكره صاحب الكتاب بين أخبار الإجماع و أخبار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شدّة الحاجة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معرفةِ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عدم إخلال انقطاع نقل القرآن بكونه معجزاً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مناقشة ما استدلّ به صاحب الكتاب علىٰ عمل الصحابة بالإجماع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مناقشة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تمسّك الصحابة بالإجماع و خبره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إشارة إلىٰ حدوث العمل بالإجماع و عدم تقدّمه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مناقشة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تمسّك الصحابة بالإجماع لأجل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إلزام صاحب الكتاب بأنّ عمل الصحابة بالإجماع كان 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مناقشة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خطإ الصحابة في التمسّك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عدم رواية جميع الصحابة لجميع الأخبار أو أكثرها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مساواة حال أُمّتنا لسائر الأُمم في قبول الأخبار الصحيحة و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بطلان دعوى الاضطرار في معرفة صحّة أخبار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عَودةٌ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بيان المصنّف حول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تهافت كلام صاحب الكتاب في تأويل ألفاظ الحديث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المرجع في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أو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دلالة الحديث علىٰ حجيّة إجماع أهل عصر واحد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تهافت كلام صاحب الكتاب في استدلاله ببعض الآيات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حال الأُمّة علىٰ عدم اتّفاقهم علىٰ خطإٍ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تجويز الخطأ على الأُمّة لورود شبهة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عدم حفظ الشريعة بواسطة التواتر و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إشارة إلىٰ كيفيّة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بيان الحاجة إلى الإمام، حتّىٰ مع كون الشريعة واصلة بالتواتر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عدم مانعيّة غلبة الخوارج أو وقوع الغيبة، من حفظ الإمام للشرع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بيان الفرق بين وجود الإمام الغائب و بين عدمه،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بيان أنّ الاستدلال بالإجماع إنّما يصحّ عند عدم تميّز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الحافظ للشرع هو الإمام لا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بيان اعتبار التواتر و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بيان ما يثبت بالتواتر و ما لا يثبت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جواز الاعتماد على التواتر من دون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عند نفي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التقرير الأوّل لدليل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عدم المنافاة بين ثبوت معصومٍ تكون عصمتُه بالإمام، و بين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بيان استغناء المعصوم عن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 التكليف بالمعرفة للمعصومين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التقرير الثاني لدليل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تجويز حاجة المعصوم إلىٰ إمام في غير فعل الطاعات و تجنّب المقبّحات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نفي انحصار الحاجة إلى الإمام في أمور أُخرىٰ غير كونه لطفاً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بيان الفرق بين الإمام و الأمير في الحاجة إلىٰ إمامٍ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إعادة مختصرة لدليل عصمة الإمام، و بيان أنّ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إثبات عصمة الإمام حتّىٰ مع فرض عدم كونه حجّةً فيما يؤدّيه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جواز مشاركة الإمام لرعيّته في بعض الصفات، 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الإمامِ لبَيانِ دَلالةِ الكتابِ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اختلاف أدلّة الشرع من حيث الدلالة، و بيان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بيان الفرق بين بيان الرسول المتواتر و بيان الإمام لمن غاب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بيان كيفيّة المعرفة بمراده تعالىٰ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بيان أنّ الحاجة إلى الإمام ناشئة من وجود الاحتمال في الشرعيّات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عصمة الإمام للزوم الاقتداء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تقرير المصنّف لدليل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بيان معنى الاقتداء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بيان أنّ الإمام حجّة في جميع الشرعيّات و العقليّات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نقد كلام ابن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بيان الفرق بين الإمامة و إمامة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ضرورة وجود مزيّة بين الإمام و مَن هو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 يولّي و لا يولّىٰ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تفصيل المصنّف لدليل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دلالة كون الإمام ممّن يولّي، على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ضرورة وجود مزيّة بين الإمام و الرعيّة في باب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ضرورة وجود مزيّة بين الإمام و الأمير في باب الولاية و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كيفيّة دلالة نصّ الرسول على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الإمامة مستحَقّة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نفي أن تكون الإمامة مستحقّة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ما يدلّ عليه الاستحقاق و ما لا يدلّ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دفاع المصنّف عن القائلين بالاستحقاق من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ما اعتمده في دفع وجوب النصّ من جهة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مقدّمة في بيان الأدلّة علىٰ وجوب النصّ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الفرق بين الإمام و الأُمراء و غيرهم المستلزم لوجوب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بيان التسوية بين النبيّ و الإمام في بطلان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نفي ورود السمع علىٰ صحّة الاختيار في باب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مخالفة جماعة من أجلّة السلف في أصل الاختيار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إبطال ما طعن به علىٰ ما حكاه من طرقنا في وجوب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حجّةً و قائماً بمصالح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علىٰ صفةٍ لا طريق للاجتهاد فيها كالعصمة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الأدلّة العقليّة علىٰ ضَرورةِ كَونِ الإمامِ عالِماً بجميعِ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قبح الإمامة مع فَقْد العلم، سواء كان هناك سبيل لتحصيل العلم،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ضرورة كون الرسول عالماً بجميع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ضرورة علم الإمام بالأحكام، دون بواطن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بيان الفرق بين علم الإمام و علم الأُمراء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نفي أفضلية الإمام على الرسول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الفرق بين ولاية الإمام مع جهله بالأحكام، و بين ولايته 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بيان أنّ خطأ الولاة المنصوبين من قِبَل المعصومين كان عمديّاً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تأويل ما دلّ بظاهره علىٰ جهل أمير المؤمِنين عليه السلام ببعض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لزوم علم الأوصياء و الوكلاء بما فُوّض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وجه جواز رجوع العامّي إلى العالِم في الفتوىٰ ، مع تجويز الغلط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الأدلّة علىٰ أفضليّة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دلالة العصمة علىٰ أفضليّة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الاستغناء بدليل العصمة عن دليل كثرة الثواب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لزوم أن يكون الأُمراء و الحكّام أكثر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بيان الطريق لمعرفة أفضليّة الأُمراء و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شمول الدليل المعتمَد علىٰ أفضليّة الإمام للرسول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بطلان كون الأُمّة حافظة للشرع، مع تجويز الاتّفاق على الخطأ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عدم دلالة تولية بعض الصحابة علىٰ بعض،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جواز إثبات سلامة باطن الرسول و الإمام بدليلَين منفصلَين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بيان سبب لزوم سلامة باطن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من أركان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تقرير المصنّف للدليل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بيان الفرق بين الصلاة و الإمام في باب الاختيار و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بيان الفرق بين الإمامة و الكفّارات في باب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إلزام صاحب المغني القول بوجوب النصّ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إبطال ما دفع به ثبوت النصّ و ورود السمع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الكلام في النصّ و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الكلام في النصّ الجليّ ، و الطريق إلى إثبات تواتره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شروط 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تأثير الشروط المذكورة في العلم بصحّة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توفّر شروط التواتر في الجماعات المتوسّطة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إلى العلم بحصول شروط التواتر في الجماعة المخبرة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الطريق إلى العلم بحصول شروط التواتر في جميع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ثبوتُ شروط التواتر في نقل الشيعة للنصّ الجليّ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ثبوت شروط التواتر في جميع طبقات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الكلام في حصول العلم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عدم لزوم عموم العلم بالنصّ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عدم لزوم حصول العلم الضروريّ بالنصّ المتواتر لكلّ مَن سمعه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بيان حصول العلم الضروريّ بالنصّ الجليّ أو عدم حصوله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نفي حصول العلم الضروريّ من التواتر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عدم معذوريّة المنكرين للنصّ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اشتراط العلم الضروريّ بعدم السبق إلى الاعتقاد و عدم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جواز اختصاص العلم الضروريّ مع عموم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عدم سقوط التكليف و العذر مع ارتفاع العلم الضروريّ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جواز اختصاص العلم الضروري ببعض الأُمّة، و إن كان مصلحة لسائر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بيان شرط حصول العلم الضروريّ بالنصّ و عدم معذوريّة مخالفه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الكلام في النَّصِّ علىٰ إمامةِ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الوجوهُ الدالّةُ علىٰ فَسادِ النَّصِّ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علّة عدم احتجاج أمير المؤمنين عليه السلام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أقوال للشيخين دالّة على بطلان النصّ علىٰ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عدم مساواة البكريّة للإماميّة من حيث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إبطال دعوىٰ أنّ النصّ الجليّ ابتدعه أشخاص معروفون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الكلام في النصّ علىٰ إمامة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الوجوه الدالّة علىٰ فساد النصّ على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الكلام في موقف الصحابة من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بيان سبب إنكار بعض الصحابةِ النصَّ علىٰ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تجويز التسوية بين النصّ الجليّ و نصّ الغدير في كثرة السامعين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جواز العدول عن نقل النصِّ الجليِّ للشبهة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الوجه في عدم نقل أهل الملل النصَّ الجليَّ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اجتماع العلم بالنصِّ ، و المنازعة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نماذج من مخالفة سلوك بعض الصحابة للنصوص الدالّة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نفي دخول الشبهة على الصحابة المخالفين لأمير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عدم جواز القطع علىٰ بواطن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عدم دلالة التعظيم و الإكرام على السلامة في جميع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الكلام في كتمان النصّ‌، و مناقشة ما نقله القاضي عن أبي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جواز انقطاع نقل النصّ من قِبَل بعض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نفي حصول الاضطرار من النصِّ الجليّ‌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بيان الفرق بين دعوى الشيعة و البكريّة للنصِّ‌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بيان الاحتمال الصحيح من بين الاحتمالات الموجودة في نقل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عدم ورود ما ذكره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كتمان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عدم دلالة البيعة علىٰ بطلان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بيان الوجه في عدم الاحتجاج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جواب ما ذكره أبو هاشم من شواهد لأجل إبطال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بيان وجوه دخول أمير المؤمنين عليه السلام في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في بيان عدم دلالة صلاة أبي بكر علىٰ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ما يستحيل كتمانُه على الجماعة الكثيرة و ما لا يستحيل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تناقض كلام القاضي مع ما نقله عن أبي هاشم حول كتمان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ما يجب ظهورُه مِن أسباب الكتمان و ما لا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أسباب الكتمان و أسباب الافتعال من حيث الظهور و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الفرق بين كتمان الفرائض و الشرائع و كتمان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جواب ما أورده أبو هاشم الجبّائيّ من إشكالات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بيان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أخبار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ناقليها لا عدم حجّيّتها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بيان أنّ ضعف نقل النصّ لا يمنع من حصول العلم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عدم سقوط تكليف المخالف بسبب عدم علمه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بيان الفرق بين نقل رضا الناس بإمامة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النصّ الجليّ في شعر 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الفرق بين نقل الفضائل و نقل النصّ من حيث الكتمان و الإظهار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نقل حديث باب خيبر و نقل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 في الإجماع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عبَّرنا عنها بالحجّة كي لا تختلط مع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تقدّم بعضها و سوف يأتي باقيها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عليٰوجوب الإمامة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إيّاها و أثواه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يدلّ على اتّباع سبيلهم أنّه صواب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الجنس المضاف و الجمع المحلّىٰ باللام يفيدان العموم، فمعنى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مخالفة كلّ سبيلٍ ثابتٍ لأحد من المسلمين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أنّ مخالفة أحد المسلمين في المسائل الخلافيّة لازمة و إلّالزم اجتماع الضدّين، فالمراد النهي عن مخالفة سبيل كلّ مسلمٍ مع عدم لزوم مخالفة الغير من متابعته؛ و هذا إنّما يكون إذا كانت المسألة إجماعيّة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أنّه التزام تخصيص في السبل، و ليس ذلك بأهون و أسهل من ارتكاب التخصيص في عموم المؤمنين بجماعة لا تختلف أحكامهم و لا يتشاكسون بآرائهم، و هم 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فارتدّ إليه البصر خاسئاً و هو حسير، كما لا يخفىٰ على اللبيب الخبير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مجوّزاً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اللفظة ليست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المصنّف وجودَ لفظ في اللغة العربيّة يدلّ على الاستغراق، و لهذا المبنىٰ تعلّقٌ بمبناه في إنكار الوعيد، كما سوف يؤثّر هذا المبنىٰ علىٰ بعض استدلالات المصنّف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قوم إلىٰ أنّ جميع الصيغ التي يُدّعىٰ وضعها للعموم حقيقة في الخصوص، و إنّما تُستعمل في العموم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للعموم لفظ</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 إلى البيان في تفصيله و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 إلى البيان في تفسيره و تفصيله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بعض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إثبات أنّ الحمل على البعض غير صحيح غير مفيد هنا كثيراً؛ إذ الحمل عليه لا يضرّ السيّد قدّس سرّه؛ فتأمّل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أحقّ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سبيل يقتضي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حُمل علىٰ كلّ سبيل، يُحتمل أن يكون الوعيد على اتّباع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سبيل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كلّ واحد منها منفرداً؛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الحاشية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أنّ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حيث إنّ إضافة اسم الجنس تفيد العموم؛ لأنّ السيّد لا يسلّم ذلك، كما 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حينئذ راجع إلى الوجه الأوّل في نفي ألفاظ العموم؛ 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يتناول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يتناول اللفظة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لظاهرها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لظاهرها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المصنّف دلالة اللفظ عند الإطلاق على العموم، إلّابدليل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سوف يؤثّر هذا المبنىٰ علىٰ بعض آرائه في هذا الكتاب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سبيلهم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للدعوى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قبلها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عند المناقشة الثانية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الحقيقة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تتوجّه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بحر و 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تعلّقوا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جلّ و عزّ توعّد على اتّباع غير سبيل المؤمنين، و لم يذكر ما حال سبيلهم و هل يجب اتّباعه أو لا يجب، أو يكون حجّة أو لا يكون؛ فلا يدلّ ذلك علىٰ ما ذكرتم، خصوصاً مع قولكم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تعليق الحكم بصفة الشيء لا يدلّ على أنّ ما عداها</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 اتّباع سبيل المؤمنين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بالتحكّم هنا فرض الرأي بلا دليل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ناولناه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تتمّ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لا يتمّ معرفته إلّابمعرفة سبيل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عرف سبيلهم عرف ذلك الغير الذي يحرم عليه اتّباعه و ما حلّ هذا المحلّ ، فلا بدّ من أن يدلّ علىٰ أنّ سبيل المؤمنين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يختلف المعنىٰ ، غير أنّ ما في المتن أقلّ و أدلّ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 كلاهما معاً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طعامي و غير ما أبحتُه من ملكي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أكل غير طعامي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يجب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 كلاهما معاً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فكأنّه قال تعالىٰ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سبيلهم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هو خلاف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حظره فهو محظور، أي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إيجاب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فحواه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الإباحة و الحظر و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الإباحة و الحظر أو الإيجاب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المضمومة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ما نقوله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باتّباع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اتّباع سبيلهم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فغير مناف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فغير منكر أن يعلّق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أبي عليّ و أبي هاشم الجُبّائيَّين، فيما ذهب أكثر أصحاب الشافعي إلىٰ خلاف ذلك، فإنّهم اعتبروا مفهوم الوصف هاهنا حجّة، و أنّ القضية تدلّ علىٰ عدم وجوب الزكاة في الغنم المعلوفة بهذا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التلخيص في هذا المورد و الذي يليه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التي ترسل للمرعى و لا تحتاج إلى العلف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خالفناه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بحث المفاهيم من علم أُصول الفقه، و كان يسمّىٰ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أنكرالمصنّف حجيّة المفاهيم، مثل مفهوم الوصف، و الشرط، و الغاية، و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لمتعلّق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دُفِعوا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كلام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كونه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لتخرج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حثٌّ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بها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هاهنا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يكون دالاًّ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 متّبعاً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 قد بيّنّا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سبيل المؤمنين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فالاستدلال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أين أنّ في جملة الأُمّة مؤمنين لا محالة في كلّ عصر؛ لأنّه لا دليل لكم يدلّ علىٰ ذلك ؟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أُجيب عن ذلك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نفس الظاهر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يتوعّد اللّٰه تعالىٰ علىٰ ذلك توعّداً مطلقاً، أعني على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يتوعّد اللّٰه تعالىٰ توعّداً مطلقاً على العدول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اتّباع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اتّباع سبيل المؤمنين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 هذا إسقاط السؤال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 و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و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آياته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عبد السلام بن محمّد الجُبّائيّ ، و أبوه أبو عليّ محمّد بن عبد الوهّاب بن سلام الجُبّائيّ ، و يُطلق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رؤساء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عليّ الجُبّائيّ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ابنه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ذكره في الكتاب، و تقدّمت ترجمته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وجدوا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الوجه الأوّل في عبارة المغني السابقة، و قد أشرنا إلىٰ عبارة المغني الكاملة في الهامش هناك،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الحديث المروي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ظاهِرين على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 اسمه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نصّه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أتدلّ الآية علىٰ أنّ إجماع كلّ عصر حجّة ؟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لأنّها تقتضي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سبيل المؤمنين، و ليس يخصّص وقت من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الشافي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يخصّ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تعمّ أيضاً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خصوص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المحقّق في الهامش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موجوداً في أصله و لكن حذفه باعتقاد أنّه زائد باعتبار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المقصود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أشكل عليه شخصٌ مثل صاحب الكتاب، قلنا نحن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 قال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الوجوه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على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أَنٰابَ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الإنابة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الوسط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يكون هذا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عدل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يوصف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 خالفنا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الكتاب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فساغ</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و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عدلنا بالآية إلى الإمام المعصوم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تمييزه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يستحقّ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يستحقّها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ليس بأن يتناول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إطلاق القول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 الآية بكلّ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كلّ عصر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يُنكر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يشهدوا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 واحد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فليشهدوا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يصحّ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التلخيص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المؤمنون جميعاً في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جميع أهل الأعصار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 في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في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باقي الأُمم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أراد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للنسخ و التلخيص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البعيد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جماعة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 أعني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و قوله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وقوع صغيرة منهم التي لا تسقط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العدالة لغةً مأخوذة من العدل و هو الاستقامة، و عرّفها الفقهاء بأنّها ملكة اجتناب الكبائر و عدم الإصرار على الصغائر، أو إتيان الواجب و ترك المحرّم، أو مجرّد ترك المعاصي عن ملكة، أو خصوص الكبائر منها، و غير ذلك من التعريفات التي تختلف لفظاً و تتقارب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أخذها الفقهاء شرطاً في المفتي، و القاضي، و إمام الجماعة، و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بالعلم الوجداني من أيّ أسبابه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بالبينّة العادلة، و الشياع المفيد للعلم، و حسن الظاهر، و بالوثوق و الاطمئنان الحاصل من علم و معرفة، لا كتسرّع بعض الجهّال الذين سرعان ما يثقون، ثمّ يرجعون بأدنىٰ عارض من الشُّبه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يكن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لجميع النسخ و التلخيص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لجميع النسخ و التلخيص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فسقط بما ذكرناه تعلّق المخالف بالآية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 و عزّ جعلهم كذلك ليكونوا شهداء 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للمغني و المطبوع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يُعرف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الأمارات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صحّ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بغالب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جلّ و عزّ لو تولّىٰ نصب الإمام لوجب أن يكون الشرائط التي نعتبرها ظنّاً حاصلة فيه علىٰ طريق القطع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قلنا ليسوا بحجّة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يلزم أن يكونوا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يلزم الاحتجاج به، و لا أن يكونوا حجّة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رسخوا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خرج 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خرج بشهادتهم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مقتضية الخروج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 و يفعله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انتفاء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انتفاء الكبير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قياس الأولوية؛ أي إذا كانت الصغائر جائزة على النبي صلّى اللّٰه عليه و آله و لم تخلّبعصمته، فعدم منافاتها لعدالة غيره أولى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صحّ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فيما بعد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يقطع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لو 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لو لم يكن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أعمالهم و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أعمالهم و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أقوالهم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خالفهم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للنسخ و الحجري و التلخيص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تمييز خطئهم من صوابهم علينا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جلّ و 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لِتَكُونُوا شُهَدٰاءَ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بذلك أداء الشهادة في الآخرة، و إنّما المراد بذلك قول الحقّ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للمغني و التلخيص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قٰائِماً بِالْقِسْطِ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تشهد الجوارح، ليكون اللطف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 ذلك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للتلخيص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27267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8665</w:t>
      </w:r>
      <w:r>
        <w:rPr>
          <w:rFonts w:ascii="IRNazanin" w:hAnsi="IRNazanin" w:eastAsia="IRNazanin"/>
          <w:b w:val="false"/>
          <w:b w:val="false"/>
          <w:bCs w:val="false"/>
          <w:i w:val="false"/>
          <w:i w:val="false"/>
          <w:iCs w:val="false"/>
          <w:color w:val="333333"/>
          <w:sz w:val="20"/>
          <w:sz w:val="20"/>
          <w:szCs w:val="20"/>
          <w:rtl w:val="true"/>
        </w:rPr>
        <w:t>، مع اختلاف في الألفاظ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توجب الظنّ 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الأُمّة قد تلقّتها بالقبول و عملت بها؛ لأنّا أوّلاً لا نسلّم أنّ الأُمّة كلّها تلقّتها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سلّمنا ذلك لم يكن أيضاً فيها حجّة؛ لأنّ كلامنا في صحّة الإجماع الذي لا يثبت إلّابعد ثبوت الخبر، و الخبر لا يصحّ حتّىٰ يثبت أنّهم لا يجتمعون على خطإ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لحظنا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تجتمعوا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حيث هو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فهو كالمجمل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 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للحجري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ثانياً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يوجبه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منفرداً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الضلال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ما ذكرناه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في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يدلّ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لسائر النسخ و الحجري و التلخيص و المغني و أكثر المصادر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التلخيص،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للتعريف أو للاستغراق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لتعريف أو لاستغراق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اللفظ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لاندراج الجميع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ادّعاء اختصاص جماعة دون أُخرىٰ تخصيصٌ بلا مخصّص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ادّعاه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ينصر القاضي عبد الجبّار الاستدلالَ بالخبر الأخير فقط بعمل الصحابة و التابعين، بل نصر كلَّ الأخبار المذكورة أخيراً بعمل الصحابة و التابعين، أي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خطإٍ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اللّٰه 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فالظاهر أنّ الصحيح في عبارة المتن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نصرة الاستدلال بالأخبار التي ذكرناها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ألفاظ الأخبار الدالّة علىٰ حجّيّة الإجماع، و التي تقدّمت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متعارف ظاهر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 الصحابة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الصحابة بإجماع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 الصحابة بإجماع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الصحابة إجماع الأُمّة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ادّعاؤه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نعلم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هو أبو إسحاق إبراهيم بن سيّار بن هاني البصري، أحد أئمّة المعتزلة؛ و قد مرّت ترجمته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ذلك ممّا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ذلك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ما عدّدناه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يستوي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ندفع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هذه الأخبار كانت متواترة في زمن الصحابة و التابعين و مَن قاربهم، ثمّ صارت في زماننا أخبار آحاد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يأمنوا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بتزايد الأيّام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تتناقض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تفارق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الآحاد في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اعتدل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 بينهم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 العمل بينهم بها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تمادىٰ في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دام علىٰ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يتجاوز الحدّ في الأمر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لكلّ أحد من أن يجيب بمثله إذا سئل عن كثير من أخبار الزكوات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قدتقدّم نصّه قبيل هذا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ما 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شدّة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باضطرار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للعلم به و بنبوّته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بالوجه الآخر هو عمل الصحابة بمفاد خبر الإجماع، فإنّ عملهم سيكون هو الدليل علىٰ حجيّة خبر الإجماع، بعد أن صار هذا الخبر من أخبار الآحاد في زماننا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يمسّ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يشتدّ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العجيب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مبهم، أي لا يُعرف له وجه و لا 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استبهم عليه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جاء بكلام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بالضعف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تنقل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 عليها في 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صاحب الكتاب هنا علىٰ ما تقدّم من تمسّك الصحابة بالإجماع و خبره، و دلالة ذلك علىٰ صحّة خبر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قدّم لذلك ثلاث مقدّمات، و سوف يقوم المصنّف بمناقشة هذه المقدّمات كلّها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تمسّكوا بالإجماع لأجل الخبر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لقويّ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أجروا الإجماع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 أمثال الإبر، و الخرط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تقبض علىٰ أعلاه ثم تمرّ يدك إلىٰ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 يضرب للشيء صعب المنال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هو ممّن يعترف بعمل الصحابة بخبر الإجماع، و لا هو ممّن يدفع الضرورات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قريب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يعضده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يعضده الدلالة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يدلّنا عليه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بن إبراهيم البصري، من أكابر علماء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أبي علي بن خلّادأوّلاً، ثمّ أخذ عن أبي هاشم، و هو أُستاذ صاحب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بلغ بجدّه و اجتهاده ما لم يبلغه غيره من أصحاب أبي هاشم، و كانت له شهرة واسعة، و له عدّة مؤلّفات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يميل إلى أمير المؤمنين عليه السلام ميلاً عظيماً، و صنّف كتاب التفضيل و أحسن فيه غاية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البصرة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ببغداد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نقطع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المدّعىٰ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المغني قبل ذلك،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وجب</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متعالم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نحيل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أظرف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قد علم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يعظم الوزر فيه و الخطأ</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الاستئذان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مجلس من مجالس الأنصار إذ جاء أبو موسىٰ كأنّه مذعور،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استأذنتُ علىٰ عمر ثلاثاً، فلم يؤذن لي، 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ثلاثاً فلم يؤذن لي فرجعتُ ، و 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استأذن أحدكم ثلاثاً فلم يؤذن له فليرجع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لتقيمنّ عليه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منكم أحد سمعه من النبيّ صلّى اللّٰه عليه و سلّم ؟ فقال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يقوم معك إلّاأصغر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أصغر القوم، فقمتُ معه، فأخبرتُ عمر أنّ النبيّ صلّى اللّٰه عليه و سلّم قال ذلك</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تثبت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يظهرون الإطباق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يطبقون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حملهم ذلك على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جمعهم علىٰ ذلك العلم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بصحّة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تارة يكون بعض الأخبار الباطلة يشبه الحقّ شَبَهاً ضعيفاً و تكون الشبهة فيه ضعيفة، فيتوقّفون فيه، و أُخرىٰ يكون شَبَه ذلك البعض بالحقّ قويّاً و تكون الشبهة فيه قويّة، فيعتقدون صحّته علىٰ نحو الخطإ</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فساد ذلك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تثبت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نفسه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يكون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يعدّ باطلاً قوله، واضعاً القول في غير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يعتقده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موضعه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يقوىٰ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نعتقده و نفعله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يجعل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يحكموا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أخبار الإجماع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تنتهي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قريب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الدليل الثاني علىٰ أنّ تمسّك الصحابة بخبر الإجماع يدلّ علىٰ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الطريقة الأُولىٰ في 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لم يتعرّض المصنّف لمناقشتها، لكنّه سوف يشير إليها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 قد مضىٰ في كلامه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مسائل تكلّم فيها أبو هاشم الجبائي علىٰ نقض مذاهب البغداديّين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أُصول الدين،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رحمة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المغني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أكثر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تخريج هذا الحديث فيما تقدّم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 و حاله ما ذكرناه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أطال التفكّر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 و أن يقفوا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يردّوه و يقفوا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نظير ما تقدّم في المقطع السابق المنقول من المغني حول سلوك الصحابة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لم ينكروه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ضرر يندفع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ضرر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الليّن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و الطين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ثمّ أُطلق علىٰ كلّ ما يُقتَنىٰ و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يكون الحال و المال كلّ ما يُملك من نقد و غيره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يجمع؛ و لَمَّ الشيءَ يَلُمُّهُ لَمّاً، أي جمعه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انتشارالأمر و خَلَلُه؛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شَعَثَه، أي جمع ما تفرّق من أُموره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أهل المجمع جميعهم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يدّعيه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تقدّم في المقطع قبل السابق المنقول من المغني، و المتعلّق بسلوك الصحابة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الرواية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الباقون يخضعون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الباقون مجتمعون فيسلِّموا 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المورد الذي يليه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يفعلونه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شريعته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ينقصوه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ينقصوا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ينقص فيما ذكرناه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الفصل أو المقطع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يمسك</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يعادي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طمعوا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الصحابة مشاهدين 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بعض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هي الطريقة الأُولىٰ التي تقدّمت الإشارة إليها في الهامش قبل عدّة صفحات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يكونوا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باستدلال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لشيخنا أبي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طريقتين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ما ذكره في مواضع من أنّ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بعدهم صحّ عنهم أنّهم احتجّوا علىٰ صحّة الإجماع بالخبر المروي في ذلك، فلا بدّ من أن عرفوا صحّته بأحد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يكونوا سمعوا ذلك عنه صلّى اللّٰه عليه، و اضطرّوا إلى أنّه قاله بخبر غيرهم، أو علموا ذلك بالاستدلال من حيث خبّرهم به جماعة لا يجوز عليها التواطؤ</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يحقّق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أشرناه الذي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نؤمنك</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كسماعهم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يسمعوه بأسرهم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يسمعه جميع الصحابة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إلّاصحّ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مثل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امتناعها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غير أُمّتنا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العادة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نعرف مثلها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يثبت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يعثر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أبطلنا بذلك</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كالمتسلّم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الاجتهاد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اعتقاد باطل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المراعاة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يتديّن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هاشم الجبّائي، و نقض الإلهام من كتبه، و قد أرجع القاضي إليه في موارد أُخرىٰ أيضاً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أخبار الإجماع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و الشَّغَبُ و التشغيبُ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 و الفتنة و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الشيء، و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يستحسن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يستندون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صحّة أخبار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صحّة الأخبار التي يُسندون إليها الإجماع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لأنّ ذلك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المصنّف كان يُنكر حجّيّة المفاهيم، و هو البحث الذي كان يُسمّىٰ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يستفيده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يدلّ عليه العقل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النظر و الفكر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نستفد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هذا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يتّفقون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يلطف اللّٰه تعالى المكلّف في القبيح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يستفسده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يميّز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سائل عن ذلك قد سأل من حالهم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هذا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الخطأ</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يجتمع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فبعيد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النهي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كانت بالرفع فهو إخبار عنهم، و إن كانت بالجزم فهو نهي لهم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عمّا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هذا بما قاله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يجتمع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ممّن كان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كلٌّ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وقت حجّة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لظاهر اللفظ و منطوقه، و لخصمه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مُطَرِّقاً، أي مُدخِلاً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بصحّة إلزامنا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لصحّته إلزاماً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عصر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نعرف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مذهبهم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يحترز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آخر أقامه البعض علىٰ حجّيّة الإجماع، و قد ناقشه صاحب الكتاب و لم يرضَ به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الصغيرة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النبيّ صلّى اللّٰه عليه و آله لأنّهم يجيزون عليه فعل الصغائر من الذنوب، و نحن نبرأ إلىٰ اللّٰه و إلى رسوله من هذا الاعتقاد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 من الصغير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سلكنا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إشكال المصنّف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كَذٰلِكَ جَعَلْنٰاكُمْ أُمَّةً وَسَطاً لِتَكُونُوا شُهَدٰاءَ عَلَى النّٰاسِ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الاثنين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وصفوا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أفعالهم و أقوالهم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أفعالهم و أقوالهم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كتمييز بعض</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لا نعلم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 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يجوز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غيرهم تميّز بعينهم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استدلّ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لمن استدلّ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طريف؛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لِتَكُونُوا شُهَدٰاءَ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تعالىٰ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تَنْهَوْنَ عَنِ الْمُنْكَرِ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نستدلّ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أنّهم أيضاً شهود بكلّ أمر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طريقة لهم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يمنع من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شهوداً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تارك بظاهر عموم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تارك لعموم القول بظاهره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العموم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إجتماعهم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أنكر صاحب الكتاب أيضاً دلالة هذا الدليل علىٰ حجّية الإجماع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المغني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على ذلك محقّق المغني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يقرأ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لكن اشتباهها بالراء في خطّ الناسخ قويّ ، و ما هنا مناسب للسياق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أنفهم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ظنّوا أنّها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الوجه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حينئذ</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ليتثبّتوا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نجده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المغني، و قد تقدّم قبل قليل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يمنع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نقله المصنّف رحمه اللّٰه من كلام القاضي عبد الجبّار في الإجماع، و قدحذف ما لا يتعلّق بمراده منه، و تجده كاملاً في المغني،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حكاية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منتسباً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تحفظ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تثبت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يثيران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اشتباهه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فمتىٰ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الكتاب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القول بأنّ الشريعة يمكن أن تكون محفوظة بالتواتر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سائل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مراقباً لتلافي ما يعرض</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خطأ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يعرفوه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معاً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تنتهي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الشريعة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ذكرناه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ذكرناه دليل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علي الجبّائي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المانع من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الأمان من أنّه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نستغني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نطلب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كون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اللوم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لو فعل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أوتوا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جهتهم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السماء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نجعل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مميّز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زائل عنّا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 هي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 في قوله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اللفظ</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نستعمله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بالتصحيح</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نعرف قولَ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لضمِّ غيرهم إليهم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 أن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الخبر، أي عَدَّه سالماً من الطعن و الخدش</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 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اجتماعهم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دخولهم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يبتدئ</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لفائدته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يناوله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الابتداء بالاستدلال بإجماع النصارىٰ أو اليهود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مذاهبنا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يتعاطى كذا، أي يخوض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فرضناه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ضمّ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لهم أُخرى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كلّ حال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ألحقنا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بمنكر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 من ورائهم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يكون وراءهم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 الكذب جواز الكتمان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نميّزه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يطعن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شديد الشوق إلى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متسوّف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للمعارضة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بالسيّئ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المتواترة منه، و يعلم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قدّمنا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ينتقل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أجمعت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كتاب الحدود، باب رجم الثيّب في الزنى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عمر بن الخطاب و هو جالس على منبر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بعث محمّداً صلّى اللّٰه عليه و سلّم بالحقّ ، و أنزل عليه الكتاب، فكان مما أنزل عليه آية</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بالراح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بالثقة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المتضاربة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يثبت التواتر فكيف نعلم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كيف يعلم من جهة الإمام ما يتحمّله من الشرع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 و هو الكذب على الغير، مأخوذ من الحيرة؛ لأنّ المكذوب عليه إذا سمعه تأخذه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تراه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واضح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أعمّ من العلم و الجهل و التقليد و التبخيت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يقتضي سكون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أخصّ من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المتكلّمون لا يذكرون الاعتقاد في تعريف العلم مع تصريحهم بأنّ العلم من سنخ الاعتقاد؛ و ذلك لأُمور ذكروها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واضح</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دعوى سائر مخالفينا من المجبرة و غيرهم من المبطلين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لهم أُخرى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الزمان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المغني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يقيمون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المغني، و قال محقّقه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يظهر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المورد القادم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عدم سواده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 و 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بارتفاع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جواز 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جواز الخطأ و فعل القبيح</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لحصول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انتهاء أمر الرئاسة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بنيتم الكلام على أنّ المعصوم لا يجوز أن يحتاج إلى الإمام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التقدير الذي قدّرته لو وقع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المعصوم لا يحتاج مع عصمته إلى الإمام؛ لأنّ من كانت بالإمام عصمته لم يحتج إلى الإمام مع عصمته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احتيج</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يستقرّ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الإمامة مع حاجته إلى الإمامة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اعتمدناه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موافقتك</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دلّلنا على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علّلنا وجوب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بحاجة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تقديرك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الإمام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معرفته تعالى واجبة لأنّها لطف في أداء الواجبات و اجتناب المقبّحات، كما يقول به القاضي عبد الجبّار في شرح الأُصول الخمسة،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لعصمتهم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ننكر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تتكامل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تتكامل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يجب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ثبت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للحقّ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تتكامل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يستدلّ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يعلم من دين النبيّ صلّى اللّٰه عليه و آله ضرورة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تميّز</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تتكامل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شروط التكليف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دين النبيّ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تكامل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مانع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الأُمور الضروريّة غير الاكتسابيّة لا يتعلّق بها تكليف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سقوطه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ذهب إلى أنّها اكتساب من أهل الحقّ ، لا شبهة في قطعه على وجودها، و أنّها لا تتبع في الزوال زوال العبادات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أثنائها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رتّبته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يعلم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فعل الواجب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النافي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بجهة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أقوالنا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قصودنا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مذاهبكم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يمنع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الوجهة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يستغني بعصمته عنه بأن يكون لطفاً له في الامتناع عن القبيح، و لكنّه لا يستغني عن تعليمه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باب مدينة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توقيفه على ما يختصّ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استغنيا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 و 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مفارقته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يفارق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المنصوب من قِبل الإمام في بعض الجهات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حُكيَ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حكاية شيء و الكلام على غيره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إمامه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إمام الجميع و رئيس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الكلّ و رئيس الجميع</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ألزمنا حدّ حال الإمام إلى حال الأمير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يستلزم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عبارة المغني المتقدّمة في بداية البحث عن دليل عصمة الإمام، حيث قال القاضي هناك عند حديثه عن الأمير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أحدث حدثاً وجب عزله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عزل الإمام و استبداله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إلىٰ عبارة المغني المتقدّمة و التي أضفناها إلى المتن و وضعناها بين معقوفين، حيث قال القاضي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فرق بين أن يقال في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عند الحدث مستبدلٌ به، و بين أن يقال 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عند الحدث يُقام غيرُه بدلاً منه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 أن يكون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يذكر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بداية الجزء الرابع من هذا الكتاب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ما قد أوردناه متقدّماً كفاية في إبطال ذلك</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لا يصحّ لأنّه يوجب أن يتعطّل الحدّ، أريناهم خلاف ذلك من حيث إذا نصب إمام آخر أقام هذا الحدّ، كما قالوه في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أنّا قد بيّنّا أنّ في الحدود ما يتعطّل عند العذر و غيره، فما الذي يمنع من أن يكون هذا من جملته ؟ و إذا جاز إثبات إمام معصوم عندهم و هو مغلوب بالخوارج و غيرهم و لا يقيم الحدود و لا يؤدّي إلى فساد، فما الذي يمنع ممّا يلزم مَن كان إماماً في الحدود مثله ؟ فإذا كان في هذا الزمان الحدود عندهم معطّلة و لا يؤدّي إلى فساد، فما الذي يمنع مثله فيما سألوه عنه ؟ على أنّ الذي 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 على ما في المغني، بينما الذي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دعوى</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دعوىٰ عصمة الإمام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 منه و لم يحصل من أحد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تمنع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نعتبره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يبين، أي لا يفترق</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لا يتبيّن من أُمّته و لا يوجب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ذا الذي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تكن هذه حاله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يكن حجّةً فيما يؤدّيه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مؤدّياً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يستغني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لئلّا يخرج</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عصمة الإمام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يصل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ننفي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كحاله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رعيّته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احتاجوا إليه من أجله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يقض</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يناقض</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ظننته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يلزم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نجعله محالاً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تدفع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تلتزم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نجعل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يثبتوا طريق ذلك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تُجعل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مقيم الحدّ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عليه الحدّ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جميع الخلفاء للأئمّة عندنا نحن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شبهة لهم أُخرىٰ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لأنّها تحتمل عدّة وجوه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المسلمون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الكريم آيات محكمات و أُخر متشابهات؛ فالمحكم هو ما عُلم المراد بظاهره من غير قرينة تقترن إليه و دلالة تدلّ على المراد به لوضوحه؛ 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يَظْلِمُ النّٰاسَ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يَظْلِمُ مِثْقٰالَ 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يحتاج في معرفة المراد إلى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المتشابه ما لا يُعلم المراد بظاهره حتى يقترن به ما يدلّ على المراد منه، 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أَضَلَّهُ اللّٰهُ عَلىٰ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يفارق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أَضَلَّهُمُ 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إظلال السامري قبيح، و إضلال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حكمه بأن العبد 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بقبيح بل 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 المحكم و المتشابه بتعاريف أُخرى أكثرها يختلف لفظاً، و يتقارب معنىً ؛ يُنظر في ذلك التبيان للشيخ الطوسي عند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أَنْزَلَ عَلَيْكَ الْكِتٰابَ مِنْهُ آيٰاتٌ مُحْكَمٰاتٌ هُنَّ أُمُّ الْكِتٰابِ وَ أُخَرُ مُتَشٰابِهٰاتٌ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يحتمل عدّة وجوه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خلاف فيه و في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خلاف فيه و لا في وجوده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فيه أغنىٰ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يخلّ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يخلّف، أي لم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 الأعظم،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يقترح</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شريعته صلّى اللّٰه عليه و آله خاتمة الشرائع، فتعمّ جميع البشر بعد وفاته، كما هي لجميع البشر في حياته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لترجمة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يثبت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 أن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يعرف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نكشف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لمخارجه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الإمام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الإمام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أتبعهم؛ و كلّ شيء تبع شيئاً فهو 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يُولّي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لإجمال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كانت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ثابتاً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الناقلين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يرعاه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يؤمن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المنقول إلى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 المراد بالكتاب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نعلم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نعرف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يمكن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لمراد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باضطرار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يعلم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متطابق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أزمان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 القرآن و الدين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بيّنوا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جاز في الإمام الذي هو أعظم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إمامة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زكي مبارك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هو اللقب الاصطلاحي لعليّ بن أبي طالب، فإذا رأى القارئ هذا اللقب في كتاب قديم من غير نصّ على اسم فليعلم أنّ المراد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القاضي عبد الجبّار عادته في المغني إطلاق هذا اللقب و لا يريد به إلّاالإمام عليّاً عليه السلام، كما يظهر ذلك بحسب مقتضىٰ كلامه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ذهبنا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أفصحنا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في المغني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تكلّف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إلزام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يأمن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من أجل عمل الإمام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بالإقرار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الإمام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يفسد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نعرف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 به أيضاً صوابه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التقرير</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عرف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لجاز أن لا يكون الإمام يتصرّف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قوله حجّة فيه أو فعله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نتخطّىٰ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نخطّي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نسلّم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يلزم إلّامن جمع</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معصوماً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أ تلزم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الأمر و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الآمر و المبلغ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الحسن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يمكن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تلزم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بيّنّا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يلزم المأمور في الصلاة أن يتبع الإمام اذا يعلم صلاته فاسدة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الفتوىٰ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بمعصوم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يؤمّ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ينقاد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بين 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يدعو إليه السياق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آنفاً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الزمان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بإبطال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اعتبار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اثنين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يلقّبا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اللقب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يولّىٰ عليه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تلزمه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كلّ زمان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زدت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فنبين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اعتمد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ذكرنا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الأمير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الشيئين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الاعتلال له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للاعتلال مذهباً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تحسن ولايته و من تكون ولايته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ذلك سبيل</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الإمام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يؤخذ علىٰ يده، و يجب علىٰ غيره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العبارات موجودة في جميع النسخ و الحجري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تلزمه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أثبت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يأخذ</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جاز أن لا يكون علىٰ يده 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جاز أن لا يأخذ علىٰ يده أحد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هنا كلام القاضي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كلام القاضي عبد الجبّار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حقّه أن يولّي و لا يولّىٰ ، فمتنازع فيه؛ لأنّ عندنا أنّه يولّىٰ و يُنصّب كالأمير، و أنّ أهل الصلاح و العِلم ينصبونه إماماً، فكيف يصحّ مع هذا الاختلاف أن يعتمدوا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صحّ أنّ الإمامة ثبتت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نقلاً بالمعنىٰ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إفساد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إفساد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صحّ أنّ الإمامة ثبتت بالنصّ ، فلذلك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يولّىٰ ، و إنّما يفارق حال الأمير بأنّه يولّىٰ بعد الموت و الأمير يولّىٰ في حال الحياة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يتكلّموا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الدالّ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إذا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يطعن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تعالىٰ إذا ألزمنا أن لا نقيم إلّامَن يغلب على الظنّ مِن حاله أنّه صالح لا يغيّر و لا يبدّل، فلابدّ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علمنا ما حاله ذلك بدلاً من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يلزم أنْ لا نقيم إلّا مَن</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يجعل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رأتك</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ثبت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التولية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العصمة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أردنا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يزول و يثبت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بعصمة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بعصمته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فيه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ذكرناه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كونه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كونه يأخذ علىٰ 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كونه لا يؤخذ على يده و يأخذ على يد غيره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 و 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ينهونه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يتجافونه، أي يتباعدون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يتخافونه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يعتذرون منه أن يطلقوه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تقدّم و صرّح به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تلزمهم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نعلم أنّه لو ارتفعت المزيّة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لا مزيّة 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خليقته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 لما يقوم به الأُمراء</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أقرّ به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تجب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إمام الجميع، و هو المعصوم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معصوماً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المقطع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لردّها إلىٰ نصّ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 الرسول عليه السلام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على الوجه الذي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الوجه الذي راعيناه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سقطت بداية هذا الدليل من المغني المطبوع، و لذلك بَدا للناظر أنّ صاحب الكتاب قدأورد ثلاثةَ عشر دليلاً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في الحقيقة قد أورد أربعة عشر دليلاً تماماً كما هو موجود هنا في نسخ الشافي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شبهة لهم أُخرىٰ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أُخرى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المغني المطبوع</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هذا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الإماميّة حول أنّ النبوّة و الإمامة تفضّلٌ أو استحقاق ؟ فذهب جمهورهم إلىٰ أنّهاتفضّلٌ من اللّٰه تعالىٰ علىٰ من اختصّه بكرامته؛ لعلمه بحميد عاقبته و اجتماع الخِلال الموجِبة لتفضيله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ذهب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بنو 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أنّها مستحَقَّة للنبيّ و الإمام لأعمالٍ متقدّمة قاموا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اختار المصنّف رحمه اللّٰه، و مِن قَبله الشيخ المفيد القولَ بالتفضّل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مستحقّان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سنذكر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جوّز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تُستحقّ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يزيد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الطاعات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طاعات من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الطاعات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ذهب من الإماميّة إلىٰ أنّ الإمامة مستحقّة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بأعمالٍ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ذهب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الإمامة مستحقّة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بين قولكم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الذي يقوم به الأمير هو الذي يقوم به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الذي يقوم به الإمام هو ما يقوم به الأمير ظاهراً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دليل الاستحقاق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منع السمع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بمذهب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تقصّي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نقص</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ما بين المعقوفين من المغني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مَن ذهب إلىٰ الاستحقاق من الإماميّة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رسول اللّٰه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فاصل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النصّ و وجوبه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يقدّم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مناقضة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الكتاب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طريق العقول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فيستفاد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عليها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الدليل مرويّ عن أئمّة أهل البيت عليهم السلام؛ فقد روي عن الإمام عليّ بن الحسين</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الاختيار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يجري مجرىٰ تكليف ما لا يطاق في القبح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لاتّحادهما في الملاك، و هو التكليف بغير المقدور عقلاً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لا يجوز</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المختارين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المختارين للإمام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يختارون إلّامعصوماً و</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الحال أنّه لا دليل علىٰ عين الإمام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 باختيار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في المتن مطابق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متعدّدة من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أنكرتم قول مُويس بن عمران و من تبعه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يجوز أن يكلّف العبد أن يفعل باختياره إذا علم أنّه لا يختار إلّاالصلاح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ينفصلوا في ذلك عمّا حُكي عن مُويس بن عمران أنّه جلّ و عزّ يجوز أن يكلّف أن يعمل العالم على ما يقع في خاطره و يختاره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طبقات المعتزلة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الطبقة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هذه الطبقة مويس بن عمران الفقيه، ذكر أبو الحسين أنّه واسع العلم في الكلام و الفتيا، و كان يقول بالإرجاء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في أُصول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فرق بين مَن ارتكب ما حكيناه و بين مَن لم يرتكبه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مستسرّاً به، أي مستخفياً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 استدلّ به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كثرة الثواب، فيكون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أعلاهم منزلة في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عطفاًتفسيرياً لِمَا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هذا المجلّد،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الدليل الأوّل المتقدّم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العقل غير موجب لهذه الأحكام أن تثبت في كلّ حال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شرط</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اضطلع به، أي قوي و قدر عليه و نهض و قام به مع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 و هكذا في الموارد الآتية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فجائز</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أن يكون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ما ذكرناه أنّه قدثبت بالشرع أنّ الصلاح في إقامة الأُمراء و العمّال و الحكّام أن يكون على اجتهاد و اختيار بَعد معرفة الصفة، فكذلك لا يمتنع مثله في الإمام؛ لأنّ ما يمنع منه أن يثبت إلّابنصّ يوجب مثله في الأُمراء و العمّال و الحكّام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بالعصمة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و بينهم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قول صاحب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أنّا قد علمنا أنّ الذي يقوم به الإمام من إقامة الحدود و تنفيذ الأحكام لا يتمّ إلّابالشهود، و قد صحّ أنّ النصّ علىٰ عينهم غير واجب، و أنّه لا يمتنع أن يكون الصلاح أن يبيّن صفتهم و يجعل الاجتهاد إلى الإمام، فما الذي يمنع من مثل ذلك في الإمام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إشارة إلىٰ قول صاحب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الواجب على الإنسان عند حضور الموت أن يوصي بما يتعلّق بمصالح دينه و أمر مخلفيه إلىٰ غيره، و قد جعل الأمر في ذلك إلى اختياره و اجتهاده بعد ما بيّن له الصفة التي لا يجوز أن يعدل عنها، و كذلك القول 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الذي</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البعثة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يتأتّىٰ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وجب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جاز ثبوت الإمام بغير نصّ يقع به التعيين، لم يمتنع مثله في النبيّ بأن يُجعل كونه نبيّاً بالاجتهاد و الاختيار؛ فإذا امتنع ذلك وجب مثله 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له يجب في الرسول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كونه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قبل قليل نصّ هذا الإشكال من المغني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سويت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كونه حافِظاً للشرع و مؤدّياً له إلينا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التعبّد بالأحكام الشرعيّة، فإنّه لا يثبت إلّابالسمع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كلام المصنّف رحمه اللّٰه حول ذلك في كلامه على الدليل الثالث المتقدّم في هذا الفصل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ادّعاؤه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تُدّعىٰ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يثبت إمامته و يصحّ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وعدنا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الأمر العظيم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لتصرف</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بهم أمير المؤمنين عليه السلام و المنحازين إليه يوم السقيفة، كالزبير و سلمان و المقداد و أبي ذرّ و عمّار، و خالد و أبان ابنَي سعيد بن العاص، و أبي الهيثم بن التيّهان، و سهل و عثمان ابنَي حنيف، و خزيمة بن ثابت ذي الشهادتين، و أبي أيّوب الأنصاري، و أُبيّ بن كعب، و بريدة الأسلمي، و العبّاس و أولاده، بل بني هاشم كافّة و غيرهم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بالاختيار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تدّعى</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بإنكار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إقامة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كإقامة الحدود، و تنفيذ الأحكام، و قسمة الفيء و الغنيمة، و جباية الخراج، إلىٰ غير ذلك، فلا بدّ من أن يكون معصوماً، لا يزلّ و لا يضلّ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إقامة الحدود و ما أشبهها، فلا بدّ من عصمته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نقله المصنّف رحمه اللّٰه إجمال للمذكور هناك</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ذلك ممّا تقدّم الجواب عنه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لاجتهاد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كونه معصوماً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إلّالزم ذلك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إلّاأدّىٰ ذلك إلىٰ أن يكون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يكلّف القيام به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 مَن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المعلوم من يعرف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يعرف هذه العلوم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لم يكن فيهم من يستغرق ذلك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تصحّ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تصحّ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يكلّفوا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يقال لهم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نكلّمكم في طريقة العقل بالذي إذا ثبتت لم 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نكلّمكم في طريقة العقل، فكيف يصحّ أن تلجأوا إلى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إذا ثبت لم يدلّ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 عند ذلك</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الدين و الأحكام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تولّيه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تخرج</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شكّ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اطّلاعه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مقبّحاً أمر وزارته، مهملاً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مقبّحاً مهملاً لأمر وزارته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فاعلاً كذلك عددناه من جملة السفهاء</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العلماء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العلماء و الحكماء</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 و المراد هنا القيام ببعضها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يجري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أحد اولاده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يتعلّم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هو إمام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ليس هو إماماً فيه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الدلالة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استدراكه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يدلّوا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ينكرون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يمثّل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بالتنفّر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الانقياد له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ينكرون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وقوعها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اعتبرناه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بصحيح</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يلزمه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كَونَه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في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العقل منها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بالشرع</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بإضافته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بإضافية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نقول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 و هكذا في الموارد الآتية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يستدلّ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يستند 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يستدرك علم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قد ثبت بالدليل أنّه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يكون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ما في المتن يرجع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لم يعلم توقّف فيه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التعبير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 كُنهَ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الحكّام بأن 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حكماء ملوكنا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وزرائه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الناس، أي 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شمس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الهداية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يحتاج</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الإمام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الوزارة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تختلف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تولية من يعود الضرر بولايته على المولّي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المحقّق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التكملة لاستقامة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ترىٰ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كثر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فاعلها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تهجين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يسوغ</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العامّيّ يسوغ له ذلك في العقل و أن يكلّف</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ينكر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كان يجوز له ما يجوز للعامّيّ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الرسول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شاكله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شاكله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أصلحنا العبارة عن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ما في المغني مطابق للمتن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الأمرين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في الأمرين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ذكرنا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يرجع</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يتوقّف</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المشروعة التي هي مبيّنة و هو إمام فيها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الباطنة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 و نصّ عبارته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بدّ من تجويزهم الغلط عليهم بأن يعرف أنّ الحكم فيما تنازعوه إذا ثبت أنّ الحدّ واجب للّٰه</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مغايبها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أجزنا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ما عندَه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قصر في ولايته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 الجماعة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القضاء و الأحكام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 الجملة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يوجّهه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الواحد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 عالم واحد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أن يكونوا، يعني الأُمراء</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بعد صفحتين تقريباً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كلّ ذلك ممّا يجوز التعبّد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أولى أن يعتمد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شكّ في أنّه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كذلك</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متأمّل محصّل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توقّفه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تعترض</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السبيل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البحث آنفاً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ذكرتموه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للعلم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ألزمت</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الرجوع</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يستعملها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فرض</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يمتنع</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يسند</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متولّيه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يحسن منها شيئاً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يوجب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يكون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يجتهد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تولّاه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جاز ذلك مع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الغلط</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الولاة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المقطوع به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راجع إلى الوالي الذي ولّاه الإمام</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يتمّ </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لتقديرك</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تك</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المذي مرويّة في كتب الحديث مثل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في كتاب الغسل، باب غسل المذي و الوضوء منه، و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الحيض، و في غير الصحيحين أيضاً، و إجمالها أنّ أمير المؤمنين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رجلاً مذّاء، فأمرت رجلاً أن يسأل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ابنته فسأله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توضّأ و اغسل 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رحمه اللّٰه و إن وجّه المسألة على وجه الفرض، و لكنّ هذا محال؛ لأنّ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تلك الحالة كانت تعاوده مرّةً بعد أُخرى، فكيف يجهل أمير المؤمنين عليه السلام حكماً يتعلّق بالطهارة التي هي شطر الإيمان و كيف كان يعمل في الأيّام التي سبقت اليوم الذي أرسل فيه المقداد؟ و كيف أهمل السؤال عن مسألة تتعلّق بالصلاة ؟ مضافاً إلى أنّ المعروف من فقه الأئمّة من أهل البيت عليهم السلام أنّ المذي إذا عُرف لا يلزم غسله، و لا يجب له الوضوء، و قد روى الشيخ قريباً من هذه الرواية في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بعدّة وجوه، و كان جوابه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عبد المطلب بن هاشم، و أُمّها هالة بنت وهب بن عبد مناف 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شقيقة حمزة، و المقوِّم، و حَجْل؛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في الجاهلية الحارث بن حرب بن أُميّة، ثمّ خلف عليها العوام بن خويلد، فولدت له الزبير، و السائب، و عبد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قبل الهجرة بكثير، و هاجرت مع النبيّ صلّى اللّٰه عليه و آله إلى المدينة، و حضرت مع نسائه جميع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بالشجاعة من دون نساء آل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شجاعتها يوم أُحد حين انهزم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انطلقت في الميدان، و أخذت رمحاً بيدها، فأخذت تضرب في وجوه القوم، و تصيح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انهزمتم عن رسول اللّٰه، فالتفت النبيّ إلى الزبير، و أمره بإرجاعها لئلّا ترى شقيقها حمزة في وسط الميدان قتيلاً ممثَّلاً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مواقفها البطولية يوم الخندق حينما قتلت</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وارثهم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قال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عقل يعقل، و 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العاقلة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أولياؤُه الذكور؛ هذا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اصطلاح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ليس لهم سهم مقدّر في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التعصيب صحيح عند فقهاء العامّة، و عرّفوا العصبة بأقرب ذكر لا تتوسّط بينه و بين الميّت أُنثى، فخرج بذلك الخال و الأخ للأُمّ ؛ لأنّهما يدليان للميّت بأُنثىٰ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أدلّة على ذلك تطلب من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 فقهاء</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نفعني اللّٰه به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نفعني اللّٰه به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استحلفه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كونه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غاية القوم و</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يرجع</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يثبت</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الاقتصار على حكم المذي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تعرف له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 له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معنى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ترافع</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القضاء و إظهاره الرضا به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تظنّ </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بالحادثة</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رأي عثمان في المسألة، و لكن ذُكر أنّ هذا رأي أبان بن عثمان، و لا جرم أنّ المصنّف رحمه اللّٰه أدرى بما نقل، أو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المحلّى لابن حزم،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تقدّم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ليغلب على ظنّه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يغلب ذلك على ظنّه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تضمّن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الوقت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ظنّه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بنصّه عليه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بنصّه عليه السلام فيه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ينظر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ينظر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الأشياء</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تخرّجه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إلّاظهر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 به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ادّعاؤه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الرأي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بيّنّا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تفاهم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يقولوا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تجويزه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العالم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أنّ </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يعلمها 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يتعلّمها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معرّضاً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نقبل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طاعاته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 غيره ثواباً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قالوا به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فبأيّ دليل يقتضي في العقل ما أوجبوه عقلاً؟</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تعلمه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تعتقد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مقلة، أبو عليّ ، الوزير، الكاتب المشهور، اشتهر بحسن الخطّ حتى ضرب به المثل، و هو أوّل من نقل خط الكوفيين إلى الخطّ المألوف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بعض أعمال فارس و تنقلت به الأعمال و الأحوال حتّى وزر للمقتدر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لم يلبث أن غضب عليه و نفاه إلى فارس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استوزره القاهر باللّٰه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فجيء به من فارس، و سرعان ما اتّهمه القاهر بالمؤامرة على قتله، فاختبأ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وزر للراضي باللّٰه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نقم عليه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فسجنه مدّة، ثمّ علم أنّه كتب إلى أحد الخارجين عليه يطمعه بدخول بغداد، فقبض عليه و قطع يده اليمنى، و كان يشدّ القلم على ساعده و يكتب به، فقطع لسانه و يده، و سجنه حتّى مات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بن زوطي، مولى لبني تيم اللّٰه بن ثعلبة بن بكر بن وائل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الكوفة في عهد الحجّاج بن يوسف الثقفي من أصل فارسي أو كابلي، و كان أبوه عبداً مملوكاً لرجل من بني تيم، و لذلك كان تيمي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بدء حياته يتعاطى بيع الخزّ و عمله، فلذلك كان على ثروة كبيرة استطاع بها أن يستغني من جوائز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الكوفة و تربّى على حلقاتها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جريئاً في الفتيا و العمل بالقياس و الرأي إلىٰ حدّ بعيد، و تأثّر في ذلك بأستاذه حمّاد، و أستاذه هذا تأثّر بأستاذه إبراهيم النخعي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الإمام الصادق عليه السلام يؤنّبه كثيراً على عمله بالقياس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أبو حنيفة يعتزّ برأيه مقابل الإمام عليه السلام و يخالفه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ذلك كلّه ما كان يؤخّره عن الاعتراف بفضل الإمام و استفادته من حضور مجلسه؛ فقد أُثر عنه قوله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السنتان لهلك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السنتين اللتين كان يختلف بهما إلى مجلس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المنصور قاضياً على بغداد، فامتنع عليه، فحبسه حتّى مات في الحبس، و دفن في بغداد بمقابر 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الأكبر في الكلام، المسند في الحديث، العالم و المتعلّم في العقائد، الردّ على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دفعه للعلم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بقبحه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يمكن معرفته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يجيء</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أحد معاني الأفضليّة هو كثرة الثواب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لا يخرج عن ذلك</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الاستدلال بالعصمة علىٰ وجوب النصّ في صدر هذا الجزء من الكتاب</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ريبة من الكلام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رتبة من الكلام ثانية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جلّت قدرته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الطريقين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مشتركان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عالماً إلّابعد أن تعلموه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أقبلتموه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طريقكم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الأئمّة و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 و بين الأئمّة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رؤساء فيه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الاستناد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أهل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أهل زمانه في بلده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الفضل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الاختيار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الجملة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أعرفنا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العلوم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فضله و</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الإمام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إنكار المصنّف رحمه اللّٰه لكون الإمامة مستحقّة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تكفّل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نفسَه و تحمّل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تكفّل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ما يلزم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نستوفيه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نستوفيه إن شاء اللّٰه تعالىٰ </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يجنَّب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أسكن</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يكونوا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يعنى</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بالتنفّر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يقتضي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ليس يُمنَعُ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بين عينيه، أي جمع بينهما، فهو رجل قَطوبٌ ، أي 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يستدعي</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لبشره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الدواعي</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قدّرناه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استأنفتموها</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يضع</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يقتضي</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فيتناول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تردّ خصومة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يعتمد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لتقيسوا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نرجع</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حالة الإمام</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الرسول</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العالم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يقع السكون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المغني، و كم في المغني من سقط لو رجع محقّقوه إلى الشافي لتلافوه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الدليل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فإنّنا إذا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يكون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تتّفقوا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رخصنا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المغني، و الظاهر أنّها سقطت منه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كونها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أجريتها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تذكر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تنقل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الخطأ على الأُمّة</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الإمام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للشرع</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الرسول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عيّنته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ولّىٰ </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العبارة في المغني، و الظاهر أنّها سقطت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يولّيهما</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الحروب</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لطف</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مكائده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بمنكر</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مانع و</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 و الفتنة و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اللّٰه تعالىٰ الذي يعرف الباطن</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أيضاً ساقطة من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حيث يشتمل هذا الجزء على النبوّات و المعجزات</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هذا الجزء من الكتاب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 الباطن للرسول عليه السلام</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يثبت</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يورد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علىٰ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بطعن</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نقطع</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ساقط أيضاً من المغني</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يدبّر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يقطعونه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يقطعون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تلزم</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فليس</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بيّنّا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ساقط أيضاً من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لا نزال نقوله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كنيسة النصارى،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كنيسة اليهود،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البغي</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ذكروه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العشر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سقطت هذه الطريقة من متن المغني المطبوع</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شبهة لهم أُخرىٰ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أيضاً من المغني</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نمتنع</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للاجتهاد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للاجتهاد فيه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العصمة، و العلم بجميع الأحكام، و كثرة الثواب</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 أن يُحمل</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مختصّان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للاجتهاد فيهما مجال</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شرطها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شروطه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لكانت</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بالاختيار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الصفات للإمام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المواضع</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يبيّنوا</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ثبت</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نفوّض</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التعيّن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ذكرنا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نجوز</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بصفته</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شروطه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الأحكام كما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طريقها الاجتهاد و الاختيار</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يمنع</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كفّارة من أفطر يوماً من شهر رمضان عمداً، أو خالف عهداً</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وراءها</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بالاقتداء</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كذلك</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نكلّف</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والأُخرى</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يخيّر</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 يُكلّف</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فيتسلّقوا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تَسلَّقَ الجِدارَ و نحوَه،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قدّمنا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مامته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المعجز</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أوتيت</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العبد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نهج الحقّ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فيما بعد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العيب</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17547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4/1168</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يأكل معي من هذا الطائر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44/452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الفضل العظيم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أبهم</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توشّح</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تؤهّل</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بدخله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ينقسم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الآن يُعلم ثبوته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11/1206</w:t>
      </w:r>
      <w:r>
        <w:rPr>
          <w:rFonts w:ascii="IRNazanin" w:hAnsi="IRNazanin" w:eastAsia="IRNazanin"/>
          <w:b w:val="false"/>
          <w:b w:val="false"/>
          <w:bCs w:val="false"/>
          <w:i w:val="false"/>
          <w:i w:val="false"/>
          <w:iCs w:val="false"/>
          <w:color w:val="333333"/>
          <w:sz w:val="20"/>
          <w:sz w:val="20"/>
          <w:szCs w:val="20"/>
          <w:rtl w:val="true"/>
        </w:rPr>
        <w:t xml:space="preserve">؛ إعلام الورىٰ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الضرب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بالاضطرار</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أنّه لا نبيّ بعدي</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14895/80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32/2404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لا يحضره</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تلقّاه بالقبول جميع الأُمّة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بنقله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البحث عن نصّ الغدير و المنزلة و غيرهما في نهاية هذا الجزء و بداية الجزء التالي</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موصولاً</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الشرط الثالث</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تعلم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يأمن</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أخبرنا</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يأمن</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يتواطأ</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حصل</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شرطنا</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ليس بمشاهد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صليب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صلب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المسيح</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تتغيّر</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ينكر</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مكابراً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مكاثراً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المُكاسِرُ مِن الجيرانِ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مِنكَ ، الذي كِسْرُ بيتِه إلىٰ كِسْرِ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مُكاسِري، أي 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المحيط في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يمتنع أن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الحال فيه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أخبرت</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يُلتفت</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تأييد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يؤمن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يؤمن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أن يؤمن فيه</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تخل</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إمّا أن يكون اتّفاقاً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الإجتماع</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ذكرتموها يقولون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الصدق يقتضي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يحتاج إلى أحد الأقسام التي ذكرتموها كما تقولون في الصدق</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قليل،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لأحد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جاز</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فنكس</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الجماعة</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 الكثيرة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وقوعه عند</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يخبرنا</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الجماعة الكثيرة</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كاذبون مع تواطؤ و ما يقوم مقامه</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يخبر</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تكرّره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تستقرّ</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نيّتها علىٰ </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تستقرّ نيّتها علىٰ ما تعمل عليه و تجتمع</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بالمعرفة</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يؤدّي عند عدم ظهوره إلى وجوب القطع على انتفائه</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عدده من الجماعات قليل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نقطع</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بإجماع</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التلخيص</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التلخيص</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صدوره</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بالشبهة</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الأشباه</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اعتقد</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اعراض</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شروطها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فنعلم</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تنشر</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أبدعوها</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تقوى فروعها</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خرج على الإمام الحقّ الذي اتّفقت الجماعة عليه، سواء كان الخروج في أيّام الصحابة، أو كان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أظهر مصاديقهم خوارج صفّين 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فرقهم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الأُولى، و هم الذين خرجوا على أمير المؤمنين عليه السلام حين جرى أمر الحكمين، و اجتمعوا بحروراء من ناحية الكوفة برئاسة عبد اللّٰه بن الكوّاء، و حرقوص بن زهير البجلي المعروف بذي الثديّة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 و هم أصحاب أبي راشد 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النجَدات العاذريّة، و هم أصحاب نجدة بن عامر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العجاردة، و هم أصحاب عبد الكريم بن عجرد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و هم أصحاب عبد اللّٰه بن إباض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لكلّ من هذه الفرق شعب و آراء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جهم بن صفوان السمرقندي، و هو من الجبريّة الخالصة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بدعته بترمذ و قتله مسلم بن أحوز المازني بمرو في آخر ملك بني أُميّة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المعتزلة في نفي الصفات الأزلية و زاد عليهم بأشياء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 الإيمان هو المعرفة باللّٰه تعالىٰ فقط و أنّ الكفر هو الجهل به فقط، و أنّ الإيمان غير قابل للتبعيض، فإيمان الأنبياء و إيمان غيرهم سواء في المرتبة، و أنّ الجنّة و النار تبيدان و تفنيان، و أنّ الأفعال في الحقيقة للّٰه تعالىٰ و الإنسان مجبور على أفعاله، و غير ذلك من آرائه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الحسين بن محمّد بن عبد اللّٰه النجّار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الفرقة النجّاريّة من 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حائكاً،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متكلّمي المجبرة، و له مع النظّام مطارحات و مناظرات مسجّلة في كتب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أهل السنّة في مسألة القضاء و القدر،</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يتقدّم</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يوجبه</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ينقل إلينا</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أخبرتهم</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 مثل صفتها و أنّ تلك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سهو</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يتوهّمون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نقصانه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زعمتم</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الوعد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الأوقات</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الجماعات من الشيعة</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مكاتبة</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الشديد مذاهبهم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آخره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بإكراه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بارتفاع إكراه السلطان</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حاصلاً</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فيه التواطؤ</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الروايات</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 xml:space="preserve">؛ تهذيب الآثار للطبري،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صادقين أوكاذبين</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نقلوه</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الشبهة</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يقطع</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فمعلوم أيضاً أنّ هذين مرتفعان</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بصحيح</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أمير المؤمنين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المقول فيه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ندلّ </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شرحناه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نعلم</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الفرقة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الظنّ </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تُمنَ ، أي لم 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منيت بكذا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الخوف</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الخصوص</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اجتماع</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مخالفينا</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يدحضه، أي يبطله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تظهر</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يثبت</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يمتري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 و الامتراءُ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فيه، وكذلك التماري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المقترفون</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يذكرون أنّهم نقلوا خبر النصّ و تلقّوه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 نفس الخبر</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أشبهها</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بن شراحيل بن عبد العزّى بن زيد بن امرئ القيس الكلبي، اختُطف صغيراً في غارة لخيل بني القين بن جسر في الجاهلية، فأُتي به إلى سوق عكاظ لبيعه، فاشتراه حكيم بن حزام لعمّته خديجة بنت خويلد، فلمّا تزوّجت النبيّ صلّى اللّٰه عليه و آله وهبته له فعاش في كنفه مدّة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النبي صلّى اللّٰه عليه و آله عامّة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النبي صلّى اللّٰه عليه و آله الإمارة في غزوة 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الثلاثة أو ثانيها، على اختلاف المؤرّخين بينه و بين جعفر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 حتّىٰ استشهد،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بعد مضيّ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أولاداً من عدّة زوجات، أكبرهم سنّاً أُسامة بن زيد، و هو الذي أمّره النبيّ صلّى اللّٰه عليه و آله على جيش المسلمين للكرّة على مؤتة في مرضه الذي توفّي فيه، و كان له من العمر يومئذ عشرون</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بن المغيرة بن عبد اللّٰه بن عمر بن مخزوم القرشي المخزومي، من الصحابة، أسلم في السنة السابعة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النبيّ صلّى اللهُ عليه و آله إلىٰ مؤتة، و لمّا قُتل القوّاد الثلاثة اختاره الناس بتحيّل منه أن يحمل اللواء ليزحف بجيش المسلمين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أمّره النبيّ علىٰ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في فتح مكّة، و كان يرسله النبيّ صلّى اللّٰه عليه و آله قائداً في كثير من الغزوات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إلىٰ بني جذيمة من بني المصطلق ليأخذ صدقاتهم، فنكّل بهم و بنسائهم و أطفالهم، فبلغ النبيّ ذلك، فغضب عليه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فعل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إليهم أمير المؤمنين عليه السلام، فآمن روعهم، و أغدق عليهم بخلقه الإسلاميّ 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عليه قتله لمالك بن نُويرة، و البناء بزوجته في نفس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حمص و 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المخبر به</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للنسخ و الحجري و التلخيص</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ذكرناه</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نصّوه</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لم يدع أحداً ماضياً و لا مستقبلاً إلى كتمانه داع</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 له</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أحدث بدعة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الأصلي الحربي، و بالذمّي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 من اليهود و النصارى و المجوس</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ارتفع كلّ شيء يشكّ له</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 فيه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فيه و عرض</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عورض أصله و فرعه</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الظنّ و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تطرّق الشبهة</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أجمع</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وقوعه و النصّ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وقوع النصّ عليه</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تجاوبوه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تجادلوه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 الغرض</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ذكرناه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فصول الأذان خلاف كثير بين المذاهب، و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المحلّى لابن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واقع</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ثباتها في الأصل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بيانها وقع في الأصل</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جملة</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ذكروه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وقوع فصوله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 فيه</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الليلة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طهارة و صلاة</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ذهبت</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و كذا</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تطرّق</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يصحّ </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 فعله</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يمتنع</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بين الساعد 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عظم العضد و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المسح لجميع</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أي من الإماميّة، فإنّهم يرون أنّ قطع السارق من أُصول الأصابع و تترك له الإبهام و الكفّ‌؛ لأنّ اسم اليد يقع على جملة هذا العضو إلى المنكب و يقع أيضاً إلى المرفق و إلى الزند و إلى الكفّ‌، فيجعل كلّ ذلك غايةً ؛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فَوَيْلٌ لِلَّذينَ يَكْتُبُونَ الْكِتٰابَ بِأيْديهِمْ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معلوم أنّ الكتابة بالأصابع، و قال تعالى في قصّة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رَأيْنَهُ أكْبَرْنَهُ وَ قَطَّعْنَ أيْدِيَهُنَّ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عقرن أكفهنّ ، فحملوا اليد على أدنى ما تناولته هذه اللفظة، و هو أُصول الأصابع عملاً بما ورد في ذلك عن أئمّتهم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 بهذه الصورة أولى بالحكمة و أرفق بالمقطوع؛ لأنّه إذا قطع من الزند فاته من المنافع أكثر ممّا يفوته إذا قطع من 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 الإماميّة فيذهبون إلى قطع يد السارق من الرسغ، و الخوارج يذهبون إلى قطعها من الكتف باعتبار وقوع اسم اليد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ذهب هو إليه، دون مخالفيه</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 سرّه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استدلّ أصحابنا بالآية على أنّ المسح في الرأس و الرجلين ببعضها؛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الباء لها مراتب في دخولها في الكلام، فتارةً تدخل للزيادة و الإلصاق، و تارةً تدخل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حملها على الزيادة و الإلصاق إلّالضرورة؛ لأنّ حقيقة موضع الكلام للفائدة خاصّةً إذا صدر من حكيم عالم، و بها يتميّز من كلام الساهي و النائم و الهاذي، و لأنّ الباء إنّما تدخل للإلصاق في الموضع الذي لا يتعدّى الفعل إلى المفعول بنفسه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بعمرو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فالمرور و الذهاب لا يتعدّيان بأنفسهما، فدخلت الباء لِتُوصِلَ الفعلين إلى المفعولين، فأمّا إذا كان الفعل ممّا يتعدّى بنفسه، و لا يفتقر في تعديته إلى الباء، و وجدناهم أدخلوا الباء عليه، علمنا أنّهم أدخلوها لوجود فائدة لم تكن، و هي التبعيض، 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امْسَحُوا بِرُؤُسِكُمْ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يتعدّى الفعل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ألاترى أنّه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امسحوا رؤوسكم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الكلام مستقلاًّ بنفسه مفيداً، فوجب أن يكون لدخولها في هذا الموضع فائدة مجدّدة حسب ما ذكرناه، و ليس هو إلّاالتبعيض؛ لأنّا متى حملناها على ما ذهب إليه الخصوم من الإلصاق و الزيادة كان دخولها و خروجها على حدّ سواء، و هذا عبث لا يجوز على اللّٰه تعالىٰ </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النصّ الجليّ على إمامة أمير المؤمنين عليّ عليه السلام</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علمنا</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 للحاضرين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يوجب</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بحضرة</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به</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سقوطه</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فلزمه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كيفيّتهما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لضرب من العذر</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فرضها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تحقّق</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معارضينا</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لحق</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العموم</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بالتقليل</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يجعلوه</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تهجين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المماسك</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المنازع</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ذكرناه</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الاجتماع</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الأُصول و الفروع</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قدّرتموه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يعمل</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بيّنّا</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سألوا عنه و لامعناه</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المغيرة</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يعلم</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بانتفاء</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سائر</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يساوي</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ببطلانه العلم ببطلان</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ذكرتم</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تقرّباً</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كثرة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كثرة لها</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 القادمة و ما بعدها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يسألون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جميع ما يسألون</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بأنّ النبيّ صلّى اللّٰه عليه و آله نصّ على أبي بكر بالإشارة، و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بأنّه صلّى اللّٰه عليه و آله نصَّ على عمّه العبّاس كذلك، و قد انقرضت هاتان الفرقتان</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حجّ البيت</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إظهار</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لا نشكّ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يشكّ </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في اصطلاح المتكلّمين أعمّ من العلم، فالعلم هو ما اقتضىٰ سكون النفس، و الاعتقاد قد يكون علماً بشروط مذكورة في محلّها، و قد يكون تقليداً أو تبخيتاً أو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المعارف في الجزء الثاني عشر من المغني</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النصّ الجليّ </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فيها غموض</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تجري</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معتزلة البصرة إلى أنّ العلم بالبلدان و الوقائع و الحوادث الكبار علمٌ ضروريّ مِن فِعل اللّٰه تعالىٰ بالعادة، و ذهب معتزلة بغداد إلى أنّه علم مكتسَب و مستدَلّ عليه، فيما توقّف المصنّف رحمه اللّٰه في هذه المسألة و لم يجزم بأنّه علم ضروريّ أو مكتسَب، و قام بمناقشة أدلّة كلا الفريقين من المعتزلة و ردّ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صاحب المغني من معتزلة البصرة و يرىٰ رأيها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ندفع</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يسلمه</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تجري</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لمخبر</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مخبرات</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 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عبدة الأصنام تقول بالتناسخ، و تنكر وقوعَ العلم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يُستبعد</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واقعة</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جرىٰ </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تعلم</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التكذيب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التكذيب عن</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للاستدلال</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انتهى إلى أحد يمكن أن يستدلّ معه</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أين أنكرت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أنكرت</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هاشم</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للمخالف</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يكون</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الضروريّ </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نلزمك</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الضروريّ </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بشبهة</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الشبهة</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قادرين</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يتمكّنون</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شكّوا</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 صلّى اللّٰه عليه و آله</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يختصّ </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لأنّ النسخ إنّما يصحّ </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تقوله</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الذي يعرف</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ظلم فيعتقده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ظلم بعينه فيعتقده عدلاً</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بالأدلّة</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فغير جائز أن يشتبه عليه ما يُعلم من دينه باضطرار</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يجعل</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لا يعرف</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 اختلاف في الألفاظ</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يحصل</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تحصل غير عارف بذلك</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معذور فيه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تعترفون</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يختصّ </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المقطع السابق</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عامّاً</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جاز</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يوجب</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شرائطه</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متّبعاً</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تقدّم في عبارة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طريقة الاضطرار لا تختصّ </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مضلّين</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الكلام</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نتكلّم</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علّمناك</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أثبت</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أجله</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الخلاف للحقّ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التجويز عليه خلاف الحقّ </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هم ممّن يقول</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يوجبه</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تردّد</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مخالفيك</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يذهبوا</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طريقة إثبات إمامة أمير المؤمنين عليه السلام بالاضطرار</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نعلم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كونه يختصّ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أنّه قد يختصّ </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يختصّ موجبه فيه بغير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يختصّ الصلاح بوجه منه دون وجه</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لم يمتنع عندكم</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تعلم</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تخرج من أن تكون</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شرطها</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يدخلها</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 جمع بَدَل، أي العوض</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تنتقل</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علىٰ أمير المؤمنين عليه السلام بالإمامة</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تنقل</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كانت الحجّة بهذه الطريقة تقوم و لا علّة لم تنقل إلينا، فنحن معذورون</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يقوم</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طاعتهم</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يقوم</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في هذا السؤال أن يقال لك</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 لنا العلم بالاضطرار</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السمع</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كنّا على خلاف الناقل أو موافقته</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ليحصل</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يقوم</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الضروريّ </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منع</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تعلّق</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ينكره</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للعرب</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عليهم</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الروايات و</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تصديقه</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النصّ </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البكريّة</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شيوخهم</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الوجه الجليّ ، فإنّ هذا الإشكال موجَّه إلى النصّ الجليّ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أحمد بن يحيى بن إسحاق الراوندي، و قد تقدّم ذكره في المجلد الأوّل</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عيسىٰ محمّد بن هارون الورّاق، من متكلّمي الإماميّة، له كتب، و توفّي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 في المجلّد الأوّل</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هشام بن الحكم الشيباني، من أجلّاء تلامذة الإمام الصادق عليه السلام، و قدتقدّم ذكره في المجلّد الأوّل</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 </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أين يدّعي</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 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سلفهم خلق كثير</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من تأخّر منهم، فليس بينهما فرق في ذلك</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تثبت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يثبت بمثلهم</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الغفلة</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لقينا أو أخذنا</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التبيين</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أحد منهم</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كلّ قرية</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نعلمهم</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 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مخالفيهم</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يكونون</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تكثّر</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المذاهب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بمن</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 و التلخيص</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إجماع المسلمين</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الحديث</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لحقوا</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مقالة البكريّة</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قلّة عدد القائلين بها</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فالتكثّر</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بأهل الحديث</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في فحواه</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لراويه</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الاقتداء لم يصحّحه العلماء من السنّة و الشيعة؛ قال ابن حزم في الفصل في الملل و الأهواء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أنّنا نستجيز التدليس و الأمر الذي لو ظفر به خصومنا طاروا به فرحاً أو أبلسوا أسفاً لاحتججنا بما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اقتدوا باللذين بعدي 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لم يصحّ و يعيذنا اللّٰه من الاحتجاج بما 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أحمد بن صليح عن ذي النون المصري عن مالك عن نافع عن ابن عمر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غلط، و أحمد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عبد اللّٰه بن عمر بن القاسم عن مالك عن نافع عن ابن عمر، و قال</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يردّه الواقع؛ لأنّه لو صحّ أنّ رسول اللّٰه صلّى اللّٰه عليه و آله قاله فاللازم أنّ الثلاثين سنة لا تزيد و لا تنقص حتّى يكون هذا الخبر كسائر الأخبار المعدودة من أعلام النبوّة؛ لأنّ سنيّ الخلافة من يوم بيعة أبي بكر إلى استشهاد أمير المؤمنين عليه السلام تزيد على الثلاثين سنة شهوراً، و إذا ضُمّت إليها أيّام الإمام الحسن عليه السلام قبل الصلح فإنّها تكون أزيد، و وجود الزيادة كوجود النقصان في إخراج الخبر من أن يكون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أنّه يخالف الخبر الصحيح المروي في البخاري و مسلم و غيرهما في حصر الخلافة في اثني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الخبر مرويّ عن سفينة مولىٰ رسول اللّٰه صلّى اللّٰه عليه و آله، و إنّه موقوف عليه، و ما كان كذلك لا يكون حجّة</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تدخل الشبهة فيها و في تأويلها</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تدّعيه من النصّ </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أفعال و أقوال من ادّعي النصّ عليه</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تنافي النصّ و تبطل</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لو كانوا</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نسوه</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يفيدهم</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لا يسمعوه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يسمعوه</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فيتقبّله من يتقبّله</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أجدىٰ </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الأخيار</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دعوى الإمامة</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بتعيّن</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باستحقاق</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يجمع</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المواطن</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و لا خصام</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يحضره</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تحاجّ </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تنازعهم</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لائح</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الابتهاز</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يعقبه</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كانت لهم القدمة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القدم و</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ألجأ</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من أخيك في المطعَم و طلبِ الحاجة، اسمٌ من الاحتشام؛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احتَشمه و احتَشم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انقبض منه و استحيا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للسقيفة</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مستحقّيه</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أيّ </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للعقد</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بإقامتهما</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بكر</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الرجل</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خلافته</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يعتقده</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رجم الحبلىٰ من الزنا؛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بصحيح</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عقد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أبي بكر</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عمر أيضاً لمّا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وقع بعد قوله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الجواب أولىٰ و أشبه بالحال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للتلخيص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بالفَهَّة السقطة و الجهلة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 الرجل يَفَهُّ فَهاهَةً و 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جاءت منه سقطة من العيّو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 اختلاف يسير في المصادر</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تقول</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عدّدناه</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مرتفعاً</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يليها</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كالمرتّبة</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 إلىٰ أن</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لي إلى اختيارك</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موضع في النصّ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موضع الخلاف في النصّ عليه</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وقوع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موقعاً للشبهة</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أيّامه</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توضع فيهم</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يوضع</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تفضيله الذي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بفضيلة تجري</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يشدّون</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إجماع</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بالضدّ لما ذكرتموه</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ذاك</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ناش</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لك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أمكنك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الأمر</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يبق</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إمساكه</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 ظهرت علىٰ يد</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الحسين بن منصور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في بلده، فقيل من خراسان، و قيل من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الجنيد و أبا الحسين النوري و عمرو المكّي و الفوطي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قليل الأكل، كثير الصلاة، يتظاهر بالتشيّع و الصوفيّة، و له آراء خاصّة فاسدة كادّعاء حلول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 الخلاف حوله لاختلاف 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أكثر المشايخ و نفوه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كثيرة تناهز الخمسين بأسماء عجيبة،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طاسين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 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أغلبها في التصوّف و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ببغداد بباب الطاق في ذي القعدة من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طبقات الصوفيّة للسلمي،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بنان بن سمعان التميمي الذي ادّعى إلهيّة أمير المؤمنين عليه السلام و الأئمّة من ولده، و إليه تُنسب الطائفة البنانيّة أو البيانيّة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إله و حلّ فيه جزء إلهيّ اتّحد بناسوته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الخطّاب محمّد بن أبي زينب الأسدي الأجدع مولى بني أسد، و هو الذي عزا نفسه إلى أبي عبد اللّٰه جعفر بن محمّد الصادق عليه السلام فلمّا وقف الصادق على</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المغني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شيوخنا ادّعوا بل بيّنوا أنّ من ادّعى النصّ علىٰ هذا الوجه عددهم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اختصر المصنّف رحمه اللّٰه العبارة؛ لأنّه نقلها قبل هذا في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أبي بكر</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آخرهم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كآخرهم</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 صحيحاً</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يقع العلم لكلّ </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أقوال الخوارج لم تتقدّم</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هشام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عندنا</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لزمان</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قوم</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من كتب الجاحظ في الإمامة،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مامة ولد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 في تأييد الشيعة الراونديّة و أنصار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ألّفه إرضاءً للعبّاسيين، مع أنّ مضمونه لا ينسجم مع عقائده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نوبخت،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نسبه</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التشوّق</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التوسّل</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هذا المذهب و أظهر اعتقاده</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ما لم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خبّرنا</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العبّاس</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العبّاس بن عبد المطّلب</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39655</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سطر</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المذهب</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شهر رمضان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فانتهىٰ </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طيّبة الرائحة تسقّف بها البيوت فوق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445/1353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مجاشع بن مسعود بن ثعلبة بن وهب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يربوع بن سمّال بن عوف بن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استخلفه المغيرة بن شعبة على البصرة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عثمان النهدي، و كليب بن شهاب، و عبد الملك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يوم الجمل بالبصرة مع عائشة قبل القتال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بداره في بني سدوس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إجمال خبر الميزاب أنّ رسول اللّٰه صلّى اللّٰه عليه و آله لمّا أمر بسدّ الأبواب الشارعة إلى المسجد عدا باب أمير المؤمنين عليّ بن أبي طالب عليه السلام طلب العبّاس من رسول اللّٰه صلّى اللّٰه عليه و آلِه أن تبقى بابه شارعةً كما بقيت باب أمير المؤمنين، فقال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إلىٰ ذلك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فميزاب أتشرّف به، فترك له الميزاب، 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شرّف عمّي بهذا الميزاب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كان في أيّام عمر صعدت جارية على السطح تغسل ثوباً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العبّاس يومئذٍ مريضاً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الغسالة إلى المسجد، فلمّا نظر عمر إلى ذلك غضب و أمر غلامه أن يصعد و يقلع الميزاب، فلمّا علم العبّاس ذلك شكاه إلى أمير المؤمنين عليه السلام، و كان عمر قد حلف أن لا يعاد و هدّد من يعيده، فأقبل أمير المؤمنين و معه قنبر مولاه و أمره أن يعيده، و هدّد من يقلعه و حلف على ذلك، فلمّا جاء عمر إلى المسجد وجد الميزاب مكانه، فسأل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أعاده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إليه كلامه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يُغضِب أحد أبا الحسن، و نحن نكفّر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المنفق،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24308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24914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بكتابه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نصّ أو دلالة عليه</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دلالته</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البعض جاز انقطاعه</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تعتقده</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يصير</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اطّراح جملته</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إن جاز ذلك</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لا نعلم</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باضطرارهم</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القادمة</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الملحدة</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أكابر</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يشكل</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لا يجوز عليه الشبه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لا نجوّز عليه التقيّة في ذلك</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جوّزنا</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 الدلالة</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التلخيص،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دافعين بأسرهم</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عالمين</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اختلف كلام</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عالمين</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الحامل 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الحامل عليه</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بالفضائل الظاهرة و المناقب الباهرة</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غبطة</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يدخل</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للطبرسي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كان أحد في أصحاب رسول اللّٰه أنكر على أبي بكر فعله و جلوسه مجلس رسول اللّٰه صلّى اللّٰه عليه و آله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كان الذي أنكر على أبي بكر اثني عشر رجلاً؛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سعيد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سلمان الفارسي، و أبو ذرّ الغفاري، و المقداد بن الأسود، و عمّار بن ياسر، و بريدة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بن التيّهان، و سهل و عثمان ابنا حنيف، و خزيمة بن ثابت ذو الشهادتين، و أُبيّ بن كعب، و 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فسار القوم حتّى أحدقوا منبر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أبو بكر المنبر فأوّل من تكلّم خالد بن سعيد بن العاص، ثمّ باقي المهاجرين، ثمّ بعدهم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خالد بن سعيد بن العاص،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يا أبا بكر، فقد علمت أنّ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مُحتَوِشُوه يوم بني قريظة حين فتح اللّٰه له و قد قتل عليّ بن أبي طالب يومئذٍ عدّة من صناديد رجالهم و أُولي البأس و النجدة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المهاجرين و الأنصار، إنّي موصيكم بوصيّة فاحفظوها، و مودعكم أمراً فاحفظوه، ألا إنّ عليّ بن أبي طالب أميركم بعدي و خليفتي فيكم، بذلك أوصاني ربّي، ألا و إنّكم إن لم تحفظوا فيه وصيّتي و تؤازروه و تنصروه اختلفتم في أحكامكم، و اضطرب عليكم أمر دينكم، و وليكم</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سمعوه و علموه</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تواتر به الخبر</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قِبة</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القوم</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بحضرة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بحضرة الصحابة</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ألفاظ أبي جعفر بن قِبة</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كنّا قد توخّينا في صدر كلامنا في هذا الفصل</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نفرّق</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الوقوع</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نسوّي</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كثرة</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وقع ممّن حضر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اعتقدوا أو كثير منهم</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رامَه، أي طلبه؛ من الرَّوْم، و هو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البداء المستلزم للجهل، فهو باطل</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بتعاقب</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تدخل</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لا يجوز عليهم أن يشتبه عليهم</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يبتني</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و أجوز</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ابن قِبة المتقدِّم</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مبطلاً</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النقل</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أنّ العمل به غير جائز</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بالنصّين النصّ الجليّ و نصّ الغدير، و قد أوضحهما في المتن</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 و ثبت ما به يسقط ما ألزمناه</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قصد التشنيع علينا به من نسب</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كتأمير</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نصبه على الحكّام</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خروجه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الأعداء</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كحاله في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ظهوره كحاله</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الدواعي</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عار، و هو السُّبّة و التوبيخ</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يذكره</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تمحّلوه، أي احتالوا في توجيهه</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ينقلون</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المخاطرة بها، بأن يعرّضها لما فيه هلاكها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أهمل</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إشاعاته</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لهدنتهم</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المخوّف</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يجر</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عاداتهم</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للداعي إلى الدين</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أحلنا</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تعمّد الخلاف له</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يختصّ </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نعرفه</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سبحانه و تعالىٰ </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فَانْظُرْ كَيْفَ كٰانَ عٰاقِبَةُ الْمُفْسِدِينَ </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بيانه</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يقتضي جميعها 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بنفي</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لعبادة</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دينه</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خالقهم</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يحلّ فيها</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تجمّعوا و 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 به و استحثّه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مسبّبان</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لذلك جوابه عليه السلام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حمل إليه رسالةً من عثمان و هو محصور يسأله فيها الخروج إلىٰ ماله بيَنبُعَ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عبّاس، ما يريد عثمان إلّاأن يجعلني جملاً ناضحاً بالغَرب، أقبل و أدبر، بعث إليّ أن أخرج، ثمّ بعث إليّ أن أقدم، ثمّ هو الآن يبعث إليّ أن أخرج؛ و اللّٰه لقد دفعت عنه حتّى خشيت أن أكون آثماً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البلاذري من طريق أبي خلدة أنّه سمع عليّاً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عثمان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الذي لا إله إلا هو ما قتلته، و لا مالأت على قتله، و لا ساءني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المدائني في كتاب الجمل،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كانت عائشة بمكّة، و بلغ قتله إليها و هي بشراف، فلم تشكّ في أنّ طلحة هو صاحب الأمر،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لنعثل و سحقاً، إيه ذا الإصبع، إيه أبا 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يا بن عمّ ، لكأنّي أنظر إلى إصبعه و هو يبايع له، حثّوا الإبل و دعدعوها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طلحة حين قتل عثمان أخذ مفاتيح بيت المال، و أخذ نجائب كانت لعثمان في داره، ثمّ فسد أمره فدفعها إلى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طلحة من أشدّ الناس تحريضاً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الزبير دونه في ذلك، و روى الناس الذين صنّفوا في واقعة الدار أنّ طلحة كان يوم قتل عثمان مقنّعاً بثوب قد استتر به عن أعين الناس يرمي الدار بالسهام، و رووا أيضاً أنّه لمّا امتنع على الذين حصروه الدخول من باب الدار حملهم طلحة إلى دار لبعض الأنصار، فأصعدهم إلىٰ سطحها و تسوّروا منها على عثمان داره فقتلوه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البلاذري أنّه كان الزبير و طلحة قد استوليا على الأمر، و منع طلحة عثمان من أن يدخل عليه الماء العذب، فأرسل عليّ إلى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أرض له علىٰ ميل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دع هذا الرجل فليشرب من مائه و من بئره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بئر 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تقتلوه من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أنّها تروي عن النبيّ صَلّى اللّٰهُ عليه و آله تأنيبها في ذلك؛ قال ابن قتيبة في حديث قصّة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انتهوا إلى ماء الحوأب في بعض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معهم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نبحها كلاب الحوأب، فقالت لمحمّد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الحوأب،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أراني إلّاراجعة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 لنسائه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بإحداكنّ قد نبحها كلاب الحوأب، و إيّاك أن تكوني أنت 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تقدّمي رحمك اللّٰه، و دعي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 عبد اللّٰه بن الزبير، فحلف لها باللّٰه لقد خلفته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أتاها ببيّنة زور من الأعراب، فشهدوا بذلك، فزعموا أنها أوّل شهادة زور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في كثير من مصادر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بن خالد بن عديّ الأنصاري الأوسي الحارثي، يكنّىٰ أبا عبد الرحمن،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أُحداً و المشاهد كلّها مع رسول اللّٰه صلّى اللّٰه عليه و آله إلّاتبوك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 بيعة أمير المؤمنين و اعتزل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6996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بايعه المسلمون بالمدينة إلّامحمّد بن مسلمة، و عبد اللّٰه بن عمر، و أسامة بن زيد، و سعد بن أبي وقّاص، و كعب بن مالك، و حسّان بن ثابت، و 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 بسعد بن أبي وقّاص،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خلّني، فإذا لم يبق غيري بايعتك، فواللّٰه لا يأتيك من قبلي أمر تكرهه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خلّوا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شهرته</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يغني شهرته عن روايته</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4/1168</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اختلاف في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صرّاف</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ذكرتم</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الخطأ</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فيسفك</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ببراءته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براءته</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دين المسلمين و الرسول</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ليجوّزنّ </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يسمع</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بالنصّ </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بالخلاف</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تمالوا</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جهتهم</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نتمكّن</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نذكر</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تقولونه</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الصحابة بالنصّ علىٰ أمير المؤمنين عليه السلام، و إنكارهم له</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سوى</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يعلم</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بأن</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بالمذاهب</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نقطع</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مطابق للمطبوع و التلخيص</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مشاهداتها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مشاهدتها</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لخلاف</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لاعتقادهم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الأُخرىٰ </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المشبّهة و المجسّمة و أهل الظاهر الذين لا يسلكون سبيل التأويل للمتشابه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الحشويّة حشويّة، لأنّهم يحشون الأحاديث التي لا أصل لها في الأحاديث المرويّة عن رسول اللّٰه صلّى اللّٰه عليه و آله، أي يدخلونها فيها و ليست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الحشويّة و أبو بكر الأصمّ و من قال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و طلحة و الزبير لم يكونوا مصيبين في حربهم، و إنّ المصيبين هم الذين قعدوا عنهم، و إنّهم يتولّونهم جميعاً و يتبرّؤون من حربهم و يردّون أمرهم إلى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الحور العين،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من ادّعى العلم من الحشويّة و أصحاب الحديث</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بقي مِن</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التابعين في عفّة معاوية و اعتقاد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معاوية</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 المصنّف رحمه اللّٰه هذه المعارضة على القاضي؛ لأنّ القاضي لم يكن يؤمن بإمامة معاوية</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تعظيم و إكرام</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الإكرام و الإعظام و المدح</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النظريّة القائلة بأنّ الإيمان لا يتعقّبه الكفر، و أنّ المؤمن لا بدّ أن يوافىٰ بإيمانه، و أنّ مَن علمنا موته علىٰ كفره قطعنا علىٰ أنّه لم يؤمن باللّٰه طرفة عين، و أنّ الذي كان يُظهره من الطاعات إنّما هو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الفاعل لدفع النصّ </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خير و شرّ</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إيّاهم</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تميّزه</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 الكتاب به</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التعظيم و المدح</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بصحيح</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يتوجّه</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يتدبّره</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بالكتمان</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أن يرجع الأمر إلىٰ حكمة المكلِّف</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نمنع</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يمنع ممّا نقطع على انقطاع هذا النقل</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نقطع</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تسأل</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الانقطاع</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يتّصل</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يمتنع الحكم</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انفعالٌ من الدفن</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الحجّة و العذر للمخالف</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تدخل</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يكن</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 بعدهم قوم لم يلزمهم</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فادّعوا عنه صلّى اللّٰه عليه و آله و سلّم أنّه أخذ</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أنّه قد وجد في ذلك النقل شرط التواتر</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مخالفهم أنّه يعلم</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طرّقوا</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لمخالفهم</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بالأُمور التي</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ادّعوا</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مخالفهم</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مخالفوهم</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كلّ ما تقدّم كان من كلام أبي هاشم</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لسنا نعلم أنّ من يرمي</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عليهم أجمعين</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يحيى بن إسحاق الراوندي، و قد تكرّر ذكره</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يذهب</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تذهب</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يعتدّ</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المعجزات لنبيّهم</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دعوى المسلمين</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أبهى</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 القول منه عليه السلام من أن يكون بحضرة جميع الأُمّة</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كان بحضرة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الأُمّة أو نفر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المغني</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كثير</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كتمان ما هذا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كانوا لم يكتموه</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تذكرة الخواصّ ،</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53/1759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54/1759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العاص بن أُميّة بن عبد شمس، يكنّى أبا سعيد، أسلم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أرض الحبشة مع امرأته الخزاعيّة و ولد بها ابنه سعيد بن خالد و ابنته أُمّ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النبيّ صلّى اللّٰه عليه و آله فتح مكّة و حنيناً و الطائف و تبوك، و بعثه رسول اللّٰه صلّى اللّٰه عليه و آله عاملاً على صدقات اليمن، فتوفّي النبيّ صلّى اللّٰه عليه و آله و هو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استعمل أبو بكر خالداً على جيش من جيوش المسلمين حين بعثهم إلى الشام فقتل بمرج الصفر في عهد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فصل</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بايع</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يخالف</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كتمه و بعض نقله</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أنّ الجماعة الكثيرة يكتم للشبهة</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التغلغل</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الأقوال و الأفعال</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تعليمه</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فكنّا</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حاجة</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أكثرهم</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التظلّم له</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اختلاف في نهج البلاغة،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الروايات عن الفريقين في تظلّم أمير المؤمنين عليه السلام بعد غصب حقّه، و حسبنا من ذلك خطبته الشقشقيّة المشهورة، و قوله عليه السلام في بعض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أستعديك على قريش و من أعانهم، فإنّهم قد قطعوا رحمي، و أكفؤوا إنائي، و أجمعوا على منازعتي حقّاً كنتُ أولى به من غيري،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في الحقّ أن تأخذه، و في الحقّ أن تمنعه، فاصبر مغموماً أو مت متأسّفاً، فنظرت فإذا ليس لي رافدٌ و لا ذابٌّ و لا مساعد إلّاأهل بيتي، فضننتُ بهم عن المنيّة، فأغضيتُ على القذى، و جرعت ريقي على الشجا، و صبرتُ من كظم الغيظ على أمَرَّ من العلقم، و آلم للقلب من وَخْزِ الشِّفار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 في حديثه عن 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عمر، فمشى معه جماعة حتّى أتوا باب فاطمة عليها السلام فدقّوا الباب، فلمّا سمعت أصواتهم نادت بأعلى صوتها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 يا رسول اللّٰه، ماذا لقينا بعدك من ابن الخطّاب و 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القوم صوتها و بكاءها انصرفوا باكين، و كادت قلوبهم تنصدع و أكبادهم تنفطر، و بقي عمر و معه قوم، فأخرجوا عليّاً، فمضوا به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 لم أفعل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 اللّٰه الذي لا إله إلّاهو، نضرب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 تقتلون عبد اللّٰه و أخا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 أمّا</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بالتقديم</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 ذلك أيضاً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 أيضاً فيه جماعة ذلك</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مضيّقاً</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يعدو</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مبايعة الأنصارِ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مبايعة النبيِّ من قِبَل الأنصار</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العقبة الأُولى في طريق مكّة بعد جهر النبيّ صلّى اللّٰه عليه و آله بالنبوّة، وافاه</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أواخر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فعن ابن هشام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بعث عثمان بن عفّان رسولاً إلى قريش في مكّة يخبرهم أنّه لم يأت للحرب و إنّما جاء لتعظيم حرمة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لعثمان حين فرغ من رسالة رسول اللّٰه صلّى اللّٰه عليه و سلّم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أن تطوف بالبيت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احتبسته قريش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بلغه أنّ عثمان قد قتل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نبرح حتّى نناجز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رسول اللّٰه صلّى اللّٰه عليه و سلّم إلى البيعة، فكانت بيعة الرضوان تحت الشجرة، فكان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بايعهم رسول اللّٰه على الموت، و كان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لم يبايعنا على الموت، ولكن بايعنا على أن لا نفرّ، فبايع رسول اللّٰه الناس، و لم يتخلّف عنه أحد من المسلمين ممن حضرها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المتضمّنين</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وطئ</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نسأله</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 المسلمين</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يعاقد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رأيهم</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بطلان 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بطلان هذا القول</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له</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يجري</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الصلاة فكان استخلافاً له على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منضمّة</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ثبوته</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أنحلتنيه</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أيحصل</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مصيره</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اختلاف في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26918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يسوّغ</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الخلل</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لإجماع</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اختلاف</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باختصاص</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استزاد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عَتَبَ عليه في أمرٍ لم يرضه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تخوّفني</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الإمامة</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فيها</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و البحث</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ذكّر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أكثرها</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الطفيل 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على الباب يوم الشورى مع عليّ عليه السلام في البيت و سمعته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لأحتجّنّ عليكم بما لا يستطيع عربيّكم و لا عجميّكم تغيير ذلك؛ أنشدكم</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مستحقّه</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أن تأخّر من الدخول</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الصحابة</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بالاختيار من الوجوه الذي اعتقدوا منها</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وفاة رسول اللّٰه صلّى اللّٰه عليه و آله لمّا هاجم المرتدّون المدينة، و إلى هذا أشار عليه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مضى عليه السلام تنازع المسلمون الأمر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يدي حتّى رأيت راجعةَ الناس قد رجعت عن الإسلام، يدعون إلى محق دين محمّد صلّى اللّٰه عليه و آله، فخشيتُ إن لم أنصُرِ الإسلام و أهله أن أرى فيه ثَلْماً أو هَدْماً تكون المصيبة به عليَّ أعظم من فوت ولايتكم التي إنّما هي متاع أيّام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شرح نهج البلاغة لابن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المعاونة و المعاضدة</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سبيل المعاضدة</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حال</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اللّٰه</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رأيهم</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التعبير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تبقني لمعضلة ليس لها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هو قريب من ذلك في عامّة كتب السنّة في مناسبات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ذخائر العقبى،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مصادره بهذا اللفظ، و لكنّه منقول بلفظ آخر،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يُعطَّل للّٰه حدّ و أنافي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العبّاس</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الأحوال و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الأفعال و الأقوال</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يشبهه</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ادّعى</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يدّعيه</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أكثرها</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الطريق</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دلّوا على</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يُرجع في مثل هذه المسألة إلى خبر واحد</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في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ابعثوا إلى عليّ ، فادعوه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بعثت إلى أبي بكر، و قالت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بعثت إلى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لصويحبات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الموضعين الآتيين</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23110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التلخيص</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المسجد</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بإقامة</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تقدّمه صلّى اللّٰه عليه و آله</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إقامة الصلاة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إقامة الصلاة و تقدّمه عليه بنفسه في الصلاة</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الأمر</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الموارد الثلاثة، و كذا في بعض المواضع الآتية</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ليصلّ </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البكاء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 للتجمّل</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291/673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17133</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بطلان هذه الدعوى</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بها</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حالة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حال مخصوص</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يكون ذلك</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موجباً للإمامة</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30270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أخذتموها</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 عليه السلام</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18182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 المرض</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الحكاية</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فيخبرونا</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المغني</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 إلى معرفته</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مخبرون</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الحاجة</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إمامة الأُمّة</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 يظهر</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ظهوره</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يقمه</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يخبرونا</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دخول</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حالهم</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الدواعي</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يخبرونا</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حال</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المثال الذي تقدّم</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أحوال القرامطة</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تكون</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فيعتقدون</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أخبروهم</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بصغر</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يخاف منها قوم فيمسك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السلامة فيخبر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فتخبر</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يظهر و</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لقوّة الداعي</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أسرّها</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بقوّة دواعي الدين</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المسارّة</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ظنّاً</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 و التلخيص،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تقع</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يجوّزوا</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نُلزَمَ </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تستمرّ</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يرتفع</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لزوال إمرة السلطان</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بالتحرّز</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الجيوش</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الدولة هو فنا خسرو بن الحسن الملقّب ركن الدولة ابن بويه الديلمي، أبو شجاع، تولّى ملك فارس، ثمّ ملك الموصل و الجزيرة، و هو أوّل من خُطب له على المنابر بعد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رجل عضد الدولة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فيه ألف عين، و فم فيه ألف لسان، و صدر فيه ألف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شديد الهيبة و كان عالماً بالعربيّة و ينظم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آثاره تجديد حرم أمير المؤمنين عليه السلام في النجف الأشرف، و بنى سوراً حول مدينة الرسول صلّى اللّٰه عليه و آله، و أنشأ ببغداد البيمارستان العضدي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المستشفى العضدي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عمّر القناطر و الجسور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إلى النجف الأشرف و دفن فيها، و قبره في جهة باب الطوسي من الصحن الشريف، ولكن طمست معالمه، و ضاع في جملة ما ضاع من آثار عاصمة الدين و مثوى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أخبار عضد الدولة كثير من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يتيمة الدهر،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شركائهم</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يلتمسونه</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وافقهم</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يقولوا</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قصد العقلاء لما يختصّ به</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شبهة جامعة لها</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جائز عليها</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كذا</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تخصّ </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بالجماعات</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بالدين</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الكتمان</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تعظيمه</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بعضهم</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ظهرت</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تظهر الأسباب</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الكثيرة العدد</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فتخفى أسبابه</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جاز</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الاختلاق</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يخفى</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يجتمع</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يكتم</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ظهر</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يعاديه</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الاستفهام إنّما وُضعَت لوجود همزة الاستفهام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لا تَرىٰ </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المفتعل</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يوجب</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يمكنكم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 العصبيّة تحمل الناس على الافتعال كما تحملهم</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الصيغة</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أن يكون</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ممتنع</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بأسرهم يطبقوا</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معرفته</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الضرب</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تتماثل</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ناظر واحداً من المتكلّمين</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يصفونه</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 للوجه</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إشارات</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كانت الشيعة نقلت معنى الذي تضمّنه السؤال لاحتاج إلى غير ما تقدّم من الجواب</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ناقلون</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المشابه</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التلخيص</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تتطرّق</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تدّعيه</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يُعرف</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بدفعه</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ينتفي</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للتواطؤ أو غيره</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الشبهة</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قليلة</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قلته</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لمكان الحاجة إليه في الدين؛ بل لأنّه لم يدعهم إلى كتمانه داع</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عليه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قائمة به عليه</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وقوع هذا الكتمان سبيل</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الإمام يصحّح الشرائع</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طريقُه</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فريضة</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قراءته</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تنقل</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 ذلك</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ليتنزّل</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جرى</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الحكم بانتفاء النصّ على أمير المؤمنين عليه السلام كالحكم</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ينقل</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وجود</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الناقلين</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الذي تقدّم</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الفتنة</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 و 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العفو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يكثر التراب عليها حتّى يغطّيها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معرفة</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خفي على الأُستاذ المحقّق و الدكاترة المشرفين بما فيهم طه حسين الذي طبع جزء الإمامة من المغني بإشرافه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بالسيّد هو السيّد إسماعيل بن محمّد الحميري الشاعر المشهور الذي ملأ لقبه هذا كتب الأدب و الشعر و التراجم، و إليك نماذج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إسحاق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للسيّد ألفين و ثلاثمائة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الفرج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السيّد يأتي الأعمش سليمان بن مهران، فيكتب عنه فضائل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صاحب العقد الفريد بالسيّد في أكثر من موضع،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المعتزّ في طبقات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السيّد أحدق بسوق الأحاديث و المناقب و الأخبار في الشعر، لم يترك لعليّ بن أبي طالب عليه السلام فضيلة معروفة إلّانقلها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 الصادق عليه السلام لقي السيّد الحميري،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سمّتك أُمّك سيّداً، و وُفّقت في ذلك، و أنت سيّد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السيّد في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عجبت لقائل لي مرّةً علّامة فهم من الفقهاء</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عن أبي رافع مولى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وصفه قتل أمير المؤمنين عليه السلام لمرحب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ألقاه من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رأيتني في نفر من سبعة أنا ثامنهم نجهد على أن نقلب ذلك الباب فما نقلبه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23909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76/297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أبي هاشم</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إبطال الضرورات</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سَرَدناه</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ضعف نقله على الوجه الذي فسّرناه أن يكون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فكتموه</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فالذي</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تأثّر</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يقطع</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للعمل بخلافه، و مبطل للعمل به</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لا يُفصح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غتم</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سببها</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شملته</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غرّه</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تمسّكه</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يحصر</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الإضافة</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الإمامة</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النصّ </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للنصّ </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الإظهار</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محصور</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خيبر</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بجمل</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صحّ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49107</Words>
  <Characters>193571</Characters>
  <CharactersWithSpaces>241346</CharactersWithSpaces>
  <Paragraphs>1593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2026-08-26T07:01:52Z</dcterms:created>
  <dc:creator>ghaemiyeh.com</dc:creator>
  <dc:description/>
  <dc:language>en-US</dc:language>
  <cp:lastModifiedBy/>
  <dcterms:modified xsi:type="dcterms:W3CDTF">2026-08-26T10:32:46Z</dcterms:modified>
  <cp:revision>1</cp:revision>
  <dc:subject/>
  <dc:title>الشافی فی الإمامة المجلد 2</dc:title>
</cp:coreProperties>
</file>

<file path=docProps/custom.xml><?xml version="1.0" encoding="utf-8"?>
<Properties xmlns="http://schemas.openxmlformats.org/officeDocument/2006/custom-properties" xmlns:vt="http://schemas.openxmlformats.org/officeDocument/2006/docPropsVTypes"/>
</file>